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40"/>
        <w:spacing w:after="0"/>
        <w:tabs>
          <w:tab w:leader="none" w:pos="27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1905</wp:posOffset>
            </wp:positionV>
            <wp:extent cx="934720"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472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GENERAL MOTORS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1720" w:type="dxa"/>
        <w:tblCellMar>
          <w:top w:w="0" w:type="dxa"/>
          <w:left w:w="0" w:type="dxa"/>
          <w:bottom w:w="0" w:type="dxa"/>
          <w:right w:w="0" w:type="dxa"/>
        </w:tblCellMar>
      </w:tblPr>
      <w:tr>
        <w:trPr>
          <w:trHeight w:val="164"/>
        </w:trPr>
        <w:tc>
          <w:tcPr>
            <w:tcW w:w="23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STATE OF DELAWARE</w:t>
            </w:r>
          </w:p>
        </w:tc>
        <w:tc>
          <w:tcPr>
            <w:tcW w:w="5640" w:type="dxa"/>
            <w:vAlign w:val="bottom"/>
            <w:gridSpan w:val="2"/>
          </w:tcPr>
          <w:p>
            <w:pPr>
              <w:jc w:val="center"/>
              <w:ind w:left="3237"/>
              <w:spacing w:after="0"/>
              <w:rPr>
                <w:sz w:val="20"/>
                <w:szCs w:val="20"/>
                <w:color w:val="auto"/>
              </w:rPr>
            </w:pPr>
            <w:r>
              <w:rPr>
                <w:rFonts w:ascii="Arial" w:cs="Arial" w:eastAsia="Arial" w:hAnsi="Arial"/>
                <w:sz w:val="13"/>
                <w:szCs w:val="13"/>
                <w:b w:val="1"/>
                <w:bCs w:val="1"/>
                <w:color w:val="auto"/>
                <w:w w:val="89"/>
              </w:rPr>
              <w:t>27-0756180</w:t>
            </w:r>
          </w:p>
        </w:tc>
      </w:tr>
      <w:tr>
        <w:trPr>
          <w:trHeight w:val="164"/>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91"/>
              </w:rPr>
              <w:t>(State or other jurisdiction of</w:t>
            </w:r>
          </w:p>
        </w:tc>
        <w:tc>
          <w:tcPr>
            <w:tcW w:w="33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r>
      <w:tr>
        <w:trPr>
          <w:trHeight w:val="160"/>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92"/>
              </w:rPr>
              <w:t>incorporation or organization)</w:t>
            </w:r>
          </w:p>
        </w:tc>
        <w:tc>
          <w:tcPr>
            <w:tcW w:w="33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r>
      <w:tr>
        <w:trPr>
          <w:trHeight w:val="324"/>
        </w:trPr>
        <w:tc>
          <w:tcPr>
            <w:tcW w:w="2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300 Renaissance Center, Detroit, Michigan</w:t>
            </w:r>
          </w:p>
        </w:tc>
        <w:tc>
          <w:tcPr>
            <w:tcW w:w="5640" w:type="dxa"/>
            <w:vAlign w:val="bottom"/>
            <w:gridSpan w:val="2"/>
          </w:tcPr>
          <w:p>
            <w:pPr>
              <w:jc w:val="center"/>
              <w:ind w:left="3237"/>
              <w:spacing w:after="0"/>
              <w:rPr>
                <w:sz w:val="20"/>
                <w:szCs w:val="20"/>
                <w:color w:val="auto"/>
              </w:rPr>
            </w:pPr>
            <w:r>
              <w:rPr>
                <w:rFonts w:ascii="Arial" w:cs="Arial" w:eastAsia="Arial" w:hAnsi="Arial"/>
                <w:sz w:val="13"/>
                <w:szCs w:val="13"/>
                <w:b w:val="1"/>
                <w:bCs w:val="1"/>
                <w:color w:val="auto"/>
                <w:w w:val="89"/>
              </w:rPr>
              <w:t>48265-3000</w:t>
            </w:r>
          </w:p>
        </w:tc>
      </w:tr>
      <w:tr>
        <w:trPr>
          <w:trHeight w:val="187"/>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330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r>
      <w:tr>
        <w:trPr>
          <w:trHeight w:val="149"/>
        </w:trPr>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40" w:type="dxa"/>
            <w:vAlign w:val="bottom"/>
            <w:gridSpan w:val="2"/>
          </w:tcPr>
          <w:p>
            <w:pPr>
              <w:jc w:val="center"/>
              <w:ind w:right="233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49"/>
        </w:trPr>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(313) 667-1500</w:t>
            </w:r>
          </w:p>
        </w:tc>
        <w:tc>
          <w:tcPr>
            <w:tcW w:w="234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40" w:type="dxa"/>
            <w:vAlign w:val="bottom"/>
            <w:gridSpan w:val="2"/>
          </w:tcPr>
          <w:p>
            <w:pPr>
              <w:jc w:val="center"/>
              <w:ind w:right="2337"/>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r>
      <w:tr>
        <w:trPr>
          <w:trHeight w:val="286"/>
        </w:trPr>
        <w:tc>
          <w:tcPr>
            <w:tcW w:w="68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94"/>
        </w:trPr>
        <w:tc>
          <w:tcPr>
            <w:tcW w:w="680" w:type="dxa"/>
            <w:vAlign w:val="bottom"/>
          </w:tcPr>
          <w:p>
            <w:pPr>
              <w:spacing w:after="0"/>
              <w:rPr>
                <w:sz w:val="16"/>
                <w:szCs w:val="16"/>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3"/>
                <w:szCs w:val="13"/>
                <w:color w:val="auto"/>
                <w:w w:val="87"/>
              </w:rPr>
              <w:t>Common Stock</w:t>
            </w:r>
          </w:p>
        </w:tc>
        <w:tc>
          <w:tcPr>
            <w:tcW w:w="330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r>
        <w:trPr>
          <w:trHeight w:val="189"/>
        </w:trPr>
        <w:tc>
          <w:tcPr>
            <w:tcW w:w="2380" w:type="dxa"/>
            <w:vAlign w:val="bottom"/>
            <w:gridSpan w:val="3"/>
          </w:tcPr>
          <w:p>
            <w:pPr>
              <w:jc w:val="center"/>
              <w:ind w:right="80"/>
              <w:spacing w:after="0"/>
              <w:rPr>
                <w:sz w:val="20"/>
                <w:szCs w:val="20"/>
                <w:color w:val="auto"/>
              </w:rPr>
            </w:pPr>
            <w:r>
              <w:rPr>
                <w:rFonts w:ascii="Arial" w:cs="Arial" w:eastAsia="Arial" w:hAnsi="Arial"/>
                <w:sz w:val="13"/>
                <w:szCs w:val="13"/>
                <w:color w:val="auto"/>
                <w:w w:val="88"/>
              </w:rPr>
              <w:t>Warrants (expiring July 10, 2019)</w:t>
            </w:r>
          </w:p>
        </w:tc>
        <w:tc>
          <w:tcPr>
            <w:tcW w:w="330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06" w:lineRule="exact"/>
        <w:rPr>
          <w:sz w:val="24"/>
          <w:szCs w:val="24"/>
          <w:color w:val="auto"/>
        </w:rPr>
      </w:pPr>
    </w:p>
    <w:p>
      <w:pPr>
        <w:ind w:left="4000"/>
        <w:spacing w:after="0"/>
        <w:rPr>
          <w:sz w:val="20"/>
          <w:szCs w:val="20"/>
          <w:color w:val="auto"/>
        </w:rPr>
      </w:pPr>
      <w:r>
        <w:rPr>
          <w:rFonts w:ascii="Arial" w:cs="Arial" w:eastAsia="Arial" w:hAnsi="Arial"/>
          <w:sz w:val="13"/>
          <w:szCs w:val="13"/>
          <w:b w:val="1"/>
          <w:bCs w:val="1"/>
          <w:color w:val="auto"/>
        </w:rPr>
        <w:t>Securities registered pursuant to Section 12 (g) of the Act: None</w:t>
      </w:r>
    </w:p>
    <w:p>
      <w:pPr>
        <w:spacing w:after="0" w:line="86" w:lineRule="exact"/>
        <w:rPr>
          <w:sz w:val="24"/>
          <w:szCs w:val="24"/>
          <w:color w:val="auto"/>
        </w:rPr>
      </w:pPr>
    </w:p>
    <w:p>
      <w:pPr>
        <w:ind w:left="18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7" w:lineRule="exact"/>
        <w:rPr>
          <w:sz w:val="24"/>
          <w:szCs w:val="24"/>
          <w:color w:val="auto"/>
        </w:rPr>
      </w:pPr>
    </w:p>
    <w:p>
      <w:pPr>
        <w:ind w:left="18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ind w:firstLine="162"/>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firstLine="162"/>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firstLine="162"/>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82" w:lineRule="exact"/>
        <w:rPr>
          <w:sz w:val="24"/>
          <w:szCs w:val="24"/>
          <w:color w:val="auto"/>
        </w:rPr>
      </w:pPr>
    </w:p>
    <w:p>
      <w:pPr>
        <w:ind w:firstLine="162"/>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pacing w:after="0" w:line="63" w:lineRule="exact"/>
        <w:rPr>
          <w:sz w:val="24"/>
          <w:szCs w:val="24"/>
          <w:color w:val="auto"/>
        </w:rPr>
      </w:pPr>
    </w:p>
    <w:p>
      <w:pPr>
        <w:jc w:val="center"/>
        <w:ind w:right="-19"/>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 not check if a smaller reporting company)</w:t>
      </w:r>
    </w:p>
    <w:p>
      <w:pPr>
        <w:spacing w:after="0" w:line="97" w:lineRule="exact"/>
        <w:rPr>
          <w:sz w:val="24"/>
          <w:szCs w:val="24"/>
          <w:color w:val="auto"/>
        </w:rPr>
      </w:pPr>
    </w:p>
    <w:p>
      <w:pPr>
        <w:ind w:right="340" w:firstLine="162"/>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left="18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ind w:right="60" w:firstLine="162"/>
        <w:spacing w:after="0" w:line="255" w:lineRule="auto"/>
        <w:rPr>
          <w:sz w:val="20"/>
          <w:szCs w:val="20"/>
          <w:color w:val="auto"/>
        </w:rPr>
      </w:pPr>
      <w:r>
        <w:rPr>
          <w:rFonts w:ascii="Arial" w:cs="Arial" w:eastAsia="Arial" w:hAnsi="Arial"/>
          <w:sz w:val="13"/>
          <w:szCs w:val="13"/>
          <w:color w:val="auto"/>
        </w:rPr>
        <w:t>The aggregate market value of the voting stock held by non-affiliates of the registrant (assuming only for purposes of this computation that directors and executive officers may be affiliates) was approximately $51.2 billion as of June 30, 2017.</w:t>
      </w:r>
    </w:p>
    <w:p>
      <w:pPr>
        <w:spacing w:after="0" w:line="87" w:lineRule="exact"/>
        <w:rPr>
          <w:sz w:val="24"/>
          <w:szCs w:val="24"/>
          <w:color w:val="auto"/>
        </w:rPr>
      </w:pPr>
    </w:p>
    <w:p>
      <w:pPr>
        <w:ind w:left="180"/>
        <w:spacing w:after="0"/>
        <w:rPr>
          <w:sz w:val="20"/>
          <w:szCs w:val="20"/>
          <w:color w:val="auto"/>
        </w:rPr>
      </w:pPr>
      <w:r>
        <w:rPr>
          <w:rFonts w:ascii="Arial" w:cs="Arial" w:eastAsia="Arial" w:hAnsi="Arial"/>
          <w:sz w:val="13"/>
          <w:szCs w:val="13"/>
          <w:color w:val="auto"/>
        </w:rPr>
        <w:t>As of January 30, 2018 the number of shares outstanding of common stock was 1,402,630,363 shares.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55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Property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Acquisition of Business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Goodwill and Intangible Assets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Accrued and Other Liabilities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76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79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87</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880" w:type="dxa"/>
            <w:vAlign w:val="bottom"/>
            <w:tcBorders>
              <w:bottom w:val="single" w:sz="8" w:color="CCEEFF"/>
            </w:tcBorders>
            <w:shd w:val="clear" w:color="auto" w:fill="CCEEFF"/>
          </w:tcPr>
          <w:p>
            <w:pPr>
              <w:ind w:left="4380"/>
              <w:spacing w:after="0"/>
              <w:rPr>
                <w:sz w:val="20"/>
                <w:szCs w:val="20"/>
                <w:color w:val="auto"/>
              </w:rPr>
            </w:pPr>
            <w:r>
              <w:rPr>
                <w:rFonts w:ascii="Arial" w:cs="Arial" w:eastAsia="Arial" w:hAnsi="Arial"/>
                <w:sz w:val="18"/>
                <w:szCs w:val="18"/>
                <w:b w:val="1"/>
                <w:bCs w:val="1"/>
                <w:color w:val="auto"/>
              </w:rPr>
              <w:t>PART III</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880" w:type="dxa"/>
            <w:vAlign w:val="bottom"/>
            <w:tcBorders>
              <w:bottom w:val="single" w:sz="8" w:color="CCEEFF"/>
            </w:tcBorders>
            <w:shd w:val="clear" w:color="auto" w:fill="CCEEFF"/>
          </w:tcPr>
          <w:p>
            <w:pPr>
              <w:ind w:left="4380"/>
              <w:spacing w:after="0"/>
              <w:rPr>
                <w:sz w:val="20"/>
                <w:szCs w:val="20"/>
                <w:color w:val="auto"/>
              </w:rPr>
            </w:pPr>
            <w:r>
              <w:rPr>
                <w:rFonts w:ascii="Arial" w:cs="Arial" w:eastAsia="Arial" w:hAnsi="Arial"/>
                <w:sz w:val="18"/>
                <w:szCs w:val="18"/>
                <w:b w:val="1"/>
                <w:bCs w:val="1"/>
                <w:color w:val="auto"/>
              </w:rPr>
              <w:t>PART IV</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15.</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Exhibits</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Form 10-K Summary</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Signatures</w:t>
            </w:r>
          </w:p>
        </w:tc>
        <w:tc>
          <w:tcPr>
            <w:tcW w:w="9880" w:type="dxa"/>
            <w:vAlign w:val="bottom"/>
          </w:tcPr>
          <w:p>
            <w:pPr>
              <w:spacing w:after="0"/>
              <w:rPr>
                <w:sz w:val="17"/>
                <w:szCs w:val="17"/>
                <w:color w:val="auto"/>
              </w:rPr>
            </w:pPr>
          </w:p>
        </w:tc>
        <w:tc>
          <w:tcPr>
            <w:tcW w:w="540" w:type="dxa"/>
            <w:vAlign w:val="bottom"/>
            <w:gridSpan w:val="2"/>
          </w:tcPr>
          <w:p>
            <w:pPr>
              <w:jc w:val="right"/>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92</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9" w:right="23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cars, trucks, crossovers and automobile parts worldwide. We also provide automotive financing services through General Motors Financial Company, Inc. (GM Financial). Except for per share amounts or as otherwise specified, amounts presented within tables are stated in millions.</w:t>
      </w:r>
    </w:p>
    <w:p>
      <w:pPr>
        <w:spacing w:after="0" w:line="133"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was previously reported as our GM Europe (GME) segment and part of GM Financial. The European Business is presented as discontinued operations in our consolidated financial statements for all periods presented. The assets and liabilities of the European Business are presented as held for sale in our consolidated financial statements as of December 31, 2016. Unless otherwise indicated, information in this report relates to our continuing operations.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Segment Reporting Data </w:t>
      </w:r>
      <w:r>
        <w:rPr>
          <w:rFonts w:ascii="Arial" w:cs="Arial" w:eastAsia="Arial" w:hAnsi="Arial"/>
          <w:sz w:val="17"/>
          <w:szCs w:val="17"/>
          <w:color w:val="auto"/>
        </w:rPr>
        <w:t>During the three months ended December 31, 2017, we changed our automotive segments as a result of changes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structure and the evolution of our business resulting from the sale of the Opel/Vauxhall Business and the various strategic actions taken in the GM International Operations (GMIO) region. As a result, our GM South America (GMSA) and GMIO operating segments are now reported as one, combined reportable international segment, GM International (GMI). Our GM North America (GMNA) and GM Financial segments were not impacted. All periods presented have been recast to reflect the changes. Operating segment data and principal geographic area data for the years ended December 31, 2017, 2016 and 2015 are summarized in Note 24 to our consolidated financial statements.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Automotive </w:t>
      </w:r>
      <w:r>
        <w:rPr>
          <w:rFonts w:ascii="Arial" w:cs="Arial" w:eastAsia="Arial" w:hAnsi="Arial"/>
          <w:sz w:val="16"/>
          <w:szCs w:val="16"/>
          <w:color w:val="auto"/>
        </w:rPr>
        <w:t>Our automotive operations meet the demands of our customers through our automotive segments: GMNA and GMI. GMNA meets the demands</w:t>
      </w:r>
      <w:r>
        <w:rPr>
          <w:rFonts w:ascii="Arial" w:cs="Arial" w:eastAsia="Arial" w:hAnsi="Arial"/>
          <w:sz w:val="16"/>
          <w:szCs w:val="16"/>
          <w:b w:val="1"/>
          <w:bCs w:val="1"/>
          <w:color w:val="auto"/>
        </w:rPr>
        <w:t xml:space="preserve"> </w:t>
      </w:r>
      <w:r>
        <w:rPr>
          <w:rFonts w:ascii="Arial" w:cs="Arial" w:eastAsia="Arial" w:hAnsi="Arial"/>
          <w:sz w:val="16"/>
          <w:szCs w:val="16"/>
          <w:color w:val="auto"/>
        </w:rPr>
        <w:t>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Competitive Position and Vehicle Sales </w:t>
      </w:r>
      <w:r>
        <w:rPr>
          <w:rFonts w:ascii="Arial" w:cs="Arial" w:eastAsia="Arial" w:hAnsi="Arial"/>
          <w:sz w:val="18"/>
          <w:szCs w:val="18"/>
          <w:color w:val="auto"/>
        </w:rPr>
        <w:t>The principal factors that determine consumer vehicle preferences in the markets in which we operate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vehicle design, price, quality, available options, safety, reliability, fuel economy and functionality. Market leadership in individual countries in which we compete varies widely.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year ended December 31, 2017 39% of our wholesale vehicle sales volume was generated outside the U.S. The following table summarizes total wholesale vehicle sales of new vehicles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58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GMI(b)</w:t>
            </w:r>
          </w:p>
        </w:tc>
        <w:tc>
          <w:tcPr>
            <w:tcW w:w="700" w:type="dxa"/>
            <w:vAlign w:val="bottom"/>
          </w:tcPr>
          <w:p>
            <w:pPr>
              <w:jc w:val="right"/>
              <w:spacing w:after="0"/>
              <w:rPr>
                <w:sz w:val="20"/>
                <w:szCs w:val="20"/>
                <w:color w:val="auto"/>
              </w:rPr>
            </w:pPr>
            <w:r>
              <w:rPr>
                <w:rFonts w:ascii="Arial" w:cs="Arial" w:eastAsia="Arial" w:hAnsi="Arial"/>
                <w:sz w:val="18"/>
                <w:szCs w:val="18"/>
                <w:color w:val="auto"/>
              </w:rPr>
              <w:t>1,267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r>
      <w:tr>
        <w:trPr>
          <w:trHeight w:val="27"/>
        </w:trPr>
        <w:tc>
          <w:tcPr>
            <w:tcW w:w="5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__________</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Wholesale vehicle sales related to transactions with the European Business were insignificant for the years ended December 31, 2017, 2016 and 2015.</w:t>
      </w:r>
    </w:p>
    <w:p>
      <w:pPr>
        <w:spacing w:after="0" w:line="239"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Wholesale vehicle sales include 131, 128 and 181 vehicles related to the transactions with the European Business for the years ended December 31, 2017, 2016 and 2015.</w:t>
      </w:r>
    </w:p>
    <w:p>
      <w:pPr>
        <w:spacing w:after="0" w:line="21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China(b)</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Other(c)</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21,391</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Africa(a)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49,317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48,873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46,441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in GM markets</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75,031</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74,425</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72,158</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17,463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Worldwide(d)</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94,180</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9,600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93,045</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10,008</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89,621</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9,985</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Cars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7,475</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6,383</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United States</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17,567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17,886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3,043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China(b)</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4,041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3,914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of Opel/Vauxhall outside of Europe were insignificant in the years ended December 31, 2017, 2016 and 2015.</w:t>
      </w:r>
    </w:p>
    <w:p>
      <w:pPr>
        <w:spacing w:after="0" w:line="229"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42" w:lineRule="exact"/>
        <w:rPr>
          <w:sz w:val="20"/>
          <w:szCs w:val="20"/>
          <w:color w:val="auto"/>
        </w:rPr>
      </w:pPr>
    </w:p>
    <w:p>
      <w:pPr>
        <w:jc w:val="both"/>
        <w:ind w:left="340" w:hanging="332"/>
        <w:spacing w:after="0" w:line="25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China sales include the Automotive China JVs SAIC General Motors Sales Co., Ltd. (SGMS), SAIC GM Wuling Automobile Co., Ltd. (SGMW) and FAW-GM Light Duty Commercial Vehicle Co., Ltd. (FAW-GM). In the three months ended March 31, 2017 we began using estimated vehicle registrations data as the basis for calculating industry volume and market share in China. In the years ended December 31, 2016 and 2015 wholesale volumes were used for Industry, GM and Market Share. Our retail sales in China were 3,871 and 3,613 in the years ended December 31, 2016 and 2015.</w:t>
      </w:r>
    </w:p>
    <w:p>
      <w:pPr>
        <w:ind w:left="340" w:hanging="332"/>
        <w:spacing w:after="0" w:line="24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As of December 31, 2017 we have ceased sales of Chevrolet for the domestic markets in India and South Africa.</w:t>
      </w:r>
    </w:p>
    <w:p>
      <w:pPr>
        <w:spacing w:after="0" w:line="1" w:lineRule="exact"/>
        <w:rPr>
          <w:rFonts w:ascii="Arial" w:cs="Arial" w:eastAsia="Arial" w:hAnsi="Arial"/>
          <w:sz w:val="16"/>
          <w:szCs w:val="16"/>
          <w:color w:val="auto"/>
        </w:rPr>
      </w:pPr>
    </w:p>
    <w:p>
      <w:pPr>
        <w:ind w:left="340" w:right="20" w:hanging="332"/>
        <w:spacing w:after="0" w:line="27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w:t>
      </w:r>
      <w:r>
        <w:rPr>
          <w:rFonts w:ascii="Arial" w:cs="Arial" w:eastAsia="Arial" w:hAnsi="Arial"/>
          <w:sz w:val="18"/>
          <w:szCs w:val="18"/>
          <w:color w:val="auto"/>
        </w:rPr>
        <w:t>.</w:t>
      </w:r>
      <w:r>
        <w:rPr>
          <w:rFonts w:ascii="Arial" w:cs="Arial" w:eastAsia="Arial" w:hAnsi="Arial"/>
          <w:sz w:val="16"/>
          <w:szCs w:val="16"/>
          <w:color w:val="auto"/>
        </w:rPr>
        <w:t xml:space="preserve"> Accordingly these countries are excluded from industry sales data and corresponding calculation of market share.</w:t>
      </w:r>
    </w:p>
    <w:p>
      <w:pPr>
        <w:spacing w:after="0" w:line="17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2017 we estimate we had the largest market share in North America and South America, and the number three market share in the Asia/Pacific, Middle East and Africa region, which included the number two market share in China. Refer to the Overview in Management's Discussion and Analysis of Financial Condition and Results of Operations (MD&amp;A) for discussion on changes in market share by region.</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12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795</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GMI</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468</w:t>
            </w: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1,263</w:t>
            </w:r>
          </w:p>
        </w:tc>
      </w:tr>
      <w:tr>
        <w:trPr>
          <w:trHeight w:val="20"/>
        </w:trPr>
        <w:tc>
          <w:tcPr>
            <w:tcW w:w="7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7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432"/>
        </w:trPr>
        <w:tc>
          <w:tcPr>
            <w:tcW w:w="7280" w:type="dxa"/>
            <w:vAlign w:val="bottom"/>
          </w:tcPr>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7"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Other fleet sales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296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269</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278</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578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596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Pricing </w:t>
      </w:r>
      <w:r>
        <w:rPr>
          <w:rFonts w:ascii="Arial" w:cs="Arial" w:eastAsia="Arial" w:hAnsi="Arial"/>
          <w:sz w:val="18"/>
          <w:szCs w:val="18"/>
          <w:color w:val="auto"/>
        </w:rPr>
        <w:t>Several methods are used to promote our products, including the use of dealer, retail and fleet incentives such as customer rebates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rate support. The level of incentives is dependent upon the level of competition in the markets in which we operate and the level of demand for our products.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Cyclical Nature of Business </w:t>
      </w:r>
      <w:r>
        <w:rPr>
          <w:rFonts w:ascii="Arial" w:cs="Arial" w:eastAsia="Arial" w:hAnsi="Arial"/>
          <w:sz w:val="16"/>
          <w:szCs w:val="16"/>
          <w:color w:val="auto"/>
        </w:rPr>
        <w:t>Retail sales are cyclical and production varies from month to month. Vehicle model changeovers occur throughout the year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new market entries. The market for vehicles depends in part on general economic conditions, credit availability and consumer spending.</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Dealers </w:t>
      </w:r>
      <w:r>
        <w:rPr>
          <w:rFonts w:ascii="Arial" w:cs="Arial" w:eastAsia="Arial" w:hAnsi="Arial"/>
          <w:sz w:val="18"/>
          <w:szCs w:val="18"/>
          <w:color w:val="auto"/>
        </w:rPr>
        <w:t>We market vehicles and automotive parts worldwide primarily through a network of independent authorized retail dealers.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outlets include 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GMI</w:t>
            </w:r>
          </w:p>
        </w:tc>
        <w:tc>
          <w:tcPr>
            <w:tcW w:w="4900" w:type="dxa"/>
            <w:vAlign w:val="bottom"/>
            <w:gridSpan w:val="2"/>
          </w:tcPr>
          <w:p>
            <w:pPr>
              <w:jc w:val="right"/>
              <w:ind w:right="48"/>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8,598</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12,450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13,455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Arial" w:cs="Arial" w:eastAsia="Arial" w:hAnsi="Arial"/>
                <w:sz w:val="18"/>
                <w:szCs w:val="18"/>
                <w:color w:val="auto"/>
              </w:rPr>
              <w:t>3</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program and those repairs are made only with GM parts. Our dealers generally provide their customers with access to credit or lease financing, vehicle insurance and extended service contracts provided by GM Financial and other financial institutions.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Research, Product and Business Development and Intellectual Property </w:t>
      </w:r>
      <w:r>
        <w:rPr>
          <w:rFonts w:ascii="Arial" w:cs="Arial" w:eastAsia="Arial" w:hAnsi="Arial"/>
          <w:sz w:val="16"/>
          <w:szCs w:val="16"/>
          <w:color w:val="auto"/>
        </w:rPr>
        <w:t>Costs for research, manufacturing engineering, product engineering and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activities relate primarily to developing new products or services or improving existing products or services including activities related to vehicle and greenhouse gas (GHG) emissions control, improved fuel economy, electrification, autonomous vehicles, the safety of drivers and passengers, and urban mobility. Research and development expenses were $7.3 billion, $6.6 billion and $6.0 billion in the years ended December 31, 2017, 2016 and 2015.</w:t>
      </w:r>
    </w:p>
    <w:p>
      <w:pPr>
        <w:spacing w:after="0" w:line="15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The Product Development organization is responsible for designing and integrating vehicle and powertrain components to maximize</w:t>
      </w:r>
      <w:r>
        <w:rPr>
          <w:rFonts w:ascii="Arial" w:cs="Arial" w:eastAsia="Arial" w:hAnsi="Arial"/>
          <w:sz w:val="16"/>
          <w:szCs w:val="16"/>
          <w:i w:val="1"/>
          <w:iCs w:val="1"/>
          <w:color w:val="auto"/>
        </w:rPr>
        <w:t xml:space="preserve"> </w:t>
      </w:r>
      <w:r>
        <w:rPr>
          <w:rFonts w:ascii="Arial" w:cs="Arial" w:eastAsia="Arial" w:hAnsi="Arial"/>
          <w:sz w:val="16"/>
          <w:szCs w:val="16"/>
          <w:color w:val="auto"/>
        </w:rPr>
        <w:t>part sharing across multiple vehicle segments. Global teams in Design, Program Management, Component &amp; Subsystem Engineering, Product Integrity, Safety, Propulsion Systems and Purchasing &amp; Supply Chain collaborate to meet customer requirements and maximize global economies of scale.</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global vehicle architecture development is headquartered at our Global Technical Center in Warren, Michigan. Cross-segment part sharing is an essential enabler to our Vehicle Set Strategy, designed to reduce our overall number of global vehicle architectures to four major vehicle sets. As we implement the four vehicle sets, we will continue to leverage our current architecture portfolio to accommodate our customers around the world while achieving our financial goals.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Hybrid, Plug-In, Extended Range and Battery Electric Vehicles </w:t>
      </w:r>
      <w:r>
        <w:rPr>
          <w:rFonts w:ascii="Arial" w:cs="Arial" w:eastAsia="Arial" w:hAnsi="Arial"/>
          <w:sz w:val="16"/>
          <w:szCs w:val="16"/>
          <w:color w:val="auto"/>
        </w:rPr>
        <w:t>We are investing in multiple technologies offering increasing levels of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electrification including eAssist, plug-in hybrid, full hybrid, extended range and zero emission battery electric vehicles that are part of our long-term strategy to reduce petroleum consumption and GHG emissions. We currently offer seven models in the U.S. featuring some form of electrification and continue to develop plug-in hybrid electric vehicle technology and extended range electric vehicles such as the Chevrolet Volt and Bolt EV. In October 2017 we announced our plans to launch more than 20 new Zero Emission Vehicles (ZEVs) in global markets by 2023, including two in the next 18 months.</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Car- and Ride-Sharing </w:t>
      </w:r>
      <w:r>
        <w:rPr>
          <w:rFonts w:ascii="Arial" w:cs="Arial" w:eastAsia="Arial" w:hAnsi="Arial"/>
          <w:sz w:val="18"/>
          <w:szCs w:val="18"/>
          <w:color w:val="auto"/>
        </w:rPr>
        <w:t>Our car-sharing brand Maven gives customers access to highly personalized, on-demand mobility services. Maven is available in 18</w:t>
      </w:r>
      <w:r>
        <w:rPr>
          <w:rFonts w:ascii="Arial" w:cs="Arial" w:eastAsia="Arial" w:hAnsi="Arial"/>
          <w:sz w:val="18"/>
          <w:szCs w:val="18"/>
          <w:i w:val="1"/>
          <w:iCs w:val="1"/>
          <w:color w:val="auto"/>
        </w:rPr>
        <w:t xml:space="preserve"> </w:t>
      </w:r>
      <w:r>
        <w:rPr>
          <w:rFonts w:ascii="Arial" w:cs="Arial" w:eastAsia="Arial" w:hAnsi="Arial"/>
          <w:sz w:val="18"/>
          <w:szCs w:val="18"/>
          <w:color w:val="auto"/>
        </w:rPr>
        <w:t>cities across the U.S. and Canada and has started first pilot operations in Australia. Maven offers three different types of consumer and commercial services. Maven Gig allows members to earn money on their own terms by providing a vehicle that can be used to deliver goods or ride-sharing services provided by Lyft, Inc. (Lyft) and Uber Technologies Inc. Maven City offers vehicles with dedicated parking spots for easy city driving with the cost of gas or electric charging included. Vehicles are available by the hour, day, week or month. Maven Home provides on-site car sharing for residential communities. Through December 31, 2017 Maven has accumulated over 230 million miles driven, 5 million all-electric miles driven, 114,000 reservations and has 104,000 members.</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Autonomous Technology </w:t>
      </w:r>
      <w:r>
        <w:rPr>
          <w:rFonts w:ascii="Arial" w:cs="Arial" w:eastAsia="Arial" w:hAnsi="Arial"/>
          <w:sz w:val="18"/>
          <w:szCs w:val="18"/>
          <w:color w:val="auto"/>
        </w:rPr>
        <w:t>We see autonomous technology leading to a future of zero congestion, zero emissions and zero crashes, since more than 90% of</w:t>
      </w:r>
      <w:r>
        <w:rPr>
          <w:rFonts w:ascii="Arial" w:cs="Arial" w:eastAsia="Arial" w:hAnsi="Arial"/>
          <w:sz w:val="18"/>
          <w:szCs w:val="18"/>
          <w:i w:val="1"/>
          <w:iCs w:val="1"/>
          <w:color w:val="auto"/>
        </w:rPr>
        <w:t xml:space="preserve"> </w:t>
      </w:r>
      <w:r>
        <w:rPr>
          <w:rFonts w:ascii="Arial" w:cs="Arial" w:eastAsia="Arial" w:hAnsi="Arial"/>
          <w:sz w:val="18"/>
          <w:szCs w:val="18"/>
          <w:color w:val="auto"/>
        </w:rPr>
        <w:t>crashes are caused by driver error, according to the National Highway Traffic Safety Administration (NHTSA). We are among the leaders in the industry with significant global real-world experience in delivering connectivity, safety and security services to millions of customers through OnStar, LLC (OnStar) and advanced safety features that are the building blocks to more advanced automation features that are driving our leadership position in the development of autonomous technology. An example of advanced automation is Super Cruise, a hands-free driving customer convenience feature that is available on the 2018 Cadillac CT6 sedan.</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actively testing autonomous vehicles on public roads in San Francisco, California; Scottsdale, Arizona; and Warren, Michigan. Additionally, we plan to develop an integrated network of on-demand autonomous vehicles in the U.S. In November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2017 we announced that our growing fleet of test vehicles will accumulate a significant number of miles in 2018, and based on our current rate of change we expect commercial launch at scale in dense urban environments in 2019.</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Alternative Fuel Vehicles </w:t>
      </w:r>
      <w:r>
        <w:rPr>
          <w:rFonts w:ascii="Arial" w:cs="Arial" w:eastAsia="Arial" w:hAnsi="Arial"/>
          <w:sz w:val="16"/>
          <w:szCs w:val="16"/>
          <w:color w:val="auto"/>
        </w:rPr>
        <w:t>We believe alternative fuels offer significant potential to reduce petroleum consumption and resulting GHG emissions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sector. By leveraging experience and capability developed around these technologies in our global operations we continue to develop FlexFuel vehicles that can run on ethanol-gasoline blend fuels as well as technologies that support compressed natural gas and liquefied petroleum gas.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offer a variety of FlexFuel vehicles in the U.S. for the 2018 model year to retail and commercial customers capable of operating on gasoline, E85 ethanol or any combination of the two. In Brazil, a substantial majority of vehicles sold are FlexFuel vehicles capable of running on high ethanol blends. We also market FlexFuel vehicles in other global markets where biofuels are in the marketplace. We support the development of biodiesel blend fuels, which are alternative diesel fuels produced from renewable sources.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Hydrogen Fuel Cell Technology </w:t>
      </w:r>
      <w:r>
        <w:rPr>
          <w:rFonts w:ascii="Arial" w:cs="Arial" w:eastAsia="Arial" w:hAnsi="Arial"/>
          <w:sz w:val="18"/>
          <w:szCs w:val="18"/>
          <w:color w:val="auto"/>
        </w:rPr>
        <w:t>Another part of our long-term strategy to reduce petroleum consumption and GHG emissions is our commitment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our hydrogen fuel cell technology. Our Chevrolet Equinox fuel cell electric vehicle demonstration programs, such as Project Driveway, have accumulated more than 3 million miles of real-world driving. These programs are helping us identify consumer and infrastructure needs to understand the business case for potential production of vehicles with this technology. We are exploring non-traditional automotive uses for fuel cells in several areas, including demonstrations with the U.S. Army and U.S. Navy.</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signed a co-development agreement and established a nonconsolidated JV with Honda Motor Company in 2016 for a next-generation fuel cell system and hydrogen storage technologies, aiming for the 2020 timeframe for commercialization. The collaboration expects to succeed by sharing expertise, economies of scale and common sourcing strategies and builds upon GM's and Honda Motor Company's strengths as leaders in hydrogen fuel cell technology.</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OnStar </w:t>
      </w:r>
      <w:r>
        <w:rPr>
          <w:rFonts w:ascii="Arial" w:cs="Arial" w:eastAsia="Arial" w:hAnsi="Arial"/>
          <w:sz w:val="18"/>
          <w:szCs w:val="18"/>
          <w:color w:val="auto"/>
        </w:rPr>
        <w:t>OnStar is a wholly-owned subsidiary of GM serving more than 7 million subscribers. OnStar is a provider of connected safety,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mobility solutions and advanced information technology and is available on the majority of our 2018 model year vehicles. OnStar's key services include automatic crash response, stolen vehicle assistance, remote door unlock, turn-by-turn navigation, vehicle diagnostics, hands-free calling and 4G LTE wireless connectivity.</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We generate and hold a significant number of patents in a number of countries in connection with the operation of our business. While</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these patents are individually material to our business as a whole, these patents are important to our operations and continued technological development. We hold a number of trademarks and service marks that are very important to our identity and recognition in the marketplace.</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Raw Materials, Services and Supplies </w:t>
      </w:r>
      <w:r>
        <w:rPr>
          <w:rFonts w:ascii="Arial" w:cs="Arial" w:eastAsia="Arial" w:hAnsi="Arial"/>
          <w:sz w:val="18"/>
          <w:szCs w:val="18"/>
          <w:color w:val="auto"/>
        </w:rPr>
        <w:t>We purchase a wide variety of raw materials, parts, supplies, energy, freight, transportation and other services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suppliers to manufacture our products. The raw materials primarily include steel, aluminum, resins, copper, lead and platinum group metals. We have not experienced any significant shortages of raw materials and normally do not carry substantial inventories of such raw materials in excess of levels reasonably required to meet our production requirements.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Refer to Item 1A. Risk Factors for further discussion of these risks. Combined purchases from our two largest suppliers have been approximately 12% of our total purchases in each of the years ended December 31, 2017, 2016 and 2015.</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Emissions Control </w:t>
      </w:r>
      <w:r>
        <w:rPr>
          <w:rFonts w:ascii="Arial" w:cs="Arial" w:eastAsia="Arial" w:hAnsi="Arial"/>
          <w:sz w:val="16"/>
          <w:szCs w:val="16"/>
          <w:color w:val="auto"/>
        </w:rPr>
        <w:t>We are subject to laws and regulations that require us to control automotive emissions, including vehicle exhaust emission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vehicle evaporative emission standards and onboard diagnostic (OBD) system requirements. Advanced OBD systems are used to identify and diagnose problems with emission control systems. Problems detected by the OBD system and other in-use compliance monitoring activities may increase warranty costs and the likelihood of recall. Emission and OBD requirements have become more stringent as a result of lower emission standards and new diagnostic requirements which have come into force in many markets around the world driven by policy priorities such as air quality, energy security and climate change, often with very little harmonization of the regulations. While we believe all of our products are designed and manufactured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material compliance with substantially all vehicle emissions requirements, regulatory authorities may conduct ongoing evaluations of the emissions compliance of products from all manufacturers. This includes vehicle emissions testing, including CO</w:t>
      </w:r>
      <w:r>
        <w:rPr>
          <w:rFonts w:ascii="Arial" w:cs="Arial" w:eastAsia="Arial" w:hAnsi="Arial"/>
          <w:sz w:val="12"/>
          <w:szCs w:val="12"/>
          <w:color w:val="auto"/>
        </w:rPr>
        <w:t>2</w:t>
      </w:r>
      <w:r>
        <w:rPr>
          <w:rFonts w:ascii="Arial" w:cs="Arial" w:eastAsia="Arial" w:hAnsi="Arial"/>
          <w:sz w:val="18"/>
          <w:szCs w:val="18"/>
          <w:color w:val="auto"/>
        </w:rPr>
        <w:t xml:space="preserve"> and nitrogen oxide emissions testing, and review of emission control designs and strategies.</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U.S. federal government imposes stringent emission control requirements on vehicles sold in the U.S., and various state governments impose additional emission requirements established by California. Canada’s federal government vehicle emission requirements are generally aligned with the U.S. federal requirements. Each model year we must obtain certification for each test group that our vehicles will meet emission requirements from the U.S. Environmental Protection Agency (EPA) before we can sell vehicles in the U.S. and Canada, and from the California Air Resources Board (CARB) before we can sell vehicles in California and other states that have adopted the California emissions requirements.</w:t>
      </w:r>
    </w:p>
    <w:p>
      <w:pPr>
        <w:spacing w:after="0" w:line="17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CARB's latest emission requirements include more stringent exhaust emission and evaporative emission standards including an increase in ZEVs which must be offered for sale in California. CARB has adopted 2018 model year and later requirements for increasing volumes of ZEVs to achieve GHG as well as criteria pollutant emission reductions to help achieve the state's long-term GHG reduction goals. The Canadian Province of Quebec also plans to adopt ZEV requirements starting with the 2018 model year largely based on California program requirements. There is a possibility that additional jurisdictions could adopt ZEV requirements in the future. The EPA has adopted similar exhaust emission and evaporative emission standards which began a multi-year phase-in with the 2017 model year, but do not include ZEV requirements. These new requirements will also increase the time and mileage periods over which manufacturers are responsible for a vehicle's emission performance.</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Clean Air Act permits states that have areas with air quality compliance issues to adopt the California emission standards in lieu of the federal requirements. Thirteen states currently have these standards in effect and 10 of these 13 states have adopted the ZEV requirements.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China implemented the China 5 emission standard nationwide at the beginning of 2017. China 5 is more stringent than the previous program on all levels including overall emission requirements and the time and mileage period for which vehicles need to meet China 5 level performance. China will implement a unique China 6 emission standard that combines elements of both European and U.S. standards, includes more stringent emission requirements and increases the time and mileage periods over which manufacturers are responsible for a vehicle's emission performance. Nationwide implementation for new registrations is expected in July 2020 for China 6a and July 2023 for the more stringent China 6b standard. However, localities can pull ahead China 6 requirements if certain criteria are met. Some cities may implement China 6 as early as January 2019.</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South America certain countries follow the U.S. test procedures, standards and OBD requirements and others follow the European Union test procedures, standards and OBD requirements with different levels of stringency. Brazil implemented national L6 standards for light diesel vehicles in 2012 and OBD installation for light diesel vehicles in 2015. L6 standards for light gasoline vehicles were implemented in 2015 for all models.</w:t>
      </w:r>
    </w:p>
    <w:p>
      <w:pPr>
        <w:spacing w:after="0" w:line="16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As a result of the sale of the Opel/Vauxhall Business, GM’s vehicle presence in Europe will be smaller, but GM may be affected by actions taken by regulators related to products sold before the sale of the Opel/Vauxhall Business and future products sold by GM in Europe. For example, in Germany, a number of automotive manufacturers, including our former German subsidiary, have participated in continuing discussions with German and European Union authorities concerning emissions control systems. In the European Union, increased scrutiny of compliance with emissions standards may result in changes to these standards, including implementation of “real world driving” emissions (RDE) tests, as well as stricter interpretations or redefinition of these standards and more rigorous enforcement. This may lead to increased costs, penalties, and lack of certainty related to product portfolio planning, negative publicity or reputation impact for us. In the long-term, we expect that the European Commission will continue devising regulatory requirements on the emission test cycle, RDE, low temperature testing, fuel evaporation and OBD.</w:t>
      </w:r>
    </w:p>
    <w:p>
      <w:pPr>
        <w:spacing w:after="0" w:line="17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Automotive Fuel Economy </w:t>
      </w:r>
      <w:r>
        <w:rPr>
          <w:rFonts w:ascii="Arial" w:cs="Arial" w:eastAsia="Arial" w:hAnsi="Arial"/>
          <w:sz w:val="18"/>
          <w:szCs w:val="18"/>
          <w:color w:val="auto"/>
        </w:rPr>
        <w:t>In the U.S., NHTSA promulgates and enforces Corporate Average Fuel Economy (CAFE) standards for three separate fleets: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produced cars, imported cars and light-duty trucks. Manufacturers are subject to substantial civil penalties if they fail to meet the applicable CAFE standard in any model year, after taking into account all available credits for the preceding five model years and expected credits for the three succeeding model years. In addition to federal CAFE reporting, the EPA promulgates and enforces GHG emission standards, which are effectively fuel economy standards because the majority of vehicle GHG emissions are the result of fuel combustion. In addition, CARB has asserted the right to promulgate and enforce its own state GHG standards for motor vehicles, and other states have asserted the right to adopt the California standards. However, CARB has agreed that compliance with the federal EPA light duty GHG program is deemed to be in compliance with the California standards through the 2025 model year.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China has two fuel economy requirements for passenger vehicles: an individual vehicle pass-fail type approval requirement and a fleet average fuel consumption requirement. The current China Phase 4 fleet fuel consumption requirement is effective from 2016-2020. China Phase 4 is based on curb weight with full compliance to 5.0L/100 km required by 2020. China Phase 4 has continued subsidies for plug-in hybrid, battery electric and fuel cell vehicles. China Phase 5 is currently being developed with a planned start in 2021 with full compliance to 4.0L/100km required by 2025. China recently announced the details of the New Energy Vehicle Mandate. This will require passenger car manufacturers to produce a certain volume of plug-in hybrid, battery electric and fuel cells vehicles to generate "credits" equivalent to 10% in 2019 and 12% in 2020. The number of credits per car is based on the level of E-range and energy efficiency.</w:t>
      </w:r>
    </w:p>
    <w:p>
      <w:pPr>
        <w:spacing w:after="0" w:line="18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Regulators in other jurisdictions have already adopted or are developing fuel economy or carbon dioxide regulations. If regulators in these jurisdictions seek to impose and enforce emission standards that are misaligned with market conditions, we may be forced to take various actions to increase market support programs for more fuel-efficient vehicles and curtail production of certain high-performance cars, trucks and sport utility vehicles (SUVs) in order to achieve compliance. We regularly evaluate our current and future product plans and strategies for compliance with fuel economy and GHG regulations.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Industrial Environmental Control </w:t>
      </w:r>
      <w:r>
        <w:rPr>
          <w:rFonts w:ascii="Arial" w:cs="Arial" w:eastAsia="Arial" w:hAnsi="Arial"/>
          <w:sz w:val="18"/>
          <w:szCs w:val="18"/>
          <w:color w:val="auto"/>
        </w:rPr>
        <w:t>Our operations are subject to a wide range of environmental protection laws including those regulating air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 mitigate the effects of our worldwide operations on the environment, we are converting as many of our worldwide operations as possible to landfill-free operations which reduces GHG emissions associated with waste disposal. At December 31, 2017, 80 (or approximately 50%) of our manufacturing operations were landfill-free. Additionally, 63 of our non-manufacturing operations are landfill-free. At our landfill-free manufacturing operations approximately 95% of waste materials are composted, reused, or recycled and approximately 4% are converted to energy at waste-to-energy facilities. In 2017 we estimate that our waste reduction program diverted 1.5 million metric tons of waste from landfill, resulting in approximately 6.6 million metric tons of GHG emissions avoided in global manufacturing operations, including construction, demolition and remediation wastes.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to minimizing our impact on the environment, our landfill-free program and total waste reduction commitments generate revenue from the sale of production by-products, reduce our use of material, reduce our carbon footprint and help to reduce the risks and financial liabilities associated with waste disposal.</w:t>
      </w:r>
    </w:p>
    <w:p>
      <w:pPr>
        <w:spacing w:after="0" w:line="181"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 xml:space="preserve">We continue to search for ways to increase our use of renewable energy and improve our energy efficiency and work to drive growth and scale of renewables. We have committed to meeting the electricity needs of our operations worldwide with renewable energy by 2050. At December 31, 2017 we had implemented projects or signed renewable energy contracts globally that had increased our total renewable energy capacity to over 400 megawatts. In 2017 GM executed two 100 megawatt wind power purchase agreements to match our Ohio and Indiana manufacturing plant load when each of these projects come online in 2018. We continue to seek opportunities for a diversified renewable energy portfolio including wind, solar, and landfill gas. In 2017 Energy Star certified three of our assembly plants and 17 buildings for superior energy management. We also met the EPA Energy Star Challenge for Industry (EPA Challenge) </w:t>
      </w:r>
      <w:r>
        <w:rPr>
          <w:rFonts w:ascii="Arial" w:cs="Arial" w:eastAsia="Arial" w:hAnsi="Arial"/>
          <w:sz w:val="16"/>
          <w:szCs w:val="16"/>
          <w:color w:val="222222"/>
        </w:rPr>
        <w:t>at eight additional sites globally by reducing energy intensity an average of 18% at these sites. To meet the EPA Challenge, industrial sites must</w:t>
      </w:r>
      <w:r>
        <w:rPr>
          <w:rFonts w:ascii="Arial" w:cs="Arial" w:eastAsia="Arial" w:hAnsi="Arial"/>
          <w:sz w:val="16"/>
          <w:szCs w:val="16"/>
          <w:color w:val="auto"/>
        </w:rPr>
        <w:t xml:space="preserve"> </w:t>
      </w:r>
      <w:r>
        <w:rPr>
          <w:rFonts w:ascii="Arial" w:cs="Arial" w:eastAsia="Arial" w:hAnsi="Arial"/>
          <w:sz w:val="16"/>
          <w:szCs w:val="16"/>
          <w:color w:val="222222"/>
        </w:rPr>
        <w:t xml:space="preserve">reduce energy intensity by 10% within a five year period. In total 71 GM-owned sites have met the EPA Challenge, with many sites achieving the goal multiple times. These efforts minimize our utility expenses and </w:t>
      </w:r>
      <w:r>
        <w:rPr>
          <w:rFonts w:ascii="Arial" w:cs="Arial" w:eastAsia="Arial" w:hAnsi="Arial"/>
          <w:sz w:val="16"/>
          <w:szCs w:val="16"/>
          <w:color w:val="000000"/>
        </w:rPr>
        <w:t>are part of our approach to addressing climate change through setting a GHG emissions</w:t>
      </w:r>
      <w:r>
        <w:rPr>
          <w:rFonts w:ascii="Arial" w:cs="Arial" w:eastAsia="Arial" w:hAnsi="Arial"/>
          <w:sz w:val="16"/>
          <w:szCs w:val="16"/>
          <w:color w:val="222222"/>
        </w:rPr>
        <w:t xml:space="preserve"> </w:t>
      </w:r>
      <w:r>
        <w:rPr>
          <w:rFonts w:ascii="Arial" w:cs="Arial" w:eastAsia="Arial" w:hAnsi="Arial"/>
          <w:sz w:val="16"/>
          <w:szCs w:val="16"/>
          <w:color w:val="000000"/>
        </w:rPr>
        <w:t>reduction target, collecting accurate data, following our business plan and publicly reporting progress against our target.</w:t>
      </w:r>
    </w:p>
    <w:p>
      <w:pPr>
        <w:spacing w:after="0" w:line="16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Chemical Regulations </w:t>
      </w:r>
      <w:r>
        <w:rPr>
          <w:rFonts w:ascii="Arial" w:cs="Arial" w:eastAsia="Arial" w:hAnsi="Arial"/>
          <w:sz w:val="18"/>
          <w:szCs w:val="18"/>
          <w:color w:val="auto"/>
        </w:rPr>
        <w:t>We continually monitor the implementation of chemical regulations to maintain compliance and evaluate their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suppliers and the automotive industry.</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Globally, governmental agencies continue to introduce new legislation and regulations related to the selection and use of chemicals by mandating broad prohibitions or restrictions and implementing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Stockholm, Basel and Rotterdam Conventions on Chemicals and Waste and the Minamata Convention on Mercury, are driving chemical regulations across signatory countries. In addition, more global jurisdictions are establishing substance standards with regard to Vehicle Interior Air Quality.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32" w:lineRule="auto"/>
        <w:rPr>
          <w:sz w:val="20"/>
          <w:szCs w:val="20"/>
          <w:color w:val="auto"/>
        </w:rPr>
      </w:pPr>
      <w:r>
        <w:rPr>
          <w:rFonts w:ascii="Arial" w:cs="Arial" w:eastAsia="Arial" w:hAnsi="Arial"/>
          <w:sz w:val="18"/>
          <w:szCs w:val="18"/>
          <w:color w:val="auto"/>
        </w:rPr>
        <w:t xml:space="preserve">Chemical regulations are increasing in North America. In </w:t>
      </w:r>
      <w:r>
        <w:rPr>
          <w:rFonts w:ascii="Arial" w:cs="Arial" w:eastAsia="Arial" w:hAnsi="Arial"/>
          <w:sz w:val="18"/>
          <w:szCs w:val="18"/>
          <w:color w:val="151515"/>
        </w:rPr>
        <w:t>June 2016, the U.S. enacted the Chemical Safety for the 21</w:t>
      </w:r>
      <w:r>
        <w:rPr>
          <w:rFonts w:ascii="Arial" w:cs="Arial" w:eastAsia="Arial" w:hAnsi="Arial"/>
          <w:sz w:val="25"/>
          <w:szCs w:val="25"/>
          <w:color w:val="151515"/>
          <w:vertAlign w:val="superscript"/>
        </w:rPr>
        <w:t>st</w:t>
      </w:r>
      <w:r>
        <w:rPr>
          <w:rFonts w:ascii="Arial" w:cs="Arial" w:eastAsia="Arial" w:hAnsi="Arial"/>
          <w:sz w:val="18"/>
          <w:szCs w:val="18"/>
          <w:color w:val="auto"/>
        </w:rPr>
        <w:t xml:space="preserve"> </w:t>
      </w:r>
      <w:r>
        <w:rPr>
          <w:rFonts w:ascii="Arial" w:cs="Arial" w:eastAsia="Arial" w:hAnsi="Arial"/>
          <w:sz w:val="18"/>
          <w:szCs w:val="18"/>
          <w:color w:val="151515"/>
        </w:rPr>
        <w:t>Century Act</w:t>
      </w:r>
      <w:r>
        <w:rPr>
          <w:rFonts w:ascii="Arial" w:cs="Arial" w:eastAsia="Arial" w:hAnsi="Arial"/>
          <w:sz w:val="18"/>
          <w:szCs w:val="18"/>
          <w:color w:val="auto"/>
        </w:rPr>
        <w:t xml:space="preserve"> that grants the EPA increased authority to regulate and restrict chemical use in the U.S. and is expected to increase the level of regulation of chemicals in vehicles. Chemical restrictions in Canada continue to progress rapidly as a result of Environment Canada's Chemical Management Plan to assess existing substances and implement risk management controls on any chemical deemed toxic.</w:t>
      </w:r>
    </w:p>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China prohibits the use of several chemical substances in vehicles. There are also various regulations in China stipulating the requirements for chemical management. Among other things, these regulations catalogue and restrict the use and the import and export of various chemical substances. The failure of our joint venture partners or our suppliers to comply with these regulations could disrupt production in China or prevent our joint venture partners from selling the affected products in the China market.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These emerging regulations will potentially lead to increases in costs and supply chain complexity. We believe that we are materially in compliance with substantially all of these requirements or expect to be materially in compliance by the required dates.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Safety </w:t>
      </w:r>
      <w:r>
        <w:rPr>
          <w:rFonts w:ascii="Arial" w:cs="Arial" w:eastAsia="Arial" w:hAnsi="Arial"/>
          <w:sz w:val="18"/>
          <w:szCs w:val="18"/>
          <w:color w:val="auto"/>
        </w:rPr>
        <w:t>In the U.S. the National Traffic and Motor Vehicle Safety Act of 1966 prohibits the sale of any new vehicle or equipment in the U.S. that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applicable vehicle safety standards established by the NHTSA. If we or NHTSA determine that either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adding complexity to regulatory compliance.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Financing - GM Financial </w:t>
      </w:r>
      <w:r>
        <w:rPr>
          <w:rFonts w:ascii="Arial" w:cs="Arial" w:eastAsia="Arial" w:hAnsi="Arial"/>
          <w:sz w:val="18"/>
          <w:szCs w:val="18"/>
          <w:color w:val="auto"/>
        </w:rPr>
        <w:t>GM Financial is our global captive automotive finance company and our global provider of automobile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GM Financial conducts its business in North America, South America and through a joint venture in China.</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and dealer loans, which are loans to finance improvements to dealership facilities, to provide working capital, and to purchase and/or finance dealership real estate. Other commercial products include financing for parts and accessories, dealer fleets and storage centers.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North America GM Financial's retail automobile finance programs include full credit spectrum lending and leasing. The sub-prime lending program is primarily offered to consumers with FICO scores less than 620 who have limited access to automobile financing through banks and credit unions and is expected to sustain a higher level of credit losses than prime lending. The leasing product is offered through our franchised dealers and primarily targets prime consumers leasing new vehicles. GM Financial has expanded its leasing and prime lending programs through our franchised dealers, and as a result, leasing and prime lending have become a larger percentage of originations and the retail portfolio balance.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Internationally GM Financial’s retail automobile finance programs focus on financing new GM vehicles and select used vehicles.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Generally GM Financial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where such markets are developed and through the issuance of unsecured debt in public markets.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Employees </w:t>
      </w:r>
      <w:r>
        <w:rPr>
          <w:rFonts w:ascii="Arial" w:cs="Arial" w:eastAsia="Arial" w:hAnsi="Arial"/>
          <w:sz w:val="17"/>
          <w:szCs w:val="17"/>
          <w:color w:val="auto"/>
        </w:rPr>
        <w:t>At December 31, 2017 we employed 103,000 (57%) hourly employees and 77,000 (43%) salaried employees. At December 31, 2017 51,000</w:t>
      </w:r>
      <w:r>
        <w:rPr>
          <w:rFonts w:ascii="Arial" w:cs="Arial" w:eastAsia="Arial" w:hAnsi="Arial"/>
          <w:sz w:val="17"/>
          <w:szCs w:val="17"/>
          <w:b w:val="1"/>
          <w:bCs w:val="1"/>
          <w:color w:val="auto"/>
        </w:rPr>
        <w:t xml:space="preserve"> </w:t>
      </w:r>
      <w:r>
        <w:rPr>
          <w:rFonts w:ascii="Arial" w:cs="Arial" w:eastAsia="Arial" w:hAnsi="Arial"/>
          <w:sz w:val="17"/>
          <w:szCs w:val="17"/>
          <w:color w:val="auto"/>
        </w:rPr>
        <w:t>(50%)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9060" w:type="dxa"/>
            <w:vAlign w:val="bottom"/>
            <w:gridSpan w:val="2"/>
          </w:tcPr>
          <w:p>
            <w:pPr>
              <w:jc w:val="right"/>
              <w:ind w:right="3396"/>
              <w:spacing w:after="0"/>
              <w:rPr>
                <w:sz w:val="20"/>
                <w:szCs w:val="20"/>
                <w:color w:val="auto"/>
              </w:rPr>
            </w:pPr>
            <w:r>
              <w:rPr>
                <w:rFonts w:ascii="Arial" w:cs="Arial" w:eastAsia="Arial" w:hAnsi="Arial"/>
                <w:sz w:val="18"/>
                <w:szCs w:val="18"/>
                <w:b w:val="1"/>
                <w:bCs w:val="1"/>
                <w:color w:val="auto"/>
              </w:rPr>
              <w:t>GENERAL MOTORS COMPANY AND SUBSIDIARIES</w:t>
            </w:r>
          </w:p>
        </w:tc>
      </w:tr>
      <w:tr>
        <w:trPr>
          <w:trHeight w:val="624"/>
        </w:trPr>
        <w:tc>
          <w:tcPr>
            <w:tcW w:w="2360" w:type="dxa"/>
            <w:vAlign w:val="bottom"/>
            <w:tcBorders>
              <w:bottom w:val="single" w:sz="8" w:color="CCEEFF"/>
            </w:tcBorders>
          </w:tcPr>
          <w:p>
            <w:pPr>
              <w:spacing w:after="0"/>
              <w:rPr>
                <w:sz w:val="24"/>
                <w:szCs w:val="24"/>
                <w:color w:val="auto"/>
              </w:rPr>
            </w:pPr>
          </w:p>
        </w:tc>
        <w:tc>
          <w:tcPr>
            <w:tcW w:w="74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GMI</w:t>
            </w:r>
          </w:p>
        </w:tc>
        <w:tc>
          <w:tcPr>
            <w:tcW w:w="9060" w:type="dxa"/>
            <w:vAlign w:val="bottom"/>
            <w:gridSpan w:val="2"/>
          </w:tcPr>
          <w:p>
            <w:pPr>
              <w:jc w:val="right"/>
              <w:ind w:right="16"/>
              <w:spacing w:after="0"/>
              <w:rPr>
                <w:sz w:val="20"/>
                <w:szCs w:val="20"/>
                <w:color w:val="auto"/>
              </w:rPr>
            </w:pPr>
            <w:r>
              <w:rPr>
                <w:rFonts w:ascii="Arial" w:cs="Arial" w:eastAsia="Arial" w:hAnsi="Arial"/>
                <w:sz w:val="18"/>
                <w:szCs w:val="18"/>
                <w:color w:val="auto"/>
              </w:rPr>
              <w:t>47</w:t>
            </w:r>
          </w:p>
        </w:tc>
      </w:tr>
      <w:tr>
        <w:trPr>
          <w:trHeight w:val="27"/>
        </w:trPr>
        <w:tc>
          <w:tcPr>
            <w:tcW w:w="23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7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r>
      <w:tr>
        <w:trPr>
          <w:trHeight w:val="297"/>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746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180</w:t>
            </w:r>
          </w:p>
        </w:tc>
      </w:tr>
      <w:tr>
        <w:trPr>
          <w:trHeight w:val="109"/>
        </w:trPr>
        <w:tc>
          <w:tcPr>
            <w:tcW w:w="2360" w:type="dxa"/>
            <w:vAlign w:val="bottom"/>
            <w:shd w:val="clear" w:color="auto" w:fill="CCEEFF"/>
          </w:tcPr>
          <w:p>
            <w:pPr>
              <w:spacing w:after="0"/>
              <w:rPr>
                <w:sz w:val="9"/>
                <w:szCs w:val="9"/>
                <w:color w:val="auto"/>
              </w:rPr>
            </w:pPr>
          </w:p>
        </w:tc>
        <w:tc>
          <w:tcPr>
            <w:tcW w:w="746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9060" w:type="dxa"/>
            <w:vAlign w:val="bottom"/>
            <w:gridSpan w:val="2"/>
          </w:tcPr>
          <w:p>
            <w:pPr>
              <w:jc w:val="right"/>
              <w:ind w:right="16"/>
              <w:spacing w:after="0"/>
              <w:rPr>
                <w:sz w:val="20"/>
                <w:szCs w:val="20"/>
                <w:color w:val="auto"/>
              </w:rPr>
            </w:pPr>
            <w:r>
              <w:rPr>
                <w:rFonts w:ascii="Arial" w:cs="Arial" w:eastAsia="Arial" w:hAnsi="Arial"/>
                <w:sz w:val="18"/>
                <w:szCs w:val="18"/>
                <w:color w:val="auto"/>
              </w:rPr>
              <w:t>52</w:t>
            </w:r>
          </w:p>
        </w:tc>
      </w:tr>
      <w:tr>
        <w:trPr>
          <w:trHeight w:val="27"/>
        </w:trPr>
        <w:tc>
          <w:tcPr>
            <w:tcW w:w="23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90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r>
      <w:tr>
        <w:trPr>
          <w:trHeight w:val="27"/>
        </w:trPr>
        <w:tc>
          <w:tcPr>
            <w:tcW w:w="236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Officers of the Registrant </w:t>
      </w:r>
      <w:r>
        <w:rPr>
          <w:rFonts w:ascii="Arial" w:cs="Arial" w:eastAsia="Arial" w:hAnsi="Arial"/>
          <w:sz w:val="17"/>
          <w:szCs w:val="17"/>
          <w:color w:val="auto"/>
        </w:rPr>
        <w:t>As of February 6, 2018 the names and ages of our executive officers and their positions with GM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 (Age)</w:t>
            </w:r>
          </w:p>
        </w:tc>
        <w:tc>
          <w:tcPr>
            <w:tcW w:w="14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Present GM Position (Effective Date)</w:t>
            </w:r>
          </w:p>
        </w:tc>
        <w:tc>
          <w:tcPr>
            <w:tcW w:w="120" w:type="dxa"/>
            <w:vAlign w:val="bottom"/>
            <w:tcBorders>
              <w:bottom w:val="single" w:sz="8" w:color="CCEEFF"/>
            </w:tcBorders>
          </w:tcPr>
          <w:p>
            <w:pPr>
              <w:spacing w:after="0"/>
              <w:rPr>
                <w:sz w:val="16"/>
                <w:szCs w:val="16"/>
                <w:color w:val="auto"/>
              </w:rPr>
            </w:pPr>
          </w:p>
        </w:tc>
        <w:tc>
          <w:tcPr>
            <w:tcW w:w="54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21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Mary T. Barra (56)</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the Board of Directors (2014)</w:t>
            </w: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Executive Vice President, Global Product Development, Purchasing &amp; Supply</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Chain (2013)</w:t>
            </w:r>
          </w:p>
        </w:tc>
      </w:tr>
      <w:tr>
        <w:trPr>
          <w:trHeight w:val="22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Daniel Ammann (45)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President (2014)</w:t>
            </w:r>
          </w:p>
        </w:tc>
        <w:tc>
          <w:tcPr>
            <w:tcW w:w="546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 (2013)</w:t>
            </w:r>
          </w:p>
        </w:tc>
      </w:tr>
      <w:tr>
        <w:trPr>
          <w:trHeight w:val="47"/>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60" w:type="dxa"/>
            <w:vAlign w:val="bottom"/>
          </w:tcPr>
          <w:p>
            <w:pPr>
              <w:spacing w:after="0"/>
              <w:rPr>
                <w:sz w:val="4"/>
                <w:szCs w:val="4"/>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Alan S. Batey (54)</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President,</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Senior Vice President, Global Chevrolet and Brand Chief and U.S. Sales and</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North America (2014)</w:t>
            </w: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(2013)</w:t>
            </w: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Alicia Boler-Davis (48)</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w:t>
            </w:r>
          </w:p>
        </w:tc>
        <w:tc>
          <w:tcPr>
            <w:tcW w:w="5460" w:type="dxa"/>
            <w:vAlign w:val="bottom"/>
          </w:tcPr>
          <w:p>
            <w:pPr>
              <w:ind w:left="20"/>
              <w:spacing w:after="0"/>
              <w:rPr>
                <w:sz w:val="20"/>
                <w:szCs w:val="20"/>
                <w:color w:val="auto"/>
              </w:rPr>
            </w:pPr>
            <w:r>
              <w:rPr>
                <w:rFonts w:ascii="Arial" w:cs="Arial" w:eastAsia="Arial" w:hAnsi="Arial"/>
                <w:sz w:val="16"/>
                <w:szCs w:val="16"/>
                <w:color w:val="auto"/>
              </w:rPr>
              <w:t>Senior Vice President, Global Connected Customer Experience (2014)</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Manufacturing (2016)</w:t>
            </w:r>
          </w:p>
        </w:tc>
        <w:tc>
          <w:tcPr>
            <w:tcW w:w="5460" w:type="dxa"/>
            <w:vAlign w:val="bottom"/>
          </w:tcPr>
          <w:p>
            <w:pPr>
              <w:ind w:left="20"/>
              <w:spacing w:after="0"/>
              <w:rPr>
                <w:sz w:val="20"/>
                <w:szCs w:val="20"/>
                <w:color w:val="auto"/>
              </w:rPr>
            </w:pPr>
            <w:r>
              <w:rPr>
                <w:rFonts w:ascii="Arial" w:cs="Arial" w:eastAsia="Arial" w:hAnsi="Arial"/>
                <w:sz w:val="16"/>
                <w:szCs w:val="16"/>
                <w:color w:val="auto"/>
              </w:rPr>
              <w:t>Vice President, Global Quality and U.S. Customer Experience (2012)</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Carel Johannes de Nysschen (57)</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President,</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Infiniti Motor Company, President (2012)</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Cadillac (2014)</w:t>
            </w:r>
          </w:p>
        </w:tc>
        <w:tc>
          <w:tcPr>
            <w:tcW w:w="5460" w:type="dxa"/>
            <w:vAlign w:val="bottom"/>
            <w:tcBorders>
              <w:bottom w:val="single" w:sz="8" w:color="CCEEFF"/>
            </w:tcBorders>
            <w:shd w:val="clear" w:color="auto" w:fill="CCEEFF"/>
          </w:tcPr>
          <w:p>
            <w:pPr>
              <w:spacing w:after="0"/>
              <w:rPr>
                <w:sz w:val="19"/>
                <w:szCs w:val="19"/>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Barry L. Engle (54)</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w w:val="96"/>
              </w:rPr>
              <w:t>Executive Vice President and President, GM</w:t>
            </w:r>
          </w:p>
        </w:tc>
        <w:tc>
          <w:tcPr>
            <w:tcW w:w="54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South America (2015)</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International (2018)</w:t>
            </w:r>
          </w:p>
        </w:tc>
        <w:tc>
          <w:tcPr>
            <w:tcW w:w="5460" w:type="dxa"/>
            <w:vAlign w:val="bottom"/>
          </w:tcPr>
          <w:p>
            <w:pPr>
              <w:ind w:left="20"/>
              <w:spacing w:after="0"/>
              <w:rPr>
                <w:sz w:val="20"/>
                <w:szCs w:val="20"/>
                <w:color w:val="auto"/>
              </w:rPr>
            </w:pPr>
            <w:r>
              <w:rPr>
                <w:rFonts w:ascii="Arial" w:cs="Arial" w:eastAsia="Arial" w:hAnsi="Arial"/>
                <w:sz w:val="16"/>
                <w:szCs w:val="16"/>
                <w:color w:val="auto"/>
              </w:rPr>
              <w:t>Agility Fuel Systems, CEO (2011)</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Craig B. Glidden (60)</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General</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LyondellBasell, Executive Vice President and Chief Legal Officer (2009)</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Counsel (2015)</w:t>
            </w:r>
          </w:p>
        </w:tc>
        <w:tc>
          <w:tcPr>
            <w:tcW w:w="5460" w:type="dxa"/>
            <w:vAlign w:val="bottom"/>
            <w:tcBorders>
              <w:bottom w:val="single" w:sz="8" w:color="CCEEFF"/>
            </w:tcBorders>
            <w:shd w:val="clear" w:color="auto" w:fill="CCEEFF"/>
          </w:tcPr>
          <w:p>
            <w:pPr>
              <w:spacing w:after="0"/>
              <w:rPr>
                <w:sz w:val="19"/>
                <w:szCs w:val="19"/>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Mark L. Reuss (54)</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4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North America (2013)</w:t>
            </w: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Development, Purchasing &amp; Supply Chain</w:t>
            </w:r>
          </w:p>
        </w:tc>
        <w:tc>
          <w:tcPr>
            <w:tcW w:w="5460" w:type="dxa"/>
            <w:vAlign w:val="bottom"/>
          </w:tcPr>
          <w:p>
            <w:pPr>
              <w:spacing w:after="0"/>
              <w:rPr>
                <w:sz w:val="17"/>
                <w:szCs w:val="17"/>
                <w:color w:val="auto"/>
              </w:rPr>
            </w:pP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Charles K. Stevens III (58)</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Financial Officer, GM North America (2010)</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Financial Officer (2014)</w:t>
            </w: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Interim Chief Financial Officer, GM South America (2011)</w:t>
            </w: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Matthew Tsien (57)</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w w:val="96"/>
              </w:rPr>
              <w:t>Executive Vice President and President, GM</w:t>
            </w:r>
          </w:p>
        </w:tc>
        <w:tc>
          <w:tcPr>
            <w:tcW w:w="5460" w:type="dxa"/>
            <w:vAlign w:val="bottom"/>
          </w:tcPr>
          <w:p>
            <w:pPr>
              <w:ind w:left="20"/>
              <w:spacing w:after="0"/>
              <w:rPr>
                <w:sz w:val="20"/>
                <w:szCs w:val="20"/>
                <w:color w:val="auto"/>
              </w:rPr>
            </w:pPr>
            <w:r>
              <w:rPr>
                <w:rFonts w:ascii="Arial" w:cs="Arial" w:eastAsia="Arial" w:hAnsi="Arial"/>
                <w:sz w:val="16"/>
                <w:szCs w:val="16"/>
                <w:color w:val="auto"/>
                <w:w w:val="98"/>
              </w:rPr>
              <w:t>GM Consolidated International Operations Vice President, Planning, Program</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China (2014)</w:t>
            </w:r>
          </w:p>
        </w:tc>
        <w:tc>
          <w:tcPr>
            <w:tcW w:w="5460" w:type="dxa"/>
            <w:vAlign w:val="bottom"/>
          </w:tcPr>
          <w:p>
            <w:pPr>
              <w:ind w:left="20"/>
              <w:spacing w:after="0"/>
              <w:rPr>
                <w:sz w:val="20"/>
                <w:szCs w:val="20"/>
                <w:color w:val="auto"/>
              </w:rPr>
            </w:pPr>
            <w:r>
              <w:rPr>
                <w:rFonts w:ascii="Arial" w:cs="Arial" w:eastAsia="Arial" w:hAnsi="Arial"/>
                <w:sz w:val="16"/>
                <w:szCs w:val="16"/>
                <w:color w:val="auto"/>
              </w:rPr>
              <w:t>Management &amp; Strategic Alliances China (2012)</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Thomas S. Timko (49)</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Vice President, Global Business Solutions</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Controller and Chief Accounting Officer (2013)</w:t>
            </w:r>
          </w:p>
        </w:tc>
      </w:tr>
      <w:tr>
        <w:trPr>
          <w:trHeight w:val="206"/>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Chief Accounting Officer (2017)</w:t>
            </w:r>
          </w:p>
        </w:tc>
        <w:tc>
          <w:tcPr>
            <w:tcW w:w="5460" w:type="dxa"/>
            <w:vAlign w:val="bottom"/>
            <w:shd w:val="clear" w:color="auto" w:fill="CCEEFF"/>
          </w:tcPr>
          <w:p>
            <w:pPr>
              <w:spacing w:after="0"/>
              <w:rPr>
                <w:sz w:val="17"/>
                <w:szCs w:val="17"/>
                <w:color w:val="auto"/>
              </w:rPr>
            </w:pPr>
          </w:p>
        </w:tc>
      </w:tr>
      <w:tr>
        <w:trPr>
          <w:trHeight w:val="33"/>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the next annual election of officers and until his or her successor is elected and qualified or until his or her earlier resignation or removal. The Board of Directors elects the officers immediately following each annual meeting of the stockholders and may appoint other officers between annual meetings.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Website Access to Our Reports </w:t>
      </w:r>
      <w:r>
        <w:rPr>
          <w:rFonts w:ascii="Arial" w:cs="Arial" w:eastAsia="Arial" w:hAnsi="Arial"/>
          <w:sz w:val="18"/>
          <w:szCs w:val="18"/>
          <w:color w:val="auto"/>
        </w:rPr>
        <w:t>Our internet website address is www.gm.com. In addition to the information about us and our subsidiaries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2017 Form 10-K information about us can be found on our website including information on our corporate governance principles and practices. Our Investor Relations website at www.gm.com/investors contains a significant amount of information about us, including financial and other information for investors. We encourage investors to visit our website, as we frequently update and post new information about our company on our website and it is possible that this information could be deemed to be material information. Our website and information included in or linked to our website are not part of this 2017 Form 10-K.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listed below (not necessarily in order of importance or probability of occurrence) the most significant risk factors applicable to us:</w:t>
      </w:r>
    </w:p>
    <w:p>
      <w:pPr>
        <w:spacing w:after="0" w:line="225"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If we do not deliver new products, services and customer experiences in response to new participants in the automotive industry, our business could suffer. </w:t>
      </w:r>
      <w:r>
        <w:rPr>
          <w:rFonts w:ascii="Arial" w:cs="Arial" w:eastAsia="Arial" w:hAnsi="Arial"/>
          <w:sz w:val="17"/>
          <w:szCs w:val="17"/>
          <w:color w:val="auto"/>
        </w:rPr>
        <w:t>We believe that the automotive industry will experience significant and continued change in the coming years. In addition to our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competitors, we must also be responsive to the entrance of non-traditional participants in the automotive industry. Industry participants are seeking to disrupt the historic business model of the industry through the introduction of new technologies, new products or services, new business models or new methods of travel. It is strategically significant that we lead the technological disruption occurring in our industry. To successfully execute our long-term strategy, we must continue to develop new products and services, including products and services that are outside of our historically core business, such as autonomous and electric vehicles, data monetization and transportation as a service. The process of designing and developing new technology, products and services is complex, costly, and uncertain and requires extensive capital investment and the ability to retain and recruit talent. In some cases the technologies that we plan to employ are not yet commercially practical and depend on significant future technological advances by us and by our suppliers. There can be no assurance that advances in technology will occur in a timely or feasible way, or that others will not acquire similar or superior technologies sooner than we do or that we will acquire technologies on an exclusive basis or at a significant price advantage. If we do not accurately predict, prepare for and respond to new kinds of technological innovations, market developments and changing customer needs, our sales, profitability and long-term competitiveness may be harmed.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Our ability to maintain profitability is dependent upon our ability to timely fund and introduce new and improved vehicle models that are able to attract a sufficient number of consumers. </w:t>
      </w:r>
      <w:r>
        <w:rPr>
          <w:rFonts w:ascii="Arial" w:cs="Arial" w:eastAsia="Arial" w:hAnsi="Arial"/>
          <w:sz w:val="18"/>
          <w:szCs w:val="18"/>
          <w:color w:val="auto"/>
        </w:rPr>
        <w:t>We operate in a very competitive industry with market participants routinely introducing new and improved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models designed to meet rapidly evolving consumer expectations. Producing new and improved vehicle models competitively and preserving our reputation for designing, building and selling safe high quality cars and trucks is critical to our long-term profitability. Successful launches of our new vehicles are critical to our short-term profitability.</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generally takes two years or more to design and develop a new vehicle,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and changes in quality, safety, reliability and styling demands and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Our profitability is dependent upon the success of crossovers, SUVs and full-size pick-up trucks. </w:t>
      </w:r>
      <w:r>
        <w:rPr>
          <w:rFonts w:ascii="Arial" w:cs="Arial" w:eastAsia="Arial" w:hAnsi="Arial"/>
          <w:sz w:val="18"/>
          <w:szCs w:val="18"/>
          <w:color w:val="auto"/>
        </w:rPr>
        <w:t>While we offer a balanced and complete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mid-size and large cars, crossovers, SUVs and trucks, we generally recognize higher profit margins on our crossovers, SUVs and trucks. Our success is dependent upon our ability to sell higher margin vehicles in sufficient volumes. Any shift in consumer preferences toward smaller, more fuel efficient vehicles, whether as a result of increases in the price of oil or any sustained shortage of oil, including as a result of global political instability or other reasons, could weaken the demand for our higher margin vehicles.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We must successfully address and reduce the costs associated with the manufacture and sale of electric vehicles. </w:t>
      </w:r>
      <w:r>
        <w:rPr>
          <w:rFonts w:ascii="Arial" w:cs="Arial" w:eastAsia="Arial" w:hAnsi="Arial"/>
          <w:sz w:val="18"/>
          <w:szCs w:val="18"/>
          <w:color w:val="auto"/>
        </w:rPr>
        <w:t>We anticipate that electric vehicle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become increasingly important to our business. The inability to reduce the costs associated with the manufacture and sale of electric vehicles may negatively impact our earnings and financial condition. In addition, we currently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benefit from certain government and economic incentives supporting the development and adoption of electric vehicles. The benefits from these incentives could be reduced, eliminated or exhausted, which may negatively affect our ability to sell electric vehicles in sufficient quantities and at high enough prices to be profitable.</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Our business is highly dependent upon global automobile market sales volume, which can be volatile. </w:t>
      </w:r>
      <w:r>
        <w:rPr>
          <w:rFonts w:ascii="Arial" w:cs="Arial" w:eastAsia="Arial" w:hAnsi="Arial"/>
          <w:sz w:val="18"/>
          <w:szCs w:val="18"/>
          <w:color w:val="auto"/>
        </w:rPr>
        <w:t>Because we have a high proportion of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structural costs, small changes in sales volume can have a disproportionately large effect on our profitability. A number of economic and market conditions drive changes in vehicle sales, including real estate values, levels of unemployment, availability of affordable financing, fluctuations in the cost of fuel, consumer confidence, political unrest and global economic conditions. For discussion of economic and market trends, see the Overview section of Item 7. We cannot predict future economic and market conditions with certainty.</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Our significant business in China subjects us to unique operational, competitive and regulatory risks </w:t>
      </w:r>
      <w:r>
        <w:rPr>
          <w:rFonts w:ascii="Arial" w:cs="Arial" w:eastAsia="Arial" w:hAnsi="Arial"/>
          <w:sz w:val="17"/>
          <w:szCs w:val="17"/>
          <w:color w:val="auto"/>
        </w:rPr>
        <w:t>Maintaining a strong position in the Chinese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is a key component of our global growth strategy. Our business in China is subject to aggressive competition from many of the largest global manufacturers and numerous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challenges to gain or hold market share.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addition to increased competition, Chinese regulators have announced aggressive policy initiatives and quotas for the sale of electric vehicles.</w:t>
      </w:r>
    </w:p>
    <w:p>
      <w:pPr>
        <w:spacing w:after="0" w:line="23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Certain risks and uncertainties of doing business in China are solely within the control of the Chinese government, and Chinese law regulates the scope of our foreign investments and business conducted within China. In order to maintain access to the Chinese market, we may be required to comply with significant technical and other regulatory requirements that are unique to the Chinese market, at times with challenging lead-time to implement such requirements. These actions may increase the cost of doing business in China and reduce our profitability.</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A significant amount of our operations are conducted by joint ventures that we cannot operate solely for our benefit. </w:t>
      </w:r>
      <w:r>
        <w:rPr>
          <w:rFonts w:ascii="Arial" w:cs="Arial" w:eastAsia="Arial" w:hAnsi="Arial"/>
          <w:sz w:val="16"/>
          <w:szCs w:val="16"/>
          <w:color w:val="auto"/>
        </w:rPr>
        <w:t>Many of our operations,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China,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The benefits from a successful joint venture are shared among the co-owners, therefore we do not receive all the benefits from our successful joint ventures. In addition, because we share ownership and management with one or more parties, we may have limited control over the actions of a joint venture, particularly when we own a minority interest. As a result, we may be unable to prevent misconduct or other violations of applicable laws by a joint venture. Moreover, a joint venture may not follow the same requirements regarding compliance, internal controls and internal control over financial reporting that we follow. To the extent another party makes decisions that negatively impact the joint venture or internal control issues arise within the joint venture, we may have to take responsive or other action or we may be subject to penalties, fines or other related actions for these activities.</w:t>
      </w:r>
    </w:p>
    <w:p>
      <w:pPr>
        <w:spacing w:after="0" w:line="17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The international scale and footprint of our operations exposes us to additional risks. </w:t>
      </w:r>
      <w:r>
        <w:rPr>
          <w:rFonts w:ascii="Arial" w:cs="Arial" w:eastAsia="Arial" w:hAnsi="Arial"/>
          <w:sz w:val="16"/>
          <w:szCs w:val="16"/>
          <w:color w:val="auto"/>
        </w:rPr>
        <w:t>We manufacture, sell and service products globally and rely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including: changes in government leadership; changes in laws or regulations impacting our overall business model or restricting our ability to manufacture, purchase or sell products, and political pressures to change any aspect of our business model or practices and source raw materials, components, systems and parts on competitive terms in a manner consistent with our current practice; changes in tax laws; economic tensions between governments and changes in international trade policies, including restrictions on the repatriation of dividends, especially between the U.S. and China, more detailed inspections, new or higher tariffs, for example, on products imported from Mexico into the U.S.; new barriers to entry or domestic preference procurement requirements, changes to or withdrawals from free trade agreements (for example, the North American Free Trade Agreement or NAFTA), or preferences of foreign nationals for domestically manufactured products; changes in foreign currency exchange rates and interest rates; economic downturns in foreign countries or geographic regions where we have significant operations, significant changes in conditions in the countries in which we operate with the effect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competition from new market entrants; differing local product preferences and product requirements, including fuel economy, vehicle emissions and safety; impact of compliance with U.S. and other foreign countries’ export controls and economic sanctions; liabilities resulting from U.S. and foreign laws and regulations, including those related to the Foreign Corrupt Practices Act and certain other anti-corruption laws; differing labor regulations and union relationships; and difficulties in obtaining financing in foreign countries for local operations.</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Any significant disruption at one of our manufacturing facilities could disrupt our production schedule. </w:t>
      </w:r>
      <w:r>
        <w:rPr>
          <w:rFonts w:ascii="Arial" w:cs="Arial" w:eastAsia="Arial" w:hAnsi="Arial"/>
          <w:sz w:val="16"/>
          <w:szCs w:val="16"/>
          <w:color w:val="auto"/>
        </w:rPr>
        <w:t>We assemble vehicles at various facilities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These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Should these or other facilities become unavailable either temporarily or permanently for any number of reasons, including labor disruptions, the inability to manufacture there may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 Even though we carry business interruption insurance policies, we may suffer losses as a result of business interruptions that exceed the coverage available or any losses which may be excluded under our insurance policies.</w:t>
      </w:r>
    </w:p>
    <w:p>
      <w:pPr>
        <w:spacing w:after="0" w:line="16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Any disruption in our suppliers' operations could disrupt our production schedule. </w:t>
      </w:r>
      <w:r>
        <w:rPr>
          <w:rFonts w:ascii="Arial" w:cs="Arial" w:eastAsia="Arial" w:hAnsi="Arial"/>
          <w:sz w:val="16"/>
          <w:szCs w:val="16"/>
          <w:color w:val="auto"/>
        </w:rPr>
        <w:t>Our automotive operations are dependent upon the continued 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suppliers to deliver the systems, components, raw materials and parts that we need to manufacture our products. Our use of “just-in-time” manufacturing processes allows us to maintain minimal inventory quantities of systems, components, raw materials and parts. As a result our ability to maintain production is dependent upon our suppliers delivering sufficient quantities of systems, components, raw materials and parts on time to meet our production schedules. In some instances we purchase systems, components, raw materials and parts that ultimately derive from a single source and may be at an increased risk for supply disruptions. Disputes, financial difficulties or solvency problems with our suppliers, including Takata Corporation (Takata), which may be exacerbated by the cost of remediating quality issues with these items, could lead to uncertainty in our supply chain or cause supply disruptions for us which could, in turn, disrupt our operations, including production of certain of our higher margin vehicles. Where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w:t>
      </w:r>
    </w:p>
    <w:p>
      <w:pPr>
        <w:spacing w:after="0" w:line="16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High prices of raw materials used by us and our suppliers could negatively impact our profitability. </w:t>
      </w:r>
      <w:r>
        <w:rPr>
          <w:rFonts w:ascii="Arial" w:cs="Arial" w:eastAsia="Arial" w:hAnsi="Arial"/>
          <w:sz w:val="17"/>
          <w:szCs w:val="17"/>
          <w:color w:val="auto"/>
        </w:rPr>
        <w:t>Increases in prices for raw materials that we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use in manufacturing products, systems, components and parts such as steel, precious metals, non-ferrous metals, including aluminum, copper and plastic parts may lead to higher production costs for parts and components. This could, in turn, negatively impact our future profitability because we may not be able to pass all of those costs on to our customers or require our suppliers to absorb such costs.</w:t>
      </w:r>
    </w:p>
    <w:p>
      <w:pPr>
        <w:spacing w:after="0" w:line="17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We operate in a highly competitive industry that has excess manufacturing capacity and attempts by our competitors to sell more vehicles could have a significant negative effect on our vehicle pricing, market share and operating results. </w:t>
      </w:r>
      <w:r>
        <w:rPr>
          <w:rFonts w:ascii="Arial" w:cs="Arial" w:eastAsia="Arial" w:hAnsi="Arial"/>
          <w:sz w:val="16"/>
          <w:szCs w:val="16"/>
          <w:color w:val="auto"/>
        </w:rPr>
        <w:t>The global automotive industry is highly competitive and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capacity in the industry far exceeds demand. Many manufacturers have relatively high fixed labor costs as well as significant limitations on their ability to close facilities and reduce fixed costs. Many of our competitors have responded to these relatively high fixed costs by providing subsidized financing or leasing programs, offering marketing incentives or reducing vehicle prices. As a result, we are not necessarily able to set our prices to offset higher costs of marketing incentives, commodity or other cost increases, or the impact of adverse currency fluctuations. Our competitors may also seek to benefit from economies of scale by consolidating or entering into other strategic agreements such as alliances intended to enhance their competitiveness.</w:t>
      </w:r>
    </w:p>
    <w:p>
      <w:pPr>
        <w:spacing w:after="0" w:line="16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Domestic manufacturers in lower cost countries, such as China and India, have become competitors in key emerging markets and announced their intention to export their products to established markets as a low 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 and services. </w:t>
      </w:r>
      <w:r>
        <w:rPr>
          <w:rFonts w:ascii="Arial" w:cs="Arial" w:eastAsia="Arial" w:hAnsi="Arial"/>
          <w:sz w:val="18"/>
          <w:szCs w:val="18"/>
          <w:color w:val="auto"/>
        </w:rPr>
        <w:t>There may be instances where, notwithstanding our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position, competitive products or services may impact the value of our brands and other intangible assets, and our business may be adversely affected. Moreover, although GM takes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reasonable steps to maintain the confidentiality of GM proprietary information, there can be no assurance that such efforts will completely deter misappropriation or improper use of our technology.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may be the target of enforcement of patents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infringe any third-party rights, we could be required to pay substantial damages or we could be enjoined from offering some of our products and services.</w:t>
      </w:r>
    </w:p>
    <w:p>
      <w:pPr>
        <w:spacing w:after="0" w:line="1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Security breaches and other disruptions to information technology systems and networked products, including connected vehicles, owned or maintained by us, GM Financial, or third-party vendors or suppliers on our behalf, could interfere with our operations and could compromise the confidentiality of private customer data or our proprietary information. </w:t>
      </w:r>
      <w:r>
        <w:rPr>
          <w:rFonts w:ascii="Arial" w:cs="Arial" w:eastAsia="Arial" w:hAnsi="Arial"/>
          <w:sz w:val="16"/>
          <w:szCs w:val="16"/>
          <w:color w:val="auto"/>
        </w:rPr>
        <w:t>We rely upon information technology systems and manufacture networked products, some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managed by third-parties, to process, transmit and store electronic information, and to manage or support a variety of our business processes, activities and products. Additionally we and GM Financial collect and store sensitive data, including intellectual property, proprietary business information, proprietary business information of our dealers and suppliers, as well as personally identifiable information of our customers and employees, in data centers and on information technology networks. The secure operation of these systems and products, and the processing and maintenance of the information processed by these systems and products, is critical to our business operations and strategy. Despite security measures and business continuity plans, these systems and products may be vulnerable to damage, disruptions or shutdowns caused by attacks by hackers, computer viruses, or breaches due to errors or malfeasance by employees, contractors and others who have access to these systems and products. The occurrence of any of these events could compromise the operational integrity of these systems and products.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result in legal claims or proceedings, liability or regulatory penalties under laws protecting the privacy of personal information; disrupt operations; or reduce the competitive advantage we hope to derive from our investment in advanced technologies. We have experienced such events in the past and, although past events were immaterial, future events may occur and may be material.</w:t>
      </w:r>
    </w:p>
    <w:p>
      <w:pPr>
        <w:spacing w:after="0" w:line="16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Portions of our information technology systems also may experience interruptions, delays or cessations of service or produce errors due to regular maintenance efforts, such as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design, manufacture and sell products and services, and interrupt other business processes.</w:t>
      </w:r>
    </w:p>
    <w:p>
      <w:pPr>
        <w:spacing w:after="0" w:line="17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b w:val="1"/>
          <w:bCs w:val="1"/>
          <w:i w:val="1"/>
          <w:iCs w:val="1"/>
          <w:color w:val="auto"/>
        </w:rPr>
        <w:t>Security breaches and other disruptions of our in-vehicle systems could impact the safety of our customers and reduce confidence in GM and our products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vehicles contain complex information technology systems. These systems control various vehicle functions including engine,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steering, navigation, acceleration, braking, window and door lock functions. We have designed, implemented and tested security measures intended to prevent unauthorized access to these systems. However, hackers have reportedly attempted, and may attempt in the future, to gain unauthorized access to modify, alter and use such systems to gain control of, or to change, our vehicles’ functionality, user interface and performance characteristics, or to gain access to data stored in or generated by the vehicle. Any unauthorized access to or control of our vehicles or their systems or any loss of data could impact the safety of our customers or result in legal claims or proceedings, liability or regulatory penalties. In addition, regardless of their veracity, reports of unauthorized access to our vehicles, their systems or data could negatively affect our brand and harm our business, prospects, financial condition and operating results.</w:t>
      </w:r>
    </w:p>
    <w:p>
      <w:pPr>
        <w:spacing w:after="0" w:line="19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Our products are subject to extensive laws, governmental regulations and policies, that can significantly increase our costs and affect how we do business. </w:t>
      </w:r>
      <w:r>
        <w:rPr>
          <w:rFonts w:ascii="Arial" w:cs="Arial" w:eastAsia="Arial" w:hAnsi="Arial"/>
          <w:sz w:val="16"/>
          <w:szCs w:val="16"/>
          <w:color w:val="auto"/>
        </w:rPr>
        <w:t>We are significantly affected by governmental regulations that can increase costs related to the production of our vehicles and affect 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Meeting or exceeding many of these regulations is costly and often technologically challenging with respect to mandated emissions and fuel economy standards, especially where standards may not be harmonized across jurisdictions. We anticipate that the number and extent of these regulations, and the related costs and changes to our product portfolio, may increase significantly in the future. These government regulatory requirements could significantly affect our plans for global product development and given the uncertainty surrounding enforcement and regulatory definitions, may result in substantial costs, including civil or criminal penalties. In addition, an evolving but un-harmonized regulatory framework may limit or dictate the types of vehicles we sell and where we sell them, which can affect revenue. Refer to the "Environmental and Regulatory Matters" section of Item 1. Business for further information on these regulatory requirements. We also expect that manufacturers will continue to be subject to increased scrutiny from regulators globally.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expect that to comply with fuel economy and emission control requirements we will be required to sell a significant volume of electric vehicles, as well as develop and implement new technologies for conventional internal combustion engines, all at increased cost levels. There are limits on our ability to achieve fuel economy improvements over a given time frame, however. There is no assurance that we will be able to produce and sell vehicles that use such new technologies on a profitable basis or that our customers will purchase such vehicles in the quantities necessary for us to comply with these regulatory programs.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current uncertain regulatory framework, environmental liabilities for which we may be responsible and that are not reasonably estimable could be substantial. Alleged violations of safety or emissions standards could result in legal proceedings, the recall of one or more of our products, negotiated remedial actions, fines, restricted product offerings or a combination of any of those items. Any of these actions could have substantial adverse effects on our operations including facility idling, reduced employment, increased costs and loss of revenue.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Many of our advanced technologies, including autonomous, present novel issues with which domestic and foreign regulators have only limited experience and will be subject to evolving regulatory frameworks. Any current or future regulations in these areas could impact whether and how these technologies are designed and integrated into our products, and may ultimately subject us to increased costs and uncertainty.</w:t>
      </w:r>
    </w:p>
    <w:p>
      <w:pPr>
        <w:spacing w:after="0" w:line="39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We could be materially adversely affected by unusual or significant litigation, governmental investigations or other proceedings. </w:t>
      </w:r>
      <w:r>
        <w:rPr>
          <w:rFonts w:ascii="Arial" w:cs="Arial" w:eastAsia="Arial" w:hAnsi="Arial"/>
          <w:sz w:val="16"/>
          <w:szCs w:val="16"/>
          <w:color w:val="auto"/>
        </w:rPr>
        <w:t>We are subject to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proceedings involving various issues, including product liability lawsuits, stockholder litigation and proceedings related to the Ignition Switch Recall. In addition, we are subject to governmental proceedings and investigations. A negative outcome in one or more of these legal proceedings could result in the imposition of damages, including punitive damages, substantial fines, significant reputational harm, civil lawsuits and criminal penalties, interruptions of business, modification of business practices, equitable remedies and other sanctions against us or our personnel as well as significant legal and other costs. In addition, we may become obligated to issue up to 30 million shares of our common stock (subject to adjustment to take into account stock dividends, stock splits and other transactions) to the Motors Liquidation Company GUC Trust (GUC Trust) under a provision of the Amended and Restated Master Sale and Purchase Agreement between us and General Motors Corporation and certain of its subsidiaries in the event that allowed general unsecured claims against the GUC Trust, as estimated by the United States Bankruptcy Court for the Southern District of New York (Bankruptcy Court), exceed $35.0 billion. At December 31, 2017, the Bankruptcy Court estimated that allowed general unsecured claims were approximately $31.9 billion.</w:t>
      </w:r>
    </w:p>
    <w:p>
      <w:pPr>
        <w:spacing w:after="0" w:line="277"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If, in the discretion of the U.S. Attorney’s Office for the Southern District of New York (the U.S. Attorney's Office), we do not comply with the terms of the Deferred Prosecution Agreement (the DPA), the U.S. Attorney's Office may prosecute us for charges alleged by the U.S. Attorney's Office including those relating to faulty ignition switches. </w:t>
      </w:r>
      <w:r>
        <w:rPr>
          <w:rFonts w:ascii="Arial" w:cs="Arial" w:eastAsia="Arial" w:hAnsi="Arial"/>
          <w:sz w:val="17"/>
          <w:szCs w:val="17"/>
          <w:color w:val="auto"/>
        </w:rPr>
        <w:t>On September 17, 2015 we announced that we entered into the DPA with the U.S. Attorney's Office regarding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investigation of the events leading up to certain recalls announced in February and March of 2014 relating to faulty ignition switches. Under the DPA, we consented to, among other things, the filing of a two-count information (the Information) in the U.S. District Court for the Southern District of New York (the Southern District) charging GM with a scheme to conceal material facts from a government regulator and wire fraud. We pled not guilty to the charges alleged in the Information. The DPA further provides that, in the event the U.S. Attorney's Office determines during the period of deferral of prosecution (or any extensions thereof) that we have violated any provision of the DPA, including violating any U.S. federal law or our obligation to cooperate with and assist the independent monitor (the Monitor), the U.S. Attorney's Office may, in its discretion, either prosecute us on the charges alleged in the Information or impose an extension of the period of deferral of prosecution of up to one additional year. Under such circumstance, the U.S. Attorney's Office would be permitted to rely upon the admissions we made in the DPA and would benefit from our waiver of certain procedural and evidentiary defenses. Such a criminal prosecution could subject us to penalties.</w:t>
      </w:r>
    </w:p>
    <w:p>
      <w:pPr>
        <w:spacing w:after="0" w:line="2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The costs and effect on our reputation of product safety recalls and alleged defects in products and services could materially adversely affect our business. </w:t>
      </w:r>
      <w:r>
        <w:rPr>
          <w:rFonts w:ascii="Arial" w:cs="Arial" w:eastAsia="Arial" w:hAnsi="Arial"/>
          <w:sz w:val="17"/>
          <w:szCs w:val="17"/>
          <w:color w:val="auto"/>
        </w:rPr>
        <w:t>Government safety standards require manufacturers to remedy certain product safety defects through recall campaigns. Under these standards,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subject to civil or criminal penalties or may incur various costs, including significant costs for free repairs. At present, the costs we incur in connection with these recalls typically include the cost of the part being replaced and labor to remove and replace the defective part. The costs to complete a recall or customer satisfaction action could be exacerbated to the extent that such action relates to a global platform. Concerns about the safety of our products, including advanced technologies like autonomous, whether raised internally or by regulators or consumer advocates, and whether or not based on scientific evidence, can result in product delays, recalls, lost sales, governmental investigations, regulatory action, private claims, lawsuits and settlements, and reputational damage. These circumstances can also result in damage to brand image, brand equity and consumer trust in the Company’s products and ability to lead the disruption occurring in the automotive industry.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currently source a variety of systems, components, raw materials and parts, including but not limited to air bag inflators, from third parties. From time to time these items may have performance, quality or reputational issues that could harm our reputation and cause us to incur significant costs. For example, we are currently conducting recalls for certain Takata air bag inflators used in some of our prior model year vehicles. Further recalls, if any, that may be required to remediate Takata air bag inflators in our vehicles could have a material impact on our business.</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further discussion of these matters refer to Note 17 to our consolidated financial statements.</w:t>
      </w:r>
    </w:p>
    <w:p>
      <w:pPr>
        <w:spacing w:after="0" w:line="33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We may continue to restructure or divest our operations in various countries, but we may not succeed in doing so. </w:t>
      </w:r>
      <w:r>
        <w:rPr>
          <w:rFonts w:ascii="Arial" w:cs="Arial" w:eastAsia="Arial" w:hAnsi="Arial"/>
          <w:sz w:val="17"/>
          <w:szCs w:val="17"/>
          <w:color w:val="auto"/>
        </w:rPr>
        <w:t>In 2017, we announced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restructuring and cost reduction actions to lower our operating costs in response to difficult market and operating conditions in various parts of the world. As we continue to assess our performance throughout our regions, we may take additional restructuring actions to rationalize our operations, which may result in impairments and reduce our profitability in the periods incurred. In addition, we may not realize anticipated savings or benefits from past or future cost reduction actions in full or in part or within the time periods we expect. We are also subject to the risks of labor unrest, negative publicity and business disruption in connection with our cost reduction actions. Failure to realize anticipated savings or benefits from our cost reduction actions could have a material adverse effect on our business, prospects, financial condition, liquidity, results of operations and cash flows.</w:t>
      </w:r>
    </w:p>
    <w:p>
      <w:pPr>
        <w:spacing w:after="0" w:line="28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b w:val="1"/>
          <w:bCs w:val="1"/>
          <w:i w:val="1"/>
          <w:iCs w:val="1"/>
          <w:color w:val="auto"/>
        </w:rPr>
        <w:t xml:space="preserve">Our future competitiveness and ability to achieve long-term profitability depends on our ability to control our costs, which requires us to successfully implement operating effectiveness initiatives throughout our operations. </w:t>
      </w:r>
      <w:r>
        <w:rPr>
          <w:rFonts w:ascii="Arial" w:cs="Arial" w:eastAsia="Arial" w:hAnsi="Arial"/>
          <w:sz w:val="17"/>
          <w:szCs w:val="17"/>
          <w:color w:val="auto"/>
        </w:rPr>
        <w:t>We are continuing to implement a number of operating effectiveness initiatives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productivity and reduce costs. Our future competitiveness depends upon our continued success in implementing these initiatives throughout our operations.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costs. Reducing costs may prove difficult due to our focus on increasing advertising and our belief that engineering and other expenses necessary to improve the performance, safety and customer satisfaction of our vehicles and to continue to innovate our technology, product and service offerings to meet changing customer needs and market developments are likely to increase.</w:t>
      </w:r>
    </w:p>
    <w:p>
      <w:pPr>
        <w:spacing w:after="0" w:line="28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b w:val="1"/>
          <w:bCs w:val="1"/>
          <w:i w:val="1"/>
          <w:iCs w:val="1"/>
          <w:color w:val="auto"/>
        </w:rPr>
        <w:t xml:space="preserve">We rely on GM Financial to provide financial services to our dealers and customers in a majority of the markets in which we sell vehicles. GM Financial faces a number of business, economic and financial risks that could impair its access to capital and negatively affect its business and operations and its ability to provide leasing and financing to retail consumers and commercial lending to our dealers to support additional sales of our vehicles. </w:t>
      </w:r>
      <w:r>
        <w:rPr>
          <w:rFonts w:ascii="Arial" w:cs="Arial" w:eastAsia="Arial" w:hAnsi="Arial"/>
          <w:sz w:val="16"/>
          <w:szCs w:val="16"/>
          <w:color w:val="auto"/>
        </w:rPr>
        <w:t>We rely on GM Financial in North America, South America and China to support leasing and sales of our vehicles to consumers requiring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and also to provide commercial lending to our dealers. Any reduction in GM Financial's ability to provide such financial services would negatively affect our efforts to support additional sales of our vehicles and expand our market penetration among consumers and dealers.</w:t>
      </w:r>
    </w:p>
    <w:p>
      <w:pPr>
        <w:spacing w:after="0" w:line="5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primary factors that could adversely affect GM Financial's business and operations and reduce its ability to provide financing services at competitive rates include the availability of borrowings under its credit facilities to fund its retail and commercial finance activities; its ability to access a variety of financing sources including the asset-backed securities market and other secured and unsecured debt markets; the performance of loans and leases in its portfolio, which could be materially affected by delinquencies, defaults or prepayments; wholesale auction values of used vehicles; higher than expected vehicle return rates and the residual value performance on vehicles GM Financial leases to customers; fluctuations in interest rates and currencies; and changes to regulation, supervision and licensing across various jurisdictions, including new regulations or sanctions imposed in the U.S. by the Department of Justice, SEC and Consumer Financial Protection Bureau.</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changes in assumptions or investments that do not achieve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adequate returns. </w:t>
      </w:r>
      <w:r>
        <w:rPr>
          <w:rFonts w:ascii="Arial" w:cs="Arial" w:eastAsia="Arial" w:hAnsi="Arial"/>
          <w:sz w:val="18"/>
          <w:szCs w:val="18"/>
          <w:color w:val="auto"/>
        </w:rPr>
        <w:t>Our employee benefit plans currently hold a significant amount of equity and fixed income securities. A detailed description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and strategies and our potential funding requirements are disclosed in Note 16 to our consolidated financial statements, which also describes significant concentrations of risk to the plan investments.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future funding requirements for our U.S.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2017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have manufacturing, assembly, distribution, office or warehousing operations in 35 countries, including equity interests in associated companies which perform manufacturing, assembly or distribution operations. The major facilities outside the U.S., which are principally vehicle manufacturing and assembly operations, are located in Argentina, Brazil, Canada, China, Colombia, Ecuador, Mexico, South Korea, Thailand and Vietnam.</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owns or leases facilities for administration and regional credit centers. GM Financial has 39 facilities, of which 27 are located in the U.S. The major facilities outside the U.S. are located in Brazil, Canada, China and Mexico.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17 to our consolidated financial statements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Shares of our common stock are publicly traded on the New York Stock Exchange. The following table summarizes the quarterly price</w:t>
      </w:r>
      <w:r>
        <w:rPr>
          <w:rFonts w:ascii="Arial" w:cs="Arial" w:eastAsia="Arial" w:hAnsi="Arial"/>
          <w:sz w:val="18"/>
          <w:szCs w:val="18"/>
          <w:b w:val="1"/>
          <w:bCs w:val="1"/>
          <w:color w:val="auto"/>
        </w:rPr>
        <w:t xml:space="preserve"> </w:t>
      </w:r>
      <w:r>
        <w:rPr>
          <w:rFonts w:ascii="Arial" w:cs="Arial" w:eastAsia="Arial" w:hAnsi="Arial"/>
          <w:sz w:val="18"/>
          <w:szCs w:val="18"/>
          <w:color w:val="auto"/>
        </w:rPr>
        <w:t>ranges of our common stock based on high and low prices from intraday trades on the New York Stock Exchange: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7"/>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Low</w:t>
            </w: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26.69</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27.34</w:t>
            </w: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27.52</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46.76</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37.74</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At January 30, 2018 we had 1.4 billion issued and outstanding shares of common stock held by 511 holders of record.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Our Board of Directors began declaring quarterly dividends on our common stock in the three months ended March 31, 2014. It is anticipated that</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on our common stock will continue to be declared and paid quarterly. However the declaration of any dividend on our common stock is a matter to be acted upon by our Board of Directors in its sole discretion. Any dividend will be paid out of funds legally available for that purpose. Our payment of dividends in the future, as described further in "Liquidity and Capital Resources" in MD&amp;A, will depend on business conditions, our financial condition, earnings, liquidity and capital requirements and other factors. Refer to Item 6. Selected Financial Data for cash dividends declared on our common stock for the years ended December 31, 2017,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Announced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2017 through October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16,530,750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16,381,375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$4.3 billion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November 1, 2017 through November 30,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18,779,333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16,141,363</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$3.6 billion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2017 through December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1,631,403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1,550,706</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$3.5 billion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36,941,486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34,073,444</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jc w:val="right"/>
              <w:ind w:right="4270"/>
              <w:spacing w:after="0"/>
              <w:rPr>
                <w:sz w:val="20"/>
                <w:szCs w:val="20"/>
                <w:color w:val="auto"/>
              </w:rPr>
            </w:pPr>
            <w:r>
              <w:rPr>
                <w:rFonts w:ascii="Arial" w:cs="Arial" w:eastAsia="Arial" w:hAnsi="Arial"/>
                <w:sz w:val="18"/>
                <w:szCs w:val="18"/>
                <w:color w:val="auto"/>
                <w:w w:val="87"/>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82"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Shares purchased include authorized shares that were a part of our stock repurchase plan. In addition, shares purchased consist of shares retained by us for the payment of the exercise price upon the exercise of warrants and shares delivered by employees or directors to us for the payment of taxes resulting from issuance of common stock upon the vesting of Restricted Stock Units (RSUs), Performance Stock Units (PSUs) and Restricted Stock Awards (RSAs) relating to compensation plans. In June 2017 our shareholders approved the 2017 Long Term Incentive Plan which authorizes awards of stock options, stock appreciation rights, RSAs, RSUs, PSUs or other stock-based awards to selected employees, consultants, advisors, and non-employee Directors of the Company. Refer to Note 22 to our consolidated financial statements for additional details on employee stock incentive plans and Note 20 to our consolidated financial statements for additional details on warrants outstanding.</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January 2017 we announced that our Board of Directors had authorized the purchase of up to an additional $5 billion of our common stock with no expiration date.</w:t>
      </w:r>
    </w:p>
    <w:p>
      <w:pPr>
        <w:spacing w:after="0" w:line="214"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138,792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from continuing operations(a)(b)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9,269</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9,590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4,525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5,960</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 – continuing operations(a)(b)</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earnings per common share – continuing operations(a)(b)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2.76</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194,338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166,231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13,502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10,560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8,535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9,084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6,815</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80,717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22,174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36,200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44,075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40,323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36,024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43,174</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4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 ended December 31, 2017 we recorded tax expense of $7.3 billion related to U.S. tax reform legislation, $2.3 billion related to the establishment of a valuation allowance against deferred tax assets that will no longer be realizable as a result of the sale of the Opel/Vauxhall Business, and charges of $460 million related to restructuring actions in India and South Africa. In the year ended December 31, 2015 we recorded the reversal of deferred tax asset valuation allowances of $3.9 billion in Europe and recorded charges related to the Ignition Switch Recall Compensation Program (Compensation Program) and for various legal matters of approximately $1.6 billion. In the year ended December 31, 2014 we recorded charges of approximately $2.8 billion in Automotive cost of sales related to recall campaigns and courtesy transportation, a catch-up adjustment of $0.9 billion related to the change in estimate for recall campaigns and a charge of $0.4 billion related to the Compensation Program.</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2014 we redeemed all of the remaining shares of our Series A Preferred Stock for $3.9 billion, which reduced Income from continuing operations by $0.8 billion. In September 2013 we purchased 120 million shares of our Series A Preferred Stock held by the UAW Retiree Medical Benefits Trust (New VEBA) for $3.2 billion, which reduced Income from continuing operations by $0.8 billion.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assets includes assets held for sale of $20.6 billion, $20.0 billion, $17.8 billion, and $16.1 billion at December 31, 2016 through 2013, respectively.</w:t>
      </w:r>
    </w:p>
    <w:p>
      <w:pPr>
        <w:spacing w:after="0" w:line="20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for a discussion of these risks and uncertainties.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Non-GAAP Measures </w:t>
      </w:r>
      <w:r>
        <w:rPr>
          <w:rFonts w:ascii="Arial" w:cs="Arial" w:eastAsia="Arial" w:hAnsi="Arial"/>
          <w:sz w:val="16"/>
          <w:szCs w:val="16"/>
          <w:color w:val="auto"/>
        </w:rPr>
        <w:t>Unless otherwise indicated, our non-GAAP measures discussed in this MD&amp;A are related to our continuing operations and not our</w:t>
      </w:r>
      <w:r>
        <w:rPr>
          <w:rFonts w:ascii="Arial" w:cs="Arial" w:eastAsia="Arial" w:hAnsi="Arial"/>
          <w:sz w:val="16"/>
          <w:szCs w:val="16"/>
          <w:b w:val="1"/>
          <w:bCs w:val="1"/>
          <w:color w:val="auto"/>
        </w:rPr>
        <w:t xml:space="preserve"> </w:t>
      </w:r>
      <w:r>
        <w:rPr>
          <w:rFonts w:ascii="Arial" w:cs="Arial" w:eastAsia="Arial" w:hAnsi="Arial"/>
          <w:sz w:val="16"/>
          <w:szCs w:val="16"/>
          <w:color w:val="auto"/>
        </w:rPr>
        <w:t>discontinued operations or our assets and liabilities held for sale. Our non-GAAP measures include earnings before interest and taxes (EBIT)-adjusted, presented net of noncontrolling interests,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EBIT-adjusted </w:t>
      </w:r>
      <w:r>
        <w:rPr>
          <w:rFonts w:ascii="Arial" w:cs="Arial" w:eastAsia="Arial" w:hAnsi="Arial"/>
          <w:sz w:val="17"/>
          <w:szCs w:val="17"/>
          <w:color w:val="auto"/>
        </w:rPr>
        <w:t>EBIT-adjusted is presented net of noncontrolling interests and is used by management and can be used by investors to review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Core EBIT-adjusted </w:t>
      </w:r>
      <w:r>
        <w:rPr>
          <w:rFonts w:ascii="Arial" w:cs="Arial" w:eastAsia="Arial" w:hAnsi="Arial"/>
          <w:sz w:val="18"/>
          <w:szCs w:val="18"/>
          <w:color w:val="auto"/>
        </w:rPr>
        <w:t>Beginning in 2018, we intend to report a Core EBIT-adjusted metric. Core EBIT-adjusted will be used by management and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by investors to review our core consolidated operating results. Core EBIT-adjusted begins with EBIT-adjusted and excludes the EBIT-adjusted results of our autonomous vehicle operations, including Cruise Automation Inc. (Cruise), Maven and our investment in Lyft.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ROIC-adjusted </w:t>
      </w:r>
      <w:r>
        <w:rPr>
          <w:rFonts w:ascii="Arial" w:cs="Arial" w:eastAsia="Arial" w:hAnsi="Arial"/>
          <w:sz w:val="17"/>
          <w:szCs w:val="17"/>
          <w:color w:val="auto"/>
        </w:rPr>
        <w:t>ROIC-adjusted is used by management and can be used by investors to review our investment and capital allocation decisions. We define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Adjusted automotive free cash flow </w:t>
      </w:r>
      <w:r>
        <w:rPr>
          <w:rFonts w:ascii="Arial" w:cs="Arial" w:eastAsia="Arial" w:hAnsi="Arial"/>
          <w:sz w:val="18"/>
          <w:szCs w:val="18"/>
          <w:color w:val="auto"/>
        </w:rPr>
        <w:t>Adjusted automotive free cash flow is used by management and can be used by investors to review the liquidity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contributions to employee benefit plans. Refer to the “Liquidity and Capital Resources” section of this MD&amp;A for our reconciliation of Net automotive cash provided by operating activities under U.S. GAAP to this non-GAAP measure.</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Core adjusted automotive free cash flow </w:t>
      </w:r>
      <w:r>
        <w:rPr>
          <w:rFonts w:ascii="Arial" w:cs="Arial" w:eastAsia="Arial" w:hAnsi="Arial"/>
          <w:sz w:val="18"/>
          <w:szCs w:val="18"/>
          <w:color w:val="auto"/>
        </w:rPr>
        <w:t>Beginning in 2018, we intend to report a Core adjusted automotive free cash flow metric. Core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free cash flow will be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Core adjusted automotive free cash flow begins with adjusted automotive free cash flow and excludes the cash flows of our autonomous vehicle operations, including Cruise, Maven and our investment in Lyft.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7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9,687</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Automotive 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GMI restructuring(a)</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Venezuela-related matters(b)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Ignition switch recall and related legal matters(c)</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1,785</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Russia exit costs(d)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w:t>
            </w:r>
          </w:p>
        </w:tc>
      </w:tr>
      <w:tr>
        <w:trPr>
          <w:trHeight w:val="250"/>
        </w:trPr>
        <w:tc>
          <w:tcPr>
            <w:tcW w:w="73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12,844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12,848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8890</wp:posOffset>
            </wp:positionV>
            <wp:extent cx="251269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269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jc w:val="both"/>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South Africa, and Thailand.</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 ended December 31, 2017 this adjustment was excluded because we ceased operations and terminated employment relationships in Venezuela. In the year ended December 31, 2015 this adjustment was excluded because of the devaluation of the Venezuela Bolivar Fuerte (BsF) and our inability to transact to obtain U.S. Dollars.</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These events included the creation of the Compensation Program, as well as various investigations, inquiries and complaints from constituents.</w:t>
      </w: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adjustments were excluded because of our decision to exit the Russia market in 2015. The Russia exit costs primarily consisted of sales incentives, dealer restructuring and other contract cancellation costs and asset impairments.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7"/>
              </w:rPr>
              <w:t>Diluted (earnings) loss per common share – discontinued operations</w:t>
            </w: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4,212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 adjustments(a)</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9,099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9,877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630"/>
              <w:spacing w:after="0"/>
              <w:rPr>
                <w:sz w:val="20"/>
                <w:szCs w:val="20"/>
                <w:color w:val="auto"/>
              </w:rPr>
            </w:pPr>
            <w:r>
              <w:rPr>
                <w:rFonts w:ascii="Arial" w:cs="Arial" w:eastAsia="Arial" w:hAnsi="Arial"/>
                <w:sz w:val="16"/>
                <w:szCs w:val="16"/>
                <w:color w:val="auto"/>
                <w:w w:val="89"/>
              </w:rPr>
              <w:t>________</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EBIT-adjusted within this section of MD&amp;A for adjustment details.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the year ended December 31, 2017 these adjustments consist of the tax expense of $7.3 billion related to U.S. tax reform legislation and the establishment of a valuation allowance against deferred tax assets of $2.3 billion that will no longer be realizable as a result of the sale of the Opel/Vauxhall Business, partially offset by tax benefits related to tax settlements. In the year ended December 31, 2015 these adjustments primarily consist of the tax benefit related to the valuation allowance reversal in Europe. These adjustments were excluded because impacts of tax legislation and valuation allowances are not considered part of our core operations.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before</w:t>
            </w:r>
          </w:p>
        </w:tc>
        <w:tc>
          <w:tcPr>
            <w:tcW w:w="14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5"/>
              </w:rPr>
              <w:t>Income tax</w:t>
            </w:r>
          </w:p>
        </w:tc>
        <w:tc>
          <w:tcPr>
            <w:tcW w:w="1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Income before</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Income tax</w:t>
            </w:r>
          </w:p>
        </w:tc>
        <w:tc>
          <w:tcPr>
            <w:tcW w:w="12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before</w:t>
            </w:r>
          </w:p>
        </w:tc>
        <w:tc>
          <w:tcPr>
            <w:tcW w:w="140" w:type="dxa"/>
            <w:vAlign w:val="bottom"/>
          </w:tcPr>
          <w:p>
            <w:pPr>
              <w:spacing w:after="0"/>
              <w:rPr>
                <w:sz w:val="13"/>
                <w:szCs w:val="13"/>
                <w:color w:val="auto"/>
              </w:rPr>
            </w:pPr>
          </w:p>
        </w:tc>
        <w:tc>
          <w:tcPr>
            <w:tcW w:w="880" w:type="dxa"/>
            <w:vAlign w:val="bottom"/>
          </w:tcPr>
          <w:p>
            <w:pPr>
              <w:jc w:val="center"/>
              <w:ind w:right="43"/>
              <w:spacing w:after="0" w:line="153" w:lineRule="exact"/>
              <w:rPr>
                <w:sz w:val="20"/>
                <w:szCs w:val="20"/>
                <w:color w:val="auto"/>
              </w:rPr>
            </w:pPr>
            <w:r>
              <w:rPr>
                <w:rFonts w:ascii="Arial" w:cs="Arial" w:eastAsia="Arial" w:hAnsi="Arial"/>
                <w:sz w:val="14"/>
                <w:szCs w:val="14"/>
                <w:b w:val="1"/>
                <w:bCs w:val="1"/>
                <w:color w:val="auto"/>
                <w:w w:val="92"/>
              </w:rPr>
              <w:t>Income tax</w:t>
            </w:r>
          </w:p>
        </w:tc>
        <w:tc>
          <w:tcPr>
            <w:tcW w:w="100" w:type="dxa"/>
            <w:vAlign w:val="bottom"/>
          </w:tcPr>
          <w:p>
            <w:pPr>
              <w:spacing w:after="0"/>
              <w:rPr>
                <w:sz w:val="13"/>
                <w:szCs w:val="13"/>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Effective tax</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9"/>
              </w:rPr>
              <w:t>expense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(benefit)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6"/>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11,863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43"/>
        </w:trPr>
        <w:tc>
          <w:tcPr>
            <w:tcW w:w="146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21"/>
                <w:szCs w:val="21"/>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Tax adjustments(b)</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460" w:type="dxa"/>
            <w:vAlign w:val="bottom"/>
          </w:tcPr>
          <w:p>
            <w:pPr>
              <w:ind w:left="40"/>
              <w:spacing w:after="0"/>
              <w:rPr>
                <w:sz w:val="20"/>
                <w:szCs w:val="20"/>
                <w:color w:val="auto"/>
              </w:rPr>
            </w:pPr>
            <w:r>
              <w:rPr>
                <w:rFonts w:ascii="Arial" w:cs="Arial" w:eastAsia="Arial" w:hAnsi="Arial"/>
                <w:sz w:val="18"/>
                <w:szCs w:val="18"/>
                <w:color w:val="auto"/>
              </w:rPr>
              <w:t>ETR-adjusted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12,517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2,642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12,308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2,853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11,121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2,983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26.8 %</w:t>
            </w: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EBIT-adjusted within this section of MD&amp;A for adjustment details.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Refer to the reconciliation of diluted earnings (loss) per common share under U.S. GAAP to EPS-diluted-adjusted within this section of MD&amp;A for adjustment details.</w:t>
      </w:r>
    </w:p>
    <w:p>
      <w:pPr>
        <w:spacing w:after="0" w:line="21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2"/>
              </w:rPr>
              <w:t>Years Ended December 31,</w:t>
            </w:r>
          </w:p>
        </w:tc>
        <w:tc>
          <w:tcPr>
            <w:tcW w:w="920" w:type="dxa"/>
            <w:vAlign w:val="bottom"/>
            <w:tcBorders>
              <w:bottom w:val="single" w:sz="8" w:color="auto"/>
            </w:tcBorders>
          </w:tcPr>
          <w:p>
            <w:pPr>
              <w:spacing w:after="0"/>
              <w:rPr>
                <w:sz w:val="16"/>
                <w:szCs w:val="16"/>
                <w:color w:val="auto"/>
              </w:rPr>
            </w:pPr>
          </w:p>
        </w:tc>
      </w:tr>
      <w:tr>
        <w:trPr>
          <w:trHeight w:val="250"/>
        </w:trPr>
        <w:tc>
          <w:tcPr>
            <w:tcW w:w="7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37.0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ROE</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Years Ended December 31,</w:t>
            </w:r>
          </w:p>
        </w:tc>
        <w:tc>
          <w:tcPr>
            <w:tcW w:w="9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37.0</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25.8</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r>
      <w:tr>
        <w:trPr>
          <w:trHeight w:val="297"/>
        </w:trPr>
        <w:tc>
          <w:tcPr>
            <w:tcW w:w="20" w:type="dxa"/>
            <w:vAlign w:val="bottom"/>
          </w:tcPr>
          <w:p>
            <w:pPr>
              <w:spacing w:after="0"/>
              <w:rPr>
                <w:sz w:val="24"/>
                <w:szCs w:val="24"/>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37.8</w:t>
            </w:r>
          </w:p>
        </w:tc>
      </w:tr>
      <w:tr>
        <w:trPr>
          <w:trHeight w:val="237"/>
        </w:trPr>
        <w:tc>
          <w:tcPr>
            <w:tcW w:w="20" w:type="dxa"/>
            <w:vAlign w:val="bottom"/>
          </w:tcPr>
          <w:p>
            <w:pPr>
              <w:spacing w:after="0"/>
              <w:rPr>
                <w:sz w:val="20"/>
                <w:szCs w:val="20"/>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193"/>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________</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Net income (loss) attributable to stockholders under U.S. GAAP to EBIT-adjusted within this section of MD&amp;A.</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management team has adopted a strategic plan to transform GM into the world's most valued automotive company. Our plan includes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major initiatives that we anticipate will redefine the future of personal mobility through our zero crashes, zero emissions, zero congestion vision while also strengthening the core of our business: earning customers for life by delivering winning vehicles, leading the industry in quality and safety and improving the customer ownership experience; leading in technology and innovation, including electrification, autonomous, data monetization and connectivity; growing our brands; making tough, strategic decisions about which markets and products in which we will invest and compete; building profitable adjacent businesses and targeting 10% core margins on an EBIT-adjusted basis.</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our EBIT-adjusted margin improvement goal, our overall financial targets include total annual operational and functional cost savings of $6.5 billion through 2018 compared to 2014 costs, of which approximately $5.5 billion has been realized as of December 31, 2017, and which will more than offset our planned incremental investments in brand building, engineering and technology as we launch new products; and execution of our capital allocation program as described in the "Liquidity and Capital Resources" section of this MD&amp;A.</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the year ending December 31, 2018 we expect EPS-diluted and EPS-diluted-adjusted to be in the mid-six dollar range. We do not consider the potential future impact of adjustments on our expected financial results. We expect core EBIT-adjusted and core adjusted automotive free cash flow to be in line with 2017. Core consists of all operations excluding our autonomous vehicle operations, including Cruise, Maven car sharing entities, and our investment in Lyft.</w:t>
      </w:r>
    </w:p>
    <w:p>
      <w:pPr>
        <w:spacing w:after="0" w:line="14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Refer to Item1A. Risk Factors for a discussion of these challenges. As we continue to assess our performance, additional restructuring and rationalization actions may be required or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 the year ended December 31, 2017 industry sales in North America were 21.5 million units representing a decrease of 1.5%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2016. U.S. industry sales were 17.6 million units in the year ended December 31, 2017.</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our vehicle sales in the U.S., our largest market in North America, totaled 3.0 million units for market share of 17.1%, representing an increase of 0.1 percentage points compared to the corresponding period in 2016. We continue to lead the U.S. industry in market share.</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achieved EBIT-adjusted margins of 10.7% on continued strength of U.S. industry light vehicle sales, key product launches and continued focus on overall cost savings. Based on our current cost structure, we estimate GMNA’s breakeven point at the U.S. industry level to be in the range of 10.0 to 11.0 million units. We expect to sustain an EBIT-adjusted margin of 10% in 2018 on continued strength of U.S. industry light vehicle sales, favorable mix of full-size trucks and crossovers relative to passenger cars, key product launches and continued focus on overall cost savings.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 the year ended December 31, 2017 China industry sales were 28.3 million units and our market share was 14.3%. We continue to see strength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our Cadillac and Baojun passenger vehicles and SUVs, as well as positive momentum in Chevrolet sales driven by new product launches. Wuling sales were impacted by the market shift away from mini commercial vehicles. In the year ended December 31, 2017 our Automotive China JVs generated equity income of $2.0 billion. We expect low industry growth in 2018 and continuation of pricing pressures, which will continue to pressure margins. We continue to expect equal to increased vehicle sales in 2018 driven by new launches and expect to sustain strong China equity income by focusing on improvements in vehicle mix, cost efficiencies, and downstream performance optimization.</w:t>
      </w:r>
    </w:p>
    <w:p>
      <w:pPr>
        <w:spacing w:after="0" w:line="17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Many markets across the region continue to improve led by increases in Argentina and Brazil leading to industry sales of 25.2 million units, representing an increase of 4.0% in the year ended December 31, 2017 compared to the corresponding period in 2016. In the year ended December 31, 2017 our retail sales totaled 1.3 million units leading to a market share of 5.1%, representing a decrease of 0.3 percentage points compared to the corresponding period in 2016.</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May 2017 we announced several restructuring actions in GMI which were primarily related to the withdrawal of Chevrolet from the Indian and South African markets at the end of 2017 and the transition of our South African manufacturing operations to Isuzu Motors. These actions occurred as a result of a strategic decision to focus resources on opportunities expected to deliver higher returns. Refer to Note 19 to our consolidated financial statements for additional information related to these restructuring actions. In May 2017 we deconsolidated our business in Venezuela which resulted in a charge of $0.1 billion during the year ended December 31, 2017.</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Korea Company (GM Korea) entered into a collectively bargained wage agreement which was ratified by its union in January 2018. The impact of the agreement was not material to our consolidated financial statements.</w:t>
      </w:r>
    </w:p>
    <w:p>
      <w:pPr>
        <w:spacing w:after="0" w:line="170"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We have had recent discussions with key stakeholders in GM Korea, including its minority owners and union, regarding the need to improve GM Korea's financial and operational performance. As we strategically assess our performance and the manner in which we operate in Korea and certain other countries, additional restructuring and rationalization actions may be required and may have a material impact on our results of operations.</w:t>
      </w:r>
    </w:p>
    <w:p>
      <w:pPr>
        <w:spacing w:after="0" w:line="16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Beginning in 2012 through January 30, 2018, we purchased an aggregate of 504 million shares of our outstanding common stock for $16.2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17 to our consolidated financial statements for additional information.</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Takata Matters </w:t>
      </w:r>
      <w:r>
        <w:rPr>
          <w:rFonts w:ascii="Arial" w:cs="Arial" w:eastAsia="Arial" w:hAnsi="Arial"/>
          <w:sz w:val="17"/>
          <w:szCs w:val="17"/>
          <w:color w:val="auto"/>
        </w:rPr>
        <w:t>In May 2016 NHTSA issued an amended consent order requiring Takata to file defect information reports (DIRs) for previously unrecalled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7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Although we do not believe there is a safety defect at this time in any unrecalled GM vehicles within scope of the Takata DIRs,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those GMT900 vehicles. On November 28, 2016, NHTSA granted GM’s deferral request in connection with this petition. The deferral provides GM until August 31, 2017 to present evidence and analysis that our vehicles do not pose an unreasonable risk to motor vehicle safety.</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August 25, 2017, we filed a supplemental brief in support of our petitions that provided NHTSA with the results of our long-term study and testing and the basis for our determination that the inflators in these vehicles do not present an unreasonable risk to safety and that no repair should ultimately be required. In our brief, we requested that NHTSA grant our petitions or, in the alternative, grant an additional deferral period to provide time for further testing.</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filed a third set of Preliminary DIRs for certain GMT900 vehicles on January 9, 2018. These January 2018 DIRs are consistent with GM's May 2016 DIRs and January 2017 DIRs. On the same day, we also filed a third petition for inconsequentiality with respect to the vehicles subject to our January 2018 DIRs.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is engaged in discussions with regulators outside the U.S. with respect to Takata inflators. There are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September 30, 2017 to replace Takata inflators in these vehicles. Additional recalls, if any, could be material to our results of operations and cash flows. We continue to monitor the international situation.</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On June 26, 2017, Takata filed for bankruptcy protection in the United States and Japan. Over the past several months, a group of global automakers, including GM, have had discussions with Takata and Key Safety Systems, Inc. regarding a potential transaction involving the sale of Takata's business. GM has not experienced any supply interruptions arising from Takata initiating formal insolvency proceedings and anticipates that Takata will continue an uninterrupted supply of component parts to GM during the insolvency proceedings. GM continues to monitor Takata’s financial and operational performance and to develop alternative and contingent supplies to attempt to mitigate prospective threats to the supply of components.</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PSA Group Transaction </w:t>
      </w:r>
      <w:r>
        <w:rPr>
          <w:rFonts w:ascii="Arial" w:cs="Arial" w:eastAsia="Arial" w:hAnsi="Arial"/>
          <w:sz w:val="18"/>
          <w:szCs w:val="18"/>
          <w:color w:val="auto"/>
        </w:rPr>
        <w:t>On July 31, 2017 we closed the sale of our Opel/Vauxhall Business to PSA Group and on October 31, 2017 we closed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Fincos to Banque PSA Finance S.A. and BNP Paribas Personal Finance S.A.</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net consideration paid at closing for the European Business was $2.5 billion, consisting of (1) $2.2 billion in cash; and (2) $0.8 billion in warrants in PSA Group; partially offset by (3) the $0.5 billion de-risking premium payment made to PSA Group for assuming certain underfunded pension liabilities. In addition, we agreed to sell the shares of PSA Group received upon exercise of the warrants within 35 days after exercise. The purchase price is subject to certain working capital adjustments as provided in the Master Agreement (the Agreement).</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total charge from the sale of the European Business was $6.2 billion, net of tax, of which $3.9 billion is recorded in Income (loss) from discontinued operations, net of tax, and $2.3 billion was treated as an adjustment to both EPS-diluted-adjusted and ETR-adjusted. The charge relates to: (1) $4.3 billion of deferred tax assets that will no longer be realizable or that transferred to PSA Group; (2) $1.5 billion related to previously deferred pension losses and payment of the de-risking premium to PSA Group for its assumption of certain underfunded pension liabilities; (3) a pre-tax disposal loss of $0.5 billion as a result of the sale of the Fincos, which includes the recognition of $0.2 billion of foreign currency translation losses; (4) a pre-tax charge of $0.4 billion for the cancellation of production programs resulting from the convergence of vehicle platforms between the European Business and PSA Group; and (5) other costs to support the separation of operations to be provided for a period of time following closing; partially offset by proceeds.</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wholly owned subsidiary (the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which the Company has agreed to guarantee the Seller's obligation to indemnify PSA Group. Certain of these indemnification obligations are subject to time limitations, thresholds and/or caps as to the amount of required payments. We are currently unable to estimate any reasonably possible overall amounts or range of loss that may result from claims made under these indemnities, if any.</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PSA Group has provided a number of working capital and other adjustments under the Agreement and other ancillary agreements, many of which are customary in these types of transactions. We currently believe that post-closing adjustments under the Agreement, if any, would not have a material impact on our results of operations.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retained net underfunded pension liabilities of $6.8 billion owed primarily to current pensioners and former employees of the European Business with vested pension rights. PSA Group assumed, pursuant to the Agreement, approximately $3.1 billion of net underfunded pension liabilities primarily with respect to active employees of the Opel/Vauxhall Business, and during the three months ended September 30, 2017 the Seller made payments of $3.4 billion in respect of these assumed liabilities, which includes pension funding payments for active employees and the de-risking premium payment discussed above. At closing we drew upon our three-year unsecured revolving credit facility to fund these payments. We issued debt securities thereafter to repay the draw on our credit facility. As part of the retained pension liabilities described above, we retained the U.K. defined benefit pension plans in existence at signing related to the Opel/Vauxhall Business, including responsibility for service cost accruals through the closing date.</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agreed to purchase from and supply to PSA Group certain vehicles for a period of time following closing and not to engage in certain competing businesses in Europe for a period of three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3 to our consolidated financial statements for additional information.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Motors Liquidation Company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obligated to issue additional shares (Adjustment Shares) of our common stock in the event that allowed general unsecured claims against the GUC Trust, as estimated by the Bankruptcy Court, exceed $35.0 billion. Refer to Note 17 to our consolidated financial statements for a description of the contingently issuable Adjustment Shares.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Summary and Outlook </w:t>
      </w:r>
      <w:r>
        <w:rPr>
          <w:rFonts w:ascii="Arial" w:cs="Arial" w:eastAsia="Arial" w:hAnsi="Arial"/>
          <w:sz w:val="18"/>
          <w:szCs w:val="18"/>
          <w:color w:val="auto"/>
        </w:rPr>
        <w:t>GM Financial has expanded its leasing and prime lending programs in North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leasing and prime lending have become a larger percentage of the originations and retail portfolio balance. During 2017 we saw used car prices in the U.S. decline approximately 5% as compared to 2016. For 2018, an increasing supply of used vehicles resulting from off-lease returns will continue to pressure used car prices. As a result, we expect a further decline in used car prices in the U.S. between 5% and 6% in 2018 as compared to 2017. GM Financial continues to expect pre-tax income to double from 2014 earnings of $0.8 billion once full captive penetration levels are achieved on a consistent basis. The following table summarizes the residual value as well as the number of units included in GM Financial equipment on operating leases, net by vehicle type (units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2016</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23,611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retail penetration in North America grew to approximately 37% in the year ended December 31, 2017 from approximately 33% in 2016 as a result of the expanded leasing and lending programs. In the year ended December 31, 2017 GM Financial's revenue consisted of leased vehicle income of 71%, retail finance charge income of 23%, and commercial finance charge income of 3%. We believe that offering a comprehensive suite of financing products will generate incremental sales of our vehicles, drive incremental GM Financial earnings and help support our sales throughout various economic cycles.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133,607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140,205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145,588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149,184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12,369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20,943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140,205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129,864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149,184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135,725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21,449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cost of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120,499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Arial" w:cs="Arial" w:eastAsia="Arial" w:hAnsi="Arial"/>
          <w:sz w:val="16"/>
          <w:szCs w:val="16"/>
          <w:color w:val="auto"/>
        </w:rPr>
        <w:t>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2"/>
                <w:szCs w:val="22"/>
                <w:color w:val="auto"/>
              </w:rPr>
            </w:pPr>
          </w:p>
        </w:tc>
        <w:tc>
          <w:tcPr>
            <w:tcW w:w="11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99,690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20,426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3,268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cost of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120,499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112,995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most significant element of our Automotive cost of sales is material cost which makes up approximately two-thirds of the total amount. The remaining portion includes labor costs, depreciation and amortization, engineering, and product warranty and recall campaigns.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Factors which most significantly influence a region's profitability are industry volume, market share, and the relative mix of vehicles (cars, trucks, crossovers)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2017 favorable Cost was due primarily to: (1) decreased warranty costs of $1.4 billion; (2) decreased employee related costs of $0.8 billion; (3) decreased material and freight costs of $0.7 billion related to carryover vehicles; and (4) decreased restructuring costs related to UAW cash severance incentive program of $0.2 billion in 2016 that did not recur in 2017; partially offset by (5) increased material and freight costs of $1.4 billion related to vehicles launched within the last twelve months incorporating significant exterior and/or interior changes (Majors); (6) increased engineering costs of $0.7 billion; and (7) charges of $0.4 billion related to restructuring actions in India and South Africa. In the year ended December 31, 2017 unfavorable Other was due primarily to the foreign currency effect of $0.4 billion due to the strengthening of the Brazilian Real and other currencies against the U.S. Dollar.</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2016 unfavorable Cost was due primarily to: (1) increased other costs of $2.3 billion primarily manufacturing, engineering, depreciation and amortization and warranty which are inclusive of launch costs; partially offset by (2) decreased material and freight costs of $2.3 billion related to carryover vehicles, partially offset by increased material and freight costs of $1.3 billion related to Majors; and (3) impairments of $0.4 billion related to Thailand and Venezuela in 2015. In the year ended December 31, 2016 favorable Other was due primarily to the foreign currency effect of $2.0 billion due primarily to the BsF devaluation in 2015 and the weakening of the Argentine Peso, Canadian Dollar and other currencies against the U.S. Dollar; and costs related to our exit in Russia of $0.2 billion in 2015.</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restart"/>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ind w:left="7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Year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6"/>
              </w:rPr>
              <w:t>2017 vs. 2016 Change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1"/>
              </w:rPr>
              <w:t>2016 vs. 2015 Change</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2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10,354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11,888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  $</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2017 Automotive selling, general and administrative expense decreased due primarily to decreased advertising costs of $0.4 billion and a decrease in net charges of $0.2 billion for legal related matters related to the ignition switch recall.</w:t>
      </w:r>
    </w:p>
    <w:p>
      <w:pPr>
        <w:spacing w:after="0" w:line="1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2016 Automotive selling, general and administrative expense decreased due primarily to a net decrease in charges of $1.5 billion for matters related to the ignition switch recall and favorable net foreign currency effect of $0.2 billion due primarily to the weakening of various currencies against the U.S. Dollar.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vMerge w:val="restart"/>
          </w:tcPr>
          <w:p>
            <w:pPr>
              <w:jc w:val="center"/>
              <w:ind w:left="542"/>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91"/>
              </w:rPr>
              <w:t>2017 vs. 2016 Change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2016 vs. 2015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7"/>
              </w:rPr>
              <w:t>Favorable/</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4"/>
              </w:rPr>
              <w:t>Favorable/</w:t>
            </w:r>
          </w:p>
        </w:tc>
        <w:tc>
          <w:tcPr>
            <w:tcW w:w="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(Unfavorable)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n.m.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Income tax expense increased due primarily to the $7.3 billion tax expense related to U.S. tax reform legislation and the establishment of a $2.3 billion valuation allowance related to the sale of Opel/Vauxhall Business, partially offset by tax benefits related to tax settlements and foreign dividends.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2016 Income tax expense increased due primarily to the absence of the 2015 income tax benefit from the release of European valuation allowances of $3.9 billion and an increase in income tax expense of $0.6 billion due primarily to an increase in pre-tax income; partially offset by $0.6 billion in tax benefits related to foreign currency losses.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2017 our ETR-adjusted was 21.1%, and we expect the effective tax rate to be similar for the year ending December 31,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Refer to Note 18 to our consolidated financial statements for additional information related to Income tax expense (benefit) including information 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reform legislation.</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vMerge w:val="restart"/>
          </w:tcPr>
          <w:p>
            <w:pPr>
              <w:jc w:val="center"/>
              <w:ind w:left="542"/>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91"/>
              </w:rPr>
              <w:t>2017 vs. 2016 Change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2016 vs. 2015 Change</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7"/>
              </w:rPr>
              <w:t>Favorable/</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4"/>
              </w:rPr>
              <w:t>Favorable/</w:t>
            </w:r>
          </w:p>
        </w:tc>
        <w:tc>
          <w:tcPr>
            <w:tcW w:w="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(Unfavorable)</w:t>
            </w:r>
          </w:p>
        </w:tc>
        <w:tc>
          <w:tcPr>
            <w:tcW w:w="3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(Unfavorable)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n.m.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Arial" w:cs="Arial" w:eastAsia="Arial" w:hAnsi="Arial"/>
          <w:sz w:val="16"/>
          <w:szCs w:val="16"/>
          <w:color w:val="auto"/>
        </w:rPr>
        <w:t>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2017 Income (loss) from discontinued operations, net of tax, decreased due primarily to a disposal loss of $3.9 billion, net of tax, primarily related to deferred tax assets that transferred to PSA Group, previously deferred pension losses and payment of the de-risking premium to PSA Group for its assumption of certain underfunded pension liabilities and the loss as a result of the sale of the Fincos.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w w:val="99"/>
              </w:rPr>
              <w:t>Years Ended December 31,</w:t>
            </w: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6"/>
                <w:szCs w:val="6"/>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Mix</w:t>
            </w:r>
          </w:p>
        </w:tc>
        <w:tc>
          <w:tcPr>
            <w:tcW w:w="340" w:type="dxa"/>
            <w:vAlign w:val="bottom"/>
          </w:tcPr>
          <w:p>
            <w:pPr>
              <w:spacing w:after="0"/>
              <w:rPr>
                <w:sz w:val="6"/>
                <w:szCs w:val="6"/>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111,345</w:t>
            </w:r>
          </w:p>
        </w:tc>
        <w:tc>
          <w:tcPr>
            <w:tcW w:w="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119,113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(7,768)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11,889</w:t>
            </w:r>
          </w:p>
        </w:tc>
        <w:tc>
          <w:tcPr>
            <w:tcW w:w="3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12,388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2"/>
              </w:rPr>
              <w:t>(Vehicles in thousands)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3,511</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3,958</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9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22"/>
                <w:szCs w:val="2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Favorable/</w:t>
            </w:r>
          </w:p>
        </w:tc>
        <w:tc>
          <w:tcPr>
            <w:tcW w:w="9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6"/>
                <w:szCs w:val="6"/>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9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(Unfavorable)</w:t>
            </w:r>
          </w:p>
        </w:tc>
        <w:tc>
          <w:tcPr>
            <w:tcW w:w="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119,113</w:t>
            </w:r>
          </w:p>
        </w:tc>
        <w:tc>
          <w:tcPr>
            <w:tcW w:w="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106,744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12,369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12,388</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11,354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(Vehicles in thousands)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3,958</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3,558</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year ended December 31, 2017 Total net sales and revenue decreased due primarily to: (1) decreased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associated with a decrease in Chevrolet passenger car sales and a decrease in off-lease rental car sales; partially offset by (2) favorable mix associated with a decrease in sales of Chevrolet passenger cars and decreased volumes of off-lease rental car sales; (3) favorable pricing for Majors of $1.4 billion, partially offset by unfavorable pricing for carryover vehicles of $0.8 billion; and (4) favorable Other due primarily to the foreign currency effect resulting from the strengthening of the Canadian Dollar against the U.S. Dollar.</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2016 Total net sales and revenue increased due primarily to: (1) increased net wholesale volumes reflecting our strategic decision to reduce daily rental activity, strong retail demand for the Chevrolet Malibu and Spark, full-size trucks and SUVs and the Buick Envision; (2) favorable pricing for Majors of $1.8 billion; and (3) favorable mix associated with full-size trucks and SUVs and a reduction in rental car activities, partially offset by the Chevrolet Malibu and Spark; partially offset by (4) unfavorable Other due primarily to the foreign currency effect resulting from the weakening of the Mexican Peso and Canadian Dollar against the U.S. Dollar.</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The most significant factors which influence profitability are industry volume and market share. While not as significant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volume and market share, another factor affecting profitability is the relative mix of vehicles sold. Trucks, crossovers and cars sold currently have a variable profit of approximately 180%, 55% and 15% of our GMNA portfolio on a weighted-average basis.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2017 EBIT-adjusted decreased due primarily to: (1) decreased net wholesale volumes; and (2) unfavorable Other due primarily to the foreign currency effect resulting from the weakening of the Mexican Peso against the U.S. Dollar; partially offset by (3) favorable Cost including decreased warranty costs of $1.4 billion, decreased material and freight costs related to carryover vehicles of $0.7 billion, decreased other employee related costs of $0.7 billion, decreased advertising costs of $0.3 billion and decreased restructuring charges of $0.2 billion related to the 2016 UAW cash severance incentive program, partially offset by increased material costs for Majors of $1.3 billion and increased engineering costs of $0.3 billion; (4) favorable mix; and (5) favorable pricing.</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2016 EBIT-adjusted increased due primarily to: (1) increased net wholesale volumes; and (2) favorable pricing; partially offset by (3) unfavorable Cost including increased material costs for Majors of $1.1 billion, restructuring charges of $0.2 billion related to the UAW cash severance incentive program and increased other costs of $2.8 billion primarily engineering, depreciation and amortization, manufacturing, warranty and marketing which are inclusive of launch costs, partially offset by favorable material and freight costs related to carryover vehicles of $2.0 billion; (4) unfavorable mix associated with the Chevrolet Malibu, Volt and Spark, partially offset by full-size trucks and SUVs and a reduction in rental car activities; and (5) unfavorable Other due primarily to the foreign currency effect resulting from the weakening of the Mexican Peso and Canadian Dollar against the U.S. Dollar.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2"/>
                <w:szCs w:val="22"/>
                <w:color w:val="auto"/>
              </w:rPr>
            </w:pPr>
          </w:p>
        </w:tc>
        <w:tc>
          <w:tcPr>
            <w:tcW w:w="12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6"/>
                <w:szCs w:val="6"/>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6"/>
                <w:szCs w:val="6"/>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21,920</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20,943</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1,300</w:t>
            </w:r>
          </w:p>
        </w:tc>
        <w:tc>
          <w:tcPr>
            <w:tcW w:w="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0"/>
              <w:spacing w:after="0"/>
              <w:rPr>
                <w:sz w:val="20"/>
                <w:szCs w:val="20"/>
                <w:color w:val="auto"/>
              </w:rPr>
            </w:pPr>
            <w:r>
              <w:rPr>
                <w:rFonts w:ascii="Arial" w:cs="Arial" w:eastAsia="Arial" w:hAnsi="Arial"/>
                <w:sz w:val="18"/>
                <w:szCs w:val="18"/>
                <w:i w:val="1"/>
                <w:iCs w:val="1"/>
                <w:color w:val="auto"/>
              </w:rPr>
              <w:t>China</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i w:val="1"/>
                <w:iCs w:val="1"/>
                <w:color w:val="auto"/>
              </w:rPr>
              <w:t>1,976</w:t>
            </w:r>
          </w:p>
        </w:tc>
        <w:tc>
          <w:tcPr>
            <w:tcW w:w="360" w:type="dxa"/>
            <w:vAlign w:val="bottom"/>
          </w:tcPr>
          <w:p>
            <w:pPr>
              <w:jc w:val="right"/>
              <w:ind w:right="54"/>
              <w:spacing w:after="0"/>
              <w:rPr>
                <w:sz w:val="20"/>
                <w:szCs w:val="20"/>
                <w:color w:val="auto"/>
              </w:rPr>
            </w:pPr>
            <w:r>
              <w:rPr>
                <w:rFonts w:ascii="Arial" w:cs="Arial" w:eastAsia="Arial" w:hAnsi="Arial"/>
                <w:sz w:val="18"/>
                <w:szCs w:val="18"/>
                <w:i w:val="1"/>
                <w:i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i w:val="1"/>
                <w:iCs w:val="1"/>
                <w:color w:val="auto"/>
              </w:rPr>
              <w:t>1,973</w:t>
            </w:r>
          </w:p>
        </w:tc>
        <w:tc>
          <w:tcPr>
            <w:tcW w:w="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i w:val="1"/>
                <w:iCs w:val="1"/>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(676)</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(1,206)</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530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1,267</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1,255</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1"/>
                <w:szCs w:val="11"/>
                <w:color w:val="auto"/>
              </w:rPr>
            </w:pPr>
          </w:p>
        </w:tc>
        <w:tc>
          <w:tcPr>
            <w:tcW w:w="12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4"/>
              </w:rPr>
              <w:t>Favorable/</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vMerge w:val="restart"/>
          </w:tcPr>
          <w:p>
            <w:pPr>
              <w:jc w:val="center"/>
              <w:ind w:left="301"/>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gridSpan w:val="4"/>
            <w:vMerge w:val="continue"/>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4"/>
            <w:vMerge w:val="continue"/>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4"/>
            <w:vMerge w:val="continue"/>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20,943</w:t>
            </w:r>
          </w:p>
        </w:tc>
        <w:tc>
          <w:tcPr>
            <w:tcW w:w="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22,970</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767</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15.3 %</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0"/>
              <w:spacing w:after="0"/>
              <w:rPr>
                <w:sz w:val="20"/>
                <w:szCs w:val="20"/>
                <w:color w:val="auto"/>
              </w:rPr>
            </w:pPr>
            <w:r>
              <w:rPr>
                <w:rFonts w:ascii="Arial" w:cs="Arial" w:eastAsia="Arial" w:hAnsi="Arial"/>
                <w:sz w:val="18"/>
                <w:szCs w:val="18"/>
                <w:i w:val="1"/>
                <w:iCs w:val="1"/>
                <w:color w:val="auto"/>
              </w:rPr>
              <w:t>China</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w w:val="79"/>
              </w:rPr>
              <w:t>$</w:t>
            </w:r>
          </w:p>
        </w:tc>
        <w:tc>
          <w:tcPr>
            <w:tcW w:w="940" w:type="dxa"/>
            <w:vAlign w:val="bottom"/>
          </w:tcPr>
          <w:p>
            <w:pPr>
              <w:jc w:val="right"/>
              <w:ind w:right="134"/>
              <w:spacing w:after="0"/>
              <w:rPr>
                <w:sz w:val="20"/>
                <w:szCs w:val="20"/>
                <w:color w:val="auto"/>
              </w:rPr>
            </w:pPr>
            <w:r>
              <w:rPr>
                <w:rFonts w:ascii="Arial" w:cs="Arial" w:eastAsia="Arial" w:hAnsi="Arial"/>
                <w:sz w:val="18"/>
                <w:szCs w:val="18"/>
                <w:i w:val="1"/>
                <w:iCs w:val="1"/>
                <w:color w:val="auto"/>
              </w:rPr>
              <w:t>1,973</w:t>
            </w:r>
          </w:p>
        </w:tc>
        <w:tc>
          <w:tcPr>
            <w:tcW w:w="360" w:type="dxa"/>
            <w:vAlign w:val="bottom"/>
          </w:tcPr>
          <w:p>
            <w:pPr>
              <w:jc w:val="right"/>
              <w:ind w:right="94"/>
              <w:spacing w:after="0"/>
              <w:rPr>
                <w:sz w:val="20"/>
                <w:szCs w:val="20"/>
                <w:color w:val="auto"/>
              </w:rPr>
            </w:pPr>
            <w:r>
              <w:rPr>
                <w:rFonts w:ascii="Arial" w:cs="Arial" w:eastAsia="Arial" w:hAnsi="Arial"/>
                <w:sz w:val="18"/>
                <w:szCs w:val="18"/>
                <w:i w:val="1"/>
                <w:iCs w:val="1"/>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i w:val="1"/>
                <w:iCs w:val="1"/>
                <w:color w:val="auto"/>
              </w:rPr>
              <w:t>2,057</w:t>
            </w:r>
          </w:p>
        </w:tc>
        <w:tc>
          <w:tcPr>
            <w:tcW w:w="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i w:val="1"/>
                <w:iCs w:val="1"/>
                <w:color w:val="auto"/>
              </w:rPr>
              <w:t>(84)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(1,206)</w:t>
            </w:r>
          </w:p>
        </w:tc>
        <w:tc>
          <w:tcPr>
            <w:tcW w:w="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(1,392)</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186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13.4 %</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0"/>
              </w:rPr>
              <w:t>(Vehicles in thousands)</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1,255</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1,372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GMI Total Net Sales and Revenue </w:t>
      </w:r>
      <w:r>
        <w:rPr>
          <w:rFonts w:ascii="Arial" w:cs="Arial" w:eastAsia="Arial" w:hAnsi="Arial"/>
          <w:sz w:val="16"/>
          <w:szCs w:val="16"/>
          <w:color w:val="auto"/>
        </w:rPr>
        <w:t>In the year ended December 31, 2017 Total net sales and revenue increased due primarily to: (1) favorable 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carryover vehicles in Argentina and Brazil and in Egypt to mitigate the impact of the weakening Egyptian Pound against the U.S. Dollar; (2) favorable mix driven by the increased sales of Chevrolet Cruze in Brazil and Argentina; and (3) increased wholesale volumes associated with the Chevrolet Onix in Brazil and Argentina, partially offset by decreased wholesale volumes across multiple product lines in Asia/Pacific, the Middle East and Africa; (4) flat Other due primarily to the foreign currency effect resulting from the strengthening of the Brazilian Real and Korean Won against the U.S. Dollar, offset by the depreciation of the Argentinian Peso and Egyptian Pound against the U.S. Dollar and decreased parts and accessories sales in the Middle East.</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2016 Total net sales and revenue decreased due primarily to: (1) decreased wholesale volumes across multiple product lines in Egypt, South Africa, the Middle East, Brazil and Venezuela, partially offset by increased sales of the Chevrolet Spark and Malibu in Korea and the Middle East; and (2) unfavorable Other of $1.7 billion due primarily to the foreign currency effect resulting from the weakening of all currencies across South America, the Egyptian Pound and South African Rand against the U.S. Dollar; partially offset by (3) favorable pricing related to carryover vehicles due primarily to high inflation in Argentina.</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EBIT-Adjusted </w:t>
      </w:r>
      <w:r>
        <w:rPr>
          <w:rFonts w:ascii="Arial" w:cs="Arial" w:eastAsia="Arial" w:hAnsi="Arial"/>
          <w:sz w:val="18"/>
          <w:szCs w:val="18"/>
          <w:color w:val="auto"/>
        </w:rPr>
        <w:t>In the year ended December 31, 2017 EBIT-adjusted increased due primarily to: (1) favorable pricing; and (2) favorable Cost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employee related costs and selling, general and administrative expenses across the region; partially offset by (3) unfavorable mix driven by decreased high-margin sales in the Middle East.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2016 EBIT-adjusted increased due primarily to: (1) favorable pricing; and (2) favorable Cost due to lower engineering expenses and material and freight performance related to carryover vehicles; partially offset by (3) unfavorable mix due primarily to the lack of vehicle sales in Venezuela and decreased sales of full-size trucks and SUVs in the Middle East as a result of a weaker economy due to low oil prices; and (4) unfavorable Other due primarily to the foreign currency effect resulting from the weakening of all currencies across South America, the Egyptian Pound and South African Rand against the U.S. Dollar.</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50,065</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47,150</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44,959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4,290</w:t>
            </w:r>
          </w:p>
        </w:tc>
      </w:tr>
      <w:tr>
        <w:trPr>
          <w:trHeight w:val="399"/>
        </w:trPr>
        <w:tc>
          <w:tcPr>
            <w:tcW w:w="76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7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1"/>
              </w:rPr>
              <w:t>Years Ended December 31,</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2017 vs. 2016 Change</w:t>
            </w:r>
          </w:p>
        </w:tc>
        <w:tc>
          <w:tcPr>
            <w:tcW w:w="200" w:type="dxa"/>
            <w:vAlign w:val="bottom"/>
          </w:tcPr>
          <w:p>
            <w:pPr>
              <w:spacing w:after="0"/>
              <w:rPr>
                <w:sz w:val="16"/>
                <w:szCs w:val="16"/>
                <w:color w:val="auto"/>
              </w:rPr>
            </w:pPr>
          </w:p>
        </w:tc>
        <w:tc>
          <w:tcPr>
            <w:tcW w:w="18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2016 vs. 2015 Change</w:t>
            </w:r>
          </w:p>
        </w:tc>
      </w:tr>
      <w:tr>
        <w:trPr>
          <w:trHeight w:val="264"/>
        </w:trPr>
        <w:tc>
          <w:tcPr>
            <w:tcW w:w="3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757</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taxes-adjusted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64"/>
        </w:trPr>
        <w:tc>
          <w:tcPr>
            <w:tcW w:w="3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billions)</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GM Financial Revenue </w:t>
      </w:r>
      <w:r>
        <w:rPr>
          <w:rFonts w:ascii="Arial" w:cs="Arial" w:eastAsia="Arial" w:hAnsi="Arial"/>
          <w:sz w:val="16"/>
          <w:szCs w:val="16"/>
          <w:color w:val="auto"/>
        </w:rPr>
        <w:t>In the year ended December 31, 2017 Total revenue increased due primarily to increased leased vehicle income of $2.7 billion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larger lease portfolio and increased finance charge income of $0.4 billion due to growth in the retail and commercial finance receivables portfolios.</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2016 Total revenue increased due primarily to increased leased vehicle income of $3.1 billion 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 Financial Earnings Before Income Taxes-Adjusted </w:t>
      </w:r>
      <w:r>
        <w:rPr>
          <w:rFonts w:ascii="Arial" w:cs="Arial" w:eastAsia="Arial" w:hAnsi="Arial"/>
          <w:sz w:val="18"/>
          <w:szCs w:val="18"/>
          <w:color w:val="auto"/>
        </w:rPr>
        <w:t>In the year ended December 31, 2017 Earnings before income taxes-adjusted increased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(1) increased net leased vehicle income of $0.8 billion due primarily to a larger lease portfolio; and (2) increased finance charge income; partially offset by (3) increased interest expense of $0.6 billion due to an increase in average debt outstanding.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2016 Earnings before income taxes-adjusted increased due primarily to: (1) increased net leased vehicle income of $0.8 billion due primarily to a larger lease portfolio; partially offset by (2) increased interest expense of $0.5 billion due to an increase in average debt outstanding; and (3) increased operating expenses of $0.2 billion.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We believe that our current level of cash and cash equivalents, marketable securities and availability under our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 strong investment-grade balance sheet; and (3) return available cash to shareholders. Our known future material uses of cash include, among other possible demands: (1) capital expenditures of approximately $8.5 billion annually as well as payments for engineering and product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w:t>
      </w:r>
    </w:p>
    <w:p>
      <w:pPr>
        <w:ind w:right="20" w:firstLine="8"/>
        <w:spacing w:after="0" w:line="261" w:lineRule="auto"/>
        <w:tabs>
          <w:tab w:leader="none" w:pos="2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 payments on our common stock that are declared by our Board of Directors; and (5) payments to purchase shares of our common stock authorized by our Board of Directors.</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Item 1A. Risk Factors,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senior management evaluates our capital allocation program on an ongoing basis and recommends any modifications to the program to our Board of Directors, not less than once annually. Management reaffirmed and our Board of Directors approved the capital allocation program, which includes reinvesting in our business at an average target ROIC-adjusted rate of 20% or greater, maintaining a strong investment-grade balance sheet, including a target cash balance of $18 billion, and returning available cash to shareholders.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As part of our capital allocation program, we announced in January 2016 that our Board of Directors had authorized a program to purchase up to $4 billion of our common stock before the end of 2017, which was completed in the three months ended September 30, 2017. We also announced in January 2017 that our Board of Directors had authorized the purchase of up to an additional $5 billion of our common stock with no expiration date, subsequent to completing the remaining portion of the previously announced programs. We completed $1.5 billion of the $5 billion program in the three months ended December 31, 2017. From inception of the program in 2015 through January 30, 2018 we had purchased an aggregate of 299 million shares of our outstanding common stock under our common stock repurchase program for $10.5 billion. In the year ended December 31, 2017, we returned total cash to shareholders of $6.7 billion, consisting of dividends paid on our common stock and purchases of our common stock.</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August 2017 we issued $3.0 billion in aggregate principal amount of senior unsecured notes and used the net proceeds to repay the $3.0 billion drawn on our three-year unsecured revolving credit facility to fund the payments to PSA Group, or one or more pension funding vehicles, for the assumed net underfunded pension liabilities in connection with the sale of the Opel/Vauxhall Business. Refer to Note 14 to our consolidated financial statements for additional information on the senior unsecured notes.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Approximately 90% of our cash and marketable securities were managed within North America and at our regional treasury centers at December 31, 2017. We have used and will continue to use other methods including intercompany loans to utilize these funds across our global operations as needed.</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cash equivalents and marketable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7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The total size of our credit facilities was $14.5 billion at December 31, 2017 and 2016, which consisted principally of our two primary revolving credit facilities. We did not have any borrowings against our primary facilities, but had letters of credit outstanding under our sub-facility of $0.4 billion at December 31, 2017 and 2016. GM Financial had access to our revolving credit facilities at December 31, 2017 and 2016 but did not borrow against them. Refer to Note 14 to our consolidated financial statements for additional information on credit facilities. At December 31, 2017 and 2016 we had intercompany loans from GM Financial of $0.4 billion and $0.3 billion, which consisted primarily of commercial loans to dealers we consolidate, and we had no intercompany loans to GM Financial.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a means to access the strong liquidity available in our China JVs, from time to time, we may borrow from our joint ventures to provide additional liquidity to support our operations and capital investment. In the three months ending March 31, 2018, we expect to borrow approximately $1.3 billion from SAIC General Motors Corp., Ltd. (SGM) pursuant to a short-term unsecured note payable.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Available under credit facilities(b)</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do not add due to rounding.</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outstanding letters of credit of $0.2 billion at December 31, 2016 under our primary credit facilities which were transferred to PSA Group at closing.</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 xml:space="preserve">Net cash used in investing activities </w:t>
            </w:r>
            <w:r>
              <w:rPr>
                <w:rFonts w:ascii="Arial" w:cs="Arial" w:eastAsia="Arial" w:hAnsi="Arial"/>
                <w:sz w:val="16"/>
                <w:szCs w:val="16"/>
                <w:color w:val="auto"/>
              </w:rPr>
              <w:t>–</w:t>
            </w:r>
            <w:r>
              <w:rPr>
                <w:rFonts w:ascii="Arial" w:cs="Arial" w:eastAsia="Arial" w:hAnsi="Arial"/>
                <w:sz w:val="18"/>
                <w:szCs w:val="18"/>
                <w:color w:val="auto"/>
              </w:rPr>
              <w:t xml:space="preserve"> discontinued operations(a)</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primarily of payments to PSA Group, or one or more pension funding vehicles, of $3.4 billion for the assumed net underfunded pension liabilities in connection with the sale of the Opel/Vauxhall Business, which includes pension funding payments for active employees and the de-risking premium payment of $455 million, partially offset by proceeds.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140" w:type="dxa"/>
            <w:vAlign w:val="bottom"/>
          </w:tcPr>
          <w:p>
            <w:pPr>
              <w:spacing w:after="0"/>
              <w:rPr>
                <w:sz w:val="16"/>
                <w:szCs w:val="16"/>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 charges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GM Financial dividend</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13.9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2017 the decrease in Net automotive cash provided by operating activities was due primarily to unfavorable impacts from:</w:t>
      </w:r>
    </w:p>
    <w:p>
      <w:pPr>
        <w:spacing w:after="0" w:line="46" w:lineRule="exact"/>
        <w:rPr>
          <w:sz w:val="20"/>
          <w:szCs w:val="20"/>
          <w:color w:val="auto"/>
        </w:rPr>
      </w:pPr>
    </w:p>
    <w:p>
      <w:pPr>
        <w:ind w:left="5620" w:right="4060" w:hanging="5612"/>
        <w:spacing w:after="0" w:line="542"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Income (loss) from continuing operations partially offset by the add back of $7.3 billion 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U.S. tax reform legislation and the establishment of a $2.3 billion valuation allowance related to the sale of the Opel/Vauxhall Business; (2) a decrease in Accrued and other liabilities due to increased sales allowance payments; (3) a decrease in Equipment on operating leases due to an increase in units out to daily rental car companies; and (4) a decrease in Working capital due to lower production volumes, partially offset by accelerated cash receipts from GM Financial and other external sources totaling $0.5 billion; partially offset by (5) discretionary contributions of $2.0 billion made to our U.S. hourly pension plan in the year ended December 31, 2016; and (6) an increase in Other due to several insignificant items.</w:t>
      </w:r>
    </w:p>
    <w:p>
      <w:pPr>
        <w:spacing w:after="0" w:line="17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year ended December 31, 2016 the increase in Net automotive cash provided by operating activities was due primarily to: (1) an increase in Income taxes due primarily to the reversal of valuation allowances in 2015; (2) an increase in Accrued and other liabilities due primarily to an increase in sales incentives of $1.6 billion; (3) an increase in Working capital due primarily to increased accounts payable due to increased production volumes and decreased inventories due to lower repurchased rental car activity; partially offset by (4) a decrease in Pension and OPEB activities due primarily to discretionary contributions of $2.0 billion made to our U.S. hourly pension plan in the year ended December 31, 2016 and pension income from the refinement to the discount rate methodology for service and interest cost; and (5) a decrease in Other due primarily to foreign exchange and an increase in deposits.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33"/>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140" w:type="dxa"/>
            <w:vAlign w:val="bottom"/>
          </w:tcPr>
          <w:p>
            <w:pPr>
              <w:spacing w:after="0"/>
              <w:rPr>
                <w:sz w:val="16"/>
                <w:szCs w:val="16"/>
                <w:color w:val="auto"/>
              </w:rPr>
            </w:pPr>
          </w:p>
        </w:tc>
        <w:tc>
          <w:tcPr>
            <w:tcW w:w="10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76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Lyft</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 of Cruise</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left="33"/>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140" w:type="dxa"/>
            <w:vAlign w:val="bottom"/>
          </w:tcPr>
          <w:p>
            <w:pPr>
              <w:spacing w:after="0"/>
              <w:rPr>
                <w:sz w:val="24"/>
                <w:szCs w:val="24"/>
                <w:color w:val="auto"/>
              </w:rPr>
            </w:pPr>
          </w:p>
        </w:tc>
        <w:tc>
          <w:tcPr>
            <w:tcW w:w="10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Payments to purchase common stock</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 – continuing operations</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capital expenditures – continuing operations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Discretionary U.S. pension plan contributions</w:t>
            </w:r>
          </w:p>
        </w:tc>
        <w:tc>
          <w:tcPr>
            <w:tcW w:w="7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U.K. pension plan contribution(a)</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GM Financial dividend(a)</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Adjusted automotive free cash flow – continuing operations(b)</w:t>
            </w:r>
          </w:p>
        </w:tc>
        <w:tc>
          <w:tcPr>
            <w:tcW w:w="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operating activities – discontinued operations</w:t>
            </w: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capital expenditures – discontinued operations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flow(b)</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cash flows were excluded because they resulted from the sale of the European Business.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do not add due to rounding.</w:t>
      </w:r>
    </w:p>
    <w:p>
      <w:pPr>
        <w:spacing w:after="0" w:line="20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(Fitch),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All four credit rating agencies currently rate our corporate credit at investment grade. The following table summarizes our credit ratings at January 30,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ind w:left="620"/>
              <w:spacing w:after="0"/>
              <w:rPr>
                <w:sz w:val="20"/>
                <w:szCs w:val="20"/>
                <w:color w:val="auto"/>
              </w:rPr>
            </w:pPr>
            <w:r>
              <w:rPr>
                <w:rFonts w:ascii="Arial" w:cs="Arial" w:eastAsia="Arial" w:hAnsi="Arial"/>
                <w:sz w:val="18"/>
                <w:szCs w:val="18"/>
                <w:color w:val="auto"/>
              </w:rPr>
              <w:t>Stable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1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ind w:left="620"/>
              <w:spacing w:after="0"/>
              <w:rPr>
                <w:sz w:val="20"/>
                <w:szCs w:val="20"/>
                <w:color w:val="auto"/>
              </w:rPr>
            </w:pPr>
            <w:r>
              <w:rPr>
                <w:rFonts w:ascii="Arial" w:cs="Arial" w:eastAsia="Arial" w:hAnsi="Arial"/>
                <w:sz w:val="18"/>
                <w:szCs w:val="18"/>
                <w:color w:val="auto"/>
              </w:rPr>
              <w:t>Stable</w:t>
            </w:r>
          </w:p>
        </w:tc>
      </w:tr>
    </w:tbl>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Rating actions taken by each of the credit rating agencies from January 1, 2017 through January 30, 2018 were as follows: (1) Moody’s upgraded our revolving credit facilities rating to Baa2 from Baa3, and revised their outlook to Stable from Positive in January 2017. Also in January 2017 our senior unsecured bonds were upgraded to Baa3 from Ba1 and remain notched below our revolving credit facilities rating; (2) S&amp;P upgraded our corporate rating, revolving credit facilities rating and senior unsecured rating to BBB from BBB- and revised their outlook to Stable from Positive in January 2017; and (3) Fitch upgraded our corporate rating, revolving credit facilities rating and senior unsecured rating to BBB from BBB– and revised their outlook to Stable from Positive in June 2017.</w:t>
      </w:r>
    </w:p>
    <w:p>
      <w:pPr>
        <w:spacing w:after="0" w:line="19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Automotive Financing – GM Financial Liquidity </w:t>
      </w:r>
      <w:r>
        <w:rPr>
          <w:rFonts w:ascii="Arial" w:cs="Arial" w:eastAsia="Arial" w:hAnsi="Arial"/>
          <w:sz w:val="17"/>
          <w:szCs w:val="17"/>
          <w:color w:val="auto"/>
        </w:rPr>
        <w:t>GM Financial's primary sources of cash are finance charge income, leasing income and proceeds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In September 2017 GM Financial issued $1.0 billion of Fixed-to-Floating Rate Cumulative Perpetual Preferred Stock, Series A, $0.01 par value, with a liquidation preference of $1,000 per share. The following table summarizes GM Financial's available liquidity (dollars in billions):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3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3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160" w:type="dxa"/>
            <w:vAlign w:val="bottom"/>
            <w:vMerge w:val="restart"/>
          </w:tcPr>
          <w:p>
            <w:pPr>
              <w:jc w:val="right"/>
              <w:ind w:right="2230"/>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2017 available liquidity increased due primarily to an increase in cash and additional net borrowing capacity on new and renewed secured credit facilities, resulting from the issuance of securitizations, unsecured debt and preferred stock.</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the ability to borrow up to $1.0 billion against our three-year, $4.0 billion revolving credit facility and up to $3.0 billion against our five-year, $10.5 billion revolving credit facility. We have a support agreement with GM Financial which, among other things, establishes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secured or unsecured, and GM Financial repays these borrowings as appropriate under its cash management strategy. At December 31, 2017 secured, committed unsecured and uncommitted unsecured credit facilities totaled $26.0 billion, $0.1 billion and $2.4 billion with advances outstanding of $4.7 billion, an insignificant amount and $2.4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2017 vs. 2016</w:t>
            </w:r>
          </w:p>
        </w:tc>
        <w:tc>
          <w:tcPr>
            <w:tcW w:w="140" w:type="dxa"/>
            <w:vAlign w:val="bottom"/>
          </w:tcPr>
          <w:p>
            <w:pPr>
              <w:spacing w:after="0"/>
              <w:rPr>
                <w:sz w:val="16"/>
                <w:szCs w:val="16"/>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89"/>
              </w:rPr>
              <w:t>2016 vs. 2015</w:t>
            </w:r>
          </w:p>
        </w:tc>
        <w:tc>
          <w:tcPr>
            <w:tcW w:w="0" w:type="dxa"/>
            <w:vAlign w:val="bottom"/>
          </w:tcPr>
          <w:p>
            <w:pPr>
              <w:spacing w:after="0"/>
              <w:rPr>
                <w:sz w:val="1"/>
                <w:szCs w:val="1"/>
                <w:color w:val="auto"/>
              </w:rPr>
            </w:pPr>
          </w:p>
        </w:tc>
      </w:tr>
      <w:tr>
        <w:trPr>
          <w:trHeight w:val="58"/>
        </w:trPr>
        <w:tc>
          <w:tcPr>
            <w:tcW w:w="5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2017 and 2016 Net cash provided by operating activities increased due primarily to an increase in net leased vehicle income, partially offset by increased interest expense and operating expenses.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2017 Net cash used in investing activities decreased due primarily to: (1) increased proceeds from the termination of leased vehicles of $4.1 billion; (2) increased collections and recoveries on retail finance receivables of $3.0 billion; and (3) decreased purchases of leased vehicles of $0.3 billion; partially offset by (4) increased net purchases of retail finance receivables of $5.5 billion.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2016 Net cash used in investing activities increased due primarily to: (1) increased purchases of leased vehicles of $4.4 billion; and (2) increased purchases and funding of finance receivables of $1.9 billion; partially offset by (3) increased proceeds from the termination of leased vehicles of $1.5 billion; (4) increased collections on finance receivables of $1.4 billion; and (5) prior year impact of cash used for the acquisition of the equity interest in SAIC-GMAC of $0.9 billion.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Net cash provided by financing activities decreased due primarily to an increase in repayments of $12.4 billion and a special dividend payment to GM of $0.6 billion, partially offset by an increase in borrowings of $9.0 billion and the issuance of preferred stock of $1.0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ended December 31, 2016 Net cash provided by financing activities increased due primarily to a net increase in borrowings.</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We do not currently utilize off-balance sheet securitization arrangements. All trade or finance receivables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subject to securitization programs are recorded on our consolidated balance sheets at December 31, 2017 and 2016. Refer to Note 17 of our consolidated financial statements for detailed information related to guarantees we have provided and for our noncancelable operating lease obligations.</w:t>
      </w:r>
    </w:p>
    <w:p>
      <w:pPr>
        <w:spacing w:after="0" w:line="14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Contractual Obligations and Other Long-Term Liabilities </w:t>
      </w:r>
      <w:r>
        <w:rPr>
          <w:rFonts w:ascii="Arial" w:cs="Arial" w:eastAsia="Arial" w:hAnsi="Arial"/>
          <w:sz w:val="16"/>
          <w:szCs w:val="16"/>
          <w:color w:val="auto"/>
        </w:rPr>
        <w:t>We have minimum commitments under contractual obligations, including purchase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which include fixed or minimum obligations. The majority of our purchases are not included in the table as they are made under purchase orders which are requirements based and accordingly do not specify minimum quantities.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following table summarizes aggregated information about our outstanding contractual obligations and other long-term liabilities at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2023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13,282</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81,289</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11,501</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7,638</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Other contractual commitments: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w:t>
            </w:r>
          </w:p>
        </w:tc>
      </w:tr>
      <w:tr>
        <w:trPr>
          <w:trHeight w:val="243"/>
        </w:trPr>
        <w:tc>
          <w:tcPr>
            <w:tcW w:w="2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1,366</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car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r>
      <w:tr>
        <w:trPr>
          <w:trHeight w:val="243"/>
        </w:trPr>
        <w:tc>
          <w:tcPr>
            <w:tcW w:w="2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2,014</w:t>
            </w: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commitments(d)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123,375</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Non-contractual benefits(e)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11,471</w:t>
            </w: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2017.</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2017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OPEB payments under the current U.S. contractual labor agreements through 2019 and Canada labor agreements through 2021. These agreements are generally renegotiated in the year of expiration. Amounts do not include pension funding obligations, which are discussed in Note 16 to our consolidated financial statements.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2017.</w:t>
      </w:r>
    </w:p>
    <w:p>
      <w:pPr>
        <w:jc w:val="both"/>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2017 for OPEB obligations for salaried and hourly employees extending beyond the current North American union contract agreements, workers' compensation and extended disability benefits. Amounts do not include pension funding obligations, which are discussed in Note 16 to our consolidated financial statements.</w:t>
      </w:r>
    </w:p>
    <w:p>
      <w:pPr>
        <w:spacing w:after="0" w:line="158"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The table above does not reflect product warranty and related liabilities, certified pre-owned extended warranty and free maintenance of $9.1 billion and unrecognized tax benefits of $1.6 billion due to the uncertainty regarding the future cash outflows potentially associated with these amounts.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Accounting estimates are an integral part of the consolidated financial statements. These estimates require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Pension and OPEB Plans </w:t>
      </w:r>
      <w:r>
        <w:rPr>
          <w:rFonts w:ascii="Arial" w:cs="Arial" w:eastAsia="Arial" w:hAnsi="Arial"/>
          <w:sz w:val="17"/>
          <w:szCs w:val="17"/>
          <w:color w:val="auto"/>
        </w:rPr>
        <w:t>Our defined benefit pension plans are accounted for on an actuarial basis, which requires the selection of various assumptions,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 expected long-term rate of return on plan assets, a discount rate, mortality rates of participants and expectation of mortality improvement.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December 2017 an investment policy study was completed for the U.S. pension plans. As a result of changes to our capital market assumptions, primarily those related to the fixed income asset class, the weighted-average long-term rate of return on assets increased from 6.2% at December 31, 2016 to 6.6% at December 31, 2017. The assumption change related to the fixed income asset class is expected to increase the return on assets by $0.3 billion in 2018. The expected long-term rate of return on plan assets used in determining pension expense for non-U.S. plans is determined in a similar manner to the U.S. plans.</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have reviewed the mortality improvement tables published by the Society of Actuaries in the three months ended December 31, 2017 and determined that our current assumptions are appropriate to measure our December 31, 2017 U.S. pension plan obligations.</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$4.0 billion and $3.8 billion at December 31, 2017 and 2016. The year-over-year change is primarily due to the decrease in discount rates partially offset by assumption changes and the increase in actual return on assets. At December 31, 2017 $2.4 billion of the unamortized pre-tax actuarial loss is outside the corridor (10% of the projected benefit obligation (PBO)) and subject to amortization. The weighted-average amortization period is approximately fifteen years resulting in amortization expense of $0.2 billion in 2018.</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underfunded status of the U.S. pension plans decreased by $1.4 billion in the year ended December 31, 2017 to $5.8 billion due primarily to: (1) a favorable effect of actual returns on plan assets of $6.5 billion; (2) other favorable changes including contributions, demographic gains and assumption changes of $0.4 billion; partially offset by (3) an unfavorable effect due to a decrease in the discount rate of $3.2 billion; and (4) service and interest cost of $2.3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U.S. Plans(a)</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Non-U.S. Plans(a)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2018</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on 2018</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13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PBO</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sensitivity does not include the effects of the individual annual yield curve rates applied for the calculation of the service and interest cost.</w:t>
      </w:r>
    </w:p>
    <w:p>
      <w:pPr>
        <w:spacing w:after="0" w:line="20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16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Valuation of Deferred Tax Assets </w:t>
      </w:r>
      <w:r>
        <w:rPr>
          <w:rFonts w:ascii="Arial" w:cs="Arial" w:eastAsia="Arial" w:hAnsi="Arial"/>
          <w:sz w:val="16"/>
          <w:szCs w:val="16"/>
          <w:color w:val="auto"/>
        </w:rPr>
        <w:t>The ability to realize deferred tax assets depends on the ability to generate sufficient taxable income within the carryback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2017 total deferred tax assets were $30.7 billion and valuation allowances against those deferred tax assets were $6.7 billion. Refer to Note 18 to our consolidated financial statements for additional information on the composition of these valuation allowances and for information on the impact of U.S. tax reform legislation.</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Valuation of GM Financial Equipment on Operating Leases Assets and Residuals </w:t>
      </w:r>
      <w:r>
        <w:rPr>
          <w:rFonts w:ascii="Arial" w:cs="Arial" w:eastAsia="Arial" w:hAnsi="Arial"/>
          <w:sz w:val="16"/>
          <w:szCs w:val="16"/>
          <w:color w:val="auto"/>
        </w:rPr>
        <w:t>GM Financial has investments in leased vehicles recorded as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which relate to vehicle leases to retail customers with lease terms which typically range from two to five years. At the beginning of the lease an estimate is made of the expected residual value at the end of the lease term. The expected residual value is based on third-party data which considers inputs including recent auction values, the expected future volume of returning leased vehicles, used car prices, manufacturer incentive programs and fuel prices. The customer is obligated to make payments during the term of the lease for the difference between the purchase price and the contract residual value plus a money factor. Since the customer is not obligated to purchase the vehicle at the end of the contract, we are exposed to a risk of loss to the extent the customer returns the vehicle at the end of the lease term and the value of the vehicle is below the expected residual value estimated at the inception of the lease.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Trucks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SUVs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2017 the estimated residual value of our leased assets at the end of the lease term was $30.4 billion. We periodically review the adequacy of the depreciation rates. If we believe that the expected residual values of the leased assets have changed, we revise the depreciation rate to ensure the net investment in the operating leases reflects the revised estimate of expected residual value at the end of the lease term. Such adjustments to the depreciation rate would result in a change in depreciation expense on leased assets which is recorded prospectively on a straight-line basis. The following table illustrates the effect of a 1% change in the estimated residual values at December 31, 2017, which would increase or decrease depreciation expense over the remaining term of our operating lease portfolio, holding all other assumptions constant: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Impact to Depreciation</w:t>
            </w:r>
          </w:p>
        </w:tc>
      </w:t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72</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38</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evaluate the carrying value of the operating leases aggregated by vehicle make, year and model into leased asset groups, check for indicators of impairment and test for impairment to the extent necessary in accordance with applicable accounting standards. A leased asset group is considered impaired if impairment indicators exist and the undiscounted expected future cash flows (including the expected residual value) are lower than the carrying value of the asset group. We believe no impairment indicators existed during 2017, 2016 or 2015.</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Warranty and Recall Campaigns </w:t>
      </w:r>
      <w:r>
        <w:rPr>
          <w:rFonts w:ascii="Arial" w:cs="Arial" w:eastAsia="Arial" w:hAnsi="Arial"/>
          <w:sz w:val="18"/>
          <w:szCs w:val="18"/>
          <w:color w:val="auto"/>
        </w:rPr>
        <w:t>The estimates related to product warranties are established using historical information on the nature,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GMNA we primarily accrue the costs for recall campaigns at the time of vehicle sale. In the other regions, there is not sufficient historical data to support the application of an actuarial-based estimation technique and the estimated costs are accrued at the time when they are probable and reasonably estimable, which typically occurs once it is determined a specific recall campaign is needed and announced.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estimates related to recall campaigns accrued at the time of vehicle sale are established by applying a frequency times severity approach that considers the number of recall campaigns, the number of vehicles per recall campaign, the assumed number of vehicles that will be brought in by customers for repair (take rate) and the cost per vehicle for each recall campaign. These estimates consider the nature, frequency and magnitude of historical recall campaigns.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$0.3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7"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later of the time of sale or announcement of an incentive program to dealers. There may be numerous types of incentives available at any particular time, including a choice of incentives for a specific model. Incentive programs are generally brand specific, model specific or sales region specific and are for specified time periods, which may be extended. Significant factors used in estimating the cost of incentives include the volume of vehicles that will be affected by the incentive programs offered by product, the product mix, the rate of customer acceptance of any incentive program and the likelihood that an incentive program will be extended, all of which are estimated based on historical experience and assumptions concerning customer behavior and future market conditions. When an incentive program is announced, the number of vehicles in dealer inventory eligible for the incentive program is determined and a reduction of Automotive net sales and revenue is recorded in the period in which the program is announced. If the actual number of affected vehicles differs from this estimate, or if a different mix of incentives is actually paid, the reduction in Automotive net sales and revenue due to incentives could be affected. There are a multitude of inputs affecting the calculation of the estimate for sales incentives and an increase or decrease in any of these variables could have a significant effect on recorded sales incentives. On January 1, 2018, the date of our adoption of Accounting Standards Update (ASU) 2014-09, "Revenue from Contracts with Customers" (ASU 2014-09), sales incentives began to be recorded at the time of sale rather than at the later of sale or announcement. This change affected our processes for estimating and recording sales incentives. Refer to Note 2 to our consolidated financial statements for additional information on the adoption ASU 2014-09.</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2017 Form 10-K and in reports we subsequently file and have previously filed with the SEC on Forms 10-K and 10-Q</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timely fund and introduce new and improved vehicle models that are able to attract a sufficient number of consumers; (3) the success of our crossovers, SUVs and full-size pick-up trucks; (4) our ability to reduce the costs associated with the manufacture and sale of electric vehicles; (5) global automobile market sales volume, which can be volatile; (6) our significant business in China which subjects us to unique operational, competitive and regulatory risks; (7) our joint ventures, which we cannot operate solely for our benefit and over which we may have limited control; (8) the international scale and footprint of our operations which exposes us to a variety of political, economic and regulatory risks, including the risk of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regulations and difficulties in obtaining financing in foreign countries; (9) any significant disruption at one of our manufacturing facilities could disrupt our production schedule; (10) the ability of our suppliers to deliver parts, systems and components without disruption and at such times to allow us to meet production schedules; (11) prices of raw materials used by us and our suppliers; (12) our highly competitive industry, which is characterized by excess manufacturing capacity and the use of incentives and the introduction of new and improved vehicle models by our competitors; (13) the possibility that competitors may independently develop products and services similar to ours and there are no guarantees that our intellectual property rights would prevent competitors from independently developing or selling those products or services; (14) our ability to manage risks related to security breaches and other disruptions to our vehicles, information technology networks and systems; (15) our ability to comply with extensive laws and regulations applicable to our industry, including those regarding fuel economy and emissions; (16) costs and risks associated with litigation and government investigations; (17) our ability to comply with the terms of the DPA; (18) the cost and effect on our reputation of product safety recalls and alleged defects in products and services; (19) our ability to successfully and cost-effectively restructure our operations in various countries with minimal disruption; (20) our ability to realize production efficiencies and to achieve reductions in costs; (21) our continued ability to develop captive financing capability through GM Financial; and (22)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this 2017 Form 10-K and our subsequent filings with the SEC.</w:t>
      </w:r>
    </w:p>
    <w:p>
      <w:pPr>
        <w:spacing w:after="0" w:line="185"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The following analyses provide quantitative information regarding exposure to foreign currency exchange rate risk and interest rate risk.</w:t>
      </w:r>
      <w:r>
        <w:rPr>
          <w:rFonts w:ascii="Arial" w:cs="Arial" w:eastAsia="Arial" w:hAnsi="Arial"/>
          <w:sz w:val="18"/>
          <w:szCs w:val="18"/>
          <w:b w:val="1"/>
          <w:bCs w:val="1"/>
          <w:color w:val="auto"/>
        </w:rPr>
        <w:t xml:space="preserve"> </w:t>
      </w:r>
      <w:r>
        <w:rPr>
          <w:rFonts w:ascii="Arial" w:cs="Arial" w:eastAsia="Arial" w:hAnsi="Arial"/>
          <w:sz w:val="18"/>
          <w:szCs w:val="18"/>
          <w:color w:val="auto"/>
        </w:rPr>
        <w:t>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offsetting long-short positions in currency pairs or other exposures such as interest rates which may significantly reduce the potential loss in value.</w:t>
      </w:r>
    </w:p>
    <w:p>
      <w:pPr>
        <w:spacing w:after="0" w:line="18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Foreign Currency Exchange Rate Risk </w:t>
      </w:r>
      <w:r>
        <w:rPr>
          <w:rFonts w:ascii="Arial" w:cs="Arial" w:eastAsia="Arial" w:hAnsi="Arial"/>
          <w:sz w:val="17"/>
          <w:szCs w:val="17"/>
          <w:color w:val="auto"/>
        </w:rPr>
        <w:t>We have foreign currency exposures related to buying, selling and financing in currencies other than the functional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currencies of our operations. At December 31, 2017 our most significant foreign currency exposures were the U.S. Dollar/Canadian Dollar, U.S. Dollar/Mexican Peso, Euro/U.S. Dollar, U.S. Dollar/Chinese Yuan, Australian Dollar/U.S. Dollar and U.S. Dollar/Argentine Peso. Derivative instruments such as foreign currency forwards, swaps and options are used primarily to hedge exposures with respect to forecasted revenues, costs and commitments denominated in foreign currencies. Such contracts had remaining maturities of up to 12 months at December 31, 2017.</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net fair value liability of financial instruments with exposure to foreign currency risk was $0.8 billion at December 31, 2017 and 2016.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$0.1 billion and $0.2 billion at December 31, 2017 and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We had foreign currency derivatives in asset positions with notional amounts of $2.8 billion and $5.3 billion and in liability positions with notional amounts of $1.2 billion and $0.5 billion at December 31, 2017 and 2016. The fair value of these derivative financial instruments was insignificant. Fluctuations in foreign currency exchange rates can therefore create volatility in the results of operations and may adversely affect our financial condition.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amounts of automotive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Transaction and remeasurement losses recorded in earnings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225</w:t>
            </w: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market risk from exposure to changes in interest rates related to certain financial instruments, primarily debt,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obligations and certain marketable securities. We did not have any interest rate swap positions to manage interest rate exposures in our automotive operations at December 31, 2017 and 2016. The fair value liability of debt and capital leases was $15.1 billion and $11.4 billion at December 31, 2017 and 2016. The potential increase in fair value resulting from a 10% decrease in quoted interest rates would have been $0.7 billion and $0.5 billion at December 31, 2017 and 2016.</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had marketable securities of $8.3 billion and $11.8 billion classified as available-for-sale at December 31, 2017 and 2016. The potential decrease in fair value from a 50 basis point increase in interest rates would have had an insignificant effect at December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Fluctuations in market interest rates can affect GM Financial's gross interest rate spread, which is the difference between interest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finance receivables and interest paid on debt. Typically retail finance receivables purchased by GM Financial bear fixed interest rates and are funded by variable or fixed rate debt. Commercial finance receivables originated by GM Financial bear variable interest rates and are funded by variable rate debt. The variable rate debt is subject to adjustments to reflect prevailing market interest rates. To help mitigate interest rate risk or mismatched funding, GM Financial may employ hedging strategies to lock in the interest rate spread.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may be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Quantitative Disclosure </w:t>
      </w:r>
      <w:r>
        <w:rPr>
          <w:rFonts w:ascii="Arial" w:cs="Arial" w:eastAsia="Arial" w:hAnsi="Arial"/>
          <w:sz w:val="16"/>
          <w:szCs w:val="16"/>
          <w:color w:val="auto"/>
        </w:rPr>
        <w:t>We have historically presented a quantitative measure of our interest rate risk in a tabular disclosure of our interest-sensitive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liabilities. With the expansion of our International and North America Asset Liability Committees in 2015 to incorporate more asset-liability management strategies, we now measure the sensitivity of our net interest income to changes in interest rates by using interest rate scenarios that 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our analysis. Therefore, the actual impact to economic value of equity could be higher or lower than the results detailed in the table below. These interest rate scenarios are purely hypothetical and do not represent our view of future interest rate movements.</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Under these interest rate scenarios, we are asset-sensitive, meaning that we expect more assets than liabilities to re-price within the next twelve months. During a period of rising interest rates, the interest earned on our assets will increase more than the interest paid on our debt, which would initially increase our net interest income. During a period of falling interest rates, we would expect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net interest income to initially decrease. The following table presents our net interest income sensitivity to interest rate movement: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20" w:type="dxa"/>
            <w:vAlign w:val="bottom"/>
          </w:tcPr>
          <w:p>
            <w:pPr>
              <w:spacing w:after="0"/>
              <w:rPr>
                <w:sz w:val="22"/>
                <w:szCs w:val="22"/>
                <w:color w:val="auto"/>
              </w:rPr>
            </w:pPr>
          </w:p>
        </w:tc>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hundred basis points instantaneous increase in interest rates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One hundred basis points instantaneous decrease in interest rates(a)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43.9</w:t>
            </w:r>
          </w:p>
        </w:tc>
      </w:tr>
      <w:tr>
        <w:trPr>
          <w:trHeight w:val="220"/>
        </w:trPr>
        <w:tc>
          <w:tcPr>
            <w:tcW w:w="8800" w:type="dxa"/>
            <w:vAlign w:val="bottom"/>
            <w:gridSpan w:val="2"/>
          </w:tcPr>
          <w:p>
            <w:pPr>
              <w:jc w:val="right"/>
              <w:ind w:right="7890"/>
              <w:spacing w:after="0"/>
              <w:rPr>
                <w:sz w:val="20"/>
                <w:szCs w:val="20"/>
                <w:color w:val="auto"/>
              </w:rPr>
            </w:pPr>
            <w:r>
              <w:rPr>
                <w:rFonts w:ascii="Arial" w:cs="Arial" w:eastAsia="Arial" w:hAnsi="Arial"/>
                <w:sz w:val="16"/>
                <w:szCs w:val="16"/>
                <w:color w:val="auto"/>
                <w:w w:val="89"/>
              </w:rPr>
              <w:t>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340" w:right="2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15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Additional Model Assumptions </w:t>
      </w:r>
      <w:r>
        <w:rPr>
          <w:rFonts w:ascii="Arial" w:cs="Arial" w:eastAsia="Arial" w:hAnsi="Arial"/>
          <w:sz w:val="18"/>
          <w:szCs w:val="18"/>
          <w:color w:val="auto"/>
        </w:rPr>
        <w:t>The sensitivity analysis presented is our best estimate of the effect of the hypothetical interest rate scenarios; however,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actual results could differ. Our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Our prepayment projections are based on historical experience. If interest rates or other factors change, our actual prepayment experience could be different than projected.</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GM Financial is exposed to foreign currency risk due to the translation and remeasurement of the results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foreign currency swaps in asset positions with notional amounts of $2.8 billion and an insignificant amount and in liability positions with notional amounts of an insignificant amount and $0.8 billion at December 31, 2017 and 2016. The fair value of these derivative financial instruments was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Transaction and remeasurement losses recorded in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General Motors Company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6,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have audited the accompanying Consolidated Balance Sheets of General Motors Company and subsidiaries (the "Company") as of December 31, 2017 and 2016, the related Consolidated Statements of Income, Comprehensive Income, Cash Flows, and Equity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6,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ind w:left="62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0"/>
                <w:szCs w:val="20"/>
                <w:color w:val="auto"/>
              </w:rPr>
            </w:pPr>
          </w:p>
        </w:tc>
      </w:t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
        </w:trPr>
        <w:tc>
          <w:tcPr>
            <w:tcW w:w="4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133,449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129,864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5,861</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sales and revenue</w:t>
            </w: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4"/>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cost of sales</w:t>
            </w:r>
          </w:p>
        </w:tc>
        <w:tc>
          <w:tcPr>
            <w:tcW w:w="2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114,869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120,499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112,995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5,304</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0" w:type="dxa"/>
            <w:vAlign w:val="bottom"/>
          </w:tcPr>
          <w:p>
            <w:pPr>
              <w:spacing w:after="0"/>
              <w:rPr>
                <w:sz w:val="18"/>
                <w:szCs w:val="18"/>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135,572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139,222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130,187</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2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10,016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Automotive interest expense</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2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Gain on extinguishment of debt</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449</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income (Note 8)</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11,863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8,371</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 (benefit) (Note 18)</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11,533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Income from continuing operations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 (Note 3)</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(loss)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9,615</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520" w:type="dxa"/>
            <w:vAlign w:val="bottom"/>
            <w:gridSpan w:val="2"/>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9,687</w:t>
            </w:r>
          </w:p>
        </w:tc>
        <w:tc>
          <w:tcPr>
            <w:tcW w:w="20" w:type="dxa"/>
            <w:vAlign w:val="bottom"/>
            <w:tcBorders>
              <w:top w:val="single" w:sz="8" w:color="auto"/>
            </w:tcBorders>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5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56"/>
        </w:trPr>
        <w:tc>
          <w:tcPr>
            <w:tcW w:w="40" w:type="dxa"/>
            <w:vAlign w:val="bottom"/>
            <w:shd w:val="clear" w:color="auto" w:fill="CCEEFF"/>
          </w:tcPr>
          <w:p>
            <w:pPr>
              <w:spacing w:after="0"/>
              <w:rPr>
                <w:sz w:val="13"/>
                <w:szCs w:val="13"/>
                <w:color w:val="auto"/>
              </w:rPr>
            </w:pPr>
          </w:p>
        </w:tc>
        <w:tc>
          <w:tcPr>
            <w:tcW w:w="48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9,687</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4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 per share (Note 21)</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 xml:space="preserve">Basic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w w:val="99"/>
              </w:rPr>
              <w:t>Basic earnings (loss) per common share – discontinued operations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earnings (loss) per common share</w:t>
            </w:r>
          </w:p>
        </w:tc>
        <w:tc>
          <w:tcPr>
            <w:tcW w:w="2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1,586</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2"/>
        </w:trPr>
        <w:tc>
          <w:tcPr>
            <w:tcW w:w="40" w:type="dxa"/>
            <w:vAlign w:val="bottom"/>
            <w:shd w:val="clear" w:color="auto" w:fill="CCEEFF"/>
          </w:tcPr>
          <w:p>
            <w:pPr>
              <w:spacing w:after="0"/>
              <w:rPr>
                <w:sz w:val="10"/>
                <w:szCs w:val="10"/>
                <w:color w:val="auto"/>
              </w:rPr>
            </w:pPr>
          </w:p>
        </w:tc>
        <w:tc>
          <w:tcPr>
            <w:tcW w:w="488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7"/>
              </w:rPr>
              <w:t>Diluted earnings (loss) per common share – discontinued operations</w:t>
            </w:r>
          </w:p>
        </w:tc>
        <w:tc>
          <w:tcPr>
            <w:tcW w:w="2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Arial" w:cs="Arial" w:eastAsia="Arial" w:hAnsi="Arial"/>
                <w:sz w:val="16"/>
                <w:szCs w:val="16"/>
                <w:color w:val="auto"/>
              </w:rPr>
              <w:t>Diluted earnings (loss) per common share</w:t>
            </w:r>
          </w:p>
        </w:tc>
        <w:tc>
          <w:tcPr>
            <w:tcW w:w="28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9"/>
        </w:trPr>
        <w:tc>
          <w:tcPr>
            <w:tcW w:w="40" w:type="dxa"/>
            <w:vAlign w:val="bottom"/>
          </w:tcPr>
          <w:p>
            <w:pPr>
              <w:spacing w:after="0"/>
              <w:rPr>
                <w:sz w:val="24"/>
                <w:szCs w:val="24"/>
                <w:color w:val="auto"/>
              </w:rPr>
            </w:pPr>
          </w:p>
        </w:tc>
        <w:tc>
          <w:tcPr>
            <w:tcW w:w="8780" w:type="dxa"/>
            <w:vAlign w:val="bottom"/>
            <w:gridSpan w:val="7"/>
          </w:tcPr>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800" w:type="dxa"/>
            <w:vAlign w:val="bottom"/>
            <w:gridSpan w:val="3"/>
          </w:tcPr>
          <w:p>
            <w:pPr>
              <w:jc w:val="right"/>
              <w:ind w:right="1459"/>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88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9,615</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20)</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 and other</w:t>
            </w:r>
          </w:p>
        </w:tc>
        <w:tc>
          <w:tcPr>
            <w:tcW w:w="2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6"/>
                <w:szCs w:val="16"/>
                <w:color w:val="auto"/>
              </w:rPr>
              <w:t>Defined benefit plans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7,915</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9,671</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2"/>
                <w:szCs w:val="22"/>
                <w:color w:val="auto"/>
              </w:rPr>
            </w:pPr>
          </w:p>
        </w:tc>
      </w:tr>
      <w:tr>
        <w:trPr>
          <w:trHeight w:val="217"/>
        </w:trPr>
        <w:tc>
          <w:tcPr>
            <w:tcW w:w="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50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8,133</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9,724</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11420"/>
          </w:cols>
          <w:pgMar w:left="240" w:top="341" w:right="239" w:bottom="90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41" w:right="239" w:bottom="906"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8120" w:type="dxa"/>
            <w:vAlign w:val="bottom"/>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4)</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11,841</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 of allowance of $278 and $212)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12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20,521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16,127</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1,110</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4; Note 12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Current assets held for sale (Note 3)</w:t>
            </w: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11,178</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76,203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5; Note 12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8,996</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 (Note 9)</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32,603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 and intangible assets, net (Note 11)</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6,149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7; Note 12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34,342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 (Note 18)</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33,172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(Note 4; Note 12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Non-current assets held for sale (Note 3)</w:t>
            </w: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9,375</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145,487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212,482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221,690</w:t>
            </w:r>
          </w:p>
        </w:tc>
      </w:tr>
      <w:tr>
        <w:trPr>
          <w:trHeight w:val="73"/>
        </w:trPr>
        <w:tc>
          <w:tcPr>
            <w:tcW w:w="8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12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liabilities held for sale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14)</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12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16)</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Non-current liabilities held for sale (Note 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20)</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23,929</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23,333</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22,737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25,996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25,893</w:t>
            </w:r>
          </w:p>
        </w:tc>
      </w:tr>
      <w:tr>
        <w:trPr>
          <w:trHeight w:val="270"/>
        </w:trPr>
        <w:tc>
          <w:tcPr>
            <w:tcW w:w="5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12,158</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76,890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85,181</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10,987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9,500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56,267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41,826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5,803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13,746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15,264</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12,394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12,415</w:t>
            </w:r>
          </w:p>
        </w:tc>
      </w:tr>
      <w:tr>
        <w:trPr>
          <w:trHeight w:val="270"/>
        </w:trPr>
        <w:tc>
          <w:tcPr>
            <w:tcW w:w="5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7,626</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99,392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92,434</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176,282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177,615</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25,371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26,983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17,627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26,168</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(9,330)</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35,001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43,836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239</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36,200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44,075</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341"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11420"/>
          </w:cols>
          <w:pgMar w:left="240" w:top="341" w:right="239" w:bottom="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25"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9,590</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amortization and impairment charges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7,487</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remeasurement and transaction losses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w:t>
            </w: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Undistributed earnings of nonconsolidated affiliates, net</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Pension and OPEB (income) expense, net</w:t>
            </w:r>
          </w:p>
        </w:tc>
        <w:tc>
          <w:tcPr>
            <w:tcW w:w="3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Change in other operating assets and liabilities (Note 25)</w:t>
            </w:r>
          </w:p>
        </w:tc>
        <w:tc>
          <w:tcPr>
            <w:tcW w:w="3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(1,208)</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204"/>
        </w:trPr>
        <w:tc>
          <w:tcPr>
            <w:tcW w:w="7440" w:type="dxa"/>
            <w:vAlign w:val="bottom"/>
          </w:tcPr>
          <w:p>
            <w:pPr>
              <w:ind w:left="180"/>
              <w:spacing w:after="0"/>
              <w:rPr>
                <w:sz w:val="20"/>
                <w:szCs w:val="20"/>
                <w:color w:val="auto"/>
              </w:rPr>
            </w:pPr>
            <w:r>
              <w:rPr>
                <w:rFonts w:ascii="Arial" w:cs="Arial" w:eastAsia="Arial" w:hAnsi="Arial"/>
                <w:sz w:val="14"/>
                <w:szCs w:val="14"/>
                <w:color w:val="auto"/>
              </w:rPr>
              <w:t>Net cash provided by operating activities – continuing operations</w:t>
            </w: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16,993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12,610</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 –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20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17,328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16,607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11,769</w:t>
            </w:r>
          </w:p>
        </w:tc>
      </w:tr>
      <w:tr>
        <w:trPr>
          <w:trHeight w:val="209"/>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(6,813)</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(8,113)</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8,463</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1,758</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companies/investments, net of cash acquired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finance receivables, net</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(13,888)</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8,548</w:t>
            </w: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(19,180)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(15,096)</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0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 – continuing operations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(26,208)</w:t>
            </w:r>
          </w:p>
        </w:tc>
      </w:tr>
      <w:tr>
        <w:trPr>
          <w:trHeight w:val="1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used in investing activities – discontinued operations (Note 3)</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w:t>
            </w:r>
          </w:p>
        </w:tc>
      </w:tr>
      <w:tr>
        <w:trPr>
          <w:trHeight w:val="20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(27,710)</w:t>
            </w:r>
          </w:p>
        </w:tc>
      </w:tr>
      <w:tr>
        <w:trPr>
          <w:trHeight w:val="19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decrease in short-term debt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42,036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31,547</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(13,469)</w:t>
            </w: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Payments to purchase common stock</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(3,520)</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GM Financial preferred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(2,242)</w:t>
            </w: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04"/>
        </w:trPr>
        <w:tc>
          <w:tcPr>
            <w:tcW w:w="7440" w:type="dxa"/>
            <w:vAlign w:val="bottom"/>
          </w:tcPr>
          <w:p>
            <w:pPr>
              <w:ind w:left="180"/>
              <w:spacing w:after="0"/>
              <w:rPr>
                <w:sz w:val="20"/>
                <w:szCs w:val="20"/>
                <w:color w:val="auto"/>
              </w:rPr>
            </w:pPr>
            <w:r>
              <w:rPr>
                <w:rFonts w:ascii="Arial" w:cs="Arial" w:eastAsia="Arial" w:hAnsi="Arial"/>
                <w:sz w:val="14"/>
                <w:szCs w:val="14"/>
                <w:color w:val="auto"/>
              </w:rPr>
              <w:t>Net cash provided by financing activities – continuing operations</w:t>
            </w: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12,410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15,996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12,096</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 –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1,512</w:t>
            </w:r>
          </w:p>
        </w:tc>
      </w:tr>
      <w:tr>
        <w:trPr>
          <w:trHeight w:val="20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12,584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13,608</w:t>
            </w: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w:t>
            </w:r>
          </w:p>
        </w:tc>
      </w:tr>
      <w:tr>
        <w:trPr>
          <w:trHeight w:val="204"/>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(3,857)</w:t>
            </w: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21,189</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15,160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17,332</w:t>
            </w:r>
          </w:p>
        </w:tc>
      </w:tr>
      <w:tr>
        <w:trPr>
          <w:trHeight w:val="230"/>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 continuing operations at end of period (Note 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17,848</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14,487</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16,588</w:t>
            </w: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discontinued operations at end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Significant Non-cash Investing and Financing Activity</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property additions – 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3,970</w:t>
            </w: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Non-cash property additions – discontinued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706</w:t>
            </w: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business acquisition – continuing operations (Note 10)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4"/>
        </w:trPr>
        <w:tc>
          <w:tcPr>
            <w:tcW w:w="7440" w:type="dxa"/>
            <w:vAlign w:val="bottom"/>
          </w:tcPr>
          <w:p>
            <w:pPr>
              <w:ind w:left="40"/>
              <w:spacing w:after="0"/>
              <w:rPr>
                <w:sz w:val="20"/>
                <w:szCs w:val="20"/>
                <w:color w:val="auto"/>
              </w:rPr>
            </w:pPr>
            <w:r>
              <w:rPr>
                <w:rFonts w:ascii="Arial" w:cs="Arial" w:eastAsia="Arial" w:hAnsi="Arial"/>
                <w:sz w:val="14"/>
                <w:szCs w:val="14"/>
                <w:color w:val="auto"/>
              </w:rPr>
              <w:t>Non-cash proceeds on sale of discontinued operations (Note 3)</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4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1"/>
              <w:spacing w:after="0"/>
              <w:rPr>
                <w:sz w:val="20"/>
                <w:szCs w:val="20"/>
                <w:color w:val="auto"/>
              </w:rPr>
            </w:pPr>
            <w:r>
              <w:rPr>
                <w:rFonts w:ascii="Arial" w:cs="Arial" w:eastAsia="Arial" w:hAnsi="Arial"/>
                <w:sz w:val="13"/>
                <w:szCs w:val="13"/>
                <w:b w:val="1"/>
                <w:bCs w:val="1"/>
                <w:color w:val="auto"/>
                <w:w w:val="86"/>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Total Equity</w:t>
            </w: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36,024</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9,687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9,615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338</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Dividends declared or paid to noncontrolling interests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27,607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20,285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40,323</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9,268</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(1,353)</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Dividends declared or paid to noncontrolling interests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26,983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26,168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44,075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1,317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(4,492)</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GM Financial preferred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Dividends declared or paid to noncontrolling interests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25,371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17,627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36,200</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cars, trucks, crossovers and automobile parts worldwide. We also provide automotive financing services through GM Financial. We analyze the results of our continuing operations through the following segments: GMNA, GMI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On July 31, 2017 we closed the sale of our Opel and Vauxhall businesses and certain other assets in Europe (the Opel/Vauxhall Business) to Peugeot, S.A. (PSA Group). On October 31, 2017 we closed the sale of our European financing subsidiaries and branches (the Fincos, and together with the Opel/Vauxhall Business, the European Business) to Banque PSA Finance S.A. and BNP Paribas Personal Finance S.A. The European Business is presented as discontinued operations in our consolidated financial statements for all periods presented. The assets and liabilities of the European Business are presented as held for sale in our consolidated financial statements as of December 31, 2016. Unless otherwise indicated, information in these notes to the consolidated financial statements relates to our continuing operations. Refer to Note 3 for additional details regarding the disposal of the European Business.</w:t>
      </w:r>
    </w:p>
    <w:p>
      <w:pPr>
        <w:spacing w:after="0" w:line="16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are prepared in conformity with U.S. GAAP. All intercompany balances 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eliminated in consolidation. Except for per share amounts or as otherwise specified, amounts presented within tables are stated in millions.</w:t>
      </w:r>
    </w:p>
    <w:p>
      <w:pPr>
        <w:spacing w:after="0" w:line="12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Use of Estimates in the Preparation of the Financial Statements </w:t>
      </w:r>
      <w:r>
        <w:rPr>
          <w:rFonts w:ascii="Arial" w:cs="Arial" w:eastAsia="Arial" w:hAnsi="Arial"/>
          <w:sz w:val="17"/>
          <w:szCs w:val="17"/>
          <w:color w:val="auto"/>
        </w:rPr>
        <w:t>Accounting estimates are an integral part of the consolidated financial statements. These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include the effect of our tax attributes on GM Financial's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and provision for income taxes,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that follow are utilized by our automotive and automotive financing operations,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Automotive net sales and revenue primarily consist of revenue generated from the sale of vehicles. Vehicle sales are recorded when title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risks and rewards of ownership have passed to our customers. For the majority of our automotive sales this occurs when a vehicle is released to the carrier responsible for transporting it to a dealer and when collectability is reasonably assured. Vehicle sales are recorded when the vehicle is delivered to the dealer in most remaining cases. Provisions for recurring or announced dealer and customer sales and leasing incentives, consisting of allowances and rebates, are recorded as reductions to Automotive net sales and revenue at the time of vehicle sale. All other incentives, allowances and rebates related to vehicles previously sold are recorded as reductions to Automotive net sales and revenue when announced. Taxes assessed by various government entities, such as sales, use and value-added taxes, collected at the time of sale are excluded from Automotive net sales and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Vehicle sales to daily rental car companies with guaranteed repurchase obligations are accounted for as operating leases. Estimated lease revenue is recorded ratably over the estimated term of the lease based on the difference between net sales proceeds and the guaranteed repurchase amount. The difference between the cost of the vehicle and estimated residual value is depreciated on a straight-line basis over the estimated term of the lease.</w:t>
      </w:r>
    </w:p>
    <w:p>
      <w:pPr>
        <w:spacing w:after="0" w:line="16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Advertising and Promotion Expenditures </w:t>
      </w:r>
      <w:r>
        <w:rPr>
          <w:rFonts w:ascii="Arial" w:cs="Arial" w:eastAsia="Arial" w:hAnsi="Arial"/>
          <w:sz w:val="18"/>
          <w:szCs w:val="18"/>
          <w:color w:val="auto"/>
        </w:rPr>
        <w:t>Advertising and promotion expenditures, which are expensed as incurred in Automotive selling,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 were $4.3 billion, $4.6 billion and $4.4 billion in the years ended December 31, 2017, 2016 and 2015.</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Research and Development Expenditures </w:t>
      </w:r>
      <w:r>
        <w:rPr>
          <w:rFonts w:ascii="Arial" w:cs="Arial" w:eastAsia="Arial" w:hAnsi="Arial"/>
          <w:sz w:val="18"/>
          <w:szCs w:val="18"/>
          <w:color w:val="auto"/>
        </w:rPr>
        <w:t>Research and development expenditures, which are expensed as incurred in Automotive cost of sales, were $7.3</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$6.6 billion and $6.0 billion in the years ended December 31, 2017, 2016 and 2015. We enter into cost sharing arrangements with third parties or nonconsolidated affiliates for product-related research, engineering, design and development activities. Cost sharing payments and fees related to these arrangements are presented in Automotive cost of sales.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Cash Equivalents and Restricted Cash </w:t>
      </w:r>
      <w:r>
        <w:rPr>
          <w:rFonts w:ascii="Arial" w:cs="Arial" w:eastAsia="Arial" w:hAnsi="Arial"/>
          <w:sz w:val="18"/>
          <w:szCs w:val="18"/>
          <w:color w:val="auto"/>
        </w:rPr>
        <w:t>Cash equivalents are defined as short-term, highly-liquid investments with original maturities of 90 days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subject to contractual restrictions and not readily available are classified as restricted cash. We are required to post cash as collateral as part of certain agreements that we enter into as part of our operations.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A three-level valuation hierarchy, based upon observable and unobservable inputs, is used for fair value measurements.</w:t>
      </w:r>
      <w:r>
        <w:rPr>
          <w:rFonts w:ascii="Arial" w:cs="Arial" w:eastAsia="Arial" w:hAnsi="Arial"/>
          <w:sz w:val="16"/>
          <w:szCs w:val="16"/>
          <w:b w:val="1"/>
          <w:bCs w:val="1"/>
          <w:color w:val="auto"/>
        </w:rPr>
        <w:t xml:space="preserve"> </w:t>
      </w:r>
      <w:r>
        <w:rPr>
          <w:rFonts w:ascii="Arial" w:cs="Arial" w:eastAsia="Arial" w:hAnsi="Arial"/>
          <w:sz w:val="16"/>
          <w:szCs w:val="16"/>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 Financial instruments are transferred in and/or out of Level 1, 2 or 3 at the beginning of the accounting period in which there is a change in the valuation inputs.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We classify marketable securities as available-for-sale or trading. Various factors, including turnover of holdings and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are considered in determining the classification of securities. Available-for-sale securities are recorded at fair value with unrealized gains and losses recorded net of related income taxes in Accumulated other comprehensive loss until realized. Trading securities are recorded at fair value with changes in fair value recorded in Interest income and other non-operating income, net. We determine realized gains and losses for all securities using the specific identification method.</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measure the fair value of our marketable securities using a market approach where identical or comparable prices are available and an income approach in other cases. If quoted market prices are not available, fair values of securities are determined using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securities are other-than-temporary. Factors considered include the length of time and extent to which the fair value has been below cost, the financial condition and near-term prospects of the issuer and the intent to sell or likelihood to be forced to sell the security before any anticipated recovery.</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and Notes Receivable </w:t>
      </w:r>
      <w:r>
        <w:rPr>
          <w:rFonts w:ascii="Arial" w:cs="Arial" w:eastAsia="Arial" w:hAnsi="Arial"/>
          <w:sz w:val="18"/>
          <w:szCs w:val="18"/>
          <w:color w:val="auto"/>
        </w:rPr>
        <w:t>Accounts and notes receivable primarily consists of amounts that are due and payable from our customers for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parts, and accessories. We evaluate the collectability of receivables each reporting period and record an allowance for doubtful accounts representing our estimate of probable losses. Additions to the allowance are charged to bad debt expense reported in Automotive selling, general and administrative expense and were insignificant in the years ended December 31, 2017, 2016 and 2015.</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GM Financial Receivables </w:t>
      </w:r>
      <w:r>
        <w:rPr>
          <w:rFonts w:ascii="Arial" w:cs="Arial" w:eastAsia="Arial" w:hAnsi="Arial"/>
          <w:sz w:val="17"/>
          <w:szCs w:val="17"/>
          <w:color w:val="auto"/>
        </w:rPr>
        <w:t>Finance receivables are carried at amortized cost, net of allowance for loan losses. GM Financial uses a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forecasting models and management judgment to determine the collective allowance for loan losses. Factors that are considered when estimating the collective allowance include historical delinquency migration to loss, probability of default and loss given default. The loss confirmation period is a key assumption within the models and represents the average amount of time from when a loss event first occurs to when the receivable is charged off. GM Financial also considers an evaluation of overall portfolio credit quality based on various indicators.</w:t>
      </w:r>
    </w:p>
    <w:p>
      <w:pPr>
        <w:spacing w:after="0" w:line="17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finance receivables that become classified as troubled debt restructurings (TDRs) are separately assessed for impairment. A specific allowance is estimated based on the present value of the expected future cash flows of the receivable discounted at the loan's original effective interest rate.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finance receivables are generally charged off in the month in which the account becomes 120 days contractually delinquent if GM Financial has not yet recorded a repossession charge-off. A charge-off generally represents the difference between the estimated net sales proceeds and the amount of the contract, including accrued interest.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Net realizable value is the estimated selling price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less cost to sell, and considers general market and economic conditions, periodic reviews of current profitability of vehicles, product warranty costs and the effect of current and expected incentive offers at the balance sheet date. Net realizable value for off-lease and other vehicles is current auction sales proceeds less disposal and warranty costs. Productive material, supplies, work in process and service parts are reviewed to determine if inventory quantities are in excess of forecasted usage or if they have become obsolete.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on Operating Leases </w:t>
      </w:r>
      <w:r>
        <w:rPr>
          <w:rFonts w:ascii="Arial" w:cs="Arial" w:eastAsia="Arial" w:hAnsi="Arial"/>
          <w:sz w:val="18"/>
          <w:szCs w:val="18"/>
          <w:color w:val="auto"/>
        </w:rPr>
        <w:t>Equipment on operating leases, net is reported at cost, less accumulated depreciation and impairment, net of origination</w:t>
      </w:r>
      <w:r>
        <w:rPr>
          <w:rFonts w:ascii="Arial" w:cs="Arial" w:eastAsia="Arial" w:hAnsi="Arial"/>
          <w:sz w:val="18"/>
          <w:szCs w:val="18"/>
          <w:b w:val="1"/>
          <w:bCs w:val="1"/>
          <w:color w:val="auto"/>
        </w:rPr>
        <w:t xml:space="preserve"> </w:t>
      </w:r>
      <w:r>
        <w:rPr>
          <w:rFonts w:ascii="Arial" w:cs="Arial" w:eastAsia="Arial" w:hAnsi="Arial"/>
          <w:sz w:val="18"/>
          <w:szCs w:val="18"/>
          <w:color w:val="auto"/>
        </w:rPr>
        <w:t>fees or costs and lease incentives. Estimated income from operating lease assets, which includes lease origination fees, net of lease origination costs, is recorded as operating lease revenue on a straight-line basis over the term of the lease agreement. Leased vehicles are depreciated on a straight-line basis to an estimated residual value over the term of the lease agreements.</w:t>
      </w:r>
    </w:p>
    <w:p>
      <w:pPr>
        <w:spacing w:after="0" w:line="184"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Equipment on operating leases, net consists of vehicle leases to retail customers with lease terms of two to five years and vehicles leased to rental car companies with lease terms that average seven 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adequacy of the estimate of the residual value is evaluated over the life of the lease and adjustments may be made to the extent the expected value of the vehicle at lease termination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a leased vehicle asset group. If the carrying amount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is considered impaired an impairment charge is recorded for the amount by which the carrying amount exceeds fair value of the leased vehicle asset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 is determined primarily using the anticipated cash flows, including estimated residual values.</w:t>
      </w:r>
    </w:p>
    <w:p>
      <w:pPr>
        <w:spacing w:after="0" w:line="21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In our automotive operations when a leased vehicle is returned the asset is reclassified from Equipment on operating leases, net to Inventories at the lower of cost or estimated selling price, less costs to sell. Upon disposition, proceeds are recorded in Automotive net sales and revenue and costs are recorded in Automotive cost of sales. In our automotive finance operations when a leased vehicle is returned or repossessed the asset is recorded in Other assets at the lower of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and impairment charges related to Equipment on operating leases, net are recorded in Automotive cost of sales or GM Financial interest, operating and other expenses.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Valuation of Cost and Equity Method Investments </w:t>
      </w:r>
      <w:r>
        <w:rPr>
          <w:rFonts w:ascii="Arial" w:cs="Arial" w:eastAsia="Arial" w:hAnsi="Arial"/>
          <w:sz w:val="18"/>
          <w:szCs w:val="18"/>
          <w:color w:val="auto"/>
        </w:rPr>
        <w:t>When events and circumstances warrant, investments accounted for under the cost or equity method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are evaluated for impairment. An impairment charge is recorded whenever a decline in value of an investment below its carrying amount is determined to be other-than-temporary. Impairment charges related to equity method investments are recorded in Equity income. Impairment charges related to cost method investments are recorded in Interest income and other non-operating income, net.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Property, net </w:t>
      </w:r>
      <w:r>
        <w:rPr>
          <w:rFonts w:ascii="Arial" w:cs="Arial" w:eastAsia="Arial" w:hAnsi="Arial"/>
          <w:sz w:val="17"/>
          <w:szCs w:val="17"/>
          <w:color w:val="auto"/>
        </w:rPr>
        <w:t>Property, plant and equipment, including internal use software, is recorded at cost. Major improvements that extend the useful life or add</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functionality are capitalized. The gross amount of assets under capital leases is included in property, plant and equipment.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cost of sales, Automotive selling, general and administrative expense or GM Financial interest, operating and other expenses.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Tools </w:t>
      </w:r>
      <w:r>
        <w:rPr>
          <w:rFonts w:ascii="Arial" w:cs="Arial" w:eastAsia="Arial" w:hAnsi="Arial"/>
          <w:sz w:val="18"/>
          <w:szCs w:val="18"/>
          <w:color w:val="auto"/>
        </w:rPr>
        <w:t>Special tools represent product-specific powertrain and non-powertrain related tools, dies, molds and other items used in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cost of sales.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is not amortized but rather tested for impairment annually on October 1 or when events occur or circumstances change that would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such a review. A multi-step impairment test is used to identify potential goodwill impairment. Impairment exists when the carrying amount of goodwill exceeds its implied fair value. Because the fair value of goodwill can be measured only as a residual amount and cannot be determined directly we calculate the implied goodwill for those reporting units failing Step 1 in the same manner that goodwill is recognized in a business combination pursuant to Accounting Standards Codification (ASC) 805.</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Intangible Assets, net </w:t>
      </w:r>
      <w:r>
        <w:rPr>
          <w:rFonts w:ascii="Arial" w:cs="Arial" w:eastAsia="Arial" w:hAnsi="Arial"/>
          <w:sz w:val="16"/>
          <w:szCs w:val="16"/>
          <w:color w:val="auto"/>
        </w:rPr>
        <w:t>Intangible assets, excluding goodwill, primarily include brand names, technology and intellectual property, customer relationships and</w:t>
      </w:r>
      <w:r>
        <w:rPr>
          <w:rFonts w:ascii="Arial" w:cs="Arial" w:eastAsia="Arial" w:hAnsi="Arial"/>
          <w:sz w:val="16"/>
          <w:szCs w:val="16"/>
          <w:b w:val="1"/>
          <w:bCs w:val="1"/>
          <w:color w:val="auto"/>
        </w:rPr>
        <w:t xml:space="preserve"> </w:t>
      </w:r>
      <w:r>
        <w:rPr>
          <w:rFonts w:ascii="Arial" w:cs="Arial" w:eastAsia="Arial" w:hAnsi="Arial"/>
          <w:sz w:val="16"/>
          <w:szCs w:val="16"/>
          <w:color w:val="auto"/>
        </w:rPr>
        <w:t>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Amortization of developed technology and intellectual property is recorded in Automotive cost of sales. Amortization of brand names, customer relationships and our dealer networks is recorded in Automotive selling, general and administrative expense or GM Financial interest, operating and other expenses. Impairment charges related to intangible assets are recorded in Automotive selling, general and administrative expense or Automotive cost of sales.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Valuation of Long-Lived Assets </w:t>
      </w:r>
      <w:r>
        <w:rPr>
          <w:rFonts w:ascii="Arial" w:cs="Arial" w:eastAsia="Arial" w:hAnsi="Arial"/>
          <w:sz w:val="18"/>
          <w:szCs w:val="18"/>
          <w:color w:val="auto"/>
        </w:rPr>
        <w:t>The carrying amount of long-lived assets and finite-lived intangible assets to be held and used in the business is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discounted at a rate commensurate with the risk involved. Long-lived assets to be disposed of other than by sale are considered held for use until disposition.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Attribution, Methods and Assumptions </w:t>
      </w:r>
      <w:r>
        <w:rPr>
          <w:rFonts w:ascii="Arial" w:cs="Arial" w:eastAsia="Arial" w:hAnsi="Arial"/>
          <w:sz w:val="18"/>
          <w:szCs w:val="18"/>
          <w:color w:val="auto"/>
        </w:rPr>
        <w:t>The cost of benefits provided by defined benefit pension plans is recorded in the period employees provide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bond yield curve to determine the present value of cash flows to calculate a single equivalent discount rate. Effective 2016 we applied the individual annual yield curve rates instead of the single equivalent discount rate to determine the service cost and interest cost for our pension and OPEB plans. This refinement more specifically links the cash flows related to service cost and interest cost to bonds maturing in their year of payment.</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benefit obligation for pension plans in Canada, the U.K. and Germany represents 92% of the non-U.S. pension benefit obligation at December 31, 2017. The discount rates for plans in Canada, the U.K. and Germany are determined using a cash flow matching approach similar to the U.S.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Plan Asset Valuation </w:t>
      </w:r>
      <w:r>
        <w:rPr>
          <w:rFonts w:ascii="Arial" w:cs="Arial" w:eastAsia="Arial" w:hAnsi="Arial"/>
          <w:sz w:val="18"/>
          <w:szCs w:val="18"/>
          <w:color w:val="auto"/>
        </w:rPr>
        <w:t>Due to the lack of timely available market information for certain investments in the asset classes described below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uncertainty of valuation, reported fair values may differ from fair values that would have been used had timely available market information been available.</w:t>
      </w:r>
    </w:p>
    <w:p>
      <w:pPr>
        <w:spacing w:after="0" w:line="18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i w:val="1"/>
          <w:iCs w:val="1"/>
          <w:color w:val="auto"/>
        </w:rPr>
        <w:t xml:space="preserve">Common and Preferred Stock </w:t>
      </w:r>
      <w:r>
        <w:rPr>
          <w:rFonts w:ascii="Arial" w:cs="Arial" w:eastAsia="Arial" w:hAnsi="Arial"/>
          <w:sz w:val="16"/>
          <w:szCs w:val="16"/>
          <w:color w:val="auto"/>
        </w:rPr>
        <w:t>Common and preferred stock for which market prices are readily available at the measurement date are valued at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among others,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among others, aged (stale) pricing, earnings multiples, discounted cash flows and/or other qualitative and quantitative factors.</w:t>
      </w:r>
    </w:p>
    <w:p>
      <w:pPr>
        <w:spacing w:after="0" w:line="16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Valuations for debt securities are based on quotations received from independent pricing services or from dealers who make markets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Investment Funds, Private Equity and Debt Investments and Real Estate Investments </w:t>
      </w:r>
      <w:r>
        <w:rPr>
          <w:rFonts w:ascii="Arial" w:cs="Arial" w:eastAsia="Arial" w:hAnsi="Arial"/>
          <w:sz w:val="18"/>
          <w:szCs w:val="18"/>
          <w:color w:val="auto"/>
        </w:rPr>
        <w:t>Investment funds, private equity and debt investments and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valued based on the Net Asset Value (NAV) per Share (or its equivalent) as a practical expedient to estimate fair value due to the absence of readily available market prices.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Our stock incentive plans include RSUs, RSAs, PSUs and stock options. We measure and record compensation expense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of our common stock on the date of grant for RSUs, RSAs and PSUs with performance conditions and the grant date fair value of stock options and PSUs with market conditions are determined utilizing a lattice model or the Black-Scholes formula. Compensation cost for awards that do not have an established accounting grant date is based on the fair value of our common stock at the end of each reporting period. We record compensation cost for RSUs, RSAs, PSUs and service-based stock options on a straight-line basis over the entire vesting period, or for retirement eligible employees over the requisite service period. We use the graded vesting method to record compensation cost for stock options with market conditions over the lesser of the vesting period or the time period an employee becomes eligible to retain the award at retirement. The liability for stock incentive plan awards settled in cash is remeasured to fair value at the end of each reporting period.</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Warranty and Recall Campaigns </w:t>
      </w:r>
      <w:r>
        <w:rPr>
          <w:rFonts w:ascii="Arial" w:cs="Arial" w:eastAsia="Arial" w:hAnsi="Arial"/>
          <w:sz w:val="18"/>
          <w:szCs w:val="18"/>
          <w:color w:val="auto"/>
        </w:rPr>
        <w:t>The estimated costs related to product warranties are accrued at the time products are sold and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18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estimated costs related to recall campaigns are generally accrued at the time of vehicle sale in GMNA by applying a frequency times severity approach that considers the number of historical recall campaigns, the number of vehicles per recall campaign, the estimated number of vehicles to be repaired and the cost per vehicle for each recall campaign. The estimated costs associated with recall campaigns in other geographical regions are accrued when probable and estimable using the estimated costs of repairs and the estimated number of vehicles to be repaired. Costs associated with recall campaigns are charged to Automotive cost of sales. Revisions are made when necessary based on changes in these factors.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liability method is used in accounting for income taxes. Deferred tax assets and liabilities are recorded for temporary differences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recorded in the results of operations in the period that includes the enactment date under the law.</w:t>
      </w:r>
    </w:p>
    <w:p>
      <w:pPr>
        <w:spacing w:after="0" w:line="18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Foreign Currency Transactions and Translation </w:t>
      </w:r>
      <w:r>
        <w:rPr>
          <w:rFonts w:ascii="Arial" w:cs="Arial" w:eastAsia="Arial" w:hAnsi="Arial"/>
          <w:sz w:val="18"/>
          <w:szCs w:val="18"/>
          <w:color w:val="auto"/>
        </w:rPr>
        <w:t>The assets and liabilities of foreign subsidiaries that use the local currency as their functional currency are</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translated to U.S. Dollars based on the current exchange rate prevailing at each balance sheet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cost of sales and GM Financial interest, operating and other expenses unless related to Automotive debt, which are recorded in Interest income and other non-operating income, net. Foreign currency transaction and remeasurement losses were $52 million, $229 million and $806 million in the years ended December 31, 2017, 2016 and 2015.</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Derivative financial instruments are recognized as either assets or liabilities at fair value. The accounting for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each derivative financial instrument depends on whether it has been designated and qualifies as an accounting hedge, as well as the type of hedging relationship identified. Derivative instruments are not used for trading or speculative purposes.</w:t>
      </w:r>
    </w:p>
    <w:p>
      <w:pPr>
        <w:spacing w:after="0" w:line="1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We utilize options, swaps and forward contracts to manage foreign currency, commodity price and interest rate risks. The change in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and forward contracts not designated as hedges is recorded in Interest income and other non-operating income, net. Cash flows for all derivative financial instruments are classified in cash flows from operating activities.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Certain foreign currency and commodity forward contracts have been designated as cash flow hedges. The risk being hedged is the foreign currency and commodity price risk related to forecasted transactions. If the contract has been designated as a cash flow hedge, the effective portion of changes in the fair value of the cash flow hedge is deferred in Accumulated other comprehensive loss and is recognized in Automotive cost of sales when the hedged item affects earnings. Any ineffective portion is recorded in Automotive cost of sales in the period of remeasurement.</w:t>
      </w:r>
    </w:p>
    <w:p>
      <w:pPr>
        <w:spacing w:after="0" w:line="17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The estimated dividend yield is adjusted based on the terms of the Agreement. Under the terms of the Agreement upon exercise of the warrants we are entitled to receive any dividends by PSA between the issuance date and the conversion date. Gains or losses as a result of the change in the fair value of the PSA warrants are recorded in Interest income and other non-operating income, net.</w:t>
      </w:r>
    </w:p>
    <w:p>
      <w:pPr>
        <w:spacing w:after="0" w:line="17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Automotive Financing - GM Financial </w:t>
      </w:r>
      <w:r>
        <w:rPr>
          <w:rFonts w:ascii="Arial" w:cs="Arial" w:eastAsia="Arial" w:hAnsi="Arial"/>
          <w:sz w:val="16"/>
          <w:szCs w:val="16"/>
          <w:color w:val="auto"/>
        </w:rPr>
        <w:t>GM Financial utilizes interest rate derivative instruments to manage interest rate risk and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instruments to manage foreign currency risk. The change in fair value of the derivative instruments not designated as hedges is recorded in GM Financial interest, operating and other expenses. Cash flows for all derivative financial instruments are classified in cash flows from operating activities.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Certain interest rate swap agreements have been designated as fair value hedges of fixed-rate debt. The risk being hedged is the risk of changes in the fair value of the hedged debt attributable to changes in the benchmark interest rate. If the swap has been designated as a fair value hedge, the changes in the fair value of the hedged debt are recorded in GM Financial interest, operating and other expenses. The change in fair value of the related derivative (excluding accrued interest) is also recorded in GM Financial interest, operating and other expenses.</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Certain interest rate swap and foreign currency swap agreements have been designated as cash flow hedges. The risk being hedged is the foreign currency and interest rate risk related to forecasted transactions. If the contract has been designated as a cash flow hedge, the effective portion of changes in the fair value of the cash flow hedge is deferred in Accumulated other comprehensive loss and is recognized in GM Financial interest, operating and other expenses when the hedged item affects earnings. Any ineffective portion is recorded in GM Financial interest, operating and other expenses in the period of remeasurement.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Accounting Standards Not Yet Adopted </w:t>
      </w:r>
      <w:r>
        <w:rPr>
          <w:rFonts w:ascii="Arial" w:cs="Arial" w:eastAsia="Arial" w:hAnsi="Arial"/>
          <w:sz w:val="17"/>
          <w:szCs w:val="17"/>
          <w:color w:val="auto"/>
        </w:rPr>
        <w:t>In May 2014 the Financial Accounting Standards Board (FASB) issued ASU 2014-09, which requires us to</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 revenue when a customer obtains control rather than when we have transferred substantially all risks and rewards of a good or service and requires expanded disclosures. ASU 2014-09, as amended, became effective for us on January 1, 2018. ASU 2014-09 affected the amount and timing of certain revenue related transactions primarily resulting from the earlier recognition of certain sales incentives and fixed fee technology arrangements. Upon adoption of ASU 2014-09 sales incentives are recorded at the time of sale rather than at the later of sale or announcement and fixed fee technology arrangements are recognized when access to intellectual property is granted instead of over the contract period. Certain transactions with daily rental car companies may also qualify to be accounted for as a sale as opposed to the current accounting as an operating lease. We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adopted the provisions of ASU 2014-09 on a modified retrospective basis through a cumulative adjustment to Equity. The adoption impact of ASU 2014-09 will be a reduction to Equity of approximately $1.0 billion effective January 1, 2018.</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(ASU 2016-01), which requires equity investments that are not accounted for under the equity method of accounting to be measured at fair value with changes recognized in Net income and which updates certain presentation and disclosure requirements. ASU 2016-01 became effective for us beginning January 1, 2018 and required a cumulative-effect adjustment for certain items upon adoption. The adoption of ASU 2016-01 was not material to our consolidated financial statements.</w:t>
      </w:r>
    </w:p>
    <w:p>
      <w:pPr>
        <w:spacing w:after="0" w:line="15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February 2016 the FASB issued ASU 2016-02, "Leases" (ASU 2016-02), which requires us as the lessee to recognize most leases on the balance sheet thereby resulting in the recognition of lease assets and liabilities for those leases currently classified as operating leases. The accounting for leases where we are the lessor remains largely unchanged. ASU 2016-02 is effective for us beginning January 1, 2019 with early adoption permitted. We are continuing to assess the impact of ASU 2016-02 as we proceed with implementation activities to permit adoption on January 1, 2019.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17.</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that requires entities to use a new impairment model based on expected losses. Under this new model an entity would recognize an impairment allowance equal to its current estimate of credit losses on financial assets measured at amortized cost. ASU 2016-13 is effective for us beginning January 1, 2020 with early adoption permitted. Credit losses under the new model will consider relevant information about past events, current conditions and reasonable and supportable forecasts, resulting in recognition of lifetime expected credit losses by GM Financial upon loan origination as compared to our current accounting that recognizes credit losses as incurred. We are currently evaluating new processes to calculate credit losses in accordance with ASU 2016-13 that, once completed, will determine the impact on our consolidated financial statements which at the date of adoption will increase the allowance for credit losses with a resulting negative adjustment to Retained earnings.</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Payments" (ASU 2016-15), clarifying guidance on the classification of certain cash receipts and payments in the statement of cash flows. The adoption of ASU 2016-15 on January 1, 2018 did not have a material impact on our consolidated financial statements.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which requires that the service cost component of net periodic pension and OPEB (income) expense be presented in the same income statement line item as other employee compensation costs, while the remaining components of net periodic pension and OPEB (income) expense are to be presented outside operating income. ASU 2017-07 became effective for us on a retrospective basis on January 1, 2018 and will result in a decrease to Operating income and an increase to Interest income and other non-operating income, net of $1.3 billion for the years ended December 31, 2017 and 2016.</w:t>
      </w:r>
    </w:p>
    <w:p>
      <w:pPr>
        <w:spacing w:after="0" w:line="19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(ASU 2017-12), which simplifies the application of hedge accounting and more closely aligns hedge accounting with companies' risk management strategies thereby making more hedging strategies eligible for hedge accounting. ASU 2017-12 permits hedge accounting for specific risks in hedging relationships involving nonfinancial risk and interest rate risk. The simplifications to the application of hedge accounting may result in the future expansion of our use of hedge accounting. ASU 2017-12 became effective for us on January 1, 2018. ASU 2017-12 expanded disclosure requirements and required a cumulative-effect adjustment for certain items upon adoption. The adoption of ASU 2017-12 was not material to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On March 5, 2017 we entered into the Agreement to sell our European Business to PSA Group. On July 31, 2017 we closed the sale of our Opel/Vauxhall Business to PSA Group and on October 31, 2017 we closed the sale of the Fincos to Banque PSA Finance S.A. and BNP Paribas Personal Finance S.A.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net consideration paid at closing for the European Business was $2.5 billion, consisting of (1) $2.2 billion in cash; and (2) $808 million in warrants in PSA Group; partially offset by (3) the $455 million de-risking premium payment made to PSA Group for assuming certain underfunded pension liabilities. The warrants are not exercisable for five years and do not include any governance or voting rights with respect to PSA Group. In addition, we agreed to sell the shares of PSA Group received upon exercise of the warrants within 35 days after exercise. The purchase price is subject to certain working capital adjustments as provided in the Agreement.</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total charge from the sale of the European Business was $6.2 billion, net of tax, of which $3.9 billion is recorded in Income (loss) from discontinued operations, net of tax, and $2.3 billion is recorded in Income tax expense. The charge relates to: (1) $4.3 billion of deferred tax assets that will no longer be realizable or that transferred to PSA Group; (2) $1.5 billion related to previously deferred pension losses and payment of the de-risking premium to PSA Group for its assumption of certain underfunded pension liabilities; (3) a pre-tax disposal loss of $525 million as a result of the sale of the Fincos, which includes the recognition of $197 million of foreign currency translation losses; (4) a pre-tax charge of $421 million for the cancellation of production programs resulting from the convergence of vehicle platforms between the European Business and PSA Group; and (5) other insignificant costs to support the separation of operations to be provided for a period of time following closing; partially offset by proceeds.</w:t>
      </w:r>
    </w:p>
    <w:p>
      <w:pPr>
        <w:spacing w:after="0" w:line="19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17 to our consolidated financial statements for further details related to the working capital adjustments and indemnity provided by the Seller to PSA Group.</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retained net underfunded pension liabilities of $6.8 billion owed primarily to current pensioners and former employees of the European Business with vested pension rights. PSA Group assumed, pursuant to the Agreement, approximately $3.1 billion of net underfunded pension liabilities primarily with respect to active employees of the Opel/Vauxhall Business, and during the year ended December 31, 2017 the Seller made payments to PSA Group, or one or more pension funding vehicles, of $3.4 billion in respect of these assumed liabilities, which includes pension funding payments for active employees and the de-risking premium payment of $455 million discussed above. At closing we drew upon our three-year unsecured revolving credit facility to fund these payments. We issued debt securities, as described in Note 14, thereafter to repay the amount drawn on our credit facility. As part of the retained pension liabilities described above, we retained the U.K. defined benefit pension plans in existence at signing related to the Opel/Vauxhall Business, including responsibility for service cost accruals through the closing date. Those plans with active participants closed to future accrual as of July 30, 2017. Any future service cost accruals on and from the closing date will be the responsibility of PSA Group.</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agreed to purchase from and supply to PSA Group certain vehicles for a period of time following closing. During the year ended December 31, 2017 Total net sales and revenue of $853 million and purchases and expenses of $218 million related to transactions with the Opel/Vauxhall Business that would have been eliminated in consolidation prior to the sale of the Opel/Vauxhall Business were included in continuing operations. During the year ended December 31, 2017 cash payments were $242 million and cash receipts of $1.2 billion were recorded in Net cash provided by operating cash flows - continuing operations related to transactions with the Opel/Vauxhall Business.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net sales and revenue</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19,075</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GM Financial net sales and revenue</w:t>
            </w:r>
          </w:p>
        </w:tc>
        <w:tc>
          <w:tcPr>
            <w:tcW w:w="12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19,648</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Automotive cost of sales</w:t>
            </w:r>
          </w:p>
        </w:tc>
        <w:tc>
          <w:tcPr>
            <w:tcW w:w="12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11,049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18,894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18,343</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interest, operating and other expenses</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Automotive selling, general, and administrative expense</w:t>
            </w:r>
          </w:p>
        </w:tc>
        <w:tc>
          <w:tcPr>
            <w:tcW w:w="12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and (expense) items</w:t>
            </w:r>
          </w:p>
        </w:tc>
        <w:tc>
          <w:tcPr>
            <w:tcW w:w="1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Loss from discontinued operations before taxes</w:t>
            </w: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discontinued operations before taxes(a)(b)</w:t>
            </w:r>
          </w:p>
        </w:tc>
        <w:tc>
          <w:tcPr>
            <w:tcW w:w="1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loss from discontinued operations before taxes</w:t>
            </w: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(benefit)(b)(c)</w:t>
            </w:r>
          </w:p>
        </w:tc>
        <w:tc>
          <w:tcPr>
            <w:tcW w:w="1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126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contract cancellation charges associated with the disposal for the year ended December 31, 2017.</w:t>
      </w:r>
    </w:p>
    <w:p>
      <w:pPr>
        <w:sectPr>
          <w:pgSz w:w="11900" w:h="16838" w:orient="portrait"/>
          <w:cols w:equalWidth="0" w:num="1">
            <w:col w:w="11420"/>
          </w:cols>
          <w:pgMar w:left="240" w:top="3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Total loss on sale of discontinued operations, net of tax was $3.9 billion for the year ended December 31, 2017.</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Includes $2.0 billion of deferred tax assets that transferred to PSA Group in the year ended December 31, 2017.</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of the European Business at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December 31, 2016</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Accounts and notes receivable, net</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938</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2,748</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382</w:t>
            </w:r>
          </w:p>
        </w:tc>
      </w:tr>
      <w:tr>
        <w:trPr>
          <w:trHeight w:val="33"/>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 held for sale</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11,178</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3,723</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3,217</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33"/>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 held for sale</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9,375</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 Held for Sale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20,553</w:t>
            </w:r>
          </w:p>
        </w:tc>
      </w:tr>
      <w:tr>
        <w:trPr>
          <w:trHeight w:val="244"/>
        </w:trPr>
        <w:tc>
          <w:tcPr>
            <w:tcW w:w="9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(principally trade)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3,628</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Short-term debt and current portion of long-term debt</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Automotive</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24"/>
        </w:trPr>
        <w:tc>
          <w:tcPr>
            <w:tcW w:w="9020" w:type="dxa"/>
            <w:vAlign w:val="bottom"/>
          </w:tcPr>
          <w:p>
            <w:pPr>
              <w:ind w:left="280"/>
              <w:spacing w:after="0"/>
              <w:rPr>
                <w:sz w:val="20"/>
                <w:szCs w:val="20"/>
                <w:color w:val="auto"/>
              </w:rPr>
            </w:pPr>
            <w:r>
              <w:rPr>
                <w:rFonts w:ascii="Arial" w:cs="Arial" w:eastAsia="Arial" w:hAnsi="Arial"/>
                <w:sz w:val="16"/>
                <w:szCs w:val="16"/>
                <w:color w:val="auto"/>
              </w:rPr>
              <w:t>GM Financial</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5,124</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w:t>
            </w:r>
          </w:p>
        </w:tc>
      </w:tr>
      <w:tr>
        <w:trPr>
          <w:trHeight w:val="217"/>
        </w:trPr>
        <w:tc>
          <w:tcPr>
            <w:tcW w:w="9020" w:type="dxa"/>
            <w:vAlign w:val="bottom"/>
          </w:tcPr>
          <w:p>
            <w:pPr>
              <w:ind w:left="180"/>
              <w:spacing w:after="0"/>
              <w:rPr>
                <w:sz w:val="20"/>
                <w:szCs w:val="20"/>
                <w:color w:val="auto"/>
              </w:rPr>
            </w:pPr>
            <w:r>
              <w:rPr>
                <w:rFonts w:ascii="Arial" w:cs="Arial" w:eastAsia="Arial" w:hAnsi="Arial"/>
                <w:sz w:val="16"/>
                <w:szCs w:val="16"/>
                <w:color w:val="auto"/>
              </w:rPr>
              <w:t>Total current liabilities held for sale</w:t>
            </w: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12,158</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Automotive</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24"/>
        </w:trPr>
        <w:tc>
          <w:tcPr>
            <w:tcW w:w="9020" w:type="dxa"/>
            <w:vAlign w:val="bottom"/>
          </w:tcPr>
          <w:p>
            <w:pPr>
              <w:ind w:left="280"/>
              <w:spacing w:after="0"/>
              <w:rPr>
                <w:sz w:val="20"/>
                <w:szCs w:val="20"/>
                <w:color w:val="auto"/>
              </w:rPr>
            </w:pPr>
            <w:r>
              <w:rPr>
                <w:rFonts w:ascii="Arial" w:cs="Arial" w:eastAsia="Arial" w:hAnsi="Arial"/>
                <w:sz w:val="16"/>
                <w:szCs w:val="16"/>
                <w:color w:val="auto"/>
              </w:rPr>
              <w:t>GM Financial</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4,189</w:t>
            </w:r>
          </w:p>
        </w:tc>
      </w:tr>
      <w:tr>
        <w:trPr>
          <w:trHeight w:val="33"/>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Pensions</w:t>
            </w:r>
          </w:p>
        </w:tc>
        <w:tc>
          <w:tcPr>
            <w:tcW w:w="3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2,687</w:t>
            </w:r>
          </w:p>
        </w:tc>
      </w:tr>
      <w:tr>
        <w:trPr>
          <w:trHeight w:val="224"/>
        </w:trPr>
        <w:tc>
          <w:tcPr>
            <w:tcW w:w="902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8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33"/>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 held for sale</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7,626</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Liabilities Held for Sale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19,784</w:t>
            </w: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securities which approximates cost: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 cash equivalents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(a)  Excludes mortgage and asset-backed securities.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$5.6 billion, $8.5 billion and $7.9 billion in the years ended December 31, 2017, 2016 and 2015. Net unrealized gains and losses on available-for-sale securities and realized gains and losses on trading securities were insignificant in the years ended December 31, 2017, 2016 and 2015. Cumulative unrealized gains and losses on available-for-sale securities were insignificant at December 31, 2017 and 2016.</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580" w:type="dxa"/>
            <w:vAlign w:val="bottom"/>
            <w:vMerge w:val="restart"/>
          </w:tcPr>
          <w:p>
            <w:pPr>
              <w:jc w:val="right"/>
              <w:ind w:right="223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39"/>
        </w:trPr>
        <w:tc>
          <w:tcPr>
            <w:tcW w:w="4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30,486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31,986</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of fees</w:t>
            </w:r>
          </w:p>
        </w:tc>
        <w:tc>
          <w:tcPr>
            <w:tcW w:w="2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1,947</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33,933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33,128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33,181</w:t>
            </w:r>
          </w:p>
        </w:tc>
      </w:tr>
      <w:tr>
        <w:trPr>
          <w:trHeight w:val="27"/>
        </w:trPr>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$611 million, $525 million and $524 million and a specific allowance of $331 million, $280 million and $225 million at December 31, 2017, 2016 and 2015.</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We use proprietary scoring systems in the underwriting process that measure the credit quality of retail finance receivables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several factors, such as credit bureau information, consumer credit risk scores (e.g. FICO scores or their equivalent) and contract characteristics. We also consider other factors such as employment history, financial stability and capacity to pay. Subsequent to origination we review the credit quality of retail finance receivables based on customer payment activity. While we have historically focused on consumers with lower than prime credit scores, we have expanded our prime lending programs. At December 31, 2017 and 2016 33% and 41% of retail finance receivables were from consumers with sub-prime credit scores, which are defined as FICO scores or equivalent scores of less than 620 at the time of loan origination.</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purchase retail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$778 million and $798 million at December 31, 2017 and 2016. The following table summarizes the contractual amount of delinquent retail finance receivables, which is not significantly different than the recorded investment of the retail finance receivables: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Retail finance receivables classified as TDRs and individually evaluated for impairment were $2.2 billion and $1.9 billion and the allowance for loan losses included $328 million and $276 million of specific allowances on these receivables at December 31, 2017 and 2016.</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A proprietary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December 31, 2017 and 2016.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53"/>
        </w:trPr>
        <w:tc>
          <w:tcPr>
            <w:tcW w:w="900" w:type="dxa"/>
            <w:vAlign w:val="bottom"/>
            <w:tcBorders>
              <w:bottom w:val="single" w:sz="8" w:color="CCEEFF"/>
            </w:tcBorders>
          </w:tcPr>
          <w:p>
            <w:pPr>
              <w:spacing w:after="0"/>
              <w:rPr>
                <w:sz w:val="4"/>
                <w:szCs w:val="4"/>
                <w:color w:val="auto"/>
              </w:rPr>
            </w:pPr>
          </w:p>
        </w:tc>
        <w:tc>
          <w:tcPr>
            <w:tcW w:w="69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69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superior financial metrics</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6960" w:type="dxa"/>
            <w:vAlign w:val="bottom"/>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strong financial metrics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3,465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69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fair financial metrics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6960" w:type="dxa"/>
            <w:vAlign w:val="bottom"/>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weak financial metrics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69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warranting special mention due to elevated risks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Group VI</w:t>
            </w:r>
          </w:p>
        </w:tc>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loans classified as substandard, doubtful or impaired</w:t>
            </w: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6. Inventories</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6,460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of leases to retail customers that are recorded as operating leases and vehicle sales to daily rental car companies with a guaranteed repurchase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35,452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6"/>
                <w:szCs w:val="16"/>
                <w:color w:val="auto"/>
                <w:w w:val="89"/>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$42.9 billion and $34.3 billion of GM Financial equipment on operating leases, net in the years ended December 31, 2017 and 2016.</w:t>
      </w:r>
    </w:p>
    <w:p>
      <w:pPr>
        <w:spacing w:after="0" w:line="20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$6.7 billion, $4.7 billion and $2.5 billion in the years ended December 31, 2017, 2016 and 2015.</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4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2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entities in which an equity ownership interest is maintained and for which the equity method of accounting is used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920" w:type="dxa"/>
            <w:vAlign w:val="bottom"/>
            <w:tcBorders>
              <w:bottom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1,973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joint ventures equity income</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9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2,282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Investments in Nonconsolidated Affiliates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carrying amount</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investments carrying amount</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carrying amount of our investments in certain joint ventures exceeded our share of the underlying net assets by $4.3 billion at December 31, 2017 and 2016 due primarily to goodwill from the application of fresh-start reporting and the purchase of additional interests in nonconsolidated affiliates.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China JVs: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2017</w:t>
            </w:r>
          </w:p>
        </w:tc>
        <w:tc>
          <w:tcPr>
            <w:tcW w:w="190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53"/>
        </w:trPr>
        <w:tc>
          <w:tcPr>
            <w:tcW w:w="7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Automotive China JVs</w:t>
            </w:r>
          </w:p>
        </w:tc>
        <w:tc>
          <w:tcPr>
            <w:tcW w:w="1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 (SGM)</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General Motors Sales Co., Ltd.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Wuling Automobile Co., Ltd. (SGMW)</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(Shenyang) Norsom Motors Co., Ltd. (SGM Norsom)</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GM Dong Yue Motors Co., Ltd. (SGM DY)</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Dong Yue Powertrain Co., Ltd. (SGM DYPT)</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w w:val="94"/>
              </w:rPr>
              <w:t>Shanghai Chengxin Used Car Operation and Management Co., Ltd. (Shanghai Chengxin Used Car)</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joint ventures</w:t>
            </w: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SAIC-GMAC</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and SAIC-GMAC (20%). Shanghai Automotive Group Finance Company Ltd., a subsidiary of SAIC, owns 45% of SAIC-GMAC.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4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Automotive China</w:t>
            </w: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5"/>
          </w:tcPr>
          <w:p>
            <w:pPr>
              <w:jc w:val="center"/>
              <w:ind w:right="299"/>
              <w:spacing w:after="0" w:line="153" w:lineRule="exact"/>
              <w:rPr>
                <w:sz w:val="20"/>
                <w:szCs w:val="20"/>
                <w:color w:val="auto"/>
              </w:rPr>
            </w:pPr>
            <w:r>
              <w:rPr>
                <w:rFonts w:ascii="Arial" w:cs="Arial" w:eastAsia="Arial" w:hAnsi="Arial"/>
                <w:sz w:val="14"/>
                <w:szCs w:val="14"/>
                <w:b w:val="1"/>
                <w:bCs w:val="1"/>
                <w:color w:val="auto"/>
                <w:w w:val="93"/>
              </w:rPr>
              <w:t>Automotive China</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JVs</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JVs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30,854</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14,188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18,703</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48,451</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44,411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34,897</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21,428</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38,439</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22,821</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33,996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399"/>
        </w:trPr>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50,065</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44,959</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48,530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Transactions with Nonconsolidated Affiliates </w:t>
      </w:r>
      <w:r>
        <w:rPr>
          <w:rFonts w:ascii="Arial" w:cs="Arial" w:eastAsia="Arial" w:hAnsi="Arial"/>
          <w:sz w:val="17"/>
          <w:szCs w:val="17"/>
          <w:color w:val="auto"/>
        </w:rPr>
        <w:t>Our nonconsolidated affiliates are involved in various aspects of the development, production and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cars, trucks, crossovers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purchases,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received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cash flows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3,853</w:t>
            </w: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807</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553</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2,172</w:t>
            </w:r>
          </w:p>
        </w:tc>
      </w:tr>
      <w:tr>
        <w:trPr>
          <w:trHeight w:val="27"/>
        </w:trPr>
        <w:tc>
          <w:tcPr>
            <w:tcW w:w="7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 in</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Special tools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Total property</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60,334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53,269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Total property, net</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36,253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32,603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amount of capitalized software included in Property, net was $1.2 billion and $1.1 billion at December 31, 2017 and 2016. The amount of interest capitalized and excluded from Automotive interest expense related to Property, net was insignificant in the years ended December 31, 2017, 2016 and 2015.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3,904</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628</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w:t>
            </w:r>
          </w:p>
        </w:tc>
      </w:tr>
      <w:tr>
        <w:trPr>
          <w:trHeight w:val="220"/>
        </w:trPr>
        <w:tc>
          <w:tcPr>
            <w:tcW w:w="20" w:type="dxa"/>
            <w:vAlign w:val="bottom"/>
          </w:tcPr>
          <w:p>
            <w:pPr>
              <w:spacing w:after="0"/>
              <w:rPr>
                <w:sz w:val="19"/>
                <w:szCs w:val="19"/>
                <w:color w:val="auto"/>
              </w:rPr>
            </w:pPr>
          </w:p>
        </w:tc>
        <w:tc>
          <w:tcPr>
            <w:tcW w:w="7400" w:type="dxa"/>
            <w:vAlign w:val="bottom"/>
          </w:tcPr>
          <w:p>
            <w:pPr>
              <w:jc w:val="right"/>
              <w:ind w:right="6430"/>
              <w:spacing w:after="0"/>
              <w:rPr>
                <w:sz w:val="20"/>
                <w:szCs w:val="20"/>
                <w:color w:val="auto"/>
              </w:rPr>
            </w:pPr>
            <w:r>
              <w:rPr>
                <w:rFonts w:ascii="Arial" w:cs="Arial" w:eastAsia="Arial" w:hAnsi="Arial"/>
                <w:sz w:val="18"/>
                <w:szCs w:val="18"/>
                <w:color w:val="auto"/>
                <w:w w:val="85"/>
              </w:rPr>
              <w:t>__________</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depreciation and amortization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 of Business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May 12, 2016 we acquired all of the outstanding capital stock of Cruise,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Corporate primarily related to the synergies expected to arise as a result of the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Intangible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Goodwill of $1.9 billion consisted of $1.4 billion recorded in GM Financial and $490 million included in Corporate at December 31, 2017 and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Net Carrying</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Net Carrying</w:t>
            </w:r>
          </w:p>
        </w:tc>
      </w:t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2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3,390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customer relationships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14,066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amortization expense related to intangible assets was $278 million, $325 million, and $324 million in the years ended December 31, 2017, 2016 and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is estimated to be approximately $175 million in each of the next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Variable Interest Entities</w:t>
      </w:r>
    </w:p>
    <w:p>
      <w:pPr>
        <w:spacing w:after="0" w:line="121"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8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1,740</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478</w:t>
            </w:r>
          </w:p>
        </w:tc>
      </w:tr>
      <w:tr>
        <w:trPr>
          <w:trHeight w:val="30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12,437</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11,917</w:t>
            </w:r>
          </w:p>
        </w:tc>
      </w:tr>
      <w:tr>
        <w:trPr>
          <w:trHeight w:val="25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18,972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17,526</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16,659</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and Other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26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Deposits primarily from rental car companies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25,893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0" w:type="dxa"/>
            <w:vAlign w:val="bottom"/>
            <w:vMerge w:val="restart"/>
          </w:tcPr>
          <w:p>
            <w:pPr>
              <w:jc w:val="right"/>
              <w:ind w:right="1970"/>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2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Product Warranty and Related Liabilities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8,550</w:t>
            </w: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December 31, 2017. Refer to Note 17 for reasonably possible losses 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Automotive and GM Financial Debt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9,742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13,502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10,560</w:t>
            </w:r>
          </w:p>
        </w:tc>
      </w:tr>
      <w:tr>
        <w:trPr>
          <w:trHeight w:val="257"/>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9,515</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1,884</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15,088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11,399</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14,067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14,181</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range on outstanding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0.0-21.8%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0.0-18.0%</w:t>
            </w:r>
          </w:p>
        </w:tc>
      </w:tr>
      <w:tr>
        <w:trPr>
          <w:trHeight w:val="297"/>
        </w:trPr>
        <w:tc>
          <w:tcPr>
            <w:tcW w:w="20" w:type="dxa"/>
            <w:vAlign w:val="bottom"/>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net discount and debt issuance costs of $499 million and $491 million at December 31, 2017 and 2016.</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 and the impact of reclassification of $1.5 billion of senior unsecured notes from long-term to short-term in the year ended December 31, 2017.</w:t>
      </w:r>
    </w:p>
    <w:p>
      <w:pPr>
        <w:spacing w:after="0" w:line="15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December 31, 2017 and December 31, 2016 the fair value of automotive debt exceeded its carrying amount due primarily to a decrease in bond yields compared to yields at the time of issuance.</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we issued $3.0 billion in aggregate principal amount of senior unsecured notes with an initial weighted average interest rate of 4.5% and maturity dates ranging from 2020 to 2048. The indentures governing these notes contain terms and covenants customary of these types of securities including limitation on the amount of certain secured debt we may incur. The net proceeds from the issuance of these senior unsecured notes were used to repay the $3.0 billion drawn on our three-year unsecured revolving credit facility in the three months ended September 30, 2017 to fund the payments to PSA Group, or one or more pension funding vehicles, for the assumed net underfunded pension liabilities in connection with the sale of the Opel/Vauxhall Business as described in Note 3.</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4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29,476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81,937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64,563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62,951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with original maturity or revolving period of 18 months or less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Secured debt consists of revolving credit facilities and securitization notes payable. Most of the secured debt was issued by VIEs and is repayable only from proceeds related to the underlying pledged Securitized Assets. Refer to Note 12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2.37% at December 31, 2017. The revolving credit facilities have maturity dates ranging from 2018 to 2023 and securitization notes payable have maturity dates ranging from 2019 to 2025. At the end of the revolving period, if not renewed, the debt of revolving credit facilities will amortize over a defined period. In the year ended December 31, 2017 we entered into new or renewed credit facilities with a total net additional borrowing capacity of $2.9 billion, which had substantially the same terms as existing debt and we issued $22.4 billion in aggregate principal amount of securitization notes payable with an initial weighted average interest rate of 2.10% and maturity dates ranging from 2019 to 2025.</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Unsecured debt consists of senior notes, credit facilities and other unsecured debt. Senior notes outstanding at December 31, 2017 are due beginning in 2018 through 2027 and have a weighted-average interest rate of 3.27%. In the year ended December 31, 2017 we issued $12.7 billion in aggregate principal amount of senior notes with an initial weighted average interest rate of 2.85% and maturity dates ranging from 2019 to 2027.</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In January 2018 we issued $1.65 billion in aggregate principal amount of senior notes with an initial weighted average interest rate of 3.26% and maturity dates ranging from 2023 to 2028.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terms of advances on credit facilities and other unsecured debt have original maturities of up to four years. The weighted-average interest rate on credit facilities and other unsecured debt was 7.28% at December 31, 2017.</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50"/>
        </w:trPr>
        <w:tc>
          <w:tcPr>
            <w:tcW w:w="7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Financing - GM Financial interest expense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1,460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28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Financing(a)</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27,030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18,489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10,477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95,290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2017 future interest payments on automotive capital lease obligations were $280 million. GM Financial had no capital lease obligations at December 31, 2017.</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Compliance with Debt Covenants </w:t>
      </w:r>
      <w:r>
        <w:rPr>
          <w:rFonts w:ascii="Arial" w:cs="Arial" w:eastAsia="Arial" w:hAnsi="Arial"/>
          <w:sz w:val="18"/>
          <w:szCs w:val="18"/>
          <w:color w:val="auto"/>
        </w:rPr>
        <w:t>Several of our loan facilities, including our revolving credit facilities, require compliance with certain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covenants as well as regular reporting to lenders, including providing certain subsidiary financial statements. Some of GM Financial’s secured and unsecured debt agreements also contain various covenants, including maintaining portfolio performance ratios as well as limits on deferment levels.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based on asset or liability positions of derivative financial instruments in our automotive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PSA Warrants(b)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595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2017 and 2016 and the gains/losses included in our consolidated income statements and statements of comprehensive income for the years ended December 31, 2017, 2016 and 2015 were insignificant.</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fair value of the PSA warrants was $764 million at December 31, 2017.</w:t>
      </w:r>
    </w:p>
    <w:p>
      <w:pPr>
        <w:sectPr>
          <w:pgSz w:w="11900" w:h="16838" w:orient="portrait"/>
          <w:cols w:equalWidth="0" w:num="1">
            <w:col w:w="11420"/>
          </w:cols>
          <w:pgMar w:left="240" w:top="3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41"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GM Financial </w:t>
      </w:r>
      <w:r>
        <w:rPr>
          <w:rFonts w:ascii="Arial" w:cs="Arial" w:eastAsia="Arial" w:hAnsi="Arial"/>
          <w:sz w:val="16"/>
          <w:szCs w:val="16"/>
          <w:color w:val="auto"/>
        </w:rPr>
        <w:t>The following table presents the notional amounts based on asset or liability positions of GM Financial's derivative financial instruments: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hedges – 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Fair value hedges – interest rate swaps(b)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Total cash flow hedges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Interest rate swaps(c)</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38,741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caps and floors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56,782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Interest rate caps and floors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18,316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617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2017 and 2016 and the gains/losses included in our consolidated income statements and statements of comprehensive income for the years ended December 31, 2017, 2016 and 2015 were insignificant.</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value of these derivative instruments was $290 million and $276 million at December 31, 2017 and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value of these derivative instruments was $260 million and insignificant at December 31, 2017 and 2016.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Pensions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Defined benefit pension plans covering eligible U.S. hourly employees (hired prior to October 2007) and Canadian hourly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covering primarily U.S. executives for service prior to January 1, 2007 and it is based on an “excess plan” for service after that date.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1"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2017 all legal funding requirements were met. In the year ended December 31, 2016 we made a discretionary contribution to our U.S. hourly pension plan of $2.0 billion. The following table summarizes contributions made to the defined benefit pension plans: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50"/>
        </w:trPr>
        <w:tc>
          <w:tcPr>
            <w:tcW w:w="7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1,108</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expect to contribute approximately $70 million to our U.S. non-qualified plans and approximately $900 million to our non-U.S. pension plans in 2018.</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our current assumptions, over the next five years we expect no significant mandatory contributions to our U.S. qualified pension plans and mandatory contributions totaling $1.2 billion to our Canada and U.K. pension plans.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Postretirement Benefit Plans </w:t>
      </w:r>
      <w:r>
        <w:rPr>
          <w:rFonts w:ascii="Arial" w:cs="Arial" w:eastAsia="Arial" w:hAnsi="Arial"/>
          <w:sz w:val="18"/>
          <w:szCs w:val="18"/>
          <w:color w:val="auto"/>
        </w:rPr>
        <w:t>Certain hourly and salaried defined benefit plans provide postretirement medical, dental, legal service and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$323 million, $335 million and $340 million in the years ended December 31, 2017, 2016 and 2015. Plan participants' contributions were insignificant in the years ended December 31, 2017, 2016 and 2015.</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We have defined contribution plans for eligible U.S. salaried and hourly employees that provide discretionary matching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Contributions are also made to certain non-U.S. defined contribution plans. We made contributions to our defined contribution plans of $650 million, $589 million and $530 million in the years ended December 31, 2017,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Remeasurements </w:t>
      </w:r>
      <w:r>
        <w:rPr>
          <w:rFonts w:ascii="Arial" w:cs="Arial" w:eastAsia="Arial" w:hAnsi="Arial"/>
          <w:sz w:val="18"/>
          <w:szCs w:val="18"/>
          <w:color w:val="auto"/>
        </w:rPr>
        <w:t>The Society of Actuaries (SOA) issued new mortality improvement tables in the three months ended December 31, 2017.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did not result in any change in our current assumptions to measure our December 31, 2017 U.S. pension plan obligations. We incorporated the mortality improvement tables issued by the SOA in the three months ended December 31, 2016 that lowered life expectancies and thereby indicated the amount of estimated aggregate benefit payments to our U.S. pension plans' participants was decreasing. This change in assumption decreased the December 31, 2016 U.S. pension and OPEB plans' obligations by $888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Year Ended December 31, 2016</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Global OPEB</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2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OPEB Plans</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benefit obligation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71,486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Actuarial losses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68,450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22,789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68,827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61,622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61,072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62,639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funded status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Net amount recorded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Amounts recorded in Accumulated other comprehensive loss</w:t>
      </w:r>
    </w:p>
    <w:p>
      <w:pPr>
        <w:sectPr>
          <w:pgSz w:w="11900" w:h="16838" w:orient="portrait"/>
          <w:cols w:equalWidth="0" w:num="1">
            <w:col w:w="11420"/>
          </w:cols>
          <w:pgMar w:left="240" w:top="341"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rPr>
              <w:t>Net actuarial gain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3"/>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credit</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recorded in Accumulated other comprehensive loss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total accumulated benefit obligations (ABO), the ABO and fair value of plan assets for defined benefit pension plans with ABO in excess of plan assets, and the PBO and fair value of plan assets for defined benefit pension plans with PBO in excess of plan assets: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Non-U.S.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20,836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62,639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61,622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12,046</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68,450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21,822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68,827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20,458</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62,639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61,622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12,009</w:t>
            </w:r>
          </w:p>
        </w:tc>
      </w:tr>
      <w:tr>
        <w:trPr>
          <w:trHeight w:val="27"/>
        </w:trPr>
        <w:tc>
          <w:tcPr>
            <w:tcW w:w="6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9"/>
              </w:rPr>
              <w:t>Year Ended December 31, 2017</w:t>
            </w:r>
          </w:p>
        </w:tc>
        <w:tc>
          <w:tcPr>
            <w:tcW w:w="160" w:type="dxa"/>
            <w:vAlign w:val="bottom"/>
          </w:tcPr>
          <w:p>
            <w:pPr>
              <w:spacing w:after="0"/>
              <w:rPr>
                <w:sz w:val="12"/>
                <w:szCs w:val="12"/>
                <w:color w:val="auto"/>
              </w:rPr>
            </w:pPr>
          </w:p>
        </w:tc>
        <w:tc>
          <w:tcPr>
            <w:tcW w:w="224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Year Ended December 31, 2016</w:t>
            </w:r>
          </w:p>
        </w:tc>
        <w:tc>
          <w:tcPr>
            <w:tcW w:w="160" w:type="dxa"/>
            <w:vAlign w:val="bottom"/>
          </w:tcPr>
          <w:p>
            <w:pPr>
              <w:spacing w:after="0"/>
              <w:rPr>
                <w:sz w:val="12"/>
                <w:szCs w:val="12"/>
                <w:color w:val="auto"/>
              </w:rPr>
            </w:pPr>
          </w:p>
        </w:tc>
        <w:tc>
          <w:tcPr>
            <w:tcW w:w="2120" w:type="dxa"/>
            <w:vAlign w:val="bottom"/>
            <w:gridSpan w:val="7"/>
          </w:tcPr>
          <w:p>
            <w:pPr>
              <w:jc w:val="center"/>
              <w:ind w:right="58"/>
              <w:spacing w:after="0"/>
              <w:rPr>
                <w:sz w:val="20"/>
                <w:szCs w:val="20"/>
                <w:color w:val="auto"/>
              </w:rPr>
            </w:pPr>
            <w:r>
              <w:rPr>
                <w:rFonts w:ascii="Arial" w:cs="Arial" w:eastAsia="Arial" w:hAnsi="Arial"/>
                <w:sz w:val="11"/>
                <w:szCs w:val="11"/>
                <w:b w:val="1"/>
                <w:bCs w:val="1"/>
                <w:color w:val="auto"/>
                <w:w w:val="88"/>
              </w:rPr>
              <w:t>Year Ended December 31, 2015</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8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3"/>
              </w:rPr>
              <w:t>Global OPEB</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U.S.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6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540" w:type="dxa"/>
            <w:vAlign w:val="bottom"/>
          </w:tcPr>
          <w:p>
            <w:pPr>
              <w:jc w:val="right"/>
              <w:ind w:right="158"/>
              <w:spacing w:after="0"/>
              <w:rPr>
                <w:sz w:val="20"/>
                <w:szCs w:val="20"/>
                <w:color w:val="auto"/>
              </w:rPr>
            </w:pPr>
            <w:r>
              <w:rPr>
                <w:rFonts w:ascii="Arial" w:cs="Arial" w:eastAsia="Arial" w:hAnsi="Arial"/>
                <w:sz w:val="11"/>
                <w:szCs w:val="11"/>
                <w:b w:val="1"/>
                <w:bCs w:val="1"/>
                <w:color w:val="auto"/>
              </w:rPr>
              <w:t>Plans</w:t>
            </w:r>
          </w:p>
        </w:tc>
        <w:tc>
          <w:tcPr>
            <w:tcW w:w="0" w:type="dxa"/>
            <w:vAlign w:val="bottom"/>
          </w:tcPr>
          <w:p>
            <w:pPr>
              <w:spacing w:after="0"/>
              <w:rPr>
                <w:sz w:val="1"/>
                <w:szCs w:val="1"/>
                <w:color w:val="auto"/>
              </w:rPr>
            </w:pPr>
          </w:p>
        </w:tc>
      </w:tr>
      <w:tr>
        <w:trPr>
          <w:trHeight w:val="22"/>
        </w:trPr>
        <w:tc>
          <w:tcPr>
            <w:tcW w:w="43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Components of expense</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3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8"/>
        </w:trPr>
        <w:tc>
          <w:tcPr>
            <w:tcW w:w="4360" w:type="dxa"/>
            <w:vAlign w:val="bottom"/>
          </w:tcPr>
          <w:p>
            <w:pPr>
              <w:ind w:left="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2,145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color w:val="auto"/>
              </w:rPr>
              <w:t>2,212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2,754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return on plan assets</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(3,677)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(3,778)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(3,896)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360" w:type="dxa"/>
            <w:vAlign w:val="bottom"/>
          </w:tcPr>
          <w:p>
            <w:pPr>
              <w:ind w:left="40"/>
              <w:spacing w:after="0"/>
              <w:rPr>
                <w:sz w:val="20"/>
                <w:szCs w:val="20"/>
                <w:color w:val="auto"/>
              </w:rPr>
            </w:pPr>
            <w:r>
              <w:rPr>
                <w:rFonts w:ascii="Arial" w:cs="Arial" w:eastAsia="Arial" w:hAnsi="Arial"/>
                <w:sz w:val="13"/>
                <w:szCs w:val="13"/>
                <w:color w:val="auto"/>
              </w:rPr>
              <w:t>Amortization of net actuarial (gains) losses</w:t>
            </w:r>
          </w:p>
        </w:tc>
        <w:tc>
          <w:tcPr>
            <w:tcW w:w="16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Curtailments, settlements and other(a)</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periodic pension and OPEB (income) expense</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(1,260)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(1,214)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(732)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530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252"/>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w w:val="96"/>
              </w:rPr>
              <w:t>Weighted-average assumptions used to determine benefit obligations(b)</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Weighted-average assumptions used to determine net expense(b)</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rate of return on plan assets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20"/>
                <w:szCs w:val="20"/>
                <w:color w:val="auto"/>
              </w:rPr>
            </w:pPr>
            <w:r>
              <w:rPr>
                <w:rFonts w:ascii="Arial" w:cs="Arial" w:eastAsia="Arial" w:hAnsi="Arial"/>
                <w:sz w:val="14"/>
                <w:szCs w:val="14"/>
                <w:color w:val="auto"/>
              </w:rPr>
              <w:t>_________</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curtailment charges recorded in the year ended December 31, 2015 were due primarily to the GM Canada hourly pension plan that was remeasured as a result of a voluntary separation program.</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rate of compensation increase does not have a significant effect on our U.S. pension and OPEB plans.</w:t>
      </w:r>
    </w:p>
    <w:p>
      <w:pPr>
        <w:spacing w:after="0" w:line="17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U.S. pension plan service cost includes administrative expenses and Pension Benefit Guarantee Corporation premiums which were insignificant in the years ended December 31, 2017, 2016 and 2015. Weighted-average assumptions used to determine net expense are determined at the beginning of the period and updated for remeasurements. Non-U.S. pension plan administrative expenses included in service cost were insignificant in the years ended December 31, 2017, 2016 and 2015.</w:t>
      </w:r>
    </w:p>
    <w:p>
      <w:pPr>
        <w:spacing w:after="0" w:line="18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2018 based on December 31, 2017 plan measurements are $166 million, consisting primarily of amortization of the net actuarial loss in the non-U.S. pension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Investment Strategies and Long-Term Rate of Return </w:t>
      </w:r>
      <w:r>
        <w:rPr>
          <w:rFonts w:ascii="Arial" w:cs="Arial" w:eastAsia="Arial" w:hAnsi="Arial"/>
          <w:sz w:val="16"/>
          <w:szCs w:val="16"/>
          <w:color w:val="auto"/>
        </w:rPr>
        <w:t>Detailed periodic studies are conducted by our internal asset management group as well as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w:t>
      </w:r>
    </w:p>
    <w:p>
      <w:pPr>
        <w:sectPr>
          <w:pgSz w:w="11900" w:h="16838" w:orient="portrait"/>
          <w:cols w:equalWidth="0" w:num="1">
            <w:col w:w="11420"/>
          </w:cols>
          <w:pgMar w:left="240" w:top="130" w:right="239" w:bottom="0" w:gutter="0" w:footer="0" w:header="0"/>
        </w:sectPr>
      </w:pPr>
    </w:p>
    <w:bookmarkStart w:id="76" w:name="page77"/>
    <w:bookmarkEnd w:id="76"/>
    <w:p>
      <w:pPr>
        <w:spacing w:after="0" w:line="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derivatives may be used to protect equity positions from downside market losses. Alternative investment managers are permitted to employ leverage, including through the use of derivatives, which may alter economic exposure.</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2017 an investment policy study was completed for the U.S. pension plans. As a result of changes to our capital market assumptions, the weighted-average long-term rate of return on assets increased from 6.2% at December 31, 2016 to 6.6% at December 31, 2017. The expected long-term rate of return on plan assets used in determining pension expense for non-U.S. plans is determined in a similar manner to the U.S. plans.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Target Allocation Percentages </w:t>
      </w:r>
      <w:r>
        <w:rPr>
          <w:rFonts w:ascii="Arial" w:cs="Arial" w:eastAsia="Arial" w:hAnsi="Arial"/>
          <w:sz w:val="18"/>
          <w:szCs w:val="18"/>
          <w:color w:val="auto"/>
        </w:rPr>
        <w:t>The following table summarizes the target allocations by asset category for U.S. and non-U.S.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w w:val="90"/>
              </w:rPr>
              <w:t>December 31, 2017</w:t>
            </w:r>
          </w:p>
        </w:tc>
        <w:tc>
          <w:tcPr>
            <w:tcW w:w="3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7"/>
              </w:rPr>
              <w:t>U.S.</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3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4710"/>
              <w:spacing w:after="0"/>
              <w:rPr>
                <w:sz w:val="20"/>
                <w:szCs w:val="20"/>
                <w:color w:val="auto"/>
              </w:rPr>
            </w:pPr>
            <w:r>
              <w:rPr>
                <w:rFonts w:ascii="Arial" w:cs="Arial" w:eastAsia="Arial" w:hAnsi="Arial"/>
                <w:sz w:val="18"/>
                <w:szCs w:val="18"/>
                <w:color w:val="auto"/>
                <w:w w:val="87"/>
              </w:rPr>
              <w:t>__________</w:t>
            </w: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includes private equity, real estate and absolute return strategies which mainly consist of hedge funds.</w:t>
      </w:r>
    </w:p>
    <w:p>
      <w:pPr>
        <w:spacing w:after="0" w:line="20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Assets and Fair Value Measurements </w:t>
      </w:r>
      <w:r>
        <w:rPr>
          <w:rFonts w:ascii="Arial" w:cs="Arial" w:eastAsia="Arial" w:hAnsi="Arial"/>
          <w:sz w:val="18"/>
          <w:szCs w:val="18"/>
          <w:color w:val="auto"/>
        </w:rPr>
        <w:t>The following tables summarize the fair value of U.S. and non-U.S. defined benefit pension plan assets by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U.S. Pension Plan 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8,892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8,911</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8,288</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8,326</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12,116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12,116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11,374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11,374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26,122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25,452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25,452</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552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395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1,066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486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288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1,177</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48,215</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8,774</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37,149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46,329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6,509</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3,539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4,012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3,351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3,634</w:t>
            </w:r>
          </w:p>
        </w:tc>
        <w:tc>
          <w:tcPr>
            <w:tcW w:w="0" w:type="dxa"/>
            <w:vAlign w:val="bottom"/>
          </w:tcPr>
          <w:p>
            <w:pPr>
              <w:spacing w:after="0"/>
              <w:rPr>
                <w:sz w:val="1"/>
                <w:szCs w:val="1"/>
                <w:color w:val="auto"/>
              </w:rPr>
            </w:pPr>
          </w:p>
        </w:tc>
      </w:tr>
      <w:tr>
        <w:trPr>
          <w:trHeight w:val="21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13,522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14,155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net(b)</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1,138</w:t>
            </w:r>
          </w:p>
        </w:tc>
        <w:tc>
          <w:tcPr>
            <w:tcW w:w="0" w:type="dxa"/>
            <w:vAlign w:val="bottom"/>
          </w:tcPr>
          <w:p>
            <w:pPr>
              <w:spacing w:after="0"/>
              <w:rPr>
                <w:sz w:val="1"/>
                <w:szCs w:val="1"/>
                <w:color w:val="auto"/>
              </w:rPr>
            </w:pPr>
          </w:p>
        </w:tc>
      </w:tr>
      <w:tr>
        <w:trPr>
          <w:trHeight w:val="214"/>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62,639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61,622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Non-U.S. Pension Plan Assets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978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45"/>
              <w:spacing w:after="0"/>
              <w:rPr>
                <w:sz w:val="20"/>
                <w:szCs w:val="20"/>
                <w:color w:val="auto"/>
              </w:rPr>
            </w:pPr>
            <w:r>
              <w:rPr>
                <w:rFonts w:ascii="Arial" w:cs="Arial" w:eastAsia="Arial" w:hAnsi="Arial"/>
                <w:sz w:val="15"/>
                <w:szCs w:val="15"/>
                <w:color w:val="auto"/>
              </w:rPr>
              <w:t>3,853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3,853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3,221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3,221</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2,043</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153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619</w:t>
            </w:r>
          </w:p>
        </w:tc>
        <w:tc>
          <w:tcPr>
            <w:tcW w:w="0" w:type="dxa"/>
            <w:vAlign w:val="bottom"/>
          </w:tcPr>
          <w:p>
            <w:pPr>
              <w:spacing w:after="0"/>
              <w:rPr>
                <w:sz w:val="1"/>
                <w:szCs w:val="1"/>
                <w:color w:val="auto"/>
              </w:rPr>
            </w:pPr>
          </w:p>
        </w:tc>
      </w:tr>
      <w:tr>
        <w:trPr>
          <w:trHeight w:val="21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6,569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7,614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1,015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5,417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6,864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4,428</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570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1,092</w:t>
            </w:r>
          </w:p>
        </w:tc>
        <w:tc>
          <w:tcPr>
            <w:tcW w:w="0" w:type="dxa"/>
            <w:vAlign w:val="bottom"/>
          </w:tcPr>
          <w:p>
            <w:pPr>
              <w:spacing w:after="0"/>
              <w:rPr>
                <w:sz w:val="1"/>
                <w:szCs w:val="1"/>
                <w:color w:val="auto"/>
              </w:rPr>
            </w:pPr>
          </w:p>
        </w:tc>
      </w:tr>
      <w:tr>
        <w:trPr>
          <w:trHeight w:val="21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7,013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6,066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(liabilities), net(b)</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14"/>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1"/>
              </w:rPr>
              <w:t>14,495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12,799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2017 and 2016.</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Investment Fund Strategies </w:t>
      </w:r>
      <w:r>
        <w:rPr>
          <w:rFonts w:ascii="Arial" w:cs="Arial" w:eastAsia="Arial" w:hAnsi="Arial"/>
          <w:sz w:val="16"/>
          <w:szCs w:val="16"/>
          <w:color w:val="auto"/>
        </w:rPr>
        <w:t>Investment funds include hedge funds, funds of hedge funds, equity funds and fixed income funds. Hedge funds and funds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16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ectPr>
          <w:pgSz w:w="11900" w:h="16850" w:orient="portrait"/>
          <w:cols w:equalWidth="0" w:num="1">
            <w:col w:w="11420"/>
          </w:cols>
          <w:pgMar w:left="240" w:top="125" w:right="239" w:bottom="0" w:gutter="0" w:footer="0" w:header="0"/>
        </w:sectPr>
      </w:pPr>
    </w:p>
    <w:bookmarkStart w:id="77" w:name="page78"/>
    <w:bookmarkEnd w:id="77"/>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Significant Concentrations of Risk </w:t>
      </w:r>
      <w:r>
        <w:rPr>
          <w:rFonts w:ascii="Arial" w:cs="Arial" w:eastAsia="Arial" w:hAnsi="Arial"/>
          <w:sz w:val="16"/>
          <w:szCs w:val="16"/>
          <w:color w:val="auto"/>
        </w:rPr>
        <w:t>The assets of the pension plans include certain investment funds, private equity and debt investments and 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Benefits for most U.S. pension plans and certain non-U.S. pension plans are paid out of plan assets rather than our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following table summarizes net benefit payments expected to be paid in the future, which include assumptions related to estimated future employee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7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Non-U.S. Plans</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1,276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2023 - 2027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21,553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5,759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Litigation-Related Liability and Tax Administrative Matters </w:t>
      </w:r>
      <w:r>
        <w:rPr>
          <w:rFonts w:ascii="Arial" w:cs="Arial" w:eastAsia="Arial" w:hAnsi="Arial"/>
          <w:sz w:val="17"/>
          <w:szCs w:val="17"/>
          <w:color w:val="auto"/>
        </w:rPr>
        <w:t>In the normal course of our business, we are named from time to time as a defendant in</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legal actions, including arbitrations, class actions and other litigation. We identify below the material individual proceedings and investigations in connection with which we believe a material loss is reasonably possible or probable. We accrue for matters when we believe that losses are probable and can be reasonably estimated. At December 31, 2017 and 2016, accruals were $930 million and $1.2 billion and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7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i w:val="1"/>
          <w:iCs w:val="1"/>
          <w:color w:val="auto"/>
        </w:rPr>
        <w:t xml:space="preserve">Economic-Loss Claims </w:t>
      </w:r>
      <w:r>
        <w:rPr>
          <w:rFonts w:ascii="Arial" w:cs="Arial" w:eastAsia="Arial" w:hAnsi="Arial"/>
          <w:sz w:val="16"/>
          <w:szCs w:val="16"/>
          <w:color w:val="auto"/>
        </w:rPr>
        <w:t>We are aware of over 100 putative class actions pending against GM in various courts in the U.S. and Canada alleging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consumers who purchased or leased vehicles manufactured by GM or Motors Liquidation Company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 There is also a civil action brought by the Arizona Attorney General relating to the 2014 recalls that seeks civil penalties and injunctive relief for alleged violations of state laws.</w:t>
      </w:r>
    </w:p>
    <w:p>
      <w:pPr>
        <w:spacing w:after="0" w:line="16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Many of the pending economic-loss claims have been transferred to, and consolidated in, a single federal court, the Southern District. These plaintiffs have asserted economic-loss claims under federal and state laws, including claims relating to recalled vehicles manufactured by GM and claims asserting successor liability relating to certain recalled vehicles manufactured by Motors Liquidation Company. The Southern District has dismissed various of these claims, including claims under the Racketeer Influenced and Corrupt Organization Act, claims for recovery for alleged reduction in the value of their vehicles due to damage to GM’s reputation and brand as a result of the ignition switch matter, and claims of plaintiffs who purchased a vehicle before GM came into existence in July 2009. The Southern District also dismissed certain state law claims at issue.</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41"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nine states. In December 2017 the Southern District granted GM's motion and dismissed successor liability claims of plaintiffs in an additional state, but found that there are genuine issues of material fact that prevent summary judgment for GM in eight other states. In January 2018, GM moved for reconsideration of certain portions of the Southern District's summary judgment ruling.</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7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Appellate Litigation Regarding Successor Liability Ignition Switch Claims </w:t>
      </w:r>
      <w:r>
        <w:rPr>
          <w:rFonts w:ascii="Arial" w:cs="Arial" w:eastAsia="Arial" w:hAnsi="Arial"/>
          <w:sz w:val="17"/>
          <w:szCs w:val="17"/>
          <w:color w:val="auto"/>
        </w:rPr>
        <w:t>In 2015 the Bankruptcy Court issued a decision precluding claims against us</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pre-sale accidents, claims based upon the acts or conduct by Motors Liquidation Company and claims asserting successor liability for obligations owed by Motors Liquidation Company (successor liability claims), except for claims asserting liabilities that had been expressly assumed by us in the Amended and Restated Master Sale and Purchase Agreement, and certain claims arising solely out of our own independent post-sale acts.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2016 the United States Court of Appeals for the Second Circuit (Second Circuit) held that the Bankruptcy Court's 2009 order approving the sale of substantially all of the assets of Motors Liquidation Company to GM free and clear of, among other things,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 In 2017, the United States Supreme Court denied our petition for certiorari. Certain of these pre-sale claims were resolved through GM's Compensation Program. Plaintiffs asserting pre-sale claims related to the ignition switch defect that were not resolved by the Compensation Program must still establish their right to assert successor liability claims and demonstrate that their claims have merit.</w:t>
      </w:r>
    </w:p>
    <w:p>
      <w:pPr>
        <w:spacing w:after="0" w:line="189"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i w:val="1"/>
          <w:iCs w:val="1"/>
          <w:color w:val="auto"/>
        </w:rPr>
        <w:t xml:space="preserve">Contingently Issuable Shares </w:t>
      </w:r>
      <w:r>
        <w:rPr>
          <w:rFonts w:ascii="Arial" w:cs="Arial" w:eastAsia="Arial" w:hAnsi="Arial"/>
          <w:sz w:val="16"/>
          <w:szCs w:val="16"/>
          <w:color w:val="auto"/>
        </w:rPr>
        <w:t>Under the Amended and Restated Master Sale and Purchase Agreement between us and Motors Liquidation Company we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obligated to issue Adjustment Shares of our common stock in the event that allowed general unsecured claims against the GUC Trust, as estimated by the Bankruptcy Court, exceed $35.0 billion. The maximum number of shares issuable is 30 million shares (subject to adjustment to take into account stock dividends, stock splits and other transactions). At December 31, 2017, the Bankruptcy Court estimated that allowed general unsecured claims were approximately $31.9 billion. In August 2017, a group of plaintiffs’ attorneys alleged that they had entered into an agreement to settle “late claims” against the GUC Trust (i.e., claims filed after the deadline established by the Bankruptcy Court). Although the Bankruptcy Court ruled in January 2018 that the alleged agreement was not binding or enforceable, litigation continues over whether late claims can be asserted against the GUC Trust. If such late claims are allowed by the Bankruptcy Court and if such late claims are allowed in certain aggregate amounts sought by plaintiffs, then GM may be required to issue Adjustment Shares to the GUC Trust. We are currently unable to estimate any reasonably possible loss or range of loss that may result from this matter.</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Securities and Derivative Matters </w:t>
      </w:r>
      <w:r>
        <w:rPr>
          <w:rFonts w:ascii="Arial" w:cs="Arial" w:eastAsia="Arial" w:hAnsi="Arial"/>
          <w:sz w:val="18"/>
          <w:szCs w:val="18"/>
          <w:color w:val="auto"/>
        </w:rPr>
        <w:t>In a putative shareholder class action filed in the United States District Court for the Eastern District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District) on behalf of purchasers of our common stock from November 17, 2010 to July 24, 2014, the lead plaintiff alleged that GM and several current and former officers and employees made material misstatements and omissions relating to problems with the ignition switch and other matters in SEC filings and other public statements. In 2016 the Eastern District entered a judgment approving a class-wide settlement of the class action for $300 million. One shareholder filed an appeal of the decision approving the settlement. The United States Court of Appeals for the Sixth Circuit affirmed the judgment approving the settlement in November 2017. The objector subsequently filed petitions for rehearing and for en banc review before the entire Sixth Circuit. Both of those petitions remain pending.</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Three shareholder derivative actions against certain current and former GM directors and officers are pending in the Eastern District. In two of those actions, the Eastern District has stayed GM's deadline to respond pending the decision of the Delaware Supreme Court in an unrelated case concerning a potentially dispositive legal issue. The court is still considering a motion to dismiss in the other action. Two derivative actions filed in the Circuit Court of Wayne County, Michigan, which have been consolidated, are also stayed pending disposition of the federal derivative actions.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Various governmental actions were conclusively resolved in 2017, including an investigation by the SEC, the investigations into consumer protection claims by 49 state attorneys general and the litigation initiated by the Orange County District Attorney. GM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 xml:space="preserve">Deferred Prosecution Agreement </w:t>
      </w:r>
      <w:r>
        <w:rPr>
          <w:rFonts w:ascii="Arial" w:cs="Arial" w:eastAsia="Arial" w:hAnsi="Arial"/>
          <w:sz w:val="18"/>
          <w:szCs w:val="18"/>
          <w:color w:val="auto"/>
        </w:rPr>
        <w:t>In September 2015, GM entered into the DPA with the U.S. Attorney's Office regarding its investigation of the events</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up to certain recalls regarding faulty ignition switches.</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Under the DPA we consented to the filing of the Information in the Southern District charging GM with a scheme to conceal material facts from a government regulator, in violation of Title 18, United States Code, Section 1001, and wire fraud, in violation of Title 18, United States Code, Section 1343. We have pled not guilty to the charges alleged in the Information. Pursuant to the DPA we paid the United States $900 million as a financial penalty.</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Pursuant to the DPA, the U.S. Attorney’s Office agreed to recommend to the Southern District that prosecution of GM on the Information be deferred for three years. The U.S. Attorney’s Office also agreed that if we are in compliance with all of our obligations under the DPA, the U.S. Attorney’s Office will, within 30 days after the expiration of the period of deferral (including any extensions thereto), seek dismissal with prejudice of the Information. The DPA further provides that, in the event the U.S. Attorney’s Office determines during the period of deferral of prosecution (or any extensions thereof) that we have violated any provision of the DPA, the U.S. Attorney’s Office may in its discretion either prosecute GM on the charges alleged in the Information or impose an extension of the period of deferral of prosecution of up to one additional year, but in no event will the total term of the deferral-of-prosecution period under the DPA exceed four years.</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DPA, we also agreed to retain the Monitor for a period of three years to review and assess our policies, practices or procedures related to statements about motor vehicle safety, the provision of information to those responsible for recall decisions, recall processes and addressing known defects in certified pre-owned vehicles. The U.S. Attorney's Office has the authority to lengthen the Monitor's term up to one year if the U.S. Attorney's Office determines that GM has violated the DPA. Likewise, the U.S. Attorney's Office may shorten the Monitor's term if the U.S. Attorney's Office determines that a monitor is no longer necessary. GM is required to pay the compensation and expenses of the Monitor and of the persons hired under his authority. The Monitor commenced his term in November 2015.</w:t>
      </w:r>
    </w:p>
    <w:p>
      <w:pPr>
        <w:spacing w:after="0" w:line="19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total amount accrued for the 2014 recalls at December 31, 2017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with respect to particular cases or groups of cases, the results of any investigation or litigation and the timing of resolution of the investigation or litigations, including any appeals. We will continue to consider resolution of pending matters involving ignition switch recalls and other recalls where it makes sense to do so.</w:t>
      </w:r>
    </w:p>
    <w:p>
      <w:pPr>
        <w:spacing w:after="0" w:line="178"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We are party to litigation with current and former hourly employees of GM Korea in the appellate court and Incheon District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Court in 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In 2014 GM Korea and its labor union agreed to include bonuses and certain allowances in Ordinary Wages retroactive to March 1, 2014. Therefore our accrual related to these group actions was reclassified from a contingent liability to the Pensions liability. We estimate our reasonably possible loss in excess of amounts accrued to be approximately $592 million at December 31, 2017.</w:t>
      </w:r>
    </w:p>
    <w:p>
      <w:pPr>
        <w:spacing w:after="0" w:line="16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In September 2017, the Seoul High Court issued a ruling concerning two salary cases and another salaried worker case.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other things, the Seoul High Court held that there was no agreement between GM Korea and its salaried workers regarding whether to include fixed bonuses in the calculation of ordinary wages. As a result, the workers are not barred from filing retroactive wage claims. GM Korea appealed this ruling to the Seoul Supreme Court. At December 31, 2017 we identified a reasonably possible loss for salary cases in excess of the amounts accrued of approximately $185 million. Both the scope of claims asserted and GM Korea's assessment of any or all of the individual claim elements may change if new information becomes available.</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March 2017, the Supreme Court of Brazil issued a decision concluding that a certain state value added tax should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in the calculation of federal gross receipts taxes. The decision reduces GM Brazil’s gross receipts tax prospectively and, potentially, retrospectively. The retrospective right to recover is under judicial review. If the Supreme Court of Brazil grants retrospective recovery we estimate potential recoveries of up to $1.4 billion. However, given the remaining uncertainty regarding the ultimate judicial resolution of this matter, we are unable to assess the likelihood of any favorable outcome at this time. We have not recorded any amounts relating to the retrospective nature of this matter.</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PSA Group Transaction </w:t>
      </w:r>
      <w:r>
        <w:rPr>
          <w:rFonts w:ascii="Arial" w:cs="Arial" w:eastAsia="Arial" w:hAnsi="Arial"/>
          <w:sz w:val="18"/>
          <w:szCs w:val="18"/>
          <w:color w:val="auto"/>
        </w:rPr>
        <w:t>Our wholly owned subsidiary (The Seller) has agreed to indemnify PSA Group for certain losses resulting from any inaccuracy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Certain of these indemnification obligations are subject to time limitations, thresholds and/or caps as to the amount of required payments. We are currently unable to estimate any reasonably possible overall amounts or range of loss that may result from claims made under these indemnities, if any.</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PSA Group has provided a number of working capital and other adjustments under the Agreement and other ancillary agreements, many of which are customary in these types of transactions. We currently believe that post-closing adjustments under the Agreement, if any, would not have a material impact on our results of operations.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proceedings are pending against us or our related companies or joint ventures, including matters arising out of alleged product defects; employment-related matters; product and workplace safety, vehicle emissions, including CO</w:t>
      </w:r>
      <w:r>
        <w:rPr>
          <w:rFonts w:ascii="Arial" w:cs="Arial" w:eastAsia="Arial" w:hAnsi="Arial"/>
          <w:sz w:val="11"/>
          <w:szCs w:val="11"/>
          <w:color w:val="auto"/>
        </w:rPr>
        <w:t>2</w:t>
      </w:r>
      <w:r>
        <w:rPr>
          <w:rFonts w:ascii="Arial" w:cs="Arial" w:eastAsia="Arial" w:hAnsi="Arial"/>
          <w:sz w:val="17"/>
          <w:szCs w:val="17"/>
          <w:color w:val="auto"/>
        </w:rPr>
        <w:t xml:space="preserve"> and nitrogen oxide, fuel economy, and related governmental regulations; product warranties; financial services; dealer, supplier and other contractual relationships; government regulations relating to payments to foreign companies; government regulations relating to competition issues; tax-related matters not subject to the provision of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also faces a series of additional lawsuits based primarily on allegations in the Duramax suit, including putative shareholder class actions claiming violations of federal securities law. The securities and shareholder demand lawsuits have been voluntarily stayed by the plaintiffs.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$250 million to $650 million at December 31, 2017. Some of the matters may involve compensatory, punitive or other treble damage claims, environmental remediation programs or sanctions that, if granted, could require us to pay damages or make other expenditures in amounts that could not be reasonably estimated at December 31, 2017. We believe that appropriate accruals have been established for losses that are probable and can be reasonably estimated. For indirect tax-related matters we estimate our reasonably possible loss in excess of amounts accrued to be up to approximately $1.0 billion at December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Although we do not believe there is a safety defect at this time in any unrecalled GM vehicles within scope of the Takata DIRs,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those GMT900 vehicles. On November 28, 2016 NHTSA granted GM's deferral request in connection with this petition. The deferral provided GM until August 31, 2017 to present evidence and analysis that our vehicles do not pose an unreasonable risk to motor vehicle safety.</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August 25, 2017, we filed a supplemental brief in support of our petitions that provided NHTSA with the results of our long-term study and testing and the basis for our determination that the inflators in these vehicles do not present an unreasonable risk to safety and that no repair should ultimately be required. In our brief, we requested that NHTSA grant our petitions or, in the alternative, grant an additional deferral period to provide time for further testing.</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filed a third set of Preliminary DIRs for certain GMT900 vehicles on January 9, 2018. These January 2018 DIRs are consistent with GM's May 2016 DIRs and January 2017 DIRs. On the same day, we also filed a third petition for inconsequentiality with respect to the vehicles subject to our January 2018 DIRs.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is engaged in discussions with regulators outside the U.S. with respect to Takata inflators. There are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September 30, 2017 to replace Takata inflators in these vehicles. Additional recalls, if any, could be material to our results of operations and cash flows. We continue to monitor the international situation.</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January 30, 2018 we are aware of one putative class action pending against GM in federal court in the U.S., one putative class action in Mexico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 On August 16, 2017, the bankruptcy court hearing the Takata bankruptcy entered an order staying all Takata related litigation against automotive manufacturers, including GM, through February 2018.</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In addition we indemnify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dealers for certain product liability related claims including products sold by General Motors Corporation's dealers. At December 31, 2017 and 2016 liabilities of $595 million and $656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Guarantees </w:t>
      </w:r>
      <w:r>
        <w:rPr>
          <w:rFonts w:ascii="Arial" w:cs="Arial" w:eastAsia="Arial" w:hAnsi="Arial"/>
          <w:sz w:val="17"/>
          <w:szCs w:val="17"/>
          <w:color w:val="auto"/>
        </w:rPr>
        <w:t>We enter into indemnification agreements for liability claims involving products manufactured primarily by certain joint ventures.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vehicle repurchase guarantees and payment guarantees on commercial loans outstanding with third parties such as dealers. These guarantees terminate in years ranging from 2018 to 2032 or upon the occurrence of specific events or are ongoing. We believe that the related potential costs incurred are adequately covered and our recorded accruals are insignificant. The maximum liability, calculated as future undiscounted payments, was $5.1 billion and $4.3 billion for these guarantees at December 31, 2017 and 2016, the majority of which relate to the indemnification agreements.</w:t>
      </w:r>
    </w:p>
    <w:p>
      <w:pPr>
        <w:spacing w:after="0" w:line="17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Credit card programs offer rebates that can be applied primarily against the purchase or lease of our vehicles. At December 31, 2017 and 2016</w:t>
      </w:r>
      <w:r>
        <w:rPr>
          <w:rFonts w:ascii="Arial" w:cs="Arial" w:eastAsia="Arial" w:hAnsi="Arial"/>
          <w:sz w:val="18"/>
          <w:szCs w:val="18"/>
          <w:b w:val="1"/>
          <w:bCs w:val="1"/>
          <w:color w:val="auto"/>
        </w:rPr>
        <w:t xml:space="preserve"> </w:t>
      </w:r>
      <w:r>
        <w:rPr>
          <w:rFonts w:ascii="Arial" w:cs="Arial" w:eastAsia="Arial" w:hAnsi="Arial"/>
          <w:sz w:val="18"/>
          <w:szCs w:val="18"/>
          <w:color w:val="auto"/>
        </w:rPr>
        <w:t>our redemption liability was insignificant, our deferred revenue was $283 million and $286 million, and qualified cardholders had rebates available, net of deferred program revenue, of $1.5 billion and $1.9 billion. Our redemption liability and deferred revenue are recorded in Accrued liabilities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Noncancelable Operating Leases </w:t>
      </w:r>
      <w:r>
        <w:rPr>
          <w:rFonts w:ascii="Arial" w:cs="Arial" w:eastAsia="Arial" w:hAnsi="Arial"/>
          <w:sz w:val="18"/>
          <w:szCs w:val="18"/>
          <w:color w:val="auto"/>
        </w:rPr>
        <w:t>The following table summarizes our minimum commitments under noncancelable operating leases having initial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one year, primarily for property: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commitments(a)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39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$284 million, $270 million and $317 million in the years ended December 31, 2017, 2016 and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spacing w:after="0"/>
              <w:rPr>
                <w:sz w:val="21"/>
                <w:szCs w:val="21"/>
                <w:color w:val="auto"/>
              </w:rPr>
            </w:pPr>
          </w:p>
        </w:tc>
        <w:tc>
          <w:tcPr>
            <w:tcW w:w="28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income</w:t>
            </w:r>
          </w:p>
        </w:tc>
        <w:tc>
          <w:tcPr>
            <w:tcW w:w="3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Non-U.S. income (loss)</w:t>
            </w: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income</w:t>
            </w:r>
          </w:p>
        </w:tc>
        <w:tc>
          <w:tcPr>
            <w:tcW w:w="3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76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50"/>
        </w:trPr>
        <w:tc>
          <w:tcPr>
            <w:tcW w:w="7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1,735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$2.8 billion and $2.4 billion at December 31, 2017 and 2016. Additional basis differences related to investments in nonconsolidated China JVs exist of $4.1 billion at December 31, 2017 and 2016 as a result of fresh-start reporting. Quantification of the deferred tax liability, if any, associated with indefinitely reinvested basis differences is not practicable. The non-U.S. deferred income tax benefit in the year ended December 31, 2015 relates primarily to the release of valuation allowances in Europe.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U.S. federal statutory income tax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and local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income taxed at other than 35%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tax on Non-U.S.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tax laws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 of prior year tax matters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Realization of basis differences in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remeasurement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penalty under the DPA(a)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Note 17 for additional information on the DPA.</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Deferred Income Tax Assets and Liabilities </w:t>
      </w:r>
      <w:r>
        <w:rPr>
          <w:rFonts w:ascii="Arial" w:cs="Arial" w:eastAsia="Arial" w:hAnsi="Arial"/>
          <w:sz w:val="18"/>
          <w:szCs w:val="18"/>
          <w:color w:val="auto"/>
        </w:rPr>
        <w:t>Deferred income tax assets and liabilities at December 31, 2017 and 2016 reflect the effect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capitalized research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U.S. operating loss and tax credit carryforwards(a)</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operating loss and tax credit carryforwards(b)</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22,856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8"/>
                <w:szCs w:val="18"/>
                <w:color w:val="auto"/>
                <w:w w:val="88"/>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December 31, 2017 U.S. operating loss and tax credit carryforwards of $8.6 billion expire by 2037 if not utilized.</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December 31, 2017 Non-U.S. operating loss and tax credit carryforwards of $925 million expire by 2037 if not utilized and the remaining balance of $4.2 billion may be carried forward indefinitely.</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Valuation Allowances </w:t>
      </w:r>
      <w:r>
        <w:rPr>
          <w:rFonts w:ascii="Arial" w:cs="Arial" w:eastAsia="Arial" w:hAnsi="Arial"/>
          <w:sz w:val="16"/>
          <w:szCs w:val="16"/>
          <w:color w:val="auto"/>
        </w:rPr>
        <w:t>During the year ended December 31, 2017 there was a $2.3 billion increase in the valuation allowance related to deferred tax assets</w:t>
      </w:r>
      <w:r>
        <w:rPr>
          <w:rFonts w:ascii="Arial" w:cs="Arial" w:eastAsia="Arial" w:hAnsi="Arial"/>
          <w:sz w:val="16"/>
          <w:szCs w:val="16"/>
          <w:b w:val="1"/>
          <w:bCs w:val="1"/>
          <w:color w:val="auto"/>
        </w:rPr>
        <w:t xml:space="preserve"> </w:t>
      </w:r>
      <w:r>
        <w:rPr>
          <w:rFonts w:ascii="Arial" w:cs="Arial" w:eastAsia="Arial" w:hAnsi="Arial"/>
          <w:sz w:val="16"/>
          <w:szCs w:val="16"/>
          <w:color w:val="auto"/>
        </w:rPr>
        <w:t>that will no longer be realizable as a result of the sale of the Opel/Vauxhall Business as described in Note 3. At December 31, 2017 valuation allowances against deferred tax assets of $6.7 billion were comprised of cumulative losses and tax credits, primarily in Germany, Spain and South Korea.</w:t>
      </w:r>
    </w:p>
    <w:p>
      <w:pPr>
        <w:spacing w:after="0" w:line="14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At December 31, 2016 valuation allowances against deferred tax assets of $3.9 billion were comprised of cumulative losses and tax credits, primarily in Spain, South Korea and certain U.S.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following table summarizes activity of the total amounts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2017 and 2016 there were $390 million and $682 million of unrecognized tax benefits that if recognized would favorably affect our effective tax rate in the future. In the years ended December 31, 2017, 2016 and 2015 income tax related interest and penalties were insignificant. At December 31, 2017 and 2016 we had liabilities of $152 million and $160 million for income tax related interest and penalties.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341"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2017 it is not possible to reasonably estimate the expected change to the total amount of unrecognized tax benefits in the next twelve months.</w:t>
      </w:r>
    </w:p>
    <w:p>
      <w:pPr>
        <w:spacing w:after="0" w:line="166"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Income tax returns are filed in multiple jurisdictions and are subject to examination by taxing authorities throughout the world.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open tax years from 2007 to 2017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 Given the global nature of our operations there is a risk that transfer pricing disputes may arise.</w:t>
      </w:r>
    </w:p>
    <w:p>
      <w:pPr>
        <w:spacing w:after="0" w:line="15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Tax Cuts and Jobs Act (the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year ended December 31, 2017 and recorded $7.3 billion in tax expense which relates almost entirely to the remeasurement of deferred tax assets to the 21% tax rate. Upon completion of our 2017 U.S. income tax return in 2018 we may identify additional remeasurement adjustments to our recorded deferred tax assets. We will continue to assess our provision for income taxes as future guidance is issued but do not currently anticipate significant revisions will be necessary. Any such revisions will be treated in accordance with the measurement period guidance outlined in Staff Accounting Bulletin No. 118.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12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have executed various restructuring and other initiatives and we may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72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w w:val="99"/>
              </w:rPr>
              <w:t>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545</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2017 restructuring and other initiatives primarily include restructuring actions announced in the three months ended June 30, 2017 in GMI. These actions related primarily to the withdrawal of Chevrolet from the Indian and South African markets at the end of 2017 and the transition of our South Africa manufacturing operations to Isuzu Motors. We intend to continue manufacturing vehicles in India for sale to certain export markets. We recorded charges of $460 million in GMI primarily consisting of $297 million of asset impairments, sale incentives, inventory provisions and other charges, not reflected in the table above, and $163 million of dealer restructurings, employee separations and other contract cancellation costs, which are reflected in the table above. We completed these programs in GMI in 2017.</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Other GMI restructuring programs reflected in the table above include separation and other programs in Australia, Korea and India and the withdrawal of the Chevrolet brand from Europe. Collectively, these programs had a total cost of $892 million since inception in 2013 through the completion of the programs in the year ended December 31, 2017.</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2016 restructuring and other initiatives related primarily to charges of $240 million in the three months ended March 31, 2016 in GMNA related to the cash severance incentive program to qualified U.S. hourly employees under our 2015 labor agreement with the UAW and insignificant costs for separation and other programs in Australia, Korea and India and the withdrawal of Chevrolet brand from Europe.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restructuring and other initiatives related primarily to the reversal of the U.S. Supplemental Unemployment Benefit Plan accrual for temporary layoff benefits of $317 million resulting from a plan amendment in the 2015 UAW Agreement in GMNA and costs incurred of $324 million related to the separation and other programs in Australia, Korea, Thailand, Indonesia, India and the exit of Russia and the withdrawal of the Chevrolet brand from Europe.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 and Noncontrolling Interests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Preferred and Common Stock </w:t>
      </w:r>
      <w:r>
        <w:rPr>
          <w:rFonts w:ascii="Arial" w:cs="Arial" w:eastAsia="Arial" w:hAnsi="Arial"/>
          <w:sz w:val="18"/>
          <w:szCs w:val="18"/>
          <w:color w:val="auto"/>
        </w:rPr>
        <w:t>We have 2.0 billion shares of preferred stock and 5.0 billion shares of common stock authorized for issuance.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and 2016 we had 1.4 billion and 1.5 billion shares of common stock issued and outstanding.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were $1.52, $1.52 and $1.38 and our total dividends paid on common stock were $2.2 billion, $2.3 billion and $2.2 billion for the years ended December 31, 2017, 2016 and 2015.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years ended December 31, 2017, 2016 and 2015 we purchased 120 million, 77 million and 102 million shares of our outstanding common stock for $4.5 billion, $2.5 billion and $3.5 billion as part of the common stock repurchase program announced in March 2015, which our Board of Directors increased and extended in January 2016 and January 2017.</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2016 we had 42 million warrants outstanding that we issued in July 2009. The warrants are exercisable at any time prior to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2019 at an exercise price of $18.33 per share. We had 22 million warrants outstanding at December 31, 2017.</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GM Financial Preferred Stock </w:t>
      </w:r>
      <w:r>
        <w:rPr>
          <w:rFonts w:ascii="Arial" w:cs="Arial" w:eastAsia="Arial" w:hAnsi="Arial"/>
          <w:sz w:val="16"/>
          <w:szCs w:val="16"/>
          <w:color w:val="auto"/>
        </w:rPr>
        <w:t>In September 2017 GM Financial issued $1.0 billion of Fixed-to-Floating Rate Cumulative Perpetual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A, $0.01 par value, with a liquidation preference of $1,000 per share. The preferred stock is classified as noncontrolling interests in our consolidated financial statements. Dividends will be paid semi-annually when declared starting March 30, 2018 at a fixed rate of 5.75% or approximately $58 million annually for the first 10 years after issuance, after which, if the notes have not been redeemed, dividends will be paid based on a floating rate.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w w:val="93"/>
              </w:rPr>
              <w:t>Other comprehensive income (loss) and noncontrolling interests before reclassification adjustment, net of</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7"/>
                <w:szCs w:val="17"/>
                <w:color w:val="auto"/>
              </w:rPr>
              <w:t>tax(a)(b)</w:t>
            </w:r>
          </w:p>
        </w:tc>
        <w:tc>
          <w:tcPr>
            <w:tcW w:w="30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tax(a)(c)</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tax(a)</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749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Defined Benefit Plans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w w:val="97"/>
              </w:rPr>
              <w:t>Other comprehensive income (loss) and noncontrolling interests before reclassification adjustment(b)</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ind w:left="20"/>
              <w:spacing w:after="0" w:line="192" w:lineRule="exact"/>
              <w:rPr>
                <w:sz w:val="20"/>
                <w:szCs w:val="20"/>
                <w:color w:val="auto"/>
              </w:rPr>
            </w:pPr>
            <w:r>
              <w:rPr>
                <w:rFonts w:ascii="Arial" w:cs="Arial" w:eastAsia="Arial" w:hAnsi="Arial"/>
                <w:sz w:val="17"/>
                <w:szCs w:val="17"/>
                <w:color w:val="auto"/>
                <w:w w:val="93"/>
              </w:rPr>
              <w:t>Other comprehensive income (loss) and noncontrolling interests before reclassification adjustment, net of</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7"/>
                <w:szCs w:val="17"/>
                <w:color w:val="auto"/>
              </w:rPr>
              <w:t>tax(b)</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570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6435"/>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7420" w:type="dxa"/>
            <w:vAlign w:val="bottom"/>
            <w:gridSpan w:val="2"/>
          </w:tcPr>
          <w:p>
            <w:pPr>
              <w:jc w:val="right"/>
              <w:ind w:right="1535"/>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2017, 2016 and 2015.</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noncontrolling interests are insignificant in the years ended December 31, 2017, 2016 and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reclassification adjustment for the year ended December 31, 2015 is related to the exit of Russia and is included in Automotive cost of sales.</w:t>
      </w:r>
    </w:p>
    <w:p>
      <w:pPr>
        <w:spacing w:after="0" w:line="5" w:lineRule="exact"/>
        <w:rPr>
          <w:sz w:val="20"/>
          <w:szCs w:val="20"/>
          <w:color w:val="auto"/>
        </w:rPr>
      </w:pPr>
    </w:p>
    <w:p>
      <w:pPr>
        <w:jc w:val="both"/>
        <w:ind w:left="340" w:right="20" w:hanging="323"/>
        <w:spacing w:after="0" w:line="257" w:lineRule="auto"/>
        <w:tabs>
          <w:tab w:leader="none" w:pos="320" w:val="left"/>
        </w:tabs>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$1.2 billion is included in the loss on sale of the Opel/Vauxhall Business in the year ended December 31, 2017. An insignificant amount is included in the computation of periodic pension and OPEB (income) expense in the years ended December 31, 2017, 2016 and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Basic and diluted earnings (loss) per share are computed by dividing Net income (loss) attributable to common stockholders by the weighted-average common shares outstanding in the period. Diluted earnings (loss) per share is computed by giving effect to all potentially dilutive securities that are outstanding.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9,662</w:t>
            </w:r>
          </w:p>
        </w:tc>
      </w:tr>
      <w:tr>
        <w:trPr>
          <w:trHeight w:val="264"/>
        </w:trPr>
        <w:tc>
          <w:tcPr>
            <w:tcW w:w="20" w:type="dxa"/>
            <w:vAlign w:val="bottom"/>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Less: cumulative dividends on GM Financial preferred stock</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50"/>
        </w:trPr>
        <w:tc>
          <w:tcPr>
            <w:tcW w:w="20" w:type="dxa"/>
            <w:vAlign w:val="bottom"/>
          </w:tcPr>
          <w:p>
            <w:pPr>
              <w:spacing w:after="0"/>
              <w:rPr>
                <w:sz w:val="21"/>
                <w:szCs w:val="21"/>
                <w:color w:val="auto"/>
              </w:rPr>
            </w:pPr>
          </w:p>
        </w:tc>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9,662</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9,687</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w:t>
            </w:r>
          </w:p>
        </w:tc>
      </w:tr>
      <w:tr>
        <w:trPr>
          <w:trHeight w:val="270"/>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Basic earnings (loss) per common share – 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0.02</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 – diluted(a)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9,661</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9,686</w:t>
            </w:r>
          </w:p>
        </w:tc>
      </w:tr>
      <w:tr>
        <w:trPr>
          <w:trHeight w:val="270"/>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1,640</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Diluted earnings (loss) per common share – 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0.02</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r>
      <w:tr>
        <w:trPr>
          <w:trHeight w:val="122"/>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dilutive securities(b)</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of Net (income)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warrants and stock options were excluded from the computation of diluted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 Incentive Plans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grant to certain employees RSUs, RSAs, PSUs and stock options (collectively, stock incentive awards) under our 2016 Equity Incentive Plan and 2017 Long-Term Incentive Plan (LTIP) and prior to the 2017 LTIP, under our 2014 and 2009 LTIPs. The 2017 LTIP was approved by stockholders in June 2017 and replaced the 2014 LTIP. Shares awarded under the plans are subject to forfeiture if the participant leaves the company for reasons other than those permitted under the plans such as retirement, death or disability.</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341"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19 months to three years.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connection with our acquisition described in Note 10, RSAs and PSUs were granted. The RSAs vest ratably, generally over a three-year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PSUs are contingent upon achievement of specific technology and commercialization milestones.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Incentive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Stock Incentive Awards(a)</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January 1, 2017</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December 31, 2017</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target amount of PSUs.</w:t>
      </w:r>
    </w:p>
    <w:p>
      <w:pPr>
        <w:spacing w:after="0" w:line="20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weighted-average assumptions used to value our stock options are a dividend yield of 4.43% and 4.60%, expected volatility of 25.0% and 26.1%, a risk-free interest rate of 1.97% and 2.00%, and an expected option life of 5.84 and 6.59 years for options issued during the years ended December 31, 2017 and 2015. There were no stock options issued during the year ended December 31, 2016.</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Total compensation expense related to the above awards was $585 million, $627 million and $422 million in the years ended December 31, 2017, 2016 and 2015.</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At December 31, 2017 the total unrecognized compensation expense for nonvested equity awards granted was $278 million. This expense is expected to be recorded over a weighted-average period of 1.7 years. The total fair value of stock incentive awards vested was $421 million, $325 million and $228 million in the years ended December 31, 2017,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37,715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4,758</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Basic earnings (loss) per common share – continuing operations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7"/>
              </w:rPr>
              <w:t>Diluted earnings (loss) per common share – continuing operations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459"/>
        </w:trPr>
        <w:tc>
          <w:tcPr>
            <w:tcW w:w="5200" w:type="dxa"/>
            <w:vAlign w:val="bottom"/>
          </w:tcPr>
          <w:p>
            <w:pPr>
              <w:spacing w:after="0"/>
              <w:rPr>
                <w:sz w:val="24"/>
                <w:szCs w:val="24"/>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2017, September 30, 2017 and December 31, 2017, we collectively recorded a total charge of $6.2 billion as a result of the sale of the European Business, of which $3.9 billion is recorded in Income (loss) from discontinued operations, net of tax, and $2.3 billion is related to Income tax expense. In the three months ended December 31, 2017, the Company recorded a $7.3 billion tax expense related to the U.S. tax reform legislation.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4,605</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 – discontinued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6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Reporting</w:t>
      </w:r>
    </w:p>
    <w:p>
      <w:pPr>
        <w:spacing w:after="0" w:line="12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report segment information consistent with the way the chief operating decision maker evaluates the operating results and performance of the Company. During the three months ended December 31, 2017, we changed our automotive segments as a result of changes in our organizational structure and the evolution of our business resulting from the sale of the Opel/Vauxhall Business and the various strategic actions taken in the GMIO region. As a result, our GMSA and GMIO operating segments are now reported as one, combined reportable international segment, GMI. Our GMNA and GM Financial segments were not impacted. All periods presented have been recast to reflect the changes.</w:t>
      </w:r>
    </w:p>
    <w:p>
      <w:pPr>
        <w:spacing w:after="0" w:line="17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analyze the results of our business through the following segments: GMNA, GMI and GM Financial. As discussed in Note 3, the European Business is presented as discontinued operations and is excluded from our segment results for all periods presented. The European Business was previously reported as our GME segment and part of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6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automotive operations' interest income and interest expense, Maven, legacy costs from the Opel/Vauxhall Business (primarily pension costs), corporate expenditures including autonomous vehicle-related engineering and other costs and certain nonsegment specific revenues and expenses are recorded centrally in Corporate. Corporate assets consist primarily of cash and cash equivalents, marketable securities, our investment in Lyft, goodwill, intangibles, Maven vehicles and intercompany balances. Retained net underfunded pension liabilities related to the European Business are also recorded in Corporate. All intersegment balances and transactions have been eliminated in consolidation.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0"/>
              </w:rPr>
              <w:t>At and For the Year Ended December 31, 2017</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GMNA</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GMI</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21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111,345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21,920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133,607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145,588</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11,889</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11,655</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8"/>
                <w:szCs w:val="18"/>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12,844</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266</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11,863</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(11,533)</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(4,212)</w:t>
            </w: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r>
      <w:tr>
        <w:trPr>
          <w:trHeight w:val="228"/>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 attributable to stockholders</w:t>
            </w: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w:t>
            </w: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7,886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9,073</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99,846</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27,712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31,267</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(42,750)</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116,075</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97,251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18"/>
                <w:szCs w:val="18"/>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212,482</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8,453</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4,654</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5,394</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6,573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11,967</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w:t>
            </w:r>
          </w:p>
        </w:tc>
      </w:tr>
      <w:tr>
        <w:trPr>
          <w:trHeight w:val="200"/>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1,951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1,959</w:t>
            </w:r>
          </w:p>
        </w:tc>
        <w:tc>
          <w:tcPr>
            <w:tcW w:w="120" w:type="dxa"/>
            <w:vAlign w:val="bottom"/>
          </w:tcPr>
          <w:p>
            <w:pPr>
              <w:spacing w:after="0"/>
              <w:rPr>
                <w:sz w:val="17"/>
                <w:szCs w:val="17"/>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2,132</w:t>
            </w:r>
          </w:p>
        </w:tc>
      </w:tr>
      <w:tr>
        <w:trPr>
          <w:trHeight w:val="160"/>
        </w:trPr>
        <w:tc>
          <w:tcPr>
            <w:tcW w:w="2740" w:type="dxa"/>
            <w:vAlign w:val="bottom"/>
          </w:tcPr>
          <w:p>
            <w:pPr>
              <w:spacing w:after="0"/>
              <w:rPr>
                <w:sz w:val="20"/>
                <w:szCs w:val="20"/>
                <w:color w:val="auto"/>
              </w:rPr>
            </w:pPr>
            <w:r>
              <w:rPr>
                <w:rFonts w:ascii="Arial" w:cs="Arial" w:eastAsia="Arial" w:hAnsi="Arial"/>
                <w:sz w:val="13"/>
                <w:szCs w:val="13"/>
                <w:color w:val="auto"/>
              </w:rPr>
              <w:t>__________</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340" w:hanging="332"/>
        <w:spacing w:after="0" w:line="239"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legal related matters related to the ignition switch recall in Corporate.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0"/>
              </w:rPr>
              <w:t>At and For the Year Ended December 31, 2016</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GMNA</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GMI</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21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119,113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20,943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140,205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8,983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149,184</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12,388</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12,082</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12,848</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182</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12,008</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(2,739)</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9,269</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159</w:t>
            </w:r>
          </w:p>
        </w:tc>
      </w:tr>
      <w:tr>
        <w:trPr>
          <w:trHeight w:val="255"/>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9,427</w:t>
            </w: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8,996</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Total assets(b)</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103,879</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27,273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39,042</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(35,139)</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135,055</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87,947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(1,312)</w:t>
            </w:r>
          </w:p>
        </w:tc>
        <w:tc>
          <w:tcPr>
            <w:tcW w:w="120" w:type="dxa"/>
            <w:vAlign w:val="bottom"/>
          </w:tcPr>
          <w:p>
            <w:pPr>
              <w:spacing w:after="0"/>
              <w:rPr>
                <w:sz w:val="18"/>
                <w:szCs w:val="18"/>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221,690</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8,384</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4,292</w:t>
            </w:r>
          </w:p>
        </w:tc>
        <w:tc>
          <w:tcPr>
            <w:tcW w:w="1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5,008</w:t>
            </w:r>
          </w:p>
        </w:tc>
        <w:tc>
          <w:tcPr>
            <w:tcW w:w="120" w:type="dxa"/>
            <w:vAlign w:val="bottom"/>
          </w:tcPr>
          <w:p>
            <w:pPr>
              <w:spacing w:after="0"/>
              <w:rPr>
                <w:sz w:val="18"/>
                <w:szCs w:val="18"/>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4,678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9,686</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w:t>
            </w:r>
          </w:p>
        </w:tc>
      </w:tr>
      <w:tr>
        <w:trPr>
          <w:trHeight w:val="200"/>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1,971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2,130</w:t>
            </w:r>
          </w:p>
        </w:tc>
        <w:tc>
          <w:tcPr>
            <w:tcW w:w="120" w:type="dxa"/>
            <w:vAlign w:val="bottom"/>
          </w:tcPr>
          <w:p>
            <w:pPr>
              <w:spacing w:after="0"/>
              <w:rPr>
                <w:sz w:val="17"/>
                <w:szCs w:val="17"/>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2,282</w:t>
            </w:r>
          </w:p>
        </w:tc>
      </w:tr>
      <w:tr>
        <w:trPr>
          <w:trHeight w:val="160"/>
        </w:trPr>
        <w:tc>
          <w:tcPr>
            <w:tcW w:w="2740" w:type="dxa"/>
            <w:vAlign w:val="bottom"/>
          </w:tcPr>
          <w:p>
            <w:pPr>
              <w:spacing w:after="0"/>
              <w:rPr>
                <w:sz w:val="20"/>
                <w:szCs w:val="20"/>
                <w:color w:val="auto"/>
              </w:rPr>
            </w:pPr>
            <w:r>
              <w:rPr>
                <w:rFonts w:ascii="Arial" w:cs="Arial" w:eastAsia="Arial" w:hAnsi="Arial"/>
                <w:sz w:val="13"/>
                <w:szCs w:val="13"/>
                <w:color w:val="auto"/>
              </w:rPr>
              <w:t>__________</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a net charge of $300 million for legal related matters related to the ignition switch recall.</w:t>
      </w: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Assets in Corporate and GM Financial include assets classified as held for sale.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jc w:val="right"/>
              <w:ind w:right="37"/>
              <w:spacing w:after="0"/>
              <w:rPr>
                <w:sz w:val="20"/>
                <w:szCs w:val="20"/>
                <w:color w:val="auto"/>
              </w:rPr>
            </w:pPr>
            <w:r>
              <w:rPr>
                <w:rFonts w:ascii="Arial" w:cs="Arial" w:eastAsia="Arial" w:hAnsi="Arial"/>
                <w:sz w:val="13"/>
                <w:szCs w:val="13"/>
                <w:b w:val="1"/>
                <w:bCs w:val="1"/>
                <w:color w:val="auto"/>
                <w:w w:val="90"/>
              </w:rPr>
              <w:t>At and For the Year Ended December 31, 2015</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64"/>
        </w:trPr>
        <w:tc>
          <w:tcPr>
            <w:tcW w:w="2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GMNA</w:t>
            </w:r>
          </w:p>
        </w:tc>
        <w:tc>
          <w:tcPr>
            <w:tcW w:w="180" w:type="dxa"/>
            <w:vAlign w:val="bottom"/>
          </w:tcPr>
          <w:p>
            <w:pPr>
              <w:spacing w:after="0"/>
              <w:rPr>
                <w:sz w:val="22"/>
                <w:szCs w:val="22"/>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GMI</w:t>
            </w:r>
          </w:p>
        </w:tc>
        <w:tc>
          <w:tcPr>
            <w:tcW w:w="140" w:type="dxa"/>
            <w:vAlign w:val="bottom"/>
          </w:tcPr>
          <w:p>
            <w:pPr>
              <w:spacing w:after="0"/>
              <w:rPr>
                <w:sz w:val="22"/>
                <w:szCs w:val="22"/>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22"/>
                <w:szCs w:val="22"/>
                <w:color w:val="auto"/>
              </w:rPr>
            </w:pPr>
          </w:p>
        </w:tc>
        <w:tc>
          <w:tcPr>
            <w:tcW w:w="960" w:type="dxa"/>
            <w:vAlign w:val="bottom"/>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21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106,744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22,970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129,864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135,725</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w w:val="89"/>
              </w:rPr>
              <w:t>Earnings (loss) before interest and taxes-adjusted</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11,354</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10,771</w:t>
            </w:r>
          </w:p>
        </w:tc>
        <w:tc>
          <w:tcPr>
            <w:tcW w:w="120" w:type="dxa"/>
            <w:vAlign w:val="bottom"/>
          </w:tcPr>
          <w:p>
            <w:pPr>
              <w:spacing w:after="0"/>
              <w:rPr>
                <w:sz w:val="18"/>
                <w:szCs w:val="18"/>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11,449</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167</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Gain on extinguishment of debt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449</w:t>
            </w:r>
          </w:p>
        </w:tc>
      </w:tr>
      <w:tr>
        <w:trPr>
          <w:trHeight w:val="21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Net (loss) attributable to noncontrolling interests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8,371</w:t>
            </w:r>
          </w:p>
        </w:tc>
      </w:tr>
      <w:tr>
        <w:trPr>
          <w:trHeight w:val="21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benefit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1,219</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Income from continuing operations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9,590</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Income from discontinued operations, net of tax</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r>
      <w:tr>
        <w:trPr>
          <w:trHeight w:val="210"/>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6"/>
              </w:rPr>
              <w:t>Net loss attributable to noncontrolling interests</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r>
      <w:tr>
        <w:trPr>
          <w:trHeight w:val="21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9,687</w:t>
            </w: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2640" w:type="dxa"/>
            <w:vAlign w:val="bottom"/>
          </w:tcPr>
          <w:p>
            <w:pPr>
              <w:ind w:left="40"/>
              <w:spacing w:after="0"/>
              <w:rPr>
                <w:sz w:val="20"/>
                <w:szCs w:val="20"/>
                <w:color w:val="auto"/>
              </w:rPr>
            </w:pPr>
            <w:r>
              <w:rPr>
                <w:rFonts w:ascii="Arial" w:cs="Arial" w:eastAsia="Arial" w:hAnsi="Arial"/>
                <w:sz w:val="13"/>
                <w:szCs w:val="13"/>
                <w:color w:val="auto"/>
                <w:w w:val="93"/>
              </w:rPr>
              <w:t>Equity in net assets of nonconsolidated affiliates</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6"/>
                <w:szCs w:val="16"/>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8,115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8,209</w:t>
            </w:r>
          </w:p>
        </w:tc>
        <w:tc>
          <w:tcPr>
            <w:tcW w:w="120" w:type="dxa"/>
            <w:vAlign w:val="bottom"/>
          </w:tcPr>
          <w:p>
            <w:pPr>
              <w:spacing w:after="0"/>
              <w:rPr>
                <w:sz w:val="16"/>
                <w:szCs w:val="16"/>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9,195</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assets(b)</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66,081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194,338</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5,697</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66</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6,740</w:t>
            </w:r>
          </w:p>
        </w:tc>
        <w:tc>
          <w:tcPr>
            <w:tcW w:w="120" w:type="dxa"/>
            <w:vAlign w:val="bottom"/>
          </w:tcPr>
          <w:p>
            <w:pPr>
              <w:spacing w:after="0"/>
              <w:rPr>
                <w:sz w:val="18"/>
                <w:szCs w:val="18"/>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6,813</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6,753</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8"/>
                <w:szCs w:val="18"/>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734</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2,193</w:t>
            </w:r>
          </w:p>
        </w:tc>
      </w:tr>
      <w:tr>
        <w:trPr>
          <w:trHeight w:val="144"/>
        </w:trPr>
        <w:tc>
          <w:tcPr>
            <w:tcW w:w="264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jc w:val="both"/>
        <w:ind w:left="340" w:hanging="332"/>
        <w:spacing w:after="0" w:line="238"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primarily of costs related to the Russia exit of $438 million in GMI, which is net of noncontrolling interests; asset impairment charges of $297 million related to our Thailand subsidiaries in GMI; Venezuela currency devaluation and asset impairment charges of $720 million in GMI; charges related to the ignition switch recall including the Compensation Program of $195 million and various settlements and legal related matters of approximately $1.6 billion in Corporate; and other of $41 million.</w:t>
      </w: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Assets in Corporate and GM Financial include assets classified as held for sale.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At and For the Years Ended December 31,</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100,674</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110,661</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100,082</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40,674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149,184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68,055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50,990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Supplemental Information for the Consolidated Statements of Cash Flows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Wholesale receivables funded by GM Financial,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Exchange Act is recorded, processed, summarized and reported</w:t>
      </w:r>
    </w:p>
    <w:p>
      <w:pPr>
        <w:sectPr>
          <w:pgSz w:w="11900" w:h="16838" w:orient="portrait"/>
          <w:cols w:equalWidth="0" w:num="1">
            <w:col w:w="11420"/>
          </w:cols>
          <w:pgMar w:left="240" w:top="34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41"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specified time periods and accumulated and communicated to our management, including our principal executive officer and principal financial officer, as appropriate, to allow timely decisions regarding required disclosure.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December 31, 2017.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December 31, 2017.</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72"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2017,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2017. Based on management's assessment, we have concluded that our internal control over financial reporting was effective at December 31, 2017.</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its report which is included herein.</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December 31, 2017 that have materially affected, or are reasonably likely to materially affect, our internal control over financial reporting.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CHARLES K. STEVENS III</w:t>
            </w:r>
          </w:p>
        </w:tc>
      </w:tr>
      <w:tr>
        <w:trPr>
          <w:trHeight w:val="27"/>
        </w:trPr>
        <w:tc>
          <w:tcPr>
            <w:tcW w:w="34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44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Charles K. Stevens III</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6, 2018</w:t>
            </w:r>
          </w:p>
        </w:tc>
        <w:tc>
          <w:tcPr>
            <w:tcW w:w="30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6, 2018</w:t>
            </w:r>
          </w:p>
        </w:tc>
      </w:tr>
      <w:tr>
        <w:trPr>
          <w:trHeight w:val="459"/>
        </w:trPr>
        <w:tc>
          <w:tcPr>
            <w:tcW w:w="3440" w:type="dxa"/>
            <w:vAlign w:val="bottom"/>
          </w:tcPr>
          <w:p>
            <w:pPr>
              <w:spacing w:after="0"/>
              <w:rPr>
                <w:sz w:val="24"/>
                <w:szCs w:val="24"/>
                <w:color w:val="auto"/>
              </w:rPr>
            </w:pP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94" w:name="page95"/>
    <w:bookmarkEnd w:id="9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Information required by Items 10, 11, 12, 13 and 14 of this Form 10-K is incorporated by reference from our definitive Proxy Statement for our 2018 Annual Meeting of Stockholders, which will be filed with the SEC, pursuant to Regulation 14A, not later than 120 days after the end of the 2017 fiscal year, all of which information is hereby incorporated by reference in, and made part of, this Form 10-K, except disclosure of our executive officers, which is included in Item 1 of this report.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95" w:name="page96"/>
    <w:bookmarkEnd w:id="9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rFonts w:ascii="Arial" w:cs="Arial" w:eastAsia="Arial" w:hAnsi="Arial"/>
          <w:sz w:val="18"/>
          <w:szCs w:val="18"/>
          <w:color w:val="auto"/>
        </w:rPr>
      </w:pPr>
    </w:p>
    <w:p>
      <w:pPr>
        <w:ind w:left="820" w:right="580"/>
        <w:spacing w:after="0" w:line="250"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ind w:left="840" w:hanging="184"/>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00" w:type="dxa"/>
            <w:vAlign w:val="bottom"/>
            <w:gridSpan w:val="15"/>
            <w:vMerge w:val="restart"/>
          </w:tcPr>
          <w:p>
            <w:pPr>
              <w:ind w:left="4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00" w:type="dxa"/>
            <w:vAlign w:val="bottom"/>
            <w:gridSpan w:val="15"/>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8460" w:type="dxa"/>
            <w:vAlign w:val="bottom"/>
            <w:tcBorders>
              <w:top w:val="single" w:sz="8" w:color="auto"/>
              <w:right w:val="single" w:sz="8" w:color="CCEEFF"/>
            </w:tcBorders>
            <w:gridSpan w:val="18"/>
            <w:shd w:val="clear" w:color="auto" w:fill="CCEEFF"/>
          </w:tcPr>
          <w:p>
            <w:pPr>
              <w:spacing w:after="0"/>
              <w:rPr>
                <w:rFonts w:ascii="Arial" w:cs="Arial" w:eastAsia="Arial" w:hAnsi="Arial"/>
                <w:sz w:val="16"/>
                <w:szCs w:val="16"/>
                <w:color w:val="0000FF"/>
                <w:w w:val="98"/>
              </w:rPr>
            </w:pPr>
            <w:hyperlink r:id="rId27">
              <w:r>
                <w:rPr>
                  <w:rFonts w:ascii="Arial" w:cs="Arial" w:eastAsia="Arial" w:hAnsi="Arial"/>
                  <w:sz w:val="16"/>
                  <w:szCs w:val="16"/>
                  <w:color w:val="0000FF"/>
                  <w:w w:val="98"/>
                </w:rPr>
                <w:t>Underwriting Agreement, dated August 2, 2017, by and among General Motors Company, as issuer, and Deutsche Bank</w:t>
              </w:r>
            </w:hyperlink>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w w:val="95"/>
              </w:rPr>
            </w:pPr>
            <w:hyperlink r:id="rId27">
              <w:r>
                <w:rPr>
                  <w:rFonts w:ascii="Arial" w:cs="Arial" w:eastAsia="Arial" w:hAnsi="Arial"/>
                  <w:sz w:val="16"/>
                  <w:szCs w:val="16"/>
                  <w:color w:val="0000FF"/>
                  <w:w w:val="95"/>
                </w:rPr>
                <w:t>Securities Inc., Merrill Lynch, Pierce, Fenner &amp; Smith Incorporated and Morgan Stanley &amp; Co. LLC, as representatives of the</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46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6"/>
                <w:szCs w:val="16"/>
                <w:color w:val="0000FF"/>
                <w:w w:val="92"/>
              </w:rPr>
            </w:pPr>
            <w:hyperlink r:id="rId27">
              <w:r>
                <w:rPr>
                  <w:rFonts w:ascii="Arial" w:cs="Arial" w:eastAsia="Arial" w:hAnsi="Arial"/>
                  <w:sz w:val="16"/>
                  <w:szCs w:val="16"/>
                  <w:color w:val="0000FF"/>
                  <w:w w:val="92"/>
                </w:rPr>
                <w:t>several underwriters named therein, incorporated herein by reference to Exhibit 1.1 to the Current Report on Form 8-K of General</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rPr>
            </w:pPr>
            <w:hyperlink r:id="rId27">
              <w:r>
                <w:rPr>
                  <w:rFonts w:ascii="Arial" w:cs="Arial" w:eastAsia="Arial" w:hAnsi="Arial"/>
                  <w:sz w:val="16"/>
                  <w:szCs w:val="16"/>
                  <w:color w:val="0000FF"/>
                </w:rPr>
                <w:t>Motors Company filed August 8, 2017</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6"/>
                <w:szCs w:val="16"/>
                <w:color w:val="auto"/>
              </w:rPr>
            </w:pPr>
          </w:p>
        </w:tc>
        <w:tc>
          <w:tcPr>
            <w:tcW w:w="8460" w:type="dxa"/>
            <w:vAlign w:val="bottom"/>
            <w:tcBorders>
              <w:bottom w:val="single" w:sz="8" w:color="0000FF"/>
            </w:tcBorders>
            <w:gridSpan w:val="18"/>
          </w:tcPr>
          <w:p>
            <w:pPr>
              <w:spacing w:after="0"/>
              <w:rPr>
                <w:rFonts w:ascii="Arial" w:cs="Arial" w:eastAsia="Arial" w:hAnsi="Arial"/>
                <w:sz w:val="16"/>
                <w:szCs w:val="16"/>
                <w:color w:val="0000FF"/>
                <w:w w:val="92"/>
              </w:rPr>
            </w:pPr>
            <w:hyperlink r:id="rId28">
              <w:r>
                <w:rPr>
                  <w:rFonts w:ascii="Arial" w:cs="Arial" w:eastAsia="Arial" w:hAnsi="Arial"/>
                  <w:sz w:val="16"/>
                  <w:szCs w:val="16"/>
                  <w:color w:val="0000FF"/>
                  <w:w w:val="92"/>
                </w:rPr>
                <w:t>Master Agreement, dated as of March 5, 2017, between General Motors Holdings, LLC and Peugeot S.A., incorporated herein by</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rPr>
            </w:pPr>
            <w:hyperlink r:id="rId28">
              <w:r>
                <w:rPr>
                  <w:rFonts w:ascii="Arial" w:cs="Arial" w:eastAsia="Arial" w:hAnsi="Arial"/>
                  <w:sz w:val="16"/>
                  <w:szCs w:val="16"/>
                  <w:color w:val="0000FF"/>
                </w:rPr>
                <w:t>reference to Exhibit 2.1 to the Quarterly Report on Form 10-Q of General Motors Company filed April 28,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846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6"/>
                <w:szCs w:val="16"/>
                <w:color w:val="0000FF"/>
                <w:w w:val="93"/>
              </w:rPr>
            </w:pPr>
            <w:hyperlink r:id="rId29">
              <w:r>
                <w:rPr>
                  <w:rFonts w:ascii="Arial" w:cs="Arial" w:eastAsia="Arial" w:hAnsi="Arial"/>
                  <w:sz w:val="16"/>
                  <w:szCs w:val="16"/>
                  <w:color w:val="0000FF"/>
                  <w:w w:val="93"/>
                </w:rPr>
                <w:t>Restated Certificate of Incorporation of General Motors Company dated December 7, 2010, incorporated herein by reference to</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rPr>
            </w:pPr>
            <w:hyperlink r:id="rId29">
              <w:r>
                <w:rPr>
                  <w:rFonts w:ascii="Arial" w:cs="Arial" w:eastAsia="Arial" w:hAnsi="Arial"/>
                  <w:sz w:val="16"/>
                  <w:szCs w:val="16"/>
                  <w:color w:val="0000FF"/>
                </w:rPr>
                <w:t>Exhibit 3.2 to the Current Report on Form 8-K of General Motors Company filed December 13, 2010</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8460" w:type="dxa"/>
            <w:vAlign w:val="bottom"/>
            <w:tcBorders>
              <w:bottom w:val="single" w:sz="8" w:color="0000FF"/>
            </w:tcBorders>
            <w:gridSpan w:val="18"/>
          </w:tcPr>
          <w:p>
            <w:pPr>
              <w:spacing w:after="0"/>
              <w:rPr>
                <w:rFonts w:ascii="Arial" w:cs="Arial" w:eastAsia="Arial" w:hAnsi="Arial"/>
                <w:sz w:val="16"/>
                <w:szCs w:val="16"/>
                <w:color w:val="0000FF"/>
                <w:w w:val="91"/>
              </w:rPr>
            </w:pPr>
            <w:hyperlink r:id="rId30">
              <w:r>
                <w:rPr>
                  <w:rFonts w:ascii="Arial" w:cs="Arial" w:eastAsia="Arial" w:hAnsi="Arial"/>
                  <w:sz w:val="16"/>
                  <w:szCs w:val="16"/>
                  <w:color w:val="0000FF"/>
                  <w:w w:val="91"/>
                </w:rPr>
                <w:t>Amended and Restated Bylaws of General Motors Company, dated as of December 13, 2017, incorporated herein by reference to</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rPr>
            </w:pPr>
            <w:hyperlink r:id="rId30">
              <w:r>
                <w:rPr>
                  <w:rFonts w:ascii="Arial" w:cs="Arial" w:eastAsia="Arial" w:hAnsi="Arial"/>
                  <w:sz w:val="16"/>
                  <w:szCs w:val="16"/>
                  <w:color w:val="0000FF"/>
                </w:rPr>
                <w:t>Exhibit 3.1 to the Current Report on Form 8-K of General Motors Company filed December 19,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8040" w:type="dxa"/>
            <w:vAlign w:val="bottom"/>
            <w:tcBorders>
              <w:bottom w:val="single" w:sz="8" w:color="0000FF"/>
            </w:tcBorders>
            <w:gridSpan w:val="16"/>
            <w:shd w:val="clear" w:color="auto" w:fill="CCEEFF"/>
          </w:tcPr>
          <w:p>
            <w:pPr>
              <w:spacing w:after="0"/>
              <w:rPr>
                <w:rFonts w:ascii="Arial" w:cs="Arial" w:eastAsia="Arial" w:hAnsi="Arial"/>
                <w:sz w:val="16"/>
                <w:szCs w:val="16"/>
                <w:color w:val="0000FF"/>
                <w:w w:val="92"/>
              </w:rPr>
            </w:pPr>
            <w:hyperlink r:id="rId31">
              <w:r>
                <w:rPr>
                  <w:rFonts w:ascii="Arial" w:cs="Arial" w:eastAsia="Arial" w:hAnsi="Arial"/>
                  <w:sz w:val="16"/>
                  <w:szCs w:val="16"/>
                  <w:color w:val="0000FF"/>
                  <w:w w:val="92"/>
                </w:rPr>
                <w:t>Certificate of Elimination of Series A Fixed Rate Cumulative Perpetual Preferred Stock, incorporated herein by reference to</w:t>
              </w:r>
            </w:hyperlink>
          </w:p>
        </w:tc>
        <w:tc>
          <w:tcPr>
            <w:tcW w:w="42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Exhibit 3.1 to the Current Report on Form 8-K of General Motors Company filed September 1, 2017</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40" w:type="dxa"/>
            <w:vAlign w:val="bottom"/>
            <w:tcBorders>
              <w:top w:val="single" w:sz="8" w:color="0000FF"/>
            </w:tcBorders>
            <w:shd w:val="clear" w:color="auto" w:fill="CCEEFF"/>
          </w:tcPr>
          <w:p>
            <w:pPr>
              <w:spacing w:after="0"/>
              <w:rPr>
                <w:sz w:val="21"/>
                <w:szCs w:val="21"/>
                <w:color w:val="auto"/>
              </w:rPr>
            </w:pPr>
          </w:p>
        </w:tc>
        <w:tc>
          <w:tcPr>
            <w:tcW w:w="1560" w:type="dxa"/>
            <w:vAlign w:val="bottom"/>
            <w:tcBorders>
              <w:top w:val="single" w:sz="8" w:color="0000FF"/>
            </w:tcBorders>
            <w:shd w:val="clear" w:color="auto" w:fill="CCEEFF"/>
          </w:tcPr>
          <w:p>
            <w:pPr>
              <w:spacing w:after="0"/>
              <w:rPr>
                <w:sz w:val="21"/>
                <w:szCs w:val="21"/>
                <w:color w:val="auto"/>
              </w:rPr>
            </w:pPr>
          </w:p>
        </w:tc>
        <w:tc>
          <w:tcPr>
            <w:tcW w:w="860" w:type="dxa"/>
            <w:vAlign w:val="bottom"/>
            <w:tcBorders>
              <w:top w:val="single" w:sz="8" w:color="0000FF"/>
            </w:tcBorders>
            <w:shd w:val="clear" w:color="auto" w:fill="CCEEFF"/>
          </w:tcPr>
          <w:p>
            <w:pPr>
              <w:spacing w:after="0"/>
              <w:rPr>
                <w:sz w:val="21"/>
                <w:szCs w:val="21"/>
                <w:color w:val="auto"/>
              </w:rPr>
            </w:pPr>
          </w:p>
        </w:tc>
        <w:tc>
          <w:tcPr>
            <w:tcW w:w="15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720" w:type="dxa"/>
            <w:vAlign w:val="bottom"/>
            <w:tcBorders>
              <w:top w:val="single" w:sz="8" w:color="0000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right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8460" w:type="dxa"/>
            <w:vAlign w:val="bottom"/>
            <w:tcBorders>
              <w:bottom w:val="single" w:sz="8" w:color="0000FF"/>
            </w:tcBorders>
            <w:gridSpan w:val="18"/>
          </w:tcPr>
          <w:p>
            <w:pPr>
              <w:spacing w:after="0"/>
              <w:rPr>
                <w:rFonts w:ascii="Arial" w:cs="Arial" w:eastAsia="Arial" w:hAnsi="Arial"/>
                <w:sz w:val="16"/>
                <w:szCs w:val="16"/>
                <w:color w:val="0000FF"/>
                <w:w w:val="94"/>
              </w:rPr>
            </w:pPr>
            <w:hyperlink r:id="rId32">
              <w:r>
                <w:rPr>
                  <w:rFonts w:ascii="Arial" w:cs="Arial" w:eastAsia="Arial" w:hAnsi="Arial"/>
                  <w:sz w:val="16"/>
                  <w:szCs w:val="16"/>
                  <w:color w:val="0000FF"/>
                  <w:w w:val="94"/>
                </w:rPr>
                <w:t>Certificate of Elimination of 4.75% Series B Mandatory Convertible Junior Preferred Stock, incorporated herein by reference to</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rPr>
            </w:pPr>
            <w:hyperlink r:id="rId32">
              <w:r>
                <w:rPr>
                  <w:rFonts w:ascii="Arial" w:cs="Arial" w:eastAsia="Arial" w:hAnsi="Arial"/>
                  <w:sz w:val="16"/>
                  <w:szCs w:val="16"/>
                  <w:color w:val="0000FF"/>
                </w:rPr>
                <w:t>Exhibit 3.2 to the Current Report on Form 8-K of General Motors Company filed September 1,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846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6"/>
                <w:szCs w:val="16"/>
                <w:color w:val="0000FF"/>
                <w:w w:val="94"/>
              </w:rPr>
            </w:pPr>
            <w:hyperlink r:id="rId33">
              <w:r>
                <w:rPr>
                  <w:rFonts w:ascii="Arial" w:cs="Arial" w:eastAsia="Arial" w:hAnsi="Arial"/>
                  <w:sz w:val="16"/>
                  <w:szCs w:val="16"/>
                  <w:color w:val="0000FF"/>
                  <w:w w:val="94"/>
                </w:rPr>
                <w:t>Indenture dated as of September 27, 2013, between General Motors Company and the Bank of New York Mellon, as Trustee,</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w w:val="96"/>
              </w:rPr>
            </w:pPr>
            <w:hyperlink r:id="rId33">
              <w:r>
                <w:rPr>
                  <w:rFonts w:ascii="Arial" w:cs="Arial" w:eastAsia="Arial" w:hAnsi="Arial"/>
                  <w:sz w:val="16"/>
                  <w:szCs w:val="16"/>
                  <w:color w:val="0000FF"/>
                  <w:w w:val="96"/>
                </w:rPr>
                <w:t>incorporated herein by reference to Exhibit 4.2 to the Registration Statement on Form S-3 of General Motors Company filed</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60" w:type="dxa"/>
            <w:vAlign w:val="bottom"/>
            <w:tcBorders>
              <w:top w:val="single" w:sz="8" w:color="0000FF"/>
            </w:tcBorders>
            <w:gridSpan w:val="17"/>
            <w:shd w:val="clear" w:color="auto" w:fill="CCEEFF"/>
          </w:tcPr>
          <w:p>
            <w:pPr>
              <w:spacing w:after="0" w:line="183" w:lineRule="exact"/>
              <w:rPr>
                <w:rFonts w:ascii="Arial" w:cs="Arial" w:eastAsia="Arial" w:hAnsi="Arial"/>
                <w:sz w:val="16"/>
                <w:szCs w:val="16"/>
                <w:color w:val="0000FF"/>
              </w:rPr>
            </w:pPr>
            <w:hyperlink r:id="rId33">
              <w:r>
                <w:rPr>
                  <w:rFonts w:ascii="Arial" w:cs="Arial" w:eastAsia="Arial" w:hAnsi="Arial"/>
                  <w:sz w:val="16"/>
                  <w:szCs w:val="16"/>
                  <w:color w:val="0000FF"/>
                </w:rPr>
                <w:t>April 30, 2014</w:t>
              </w:r>
            </w:hyperlink>
          </w:p>
        </w:tc>
        <w:tc>
          <w:tcPr>
            <w:tcW w:w="400" w:type="dxa"/>
            <w:vAlign w:val="bottom"/>
            <w:tcBorders>
              <w:top w:val="single" w:sz="8" w:color="CCEEFF"/>
              <w:right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6"/>
                <w:szCs w:val="16"/>
                <w:color w:val="auto"/>
              </w:rPr>
            </w:pPr>
          </w:p>
        </w:tc>
        <w:tc>
          <w:tcPr>
            <w:tcW w:w="8460" w:type="dxa"/>
            <w:vAlign w:val="bottom"/>
            <w:tcBorders>
              <w:bottom w:val="single" w:sz="8" w:color="0000FF"/>
            </w:tcBorders>
            <w:gridSpan w:val="18"/>
          </w:tcPr>
          <w:p>
            <w:pPr>
              <w:spacing w:after="0"/>
              <w:rPr>
                <w:rFonts w:ascii="Arial" w:cs="Arial" w:eastAsia="Arial" w:hAnsi="Arial"/>
                <w:sz w:val="16"/>
                <w:szCs w:val="16"/>
                <w:color w:val="0000FF"/>
                <w:w w:val="92"/>
              </w:rPr>
            </w:pPr>
            <w:hyperlink r:id="rId34">
              <w:r>
                <w:rPr>
                  <w:rFonts w:ascii="Arial" w:cs="Arial" w:eastAsia="Arial" w:hAnsi="Arial"/>
                  <w:sz w:val="16"/>
                  <w:szCs w:val="16"/>
                  <w:color w:val="0000FF"/>
                  <w:w w:val="92"/>
                </w:rPr>
                <w:t>First Supplemental Indenture dated as of September 27, 2013 to the Indenture dated as of September 27, 2013 between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80" w:type="dxa"/>
            <w:vAlign w:val="bottom"/>
            <w:tcBorders>
              <w:bottom w:val="single" w:sz="8" w:color="0000FF"/>
            </w:tcBorders>
            <w:gridSpan w:val="12"/>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Motors Company and the Bank of New York Mellon, as Trustee, incorporated herein by reference to Exhibit 4.3 to the</w:t>
              </w:r>
            </w:hyperlink>
          </w:p>
        </w:tc>
        <w:tc>
          <w:tcPr>
            <w:tcW w:w="780" w:type="dxa"/>
            <w:vAlign w:val="bottom"/>
            <w:gridSpan w:val="6"/>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Registration Statement on Form S-4 of General Motors Company filed May 22,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4.3</w:t>
            </w:r>
          </w:p>
        </w:tc>
        <w:tc>
          <w:tcPr>
            <w:tcW w:w="140" w:type="dxa"/>
            <w:vAlign w:val="bottom"/>
            <w:tcBorders>
              <w:right w:val="single" w:sz="8" w:color="CCEEFF"/>
            </w:tcBorders>
            <w:shd w:val="clear" w:color="auto" w:fill="CCEEFF"/>
          </w:tcPr>
          <w:p>
            <w:pPr>
              <w:spacing w:after="0"/>
              <w:rPr>
                <w:sz w:val="16"/>
                <w:szCs w:val="16"/>
                <w:color w:val="auto"/>
              </w:rPr>
            </w:pPr>
          </w:p>
        </w:tc>
        <w:tc>
          <w:tcPr>
            <w:tcW w:w="8460" w:type="dxa"/>
            <w:vAlign w:val="bottom"/>
            <w:tcBorders>
              <w:right w:val="single" w:sz="8" w:color="CCEEFF"/>
            </w:tcBorders>
            <w:gridSpan w:val="18"/>
            <w:shd w:val="clear" w:color="auto" w:fill="CCEEFF"/>
          </w:tcPr>
          <w:p>
            <w:pPr>
              <w:spacing w:after="0"/>
              <w:rPr>
                <w:rFonts w:ascii="Arial" w:cs="Arial" w:eastAsia="Arial" w:hAnsi="Arial"/>
                <w:sz w:val="16"/>
                <w:szCs w:val="16"/>
                <w:color w:val="0000FF"/>
                <w:w w:val="90"/>
              </w:rPr>
            </w:pPr>
            <w:hyperlink r:id="rId35">
              <w:r>
                <w:rPr>
                  <w:rFonts w:ascii="Arial" w:cs="Arial" w:eastAsia="Arial" w:hAnsi="Arial"/>
                  <w:sz w:val="16"/>
                  <w:szCs w:val="16"/>
                  <w:color w:val="0000FF"/>
                  <w:w w:val="90"/>
                </w:rPr>
                <w:t>Second Supplemental Indenture dated as of November 12, 2014 to the Indenture dated as of September 27, 2013 between General</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460" w:type="dxa"/>
            <w:vAlign w:val="bottom"/>
            <w:tcBorders>
              <w:top w:val="single" w:sz="8" w:color="0000FF"/>
              <w:bottom w:val="single" w:sz="8" w:color="0000FF"/>
              <w:right w:val="single" w:sz="8" w:color="CCEEFF"/>
            </w:tcBorders>
            <w:gridSpan w:val="18"/>
            <w:shd w:val="clear" w:color="auto" w:fill="CCEEFF"/>
          </w:tcPr>
          <w:p>
            <w:pPr>
              <w:spacing w:after="0" w:line="183" w:lineRule="exact"/>
              <w:rPr>
                <w:rFonts w:ascii="Arial" w:cs="Arial" w:eastAsia="Arial" w:hAnsi="Arial"/>
                <w:sz w:val="16"/>
                <w:szCs w:val="16"/>
                <w:color w:val="0000FF"/>
                <w:w w:val="94"/>
              </w:rPr>
            </w:pPr>
            <w:hyperlink r:id="rId35">
              <w:r>
                <w:rPr>
                  <w:rFonts w:ascii="Arial" w:cs="Arial" w:eastAsia="Arial" w:hAnsi="Arial"/>
                  <w:sz w:val="16"/>
                  <w:szCs w:val="16"/>
                  <w:color w:val="0000FF"/>
                  <w:w w:val="94"/>
                </w:rPr>
                <w:t>Motors Company and the Bank of New York Mellon, as Trustee, incorporated herein by reference to Exhibit 4.4 to the Current</w:t>
              </w:r>
            </w:hyperlink>
          </w:p>
        </w:tc>
        <w:tc>
          <w:tcPr>
            <w:tcW w:w="19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Report on Form 8-K of General Motors Company filed November 12, 2014</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8460" w:type="dxa"/>
            <w:vAlign w:val="bottom"/>
            <w:tcBorders>
              <w:bottom w:val="single" w:sz="8" w:color="0000FF"/>
            </w:tcBorders>
            <w:gridSpan w:val="18"/>
          </w:tcPr>
          <w:p>
            <w:pPr>
              <w:spacing w:after="0"/>
              <w:rPr>
                <w:rFonts w:ascii="Arial" w:cs="Arial" w:eastAsia="Arial" w:hAnsi="Arial"/>
                <w:sz w:val="16"/>
                <w:szCs w:val="16"/>
                <w:color w:val="0000FF"/>
                <w:w w:val="91"/>
              </w:rPr>
            </w:pPr>
            <w:hyperlink r:id="rId36">
              <w:r>
                <w:rPr>
                  <w:rFonts w:ascii="Arial" w:cs="Arial" w:eastAsia="Arial" w:hAnsi="Arial"/>
                  <w:sz w:val="16"/>
                  <w:szCs w:val="16"/>
                  <w:color w:val="0000FF"/>
                  <w:w w:val="91"/>
                </w:rPr>
                <w:t>Third Supplemental Indenture, dated as of February 23, 2016, to the Indenture, dated as of September 27, 2013, between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w w:val="92"/>
              </w:rPr>
            </w:pPr>
            <w:hyperlink r:id="rId36">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36">
              <w:r>
                <w:rPr>
                  <w:rFonts w:ascii="Arial" w:cs="Arial" w:eastAsia="Arial" w:hAnsi="Arial"/>
                  <w:sz w:val="16"/>
                  <w:szCs w:val="16"/>
                  <w:color w:val="0000FF"/>
                </w:rPr>
                <w:t>Current Report on Form 8-K of General Motors Company filed February 23, 2016</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4.5</w:t>
            </w:r>
          </w:p>
        </w:tc>
        <w:tc>
          <w:tcPr>
            <w:tcW w:w="140" w:type="dxa"/>
            <w:vAlign w:val="bottom"/>
            <w:tcBorders>
              <w:right w:val="single" w:sz="8" w:color="CCEEFF"/>
            </w:tcBorders>
            <w:shd w:val="clear" w:color="auto" w:fill="CCEEFF"/>
          </w:tcPr>
          <w:p>
            <w:pPr>
              <w:spacing w:after="0"/>
              <w:rPr>
                <w:sz w:val="16"/>
                <w:szCs w:val="16"/>
                <w:color w:val="auto"/>
              </w:rPr>
            </w:pPr>
          </w:p>
        </w:tc>
        <w:tc>
          <w:tcPr>
            <w:tcW w:w="8460" w:type="dxa"/>
            <w:vAlign w:val="bottom"/>
            <w:tcBorders>
              <w:right w:val="single" w:sz="8" w:color="CCEEFF"/>
            </w:tcBorders>
            <w:gridSpan w:val="18"/>
            <w:shd w:val="clear" w:color="auto" w:fill="CCEEFF"/>
          </w:tcPr>
          <w:p>
            <w:pPr>
              <w:spacing w:after="0"/>
              <w:rPr>
                <w:rFonts w:ascii="Arial" w:cs="Arial" w:eastAsia="Arial" w:hAnsi="Arial"/>
                <w:sz w:val="16"/>
                <w:szCs w:val="16"/>
                <w:color w:val="0000FF"/>
                <w:w w:val="92"/>
              </w:rPr>
            </w:pPr>
            <w:hyperlink r:id="rId37">
              <w:r>
                <w:rPr>
                  <w:rFonts w:ascii="Arial" w:cs="Arial" w:eastAsia="Arial" w:hAnsi="Arial"/>
                  <w:sz w:val="16"/>
                  <w:szCs w:val="16"/>
                  <w:color w:val="0000FF"/>
                  <w:w w:val="92"/>
                </w:rPr>
                <w:t>Fourth Supplemental Indenture, dated as of August 7, 2017, to the Indenture, dated as of September 27, 2013, between General</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460" w:type="dxa"/>
            <w:vAlign w:val="bottom"/>
            <w:tcBorders>
              <w:right w:val="single" w:sz="8" w:color="CCEEFF"/>
            </w:tcBorders>
            <w:gridSpan w:val="18"/>
            <w:shd w:val="clear" w:color="auto" w:fill="CCEEFF"/>
          </w:tcPr>
          <w:p>
            <w:pPr>
              <w:spacing w:after="0" w:line="183" w:lineRule="exact"/>
              <w:rPr>
                <w:rFonts w:ascii="Arial" w:cs="Arial" w:eastAsia="Arial" w:hAnsi="Arial"/>
                <w:sz w:val="16"/>
                <w:szCs w:val="16"/>
                <w:color w:val="0000FF"/>
                <w:w w:val="92"/>
              </w:rPr>
            </w:pPr>
            <w:hyperlink r:id="rId37">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460" w:type="dxa"/>
            <w:vAlign w:val="bottom"/>
            <w:tcBorders>
              <w:top w:val="single" w:sz="8" w:color="0000FF"/>
              <w:right w:val="single" w:sz="8" w:color="CCEEFF"/>
            </w:tcBorders>
            <w:gridSpan w:val="18"/>
            <w:shd w:val="clear" w:color="auto" w:fill="CCEEFF"/>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Current Report on Form 8-K of General Motors Company filed August 8, 2017</w:t>
              </w:r>
            </w:hyperlink>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40" w:type="dxa"/>
            <w:vAlign w:val="bottom"/>
            <w:tcBorders>
              <w:top w:val="single" w:sz="8" w:color="0000FF"/>
            </w:tcBorders>
            <w:shd w:val="clear" w:color="auto" w:fill="CCEEFF"/>
          </w:tcPr>
          <w:p>
            <w:pPr>
              <w:spacing w:after="0"/>
              <w:rPr>
                <w:sz w:val="21"/>
                <w:szCs w:val="21"/>
                <w:color w:val="auto"/>
              </w:rPr>
            </w:pPr>
          </w:p>
        </w:tc>
        <w:tc>
          <w:tcPr>
            <w:tcW w:w="1560" w:type="dxa"/>
            <w:vAlign w:val="bottom"/>
            <w:tcBorders>
              <w:top w:val="single" w:sz="8" w:color="0000FF"/>
            </w:tcBorders>
            <w:shd w:val="clear" w:color="auto" w:fill="CCEEFF"/>
          </w:tcPr>
          <w:p>
            <w:pPr>
              <w:spacing w:after="0"/>
              <w:rPr>
                <w:sz w:val="21"/>
                <w:szCs w:val="21"/>
                <w:color w:val="auto"/>
              </w:rPr>
            </w:pPr>
          </w:p>
        </w:tc>
        <w:tc>
          <w:tcPr>
            <w:tcW w:w="860" w:type="dxa"/>
            <w:vAlign w:val="bottom"/>
            <w:tcBorders>
              <w:top w:val="single" w:sz="8" w:color="0000FF"/>
            </w:tcBorders>
            <w:shd w:val="clear" w:color="auto" w:fill="CCEEFF"/>
          </w:tcPr>
          <w:p>
            <w:pPr>
              <w:spacing w:after="0"/>
              <w:rPr>
                <w:sz w:val="21"/>
                <w:szCs w:val="21"/>
                <w:color w:val="auto"/>
              </w:rPr>
            </w:pPr>
          </w:p>
        </w:tc>
        <w:tc>
          <w:tcPr>
            <w:tcW w:w="15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right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6"/>
                <w:szCs w:val="16"/>
                <w:color w:val="auto"/>
              </w:rPr>
            </w:pPr>
          </w:p>
        </w:tc>
        <w:tc>
          <w:tcPr>
            <w:tcW w:w="7960" w:type="dxa"/>
            <w:vAlign w:val="bottom"/>
            <w:tcBorders>
              <w:bottom w:val="single" w:sz="8" w:color="0000FF"/>
            </w:tcBorders>
            <w:gridSpan w:val="14"/>
          </w:tcPr>
          <w:p>
            <w:pPr>
              <w:spacing w:after="0"/>
              <w:rPr>
                <w:rFonts w:ascii="Arial" w:cs="Arial" w:eastAsia="Arial" w:hAnsi="Arial"/>
                <w:sz w:val="16"/>
                <w:szCs w:val="16"/>
                <w:color w:val="0000FF"/>
                <w:w w:val="92"/>
              </w:rPr>
            </w:pPr>
            <w:hyperlink r:id="rId38">
              <w:r>
                <w:rPr>
                  <w:rFonts w:ascii="Arial" w:cs="Arial" w:eastAsia="Arial" w:hAnsi="Arial"/>
                  <w:sz w:val="16"/>
                  <w:szCs w:val="16"/>
                  <w:color w:val="0000FF"/>
                  <w:w w:val="92"/>
                </w:rPr>
                <w:t>Calculation Agency Agreement, dated as of August 7, 2017 between General Motors Company and the Bank of New York</w:t>
              </w:r>
            </w:hyperlink>
          </w:p>
        </w:tc>
        <w:tc>
          <w:tcPr>
            <w:tcW w:w="500" w:type="dxa"/>
            <w:vAlign w:val="bottom"/>
            <w:gridSpan w:val="4"/>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980" w:type="dxa"/>
            <w:vAlign w:val="bottom"/>
            <w:tcBorders>
              <w:bottom w:val="single" w:sz="8" w:color="0000FF"/>
            </w:tcBorders>
            <w:gridSpan w:val="15"/>
          </w:tcPr>
          <w:p>
            <w:pPr>
              <w:spacing w:after="0" w:line="183" w:lineRule="exact"/>
              <w:rPr>
                <w:rFonts w:ascii="Arial" w:cs="Arial" w:eastAsia="Arial" w:hAnsi="Arial"/>
                <w:sz w:val="16"/>
                <w:szCs w:val="16"/>
                <w:color w:val="0000FF"/>
                <w:w w:val="92"/>
              </w:rPr>
            </w:pPr>
            <w:hyperlink r:id="rId38">
              <w:r>
                <w:rPr>
                  <w:rFonts w:ascii="Arial" w:cs="Arial" w:eastAsia="Arial" w:hAnsi="Arial"/>
                  <w:sz w:val="16"/>
                  <w:szCs w:val="16"/>
                  <w:color w:val="0000FF"/>
                  <w:w w:val="92"/>
                </w:rPr>
                <w:t>Mellon, as calculation agent, incorporated herein by reference to Exhibit 4.2 to the Current Report on Form 8-K of General</w:t>
              </w:r>
            </w:hyperlink>
          </w:p>
        </w:tc>
        <w:tc>
          <w:tcPr>
            <w:tcW w:w="480" w:type="dxa"/>
            <w:vAlign w:val="bottom"/>
            <w:gridSpan w:val="3"/>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Motors Company filed August 8,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w:t>
            </w:r>
          </w:p>
        </w:tc>
        <w:tc>
          <w:tcPr>
            <w:tcW w:w="140" w:type="dxa"/>
            <w:vAlign w:val="bottom"/>
            <w:tcBorders>
              <w:right w:val="single" w:sz="8" w:color="CCEEFF"/>
            </w:tcBorders>
            <w:shd w:val="clear" w:color="auto" w:fill="CCEEFF"/>
          </w:tcPr>
          <w:p>
            <w:pPr>
              <w:spacing w:after="0"/>
              <w:rPr>
                <w:sz w:val="16"/>
                <w:szCs w:val="16"/>
                <w:color w:val="auto"/>
              </w:rPr>
            </w:pPr>
          </w:p>
        </w:tc>
        <w:tc>
          <w:tcPr>
            <w:tcW w:w="8460" w:type="dxa"/>
            <w:vAlign w:val="bottom"/>
            <w:tcBorders>
              <w:right w:val="single" w:sz="8" w:color="CCEEFF"/>
            </w:tcBorders>
            <w:gridSpan w:val="18"/>
            <w:shd w:val="clear" w:color="auto" w:fill="CCEEFF"/>
          </w:tcPr>
          <w:p>
            <w:pPr>
              <w:spacing w:after="0"/>
              <w:rPr>
                <w:rFonts w:ascii="Arial" w:cs="Arial" w:eastAsia="Arial" w:hAnsi="Arial"/>
                <w:sz w:val="16"/>
                <w:szCs w:val="16"/>
                <w:color w:val="0000FF"/>
                <w:w w:val="92"/>
              </w:rPr>
            </w:pPr>
            <w:hyperlink r:id="rId39">
              <w:r>
                <w:rPr>
                  <w:rFonts w:ascii="Arial" w:cs="Arial" w:eastAsia="Arial" w:hAnsi="Arial"/>
                  <w:sz w:val="16"/>
                  <w:szCs w:val="16"/>
                  <w:color w:val="0000FF"/>
                  <w:w w:val="92"/>
                </w:rPr>
                <w:t>Stockholders Agreement, dated as of October 15, 2009 between General Motors Company, the United States Department of the</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460" w:type="dxa"/>
            <w:vAlign w:val="bottom"/>
            <w:tcBorders>
              <w:top w:val="single" w:sz="8" w:color="0000FF"/>
              <w:bottom w:val="single" w:sz="8" w:color="0000FF"/>
              <w:right w:val="single" w:sz="8" w:color="CCEEFF"/>
            </w:tcBorders>
            <w:gridSpan w:val="18"/>
            <w:shd w:val="clear" w:color="auto" w:fill="CCEEFF"/>
          </w:tcPr>
          <w:p>
            <w:pPr>
              <w:spacing w:after="0" w:line="183" w:lineRule="exact"/>
              <w:rPr>
                <w:rFonts w:ascii="Arial" w:cs="Arial" w:eastAsia="Arial" w:hAnsi="Arial"/>
                <w:sz w:val="16"/>
                <w:szCs w:val="16"/>
                <w:color w:val="0000FF"/>
                <w:w w:val="94"/>
              </w:rPr>
            </w:pPr>
            <w:hyperlink r:id="rId39">
              <w:r>
                <w:rPr>
                  <w:rFonts w:ascii="Arial" w:cs="Arial" w:eastAsia="Arial" w:hAnsi="Arial"/>
                  <w:sz w:val="16"/>
                  <w:szCs w:val="16"/>
                  <w:color w:val="0000FF"/>
                  <w:w w:val="94"/>
                </w:rPr>
                <w:t>Treasury, Canada GEN Investment Corporation (fka 7176384 Canada Inc.), the UAW Retiree Medical Benefits Trust, and, for</w:t>
              </w:r>
            </w:hyperlink>
          </w:p>
        </w:tc>
        <w:tc>
          <w:tcPr>
            <w:tcW w:w="19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46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6"/>
                <w:szCs w:val="16"/>
                <w:color w:val="0000FF"/>
                <w:w w:val="95"/>
              </w:rPr>
            </w:pPr>
            <w:hyperlink r:id="rId39">
              <w:r>
                <w:rPr>
                  <w:rFonts w:ascii="Arial" w:cs="Arial" w:eastAsia="Arial" w:hAnsi="Arial"/>
                  <w:sz w:val="16"/>
                  <w:szCs w:val="16"/>
                  <w:color w:val="0000FF"/>
                  <w:w w:val="95"/>
                </w:rPr>
                <w:t>limited purposes, General Motors LLC, incorporated herein by reference to Exhibit 10.8 to the Current Report on Form 8-K of</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360" w:type="dxa"/>
            <w:vAlign w:val="bottom"/>
            <w:tcBorders>
              <w:bottom w:val="single" w:sz="8" w:color="0000FF"/>
            </w:tcBorders>
            <w:gridSpan w:val="3"/>
            <w:shd w:val="clear" w:color="auto" w:fill="CCEEFF"/>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General Motors Company filed November 16, 2009</w:t>
              </w:r>
            </w:hyperlink>
          </w:p>
        </w:tc>
        <w:tc>
          <w:tcPr>
            <w:tcW w:w="5100" w:type="dxa"/>
            <w:vAlign w:val="bottom"/>
            <w:tcBorders>
              <w:bottom w:val="single" w:sz="8" w:color="CCEEFF"/>
              <w:right w:val="single" w:sz="8" w:color="CCEEFF"/>
            </w:tcBorders>
            <w:gridSpan w:val="15"/>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6"/>
                <w:szCs w:val="16"/>
                <w:color w:val="auto"/>
              </w:rPr>
            </w:pPr>
          </w:p>
        </w:tc>
        <w:tc>
          <w:tcPr>
            <w:tcW w:w="8460" w:type="dxa"/>
            <w:vAlign w:val="bottom"/>
            <w:gridSpan w:val="18"/>
          </w:tcPr>
          <w:p>
            <w:pPr>
              <w:spacing w:after="0"/>
              <w:rPr>
                <w:rFonts w:ascii="Arial" w:cs="Arial" w:eastAsia="Arial" w:hAnsi="Arial"/>
                <w:sz w:val="16"/>
                <w:szCs w:val="16"/>
                <w:color w:val="0000FF"/>
                <w:w w:val="96"/>
              </w:rPr>
            </w:pPr>
            <w:hyperlink r:id="rId40">
              <w:r>
                <w:rPr>
                  <w:rFonts w:ascii="Arial" w:cs="Arial" w:eastAsia="Arial" w:hAnsi="Arial"/>
                  <w:sz w:val="16"/>
                  <w:szCs w:val="16"/>
                  <w:color w:val="0000FF"/>
                  <w:w w:val="96"/>
                </w:rPr>
                <w:t>Equity Registration Rights Agreement, dated as of October 15, 2009, between General Motors Company, the United States</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8"/>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tcBorders>
              <w:bottom w:val="single" w:sz="8" w:color="0000FF"/>
            </w:tcBorders>
            <w:gridSpan w:val="18"/>
          </w:tcPr>
          <w:p>
            <w:pPr>
              <w:spacing w:after="0" w:line="183" w:lineRule="exact"/>
              <w:rPr>
                <w:rFonts w:ascii="Arial" w:cs="Arial" w:eastAsia="Arial" w:hAnsi="Arial"/>
                <w:sz w:val="16"/>
                <w:szCs w:val="16"/>
                <w:color w:val="0000FF"/>
                <w:w w:val="94"/>
              </w:rPr>
            </w:pPr>
            <w:hyperlink r:id="rId40">
              <w:r>
                <w:rPr>
                  <w:rFonts w:ascii="Arial" w:cs="Arial" w:eastAsia="Arial" w:hAnsi="Arial"/>
                  <w:sz w:val="16"/>
                  <w:szCs w:val="16"/>
                  <w:color w:val="0000FF"/>
                  <w:w w:val="94"/>
                </w:rPr>
                <w:t>Department of Treasury, Canada GEN Investment Corporation (fka 7176384 Canada Inc.), the UAW Retiree Medical Benefits</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gridSpan w:val="18"/>
          </w:tcPr>
          <w:p>
            <w:pPr>
              <w:spacing w:after="0" w:line="183" w:lineRule="exact"/>
              <w:rPr>
                <w:rFonts w:ascii="Arial" w:cs="Arial" w:eastAsia="Arial" w:hAnsi="Arial"/>
                <w:sz w:val="16"/>
                <w:szCs w:val="16"/>
                <w:color w:val="0000FF"/>
                <w:w w:val="93"/>
              </w:rPr>
            </w:pPr>
            <w:hyperlink r:id="rId40">
              <w:r>
                <w:rPr>
                  <w:rFonts w:ascii="Arial" w:cs="Arial" w:eastAsia="Arial" w:hAnsi="Arial"/>
                  <w:sz w:val="16"/>
                  <w:szCs w:val="16"/>
                  <w:color w:val="0000FF"/>
                  <w:w w:val="93"/>
                </w:rPr>
                <w:t>Trust, Motors Liquidation Company, and, for limited purposes, General Motors LLC, incorporated herein by reference to Exhibit</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Current Report on Form 8-K of Motors Liquidation Company filed October 21, 2009</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41" w:right="25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341"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520" w:type="dxa"/>
            <w:vAlign w:val="bottom"/>
            <w:gridSpan w:val="35"/>
            <w:vMerge w:val="restart"/>
          </w:tcPr>
          <w:p>
            <w:pPr>
              <w:ind w:left="84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gridSpan w:val="35"/>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240" w:type="dxa"/>
            <w:vAlign w:val="bottom"/>
            <w:tcBorders>
              <w:top w:val="single" w:sz="8" w:color="auto"/>
              <w:bottom w:val="single" w:sz="8" w:color="0000FF"/>
            </w:tcBorders>
            <w:gridSpan w:val="30"/>
            <w:shd w:val="clear" w:color="auto" w:fill="CCEEFF"/>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Letter Agreement regarding Equity Registration Rights Agreement, dated October 21, 2010, among General Motors Company,</w:t>
              </w:r>
            </w:hyperlink>
          </w:p>
        </w:tc>
        <w:tc>
          <w:tcPr>
            <w:tcW w:w="220" w:type="dxa"/>
            <w:vAlign w:val="bottom"/>
            <w:tcBorders>
              <w:top w:val="single" w:sz="8" w:color="auto"/>
              <w:bottom w:val="single" w:sz="8" w:color="CCEEFF"/>
            </w:tcBorders>
            <w:gridSpan w:val="10"/>
            <w:shd w:val="clear" w:color="auto" w:fill="CCEEFF"/>
          </w:tcPr>
          <w:p>
            <w:pPr>
              <w:spacing w:after="0"/>
              <w:rPr>
                <w:sz w:val="16"/>
                <w:szCs w:val="16"/>
                <w:color w:val="auto"/>
              </w:rPr>
            </w:pPr>
          </w:p>
        </w:tc>
        <w:tc>
          <w:tcPr>
            <w:tcW w:w="1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20" w:type="dxa"/>
            <w:vAlign w:val="bottom"/>
            <w:tcBorders>
              <w:bottom w:val="single" w:sz="8" w:color="0000FF"/>
            </w:tcBorders>
            <w:gridSpan w:val="29"/>
            <w:shd w:val="clear" w:color="auto" w:fill="CCEEFF"/>
          </w:tcPr>
          <w:p>
            <w:pPr>
              <w:spacing w:after="0" w:line="183" w:lineRule="exact"/>
              <w:rPr>
                <w:rFonts w:ascii="Arial" w:cs="Arial" w:eastAsia="Arial" w:hAnsi="Arial"/>
                <w:sz w:val="16"/>
                <w:szCs w:val="16"/>
                <w:color w:val="0000FF"/>
                <w:w w:val="91"/>
              </w:rPr>
            </w:pPr>
            <w:hyperlink r:id="rId41">
              <w:r>
                <w:rPr>
                  <w:rFonts w:ascii="Arial" w:cs="Arial" w:eastAsia="Arial" w:hAnsi="Arial"/>
                  <w:sz w:val="16"/>
                  <w:szCs w:val="16"/>
                  <w:color w:val="0000FF"/>
                  <w:w w:val="91"/>
                </w:rPr>
                <w:t>the United States Department of Treasury, Canada GEN Investment Corporation, the UAW Retiree Medical Benefits Trust and</w:t>
              </w:r>
            </w:hyperlink>
          </w:p>
        </w:tc>
        <w:tc>
          <w:tcPr>
            <w:tcW w:w="240" w:type="dxa"/>
            <w:vAlign w:val="bottom"/>
            <w:tcBorders>
              <w:bottom w:val="single" w:sz="8" w:color="CCEEFF"/>
            </w:tcBorders>
            <w:gridSpan w:val="11"/>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60" w:type="dxa"/>
            <w:vAlign w:val="bottom"/>
            <w:gridSpan w:val="40"/>
            <w:shd w:val="clear" w:color="auto" w:fill="CCEEFF"/>
          </w:tcPr>
          <w:p>
            <w:pPr>
              <w:spacing w:after="0" w:line="183" w:lineRule="exact"/>
              <w:rPr>
                <w:rFonts w:ascii="Arial" w:cs="Arial" w:eastAsia="Arial" w:hAnsi="Arial"/>
                <w:sz w:val="16"/>
                <w:szCs w:val="16"/>
                <w:color w:val="0000FF"/>
                <w:w w:val="99"/>
              </w:rPr>
            </w:pPr>
            <w:hyperlink r:id="rId41">
              <w:r>
                <w:rPr>
                  <w:rFonts w:ascii="Arial" w:cs="Arial" w:eastAsia="Arial" w:hAnsi="Arial"/>
                  <w:sz w:val="16"/>
                  <w:szCs w:val="16"/>
                  <w:color w:val="0000FF"/>
                  <w:w w:val="99"/>
                </w:rPr>
                <w:t>Motors Liquidation Company, incorporated herein by reference to Exhibit 10.43 to Amendment No. 5 to the Registration</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40" w:type="dxa"/>
            <w:vAlign w:val="bottom"/>
            <w:tcBorders>
              <w:top w:val="single" w:sz="8" w:color="0000FF"/>
            </w:tcBorders>
            <w:gridSpan w:val="19"/>
            <w:shd w:val="clear" w:color="auto" w:fill="CCEEFF"/>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Statement on Form S-1 (File No. 333-168919) of General Motors Company filed November 3, 2010</w:t>
              </w:r>
            </w:hyperlink>
          </w:p>
        </w:tc>
        <w:tc>
          <w:tcPr>
            <w:tcW w:w="620" w:type="dxa"/>
            <w:vAlign w:val="bottom"/>
            <w:tcBorders>
              <w:top w:val="single" w:sz="8" w:color="CCEEFF"/>
            </w:tcBorders>
            <w:gridSpan w:val="21"/>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tcBorders>
              <w:bottom w:val="single" w:sz="8" w:color="0000FF"/>
            </w:tcBorders>
            <w:gridSpan w:val="22"/>
          </w:tcPr>
          <w:p>
            <w:pPr>
              <w:spacing w:after="0"/>
              <w:rPr>
                <w:rFonts w:ascii="Arial" w:cs="Arial" w:eastAsia="Arial" w:hAnsi="Arial"/>
                <w:sz w:val="16"/>
                <w:szCs w:val="16"/>
                <w:color w:val="0000FF"/>
                <w:w w:val="92"/>
              </w:rPr>
            </w:pPr>
            <w:hyperlink r:id="rId42">
              <w:r>
                <w:rPr>
                  <w:rFonts w:ascii="Arial" w:cs="Arial" w:eastAsia="Arial" w:hAnsi="Arial"/>
                  <w:sz w:val="16"/>
                  <w:szCs w:val="16"/>
                  <w:color w:val="0000FF"/>
                  <w:w w:val="92"/>
                </w:rPr>
                <w:t>Form of Compensation Statement, incorporated herein by reference to Exhibit 10.14 to the Annual Report on Form 10-K of</w:t>
              </w:r>
            </w:hyperlink>
          </w:p>
        </w:tc>
        <w:tc>
          <w:tcPr>
            <w:tcW w:w="440" w:type="dxa"/>
            <w:vAlign w:val="bottom"/>
            <w:gridSpan w:val="18"/>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General Motors Company filed April 7, 2010</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160" w:type="dxa"/>
            <w:vAlign w:val="bottom"/>
            <w:tcBorders>
              <w:bottom w:val="single" w:sz="8" w:color="0000FF"/>
            </w:tcBorders>
            <w:gridSpan w:val="26"/>
            <w:shd w:val="clear" w:color="auto" w:fill="CCEEFF"/>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General Motors Company 2009 Long-Term Incentive Plan, as amended January 13, 2014, incorporated herein by reference to</w:t>
              </w:r>
            </w:hyperlink>
          </w:p>
        </w:tc>
        <w:tc>
          <w:tcPr>
            <w:tcW w:w="300" w:type="dxa"/>
            <w:vAlign w:val="bottom"/>
            <w:tcBorders>
              <w:bottom w:val="single" w:sz="8" w:color="CCEEFF"/>
            </w:tcBorders>
            <w:gridSpan w:val="14"/>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60" w:type="dxa"/>
            <w:vAlign w:val="bottom"/>
            <w:gridSpan w:val="40"/>
            <w:shd w:val="clear" w:color="auto" w:fill="CCEEFF"/>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Exhibit 10.7 to the Annual Report on Form 10-K of General Motors Company filed February 6, 2014</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80" w:type="dxa"/>
            <w:vAlign w:val="bottom"/>
            <w:tcBorders>
              <w:bottom w:val="single" w:sz="8" w:color="0000FF"/>
            </w:tcBorders>
            <w:gridSpan w:val="27"/>
          </w:tcPr>
          <w:p>
            <w:pPr>
              <w:spacing w:after="0"/>
              <w:rPr>
                <w:rFonts w:ascii="Arial" w:cs="Arial" w:eastAsia="Arial" w:hAnsi="Arial"/>
                <w:sz w:val="16"/>
                <w:szCs w:val="16"/>
                <w:color w:val="0000FF"/>
                <w:w w:val="92"/>
              </w:rPr>
            </w:pPr>
            <w:hyperlink r:id="rId44">
              <w:r>
                <w:rPr>
                  <w:rFonts w:ascii="Arial" w:cs="Arial" w:eastAsia="Arial" w:hAnsi="Arial"/>
                  <w:sz w:val="16"/>
                  <w:szCs w:val="16"/>
                  <w:color w:val="0000FF"/>
                  <w:w w:val="92"/>
                </w:rPr>
                <w:t>The General Motors Company Deferred Compensation Plan for Non-Employee Directors, incorporated herein by reference to</w:t>
              </w:r>
            </w:hyperlink>
          </w:p>
        </w:tc>
        <w:tc>
          <w:tcPr>
            <w:tcW w:w="280" w:type="dxa"/>
            <w:vAlign w:val="bottom"/>
            <w:gridSpan w:val="13"/>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Exhibit 10.1 to the Quarterly Report on Form 10-Q of General Motors Company filed May 6, 2011</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60" w:type="dxa"/>
            <w:vAlign w:val="bottom"/>
            <w:gridSpan w:val="40"/>
            <w:shd w:val="clear" w:color="auto" w:fill="CCEEFF"/>
          </w:tcPr>
          <w:p>
            <w:pPr>
              <w:spacing w:after="0"/>
              <w:rPr>
                <w:rFonts w:ascii="Arial" w:cs="Arial" w:eastAsia="Arial" w:hAnsi="Arial"/>
                <w:sz w:val="16"/>
                <w:szCs w:val="16"/>
                <w:color w:val="0000FF"/>
                <w:w w:val="97"/>
              </w:rPr>
            </w:pPr>
            <w:hyperlink r:id="rId45">
              <w:r>
                <w:rPr>
                  <w:rFonts w:ascii="Arial" w:cs="Arial" w:eastAsia="Arial" w:hAnsi="Arial"/>
                  <w:sz w:val="16"/>
                  <w:szCs w:val="16"/>
                  <w:color w:val="0000FF"/>
                  <w:w w:val="97"/>
                </w:rPr>
                <w:t>General Motors Company Executive Retirement Plan, with modifications through October 10, 2012, incorporated herein by</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7540" w:type="dxa"/>
            <w:vAlign w:val="bottom"/>
            <w:tcBorders>
              <w:top w:val="single" w:sz="8" w:color="0000FF"/>
              <w:bottom w:val="single" w:sz="8" w:color="0000FF"/>
            </w:tcBorders>
            <w:gridSpan w:val="17"/>
            <w:shd w:val="clear" w:color="auto" w:fill="CCEEFF"/>
          </w:tcPr>
          <w:p>
            <w:pPr>
              <w:spacing w:after="0" w:line="183" w:lineRule="exact"/>
              <w:rPr>
                <w:rFonts w:ascii="Arial" w:cs="Arial" w:eastAsia="Arial" w:hAnsi="Arial"/>
                <w:sz w:val="16"/>
                <w:szCs w:val="16"/>
                <w:color w:val="0000FF"/>
                <w:w w:val="92"/>
              </w:rPr>
            </w:pPr>
            <w:hyperlink r:id="rId45">
              <w:r>
                <w:rPr>
                  <w:rFonts w:ascii="Arial" w:cs="Arial" w:eastAsia="Arial" w:hAnsi="Arial"/>
                  <w:sz w:val="16"/>
                  <w:szCs w:val="16"/>
                  <w:color w:val="0000FF"/>
                  <w:w w:val="92"/>
                </w:rPr>
                <w:t>reference to Exhibit 10.12 to the Annual Report on Form 10-K of General Motors Company filed February 15, 2013</w:t>
              </w:r>
            </w:hyperlink>
          </w:p>
        </w:tc>
        <w:tc>
          <w:tcPr>
            <w:tcW w:w="480" w:type="dxa"/>
            <w:vAlign w:val="bottom"/>
            <w:tcBorders>
              <w:top w:val="single" w:sz="8" w:color="0000FF"/>
              <w:bottom w:val="single" w:sz="8" w:color="CCEEFF"/>
            </w:tcBorders>
            <w:gridSpan w:val="5"/>
            <w:shd w:val="clear" w:color="auto" w:fill="CCEEFF"/>
          </w:tcPr>
          <w:p>
            <w:pPr>
              <w:spacing w:after="0"/>
              <w:rPr>
                <w:sz w:val="20"/>
                <w:szCs w:val="20"/>
                <w:color w:val="auto"/>
              </w:rPr>
            </w:pPr>
          </w:p>
        </w:tc>
        <w:tc>
          <w:tcPr>
            <w:tcW w:w="440" w:type="dxa"/>
            <w:vAlign w:val="bottom"/>
            <w:tcBorders>
              <w:top w:val="single" w:sz="8" w:color="CCEEFF"/>
              <w:bottom w:val="single" w:sz="8" w:color="CCEEFF"/>
            </w:tcBorders>
            <w:gridSpan w:val="18"/>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940" w:type="dxa"/>
            <w:vAlign w:val="bottom"/>
            <w:tcBorders>
              <w:bottom w:val="single" w:sz="8" w:color="0000FF"/>
            </w:tcBorders>
            <w:gridSpan w:val="21"/>
          </w:tcPr>
          <w:p>
            <w:pPr>
              <w:spacing w:after="0"/>
              <w:rPr>
                <w:rFonts w:ascii="Arial" w:cs="Arial" w:eastAsia="Arial" w:hAnsi="Arial"/>
                <w:sz w:val="16"/>
                <w:szCs w:val="16"/>
                <w:color w:val="0000FF"/>
                <w:w w:val="92"/>
              </w:rPr>
            </w:pPr>
            <w:hyperlink r:id="rId46">
              <w:r>
                <w:rPr>
                  <w:rFonts w:ascii="Arial" w:cs="Arial" w:eastAsia="Arial" w:hAnsi="Arial"/>
                  <w:sz w:val="16"/>
                  <w:szCs w:val="16"/>
                  <w:color w:val="0000FF"/>
                  <w:w w:val="92"/>
                </w:rPr>
                <w:t>Amendment No. 1 to General Motors Company Executive Retirement Plan, with modifications through October 10, 2012,</w:t>
              </w:r>
            </w:hyperlink>
          </w:p>
        </w:tc>
        <w:tc>
          <w:tcPr>
            <w:tcW w:w="520" w:type="dxa"/>
            <w:vAlign w:val="bottom"/>
            <w:gridSpan w:val="19"/>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00" w:type="dxa"/>
            <w:vAlign w:val="bottom"/>
            <w:tcBorders>
              <w:bottom w:val="single" w:sz="8" w:color="0000FF"/>
            </w:tcBorders>
            <w:gridSpan w:val="33"/>
          </w:tcPr>
          <w:p>
            <w:pPr>
              <w:spacing w:after="0" w:line="183" w:lineRule="exact"/>
              <w:rPr>
                <w:rFonts w:ascii="Arial" w:cs="Arial" w:eastAsia="Arial" w:hAnsi="Arial"/>
                <w:sz w:val="16"/>
                <w:szCs w:val="16"/>
                <w:color w:val="0000FF"/>
                <w:w w:val="92"/>
              </w:rPr>
            </w:pPr>
            <w:hyperlink r:id="rId46">
              <w:r>
                <w:rPr>
                  <w:rFonts w:ascii="Arial" w:cs="Arial" w:eastAsia="Arial" w:hAnsi="Arial"/>
                  <w:sz w:val="16"/>
                  <w:szCs w:val="16"/>
                  <w:color w:val="0000FF"/>
                  <w:w w:val="92"/>
                </w:rPr>
                <w:t>incorporated herein by reference to Exhibit 10.2 to the Current Report on Form 8-K of General Motors Company filed February</w:t>
              </w:r>
            </w:hyperlink>
          </w:p>
        </w:tc>
        <w:tc>
          <w:tcPr>
            <w:tcW w:w="160" w:type="dxa"/>
            <w:vAlign w:val="bottom"/>
            <w:gridSpan w:val="7"/>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40"/>
              <w:spacing w:after="0" w:line="183" w:lineRule="exact"/>
              <w:rPr>
                <w:rFonts w:ascii="Arial" w:cs="Arial" w:eastAsia="Arial" w:hAnsi="Arial"/>
                <w:sz w:val="16"/>
                <w:szCs w:val="16"/>
                <w:color w:val="0000FF"/>
                <w:w w:val="86"/>
              </w:rPr>
            </w:pPr>
            <w:hyperlink r:id="rId46">
              <w:r>
                <w:rPr>
                  <w:rFonts w:ascii="Arial" w:cs="Arial" w:eastAsia="Arial" w:hAnsi="Arial"/>
                  <w:sz w:val="16"/>
                  <w:szCs w:val="16"/>
                  <w:color w:val="0000FF"/>
                  <w:w w:val="86"/>
                </w:rPr>
                <w:t>3, 2016</w:t>
              </w:r>
            </w:hyperlink>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60" w:type="dxa"/>
            <w:vAlign w:val="bottom"/>
            <w:gridSpan w:val="40"/>
            <w:shd w:val="clear" w:color="auto" w:fill="CCEEFF"/>
          </w:tcPr>
          <w:p>
            <w:pPr>
              <w:spacing w:after="0"/>
              <w:rPr>
                <w:rFonts w:ascii="Arial" w:cs="Arial" w:eastAsia="Arial" w:hAnsi="Arial"/>
                <w:sz w:val="16"/>
                <w:szCs w:val="16"/>
                <w:color w:val="0000FF"/>
                <w:w w:val="92"/>
              </w:rPr>
            </w:pPr>
            <w:hyperlink r:id="rId47">
              <w:r>
                <w:rPr>
                  <w:rFonts w:ascii="Arial" w:cs="Arial" w:eastAsia="Arial" w:hAnsi="Arial"/>
                  <w:sz w:val="16"/>
                  <w:szCs w:val="16"/>
                  <w:color w:val="0000FF"/>
                  <w:w w:val="92"/>
                </w:rPr>
                <w:t>General Motors Company Salary Stock Plan, as amended January 13, 2014, incorporated herein by reference to Exhibit 10.10 to</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320" w:type="dxa"/>
            <w:vAlign w:val="bottom"/>
            <w:tcBorders>
              <w:top w:val="single" w:sz="8" w:color="0000FF"/>
            </w:tcBorders>
            <w:gridSpan w:val="34"/>
            <w:shd w:val="clear" w:color="auto" w:fill="CCEEFF"/>
          </w:tcPr>
          <w:p>
            <w:pPr>
              <w:spacing w:after="0" w:line="183" w:lineRule="exact"/>
              <w:rPr>
                <w:rFonts w:ascii="Arial" w:cs="Arial" w:eastAsia="Arial" w:hAnsi="Arial"/>
                <w:sz w:val="16"/>
                <w:szCs w:val="16"/>
                <w:color w:val="0000FF"/>
              </w:rPr>
            </w:pPr>
            <w:hyperlink r:id="rId47">
              <w:r>
                <w:rPr>
                  <w:rFonts w:ascii="Arial" w:cs="Arial" w:eastAsia="Arial" w:hAnsi="Arial"/>
                  <w:sz w:val="16"/>
                  <w:szCs w:val="16"/>
                  <w:color w:val="0000FF"/>
                </w:rPr>
                <w:t>the Annual Report on Form 10-K of General Motors Company filed February 6, 2014</w:t>
              </w:r>
            </w:hyperlink>
          </w:p>
        </w:tc>
        <w:tc>
          <w:tcPr>
            <w:tcW w:w="140" w:type="dxa"/>
            <w:vAlign w:val="bottom"/>
            <w:tcBorders>
              <w:top w:val="single" w:sz="8" w:color="CCEEFF"/>
            </w:tcBorders>
            <w:gridSpan w:val="6"/>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980" w:type="dxa"/>
            <w:vAlign w:val="bottom"/>
            <w:tcBorders>
              <w:top w:val="single" w:sz="8" w:color="0000FF"/>
            </w:tcBorders>
            <w:shd w:val="clear" w:color="auto" w:fill="CCEEFF"/>
          </w:tcPr>
          <w:p>
            <w:pPr>
              <w:spacing w:after="0"/>
              <w:rPr>
                <w:sz w:val="21"/>
                <w:szCs w:val="21"/>
                <w:color w:val="auto"/>
              </w:rPr>
            </w:pPr>
          </w:p>
        </w:tc>
        <w:tc>
          <w:tcPr>
            <w:tcW w:w="600" w:type="dxa"/>
            <w:vAlign w:val="bottom"/>
            <w:tcBorders>
              <w:top w:val="single" w:sz="8" w:color="0000FF"/>
            </w:tcBorders>
            <w:shd w:val="clear" w:color="auto" w:fill="CCEEFF"/>
          </w:tcPr>
          <w:p>
            <w:pPr>
              <w:spacing w:after="0"/>
              <w:rPr>
                <w:sz w:val="21"/>
                <w:szCs w:val="21"/>
                <w:color w:val="auto"/>
              </w:rPr>
            </w:pPr>
          </w:p>
        </w:tc>
        <w:tc>
          <w:tcPr>
            <w:tcW w:w="110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bottom w:val="single" w:sz="8" w:color="0000FF"/>
            </w:tcBorders>
            <w:gridSpan w:val="40"/>
          </w:tcPr>
          <w:p>
            <w:pPr>
              <w:spacing w:after="0"/>
              <w:rPr>
                <w:rFonts w:ascii="Arial" w:cs="Arial" w:eastAsia="Arial" w:hAnsi="Arial"/>
                <w:sz w:val="16"/>
                <w:szCs w:val="16"/>
                <w:color w:val="0000FF"/>
                <w:w w:val="92"/>
              </w:rPr>
            </w:pPr>
            <w:hyperlink r:id="rId48">
              <w:r>
                <w:rPr>
                  <w:rFonts w:ascii="Arial" w:cs="Arial" w:eastAsia="Arial" w:hAnsi="Arial"/>
                  <w:sz w:val="16"/>
                  <w:szCs w:val="16"/>
                  <w:color w:val="0000FF"/>
                  <w:w w:val="92"/>
                </w:rPr>
                <w:t>General Motors Company 2014 Short-Term Incentive Plan, incorporated herein by reference to Exhibit 10.2 to the Current Report</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48">
              <w:r>
                <w:rPr>
                  <w:rFonts w:ascii="Arial" w:cs="Arial" w:eastAsia="Arial" w:hAnsi="Arial"/>
                  <w:sz w:val="16"/>
                  <w:szCs w:val="16"/>
                  <w:color w:val="0000FF"/>
                </w:rPr>
                <w:t>on Form 8-K of General Motors Company filed June 12,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8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10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20" w:type="dxa"/>
            <w:vAlign w:val="bottom"/>
            <w:tcBorders>
              <w:bottom w:val="single" w:sz="8" w:color="0000FF"/>
            </w:tcBorders>
            <w:gridSpan w:val="29"/>
            <w:shd w:val="clear" w:color="auto" w:fill="CCEEFF"/>
          </w:tcPr>
          <w:p>
            <w:pPr>
              <w:spacing w:after="0"/>
              <w:rPr>
                <w:rFonts w:ascii="Arial" w:cs="Arial" w:eastAsia="Arial" w:hAnsi="Arial"/>
                <w:sz w:val="16"/>
                <w:szCs w:val="16"/>
                <w:color w:val="0000FF"/>
                <w:w w:val="92"/>
              </w:rPr>
            </w:pPr>
            <w:hyperlink r:id="rId49">
              <w:r>
                <w:rPr>
                  <w:rFonts w:ascii="Arial" w:cs="Arial" w:eastAsia="Arial" w:hAnsi="Arial"/>
                  <w:sz w:val="16"/>
                  <w:szCs w:val="16"/>
                  <w:color w:val="0000FF"/>
                  <w:w w:val="92"/>
                </w:rPr>
                <w:t>Amendment No. 1 to General Motors Company Short-Term Incentive Plan, incorporated herein by reference to Exhibit 10.3 to</w:t>
              </w:r>
            </w:hyperlink>
          </w:p>
        </w:tc>
        <w:tc>
          <w:tcPr>
            <w:tcW w:w="240" w:type="dxa"/>
            <w:vAlign w:val="bottom"/>
            <w:tcBorders>
              <w:bottom w:val="single" w:sz="8" w:color="CCEEFF"/>
            </w:tcBorders>
            <w:gridSpan w:val="11"/>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60" w:type="dxa"/>
            <w:vAlign w:val="bottom"/>
            <w:gridSpan w:val="40"/>
            <w:shd w:val="clear" w:color="auto" w:fill="CCEEFF"/>
          </w:tcPr>
          <w:p>
            <w:pPr>
              <w:spacing w:after="0" w:line="183" w:lineRule="exact"/>
              <w:rPr>
                <w:rFonts w:ascii="Arial" w:cs="Arial" w:eastAsia="Arial" w:hAnsi="Arial"/>
                <w:sz w:val="16"/>
                <w:szCs w:val="16"/>
                <w:color w:val="0000FF"/>
              </w:rPr>
            </w:pPr>
            <w:hyperlink r:id="rId49">
              <w:r>
                <w:rPr>
                  <w:rFonts w:ascii="Arial" w:cs="Arial" w:eastAsia="Arial" w:hAnsi="Arial"/>
                  <w:sz w:val="16"/>
                  <w:szCs w:val="16"/>
                  <w:color w:val="0000FF"/>
                </w:rPr>
                <w:t>the Current Report on Form 8-K of General Motors Company filed February 3, 2016</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980" w:type="dxa"/>
            <w:vAlign w:val="bottom"/>
            <w:tcBorders>
              <w:top w:val="single" w:sz="8" w:color="0000FF"/>
            </w:tcBorders>
            <w:shd w:val="clear" w:color="auto" w:fill="CCEEFF"/>
          </w:tcPr>
          <w:p>
            <w:pPr>
              <w:spacing w:after="0"/>
              <w:rPr>
                <w:sz w:val="21"/>
                <w:szCs w:val="21"/>
                <w:color w:val="auto"/>
              </w:rPr>
            </w:pPr>
          </w:p>
        </w:tc>
        <w:tc>
          <w:tcPr>
            <w:tcW w:w="600" w:type="dxa"/>
            <w:vAlign w:val="bottom"/>
            <w:tcBorders>
              <w:top w:val="single" w:sz="8" w:color="0000FF"/>
            </w:tcBorders>
            <w:shd w:val="clear" w:color="auto" w:fill="CCEEFF"/>
          </w:tcPr>
          <w:p>
            <w:pPr>
              <w:spacing w:after="0"/>
              <w:rPr>
                <w:sz w:val="21"/>
                <w:szCs w:val="21"/>
                <w:color w:val="auto"/>
              </w:rPr>
            </w:pPr>
          </w:p>
        </w:tc>
        <w:tc>
          <w:tcPr>
            <w:tcW w:w="110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40" w:type="dxa"/>
            <w:vAlign w:val="bottom"/>
            <w:tcBorders>
              <w:bottom w:val="single" w:sz="8" w:color="0000FF"/>
            </w:tcBorders>
            <w:gridSpan w:val="39"/>
          </w:tcPr>
          <w:p>
            <w:pPr>
              <w:spacing w:after="0"/>
              <w:rPr>
                <w:rFonts w:ascii="Arial" w:cs="Arial" w:eastAsia="Arial" w:hAnsi="Arial"/>
                <w:sz w:val="16"/>
                <w:szCs w:val="16"/>
                <w:color w:val="0000FF"/>
                <w:w w:val="92"/>
              </w:rPr>
            </w:pPr>
            <w:hyperlink r:id="rId50">
              <w:r>
                <w:rPr>
                  <w:rFonts w:ascii="Arial" w:cs="Arial" w:eastAsia="Arial" w:hAnsi="Arial"/>
                  <w:sz w:val="16"/>
                  <w:szCs w:val="16"/>
                  <w:color w:val="0000FF"/>
                  <w:w w:val="92"/>
                </w:rPr>
                <w:t>General Motors Company 2014 Long-Term Incentive Plan, incorporated herein by reference to Exhibit 10.1 to the Current Report</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50">
              <w:r>
                <w:rPr>
                  <w:rFonts w:ascii="Arial" w:cs="Arial" w:eastAsia="Arial" w:hAnsi="Arial"/>
                  <w:sz w:val="16"/>
                  <w:szCs w:val="16"/>
                  <w:color w:val="0000FF"/>
                </w:rPr>
                <w:t>on Form 8-K of General Motors Company filed June 12,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8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10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940" w:type="dxa"/>
            <w:vAlign w:val="bottom"/>
            <w:tcBorders>
              <w:bottom w:val="single" w:sz="8" w:color="0000FF"/>
            </w:tcBorders>
            <w:gridSpan w:val="21"/>
            <w:shd w:val="clear" w:color="auto" w:fill="CCEEFF"/>
          </w:tcPr>
          <w:p>
            <w:pPr>
              <w:spacing w:after="0"/>
              <w:rPr>
                <w:rFonts w:ascii="Arial" w:cs="Arial" w:eastAsia="Arial" w:hAnsi="Arial"/>
                <w:sz w:val="16"/>
                <w:szCs w:val="16"/>
                <w:color w:val="0000FF"/>
                <w:w w:val="92"/>
              </w:rPr>
            </w:pPr>
            <w:hyperlink r:id="rId51">
              <w:r>
                <w:rPr>
                  <w:rFonts w:ascii="Arial" w:cs="Arial" w:eastAsia="Arial" w:hAnsi="Arial"/>
                  <w:sz w:val="16"/>
                  <w:szCs w:val="16"/>
                  <w:color w:val="0000FF"/>
                  <w:w w:val="92"/>
                </w:rPr>
                <w:t>General Motors Company 2016 Equity Incentive Plan, incorporated herein by reference to Exhibit 99.1 to the Registration</w:t>
              </w:r>
            </w:hyperlink>
          </w:p>
        </w:tc>
        <w:tc>
          <w:tcPr>
            <w:tcW w:w="520" w:type="dxa"/>
            <w:vAlign w:val="bottom"/>
            <w:tcBorders>
              <w:bottom w:val="single" w:sz="8" w:color="CCEEFF"/>
            </w:tcBorders>
            <w:gridSpan w:val="19"/>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0000FF"/>
            </w:tcBorders>
            <w:gridSpan w:val="9"/>
            <w:shd w:val="clear" w:color="auto" w:fill="CCEEFF"/>
          </w:tcPr>
          <w:p>
            <w:pPr>
              <w:spacing w:after="0" w:line="183" w:lineRule="exact"/>
              <w:rPr>
                <w:rFonts w:ascii="Arial" w:cs="Arial" w:eastAsia="Arial" w:hAnsi="Arial"/>
                <w:sz w:val="16"/>
                <w:szCs w:val="16"/>
                <w:color w:val="0000FF"/>
                <w:w w:val="92"/>
              </w:rPr>
            </w:pPr>
            <w:hyperlink r:id="rId51">
              <w:r>
                <w:rPr>
                  <w:rFonts w:ascii="Arial" w:cs="Arial" w:eastAsia="Arial" w:hAnsi="Arial"/>
                  <w:sz w:val="16"/>
                  <w:szCs w:val="16"/>
                  <w:color w:val="0000FF"/>
                  <w:w w:val="92"/>
                </w:rPr>
                <w:t>Statement on Form S-8 of General Motors Company filed May 13, 2016</w:t>
              </w:r>
            </w:hyperlink>
          </w:p>
        </w:tc>
        <w:tc>
          <w:tcPr>
            <w:tcW w:w="3760" w:type="dxa"/>
            <w:vAlign w:val="bottom"/>
            <w:tcBorders>
              <w:bottom w:val="single" w:sz="8" w:color="CCEEFF"/>
            </w:tcBorders>
            <w:gridSpan w:val="31"/>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0" w:type="dxa"/>
            <w:vAlign w:val="bottom"/>
            <w:tcBorders>
              <w:bottom w:val="single" w:sz="8" w:color="0000FF"/>
            </w:tcBorders>
            <w:gridSpan w:val="28"/>
          </w:tcPr>
          <w:p>
            <w:pPr>
              <w:spacing w:after="0"/>
              <w:rPr>
                <w:rFonts w:ascii="Arial" w:cs="Arial" w:eastAsia="Arial" w:hAnsi="Arial"/>
                <w:sz w:val="16"/>
                <w:szCs w:val="16"/>
                <w:color w:val="0000FF"/>
                <w:w w:val="91"/>
              </w:rPr>
            </w:pPr>
            <w:hyperlink r:id="rId52">
              <w:r>
                <w:rPr>
                  <w:rFonts w:ascii="Arial" w:cs="Arial" w:eastAsia="Arial" w:hAnsi="Arial"/>
                  <w:sz w:val="16"/>
                  <w:szCs w:val="16"/>
                  <w:color w:val="0000FF"/>
                  <w:w w:val="91"/>
                </w:rPr>
                <w:t>General Motors Company Vehicle Operations - Senior Management Vehicle Program (SMVP) Supplement, revised December</w:t>
              </w:r>
            </w:hyperlink>
          </w:p>
        </w:tc>
        <w:tc>
          <w:tcPr>
            <w:tcW w:w="260" w:type="dxa"/>
            <w:vAlign w:val="bottom"/>
            <w:gridSpan w:val="12"/>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60" w:type="dxa"/>
            <w:vAlign w:val="bottom"/>
            <w:tcBorders>
              <w:bottom w:val="single" w:sz="8" w:color="0000FF"/>
            </w:tcBorders>
            <w:gridSpan w:val="36"/>
          </w:tcPr>
          <w:p>
            <w:pPr>
              <w:spacing w:after="0" w:line="183" w:lineRule="exact"/>
              <w:rPr>
                <w:rFonts w:ascii="Arial" w:cs="Arial" w:eastAsia="Arial" w:hAnsi="Arial"/>
                <w:sz w:val="16"/>
                <w:szCs w:val="16"/>
                <w:color w:val="0000FF"/>
                <w:w w:val="93"/>
              </w:rPr>
            </w:pPr>
            <w:hyperlink r:id="rId52">
              <w:r>
                <w:rPr>
                  <w:rFonts w:ascii="Arial" w:cs="Arial" w:eastAsia="Arial" w:hAnsi="Arial"/>
                  <w:sz w:val="16"/>
                  <w:szCs w:val="16"/>
                  <w:color w:val="0000FF"/>
                  <w:w w:val="93"/>
                </w:rPr>
                <w:t>15, 2005, incorporated herein by reference to Exhibit 10(g) to the Annual Report on Form 10-K of Motors Liquidation Company</w:t>
              </w:r>
            </w:hyperlink>
          </w:p>
        </w:tc>
        <w:tc>
          <w:tcPr>
            <w:tcW w:w="100" w:type="dxa"/>
            <w:vAlign w:val="bottom"/>
            <w:gridSpan w:val="4"/>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52">
              <w:r>
                <w:rPr>
                  <w:rFonts w:ascii="Arial" w:cs="Arial" w:eastAsia="Arial" w:hAnsi="Arial"/>
                  <w:sz w:val="16"/>
                  <w:szCs w:val="16"/>
                  <w:color w:val="0000FF"/>
                </w:rPr>
                <w:t>filed March 28, 2006</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60" w:type="dxa"/>
            <w:vAlign w:val="bottom"/>
            <w:gridSpan w:val="40"/>
            <w:shd w:val="clear" w:color="auto" w:fill="CCEEFF"/>
          </w:tcPr>
          <w:p>
            <w:pPr>
              <w:spacing w:after="0"/>
              <w:rPr>
                <w:rFonts w:ascii="Arial" w:cs="Arial" w:eastAsia="Arial" w:hAnsi="Arial"/>
                <w:sz w:val="16"/>
                <w:szCs w:val="16"/>
                <w:color w:val="0000FF"/>
                <w:w w:val="93"/>
              </w:rPr>
            </w:pPr>
            <w:hyperlink r:id="rId53">
              <w:r>
                <w:rPr>
                  <w:rFonts w:ascii="Arial" w:cs="Arial" w:eastAsia="Arial" w:hAnsi="Arial"/>
                  <w:sz w:val="16"/>
                  <w:szCs w:val="16"/>
                  <w:color w:val="0000FF"/>
                  <w:w w:val="93"/>
                </w:rPr>
                <w:t>General Motors LLC U.S. Executive Severance Program, incorporated herein by reference to Exhibit 10.1 to the Current Report</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240" w:type="dxa"/>
            <w:vAlign w:val="bottom"/>
            <w:tcBorders>
              <w:top w:val="single" w:sz="8" w:color="0000FF"/>
              <w:bottom w:val="single" w:sz="8" w:color="0000FF"/>
            </w:tcBorders>
            <w:gridSpan w:val="7"/>
            <w:shd w:val="clear" w:color="auto" w:fill="CCEEFF"/>
          </w:tcPr>
          <w:p>
            <w:pPr>
              <w:spacing w:after="0" w:line="183" w:lineRule="exact"/>
              <w:rPr>
                <w:rFonts w:ascii="Arial" w:cs="Arial" w:eastAsia="Arial" w:hAnsi="Arial"/>
                <w:sz w:val="16"/>
                <w:szCs w:val="16"/>
                <w:color w:val="0000FF"/>
                <w:w w:val="92"/>
              </w:rPr>
            </w:pPr>
            <w:hyperlink r:id="rId53">
              <w:r>
                <w:rPr>
                  <w:rFonts w:ascii="Arial" w:cs="Arial" w:eastAsia="Arial" w:hAnsi="Arial"/>
                  <w:sz w:val="16"/>
                  <w:szCs w:val="16"/>
                  <w:color w:val="0000FF"/>
                  <w:w w:val="92"/>
                </w:rPr>
                <w:t>on Form 8-K of General Motors Company filed February 3, 2016</w:t>
              </w:r>
            </w:hyperlink>
          </w:p>
        </w:tc>
        <w:tc>
          <w:tcPr>
            <w:tcW w:w="4060" w:type="dxa"/>
            <w:vAlign w:val="bottom"/>
            <w:tcBorders>
              <w:top w:val="single" w:sz="8" w:color="0000FF"/>
              <w:bottom w:val="single" w:sz="8" w:color="CCEEFF"/>
            </w:tcBorders>
            <w:gridSpan w:val="26"/>
            <w:shd w:val="clear" w:color="auto" w:fill="CCEEFF"/>
          </w:tcPr>
          <w:p>
            <w:pPr>
              <w:spacing w:after="0"/>
              <w:rPr>
                <w:sz w:val="20"/>
                <w:szCs w:val="20"/>
                <w:color w:val="auto"/>
              </w:rPr>
            </w:pPr>
          </w:p>
        </w:tc>
        <w:tc>
          <w:tcPr>
            <w:tcW w:w="16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bottom w:val="single" w:sz="8" w:color="0000FF"/>
            </w:tcBorders>
            <w:gridSpan w:val="24"/>
          </w:tcPr>
          <w:p>
            <w:pPr>
              <w:spacing w:after="0"/>
              <w:rPr>
                <w:rFonts w:ascii="Arial" w:cs="Arial" w:eastAsia="Arial" w:hAnsi="Arial"/>
                <w:sz w:val="16"/>
                <w:szCs w:val="16"/>
                <w:color w:val="0000FF"/>
                <w:w w:val="90"/>
              </w:rPr>
            </w:pPr>
            <w:hyperlink r:id="rId54">
              <w:r>
                <w:rPr>
                  <w:rFonts w:ascii="Arial" w:cs="Arial" w:eastAsia="Arial" w:hAnsi="Arial"/>
                  <w:sz w:val="16"/>
                  <w:szCs w:val="16"/>
                  <w:color w:val="0000FF"/>
                  <w:w w:val="90"/>
                </w:rPr>
                <w:t>Amended and Restated Warrant Agreement, dated as of October 16, 2009, between General Motors Company and U.S. Bank</w:t>
              </w:r>
            </w:hyperlink>
          </w:p>
        </w:tc>
        <w:tc>
          <w:tcPr>
            <w:tcW w:w="340" w:type="dxa"/>
            <w:vAlign w:val="bottom"/>
            <w:gridSpan w:val="16"/>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w w:val="99"/>
              </w:rPr>
            </w:pPr>
            <w:hyperlink r:id="rId54">
              <w:r>
                <w:rPr>
                  <w:rFonts w:ascii="Arial" w:cs="Arial" w:eastAsia="Arial" w:hAnsi="Arial"/>
                  <w:sz w:val="16"/>
                  <w:szCs w:val="16"/>
                  <w:color w:val="0000FF"/>
                  <w:w w:val="99"/>
                </w:rPr>
                <w:t>National Association, as Warrant Agent, including a Form of Warrant Certificate attached as Exhibit D thereto, relating to</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60" w:type="dxa"/>
            <w:vAlign w:val="bottom"/>
            <w:tcBorders>
              <w:bottom w:val="single" w:sz="8" w:color="0000FF"/>
            </w:tcBorders>
            <w:gridSpan w:val="31"/>
          </w:tcPr>
          <w:p>
            <w:pPr>
              <w:spacing w:after="0" w:line="183" w:lineRule="exact"/>
              <w:rPr>
                <w:rFonts w:ascii="Arial" w:cs="Arial" w:eastAsia="Arial" w:hAnsi="Arial"/>
                <w:sz w:val="16"/>
                <w:szCs w:val="16"/>
                <w:color w:val="0000FF"/>
                <w:w w:val="92"/>
              </w:rPr>
            </w:pPr>
            <w:hyperlink r:id="rId54">
              <w:r>
                <w:rPr>
                  <w:rFonts w:ascii="Arial" w:cs="Arial" w:eastAsia="Arial" w:hAnsi="Arial"/>
                  <w:sz w:val="16"/>
                  <w:szCs w:val="16"/>
                  <w:color w:val="0000FF"/>
                  <w:w w:val="92"/>
                </w:rPr>
                <w:t xml:space="preserve">warrants with a </w:t>
              </w:r>
              <w:r>
                <w:rPr>
                  <w:rFonts w:ascii="Arial" w:cs="Arial" w:eastAsia="Arial" w:hAnsi="Arial"/>
                  <w:sz w:val="16"/>
                  <w:szCs w:val="16"/>
                  <w:u w:val="single" w:color="auto"/>
                  <w:color w:val="0000FF"/>
                  <w:w w:val="92"/>
                </w:rPr>
                <w:t>$</w:t>
              </w:r>
              <w:r>
                <w:rPr>
                  <w:rFonts w:ascii="Arial" w:cs="Arial" w:eastAsia="Arial" w:hAnsi="Arial"/>
                  <w:sz w:val="16"/>
                  <w:szCs w:val="16"/>
                  <w:color w:val="0000FF"/>
                  <w:w w:val="92"/>
                </w:rPr>
                <w:t xml:space="preserve">55 original </w:t>
              </w:r>
              <w:r>
                <w:rPr>
                  <w:rFonts w:ascii="Arial" w:cs="Arial" w:eastAsia="Arial" w:hAnsi="Arial"/>
                  <w:sz w:val="16"/>
                  <w:szCs w:val="16"/>
                  <w:u w:val="single" w:color="auto"/>
                  <w:color w:val="0000FF"/>
                  <w:w w:val="92"/>
                </w:rPr>
                <w:t>($</w:t>
              </w:r>
              <w:r>
                <w:rPr>
                  <w:rFonts w:ascii="Arial" w:cs="Arial" w:eastAsia="Arial" w:hAnsi="Arial"/>
                  <w:sz w:val="16"/>
                  <w:szCs w:val="16"/>
                  <w:color w:val="0000FF"/>
                  <w:w w:val="92"/>
                </w:rPr>
                <w:t>18.33 after stock split) exercise price and a July 10, 2019 expiration date, incorporated herein by</w:t>
              </w:r>
            </w:hyperlink>
          </w:p>
        </w:tc>
        <w:tc>
          <w:tcPr>
            <w:tcW w:w="200" w:type="dxa"/>
            <w:vAlign w:val="bottom"/>
            <w:gridSpan w:val="9"/>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reference to Exhibit 10.30 to the Annual Report on Form 10-K of General Motors Company filed April 7, 2010</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10.17†</w:t>
            </w:r>
          </w:p>
        </w:tc>
        <w:tc>
          <w:tcPr>
            <w:tcW w:w="40" w:type="dxa"/>
            <w:vAlign w:val="bottom"/>
            <w:shd w:val="clear" w:color="auto" w:fill="CCEEFF"/>
          </w:tcPr>
          <w:p>
            <w:pPr>
              <w:spacing w:after="0"/>
              <w:rPr>
                <w:sz w:val="16"/>
                <w:szCs w:val="16"/>
                <w:color w:val="auto"/>
              </w:rPr>
            </w:pPr>
          </w:p>
        </w:tc>
        <w:tc>
          <w:tcPr>
            <w:tcW w:w="8460" w:type="dxa"/>
            <w:vAlign w:val="bottom"/>
            <w:gridSpan w:val="40"/>
            <w:shd w:val="clear" w:color="auto" w:fill="CCEEFF"/>
          </w:tcPr>
          <w:p>
            <w:pPr>
              <w:spacing w:after="0"/>
              <w:rPr>
                <w:rFonts w:ascii="Arial" w:cs="Arial" w:eastAsia="Arial" w:hAnsi="Arial"/>
                <w:sz w:val="16"/>
                <w:szCs w:val="16"/>
                <w:color w:val="0000FF"/>
                <w:w w:val="92"/>
              </w:rPr>
            </w:pPr>
            <w:hyperlink r:id="rId55">
              <w:r>
                <w:rPr>
                  <w:rFonts w:ascii="Arial" w:cs="Arial" w:eastAsia="Arial" w:hAnsi="Arial"/>
                  <w:sz w:val="16"/>
                  <w:szCs w:val="16"/>
                  <w:color w:val="0000FF"/>
                  <w:w w:val="92"/>
                </w:rPr>
                <w:t>Amended and Restated Master Agreement, dated as of December 19, 2012, between General Motors Holdings LLC and Peugeot</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340" w:type="dxa"/>
            <w:vAlign w:val="bottom"/>
            <w:tcBorders>
              <w:top w:val="single" w:sz="8" w:color="0000FF"/>
            </w:tcBorders>
            <w:gridSpan w:val="35"/>
            <w:shd w:val="clear" w:color="auto" w:fill="CCEEFF"/>
          </w:tcPr>
          <w:p>
            <w:pPr>
              <w:spacing w:after="0" w:line="183" w:lineRule="exact"/>
              <w:rPr>
                <w:rFonts w:ascii="Arial" w:cs="Arial" w:eastAsia="Arial" w:hAnsi="Arial"/>
                <w:sz w:val="16"/>
                <w:szCs w:val="16"/>
                <w:color w:val="0000FF"/>
                <w:w w:val="94"/>
              </w:rPr>
            </w:pPr>
            <w:hyperlink r:id="rId55">
              <w:r>
                <w:rPr>
                  <w:rFonts w:ascii="Arial" w:cs="Arial" w:eastAsia="Arial" w:hAnsi="Arial"/>
                  <w:sz w:val="16"/>
                  <w:szCs w:val="16"/>
                  <w:color w:val="0000FF"/>
                  <w:w w:val="94"/>
                </w:rPr>
                <w:t>S.A., incorporated herein by reference to Exhibit 10.24 to the Annual Report on Form 10-K of General Motors Company filed</w:t>
              </w:r>
            </w:hyperlink>
          </w:p>
        </w:tc>
        <w:tc>
          <w:tcPr>
            <w:tcW w:w="120" w:type="dxa"/>
            <w:vAlign w:val="bottom"/>
            <w:tcBorders>
              <w:top w:val="single" w:sz="8" w:color="CCEEFF"/>
            </w:tcBorders>
            <w:gridSpan w:val="5"/>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180" w:type="dxa"/>
            <w:vAlign w:val="bottom"/>
            <w:tcBorders>
              <w:top w:val="single" w:sz="8" w:color="0000FF"/>
            </w:tcBorders>
            <w:gridSpan w:val="27"/>
            <w:shd w:val="clear" w:color="auto" w:fill="CCEEFF"/>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February 6, 2014</w:t>
              </w:r>
            </w:hyperlink>
          </w:p>
        </w:tc>
        <w:tc>
          <w:tcPr>
            <w:tcW w:w="280" w:type="dxa"/>
            <w:vAlign w:val="bottom"/>
            <w:tcBorders>
              <w:top w:val="single" w:sz="8" w:color="CCEEFF"/>
            </w:tcBorders>
            <w:gridSpan w:val="13"/>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10.18†</w:t>
            </w:r>
          </w:p>
        </w:tc>
        <w:tc>
          <w:tcPr>
            <w:tcW w:w="40" w:type="dxa"/>
            <w:vAlign w:val="bottom"/>
          </w:tcPr>
          <w:p>
            <w:pPr>
              <w:spacing w:after="0"/>
              <w:rPr>
                <w:sz w:val="16"/>
                <w:szCs w:val="16"/>
                <w:color w:val="auto"/>
              </w:rPr>
            </w:pPr>
          </w:p>
        </w:tc>
        <w:tc>
          <w:tcPr>
            <w:tcW w:w="8440" w:type="dxa"/>
            <w:vAlign w:val="bottom"/>
            <w:tcBorders>
              <w:bottom w:val="single" w:sz="8" w:color="0000FF"/>
            </w:tcBorders>
            <w:gridSpan w:val="39"/>
          </w:tcPr>
          <w:p>
            <w:pPr>
              <w:spacing w:after="0"/>
              <w:rPr>
                <w:rFonts w:ascii="Arial" w:cs="Arial" w:eastAsia="Arial" w:hAnsi="Arial"/>
                <w:sz w:val="16"/>
                <w:szCs w:val="16"/>
                <w:color w:val="0000FF"/>
                <w:w w:val="91"/>
              </w:rPr>
            </w:pPr>
            <w:hyperlink r:id="rId56">
              <w:r>
                <w:rPr>
                  <w:rFonts w:ascii="Arial" w:cs="Arial" w:eastAsia="Arial" w:hAnsi="Arial"/>
                  <w:sz w:val="16"/>
                  <w:szCs w:val="16"/>
                  <w:color w:val="0000FF"/>
                  <w:w w:val="91"/>
                </w:rPr>
                <w:t>Second Amended and Restated 3-Year Revolving Credit Agreement, dated as of May 26, 2016, among General Motors Company,</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w w:val="96"/>
              </w:rPr>
            </w:pPr>
            <w:hyperlink r:id="rId56">
              <w:r>
                <w:rPr>
                  <w:rFonts w:ascii="Arial" w:cs="Arial" w:eastAsia="Arial" w:hAnsi="Arial"/>
                  <w:sz w:val="16"/>
                  <w:szCs w:val="16"/>
                  <w:color w:val="0000FF"/>
                  <w:w w:val="96"/>
                </w:rPr>
                <w:t>General Motors Financial Company, Inc., GM Europe Treasury Company AB, General Motors do Brasil Ltda., the subsidiary</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20" w:type="dxa"/>
            <w:vAlign w:val="bottom"/>
            <w:tcBorders>
              <w:bottom w:val="single" w:sz="8" w:color="0000FF"/>
            </w:tcBorders>
            <w:gridSpan w:val="38"/>
          </w:tcPr>
          <w:p>
            <w:pPr>
              <w:spacing w:after="0" w:line="183" w:lineRule="exact"/>
              <w:rPr>
                <w:rFonts w:ascii="Arial" w:cs="Arial" w:eastAsia="Arial" w:hAnsi="Arial"/>
                <w:sz w:val="16"/>
                <w:szCs w:val="16"/>
                <w:color w:val="0000FF"/>
                <w:w w:val="91"/>
              </w:rPr>
            </w:pPr>
            <w:hyperlink r:id="rId56">
              <w:r>
                <w:rPr>
                  <w:rFonts w:ascii="Arial" w:cs="Arial" w:eastAsia="Arial" w:hAnsi="Arial"/>
                  <w:sz w:val="16"/>
                  <w:szCs w:val="16"/>
                  <w:color w:val="0000FF"/>
                  <w:w w:val="91"/>
                </w:rPr>
                <w:t>borrowers from time to time parties thereto, the several lenders from time to time parties thereto, JPMorgan Chase Bank, N.A., as</w:t>
              </w:r>
            </w:hyperlink>
          </w:p>
        </w:tc>
        <w:tc>
          <w:tcPr>
            <w:tcW w:w="4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bottom w:val="single" w:sz="8" w:color="0000FF"/>
            </w:tcBorders>
            <w:gridSpan w:val="26"/>
          </w:tcPr>
          <w:p>
            <w:pPr>
              <w:spacing w:after="0" w:line="183" w:lineRule="exact"/>
              <w:rPr>
                <w:rFonts w:ascii="Arial" w:cs="Arial" w:eastAsia="Arial" w:hAnsi="Arial"/>
                <w:sz w:val="16"/>
                <w:szCs w:val="16"/>
                <w:color w:val="0000FF"/>
                <w:w w:val="92"/>
              </w:rPr>
            </w:pPr>
            <w:hyperlink r:id="rId56">
              <w:r>
                <w:rPr>
                  <w:rFonts w:ascii="Arial" w:cs="Arial" w:eastAsia="Arial" w:hAnsi="Arial"/>
                  <w:sz w:val="16"/>
                  <w:szCs w:val="16"/>
                  <w:color w:val="0000FF"/>
                  <w:w w:val="92"/>
                </w:rPr>
                <w:t>administrative agent, and Citibank, N.A., as syndication agent, incorporated herein by reference to Exhibit 10.1 to the Current</w:t>
              </w:r>
            </w:hyperlink>
          </w:p>
        </w:tc>
        <w:tc>
          <w:tcPr>
            <w:tcW w:w="300" w:type="dxa"/>
            <w:vAlign w:val="bottom"/>
            <w:gridSpan w:val="14"/>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Report on Form 8-K of General Motors Company filed June 2, 2016</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10.19†</w:t>
            </w:r>
          </w:p>
        </w:tc>
        <w:tc>
          <w:tcPr>
            <w:tcW w:w="40" w:type="dxa"/>
            <w:vAlign w:val="bottom"/>
            <w:tcBorders>
              <w:bottom w:val="single" w:sz="8" w:color="CCEEFF"/>
            </w:tcBorders>
            <w:shd w:val="clear" w:color="auto" w:fill="CCEEFF"/>
          </w:tcPr>
          <w:p>
            <w:pPr>
              <w:spacing w:after="0"/>
              <w:rPr>
                <w:sz w:val="16"/>
                <w:szCs w:val="16"/>
                <w:color w:val="auto"/>
              </w:rPr>
            </w:pPr>
          </w:p>
        </w:tc>
        <w:tc>
          <w:tcPr>
            <w:tcW w:w="8440" w:type="dxa"/>
            <w:vAlign w:val="bottom"/>
            <w:tcBorders>
              <w:bottom w:val="single" w:sz="8" w:color="0000FF"/>
            </w:tcBorders>
            <w:gridSpan w:val="39"/>
            <w:shd w:val="clear" w:color="auto" w:fill="CCEEFF"/>
          </w:tcPr>
          <w:p>
            <w:pPr>
              <w:spacing w:after="0"/>
              <w:rPr>
                <w:rFonts w:ascii="Arial" w:cs="Arial" w:eastAsia="Arial" w:hAnsi="Arial"/>
                <w:sz w:val="16"/>
                <w:szCs w:val="16"/>
                <w:color w:val="0000FF"/>
                <w:w w:val="91"/>
              </w:rPr>
            </w:pPr>
            <w:hyperlink r:id="rId57">
              <w:r>
                <w:rPr>
                  <w:rFonts w:ascii="Arial" w:cs="Arial" w:eastAsia="Arial" w:hAnsi="Arial"/>
                  <w:sz w:val="16"/>
                  <w:szCs w:val="16"/>
                  <w:color w:val="0000FF"/>
                  <w:w w:val="91"/>
                </w:rPr>
                <w:t>Second Amended and Restated 5-Year Revolving Credit Agreement, dated as of May 26, 2016, among General Motors Company,</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100" w:type="dxa"/>
            <w:vAlign w:val="bottom"/>
            <w:tcBorders>
              <w:bottom w:val="single" w:sz="8" w:color="0000FF"/>
            </w:tcBorders>
            <w:gridSpan w:val="23"/>
            <w:shd w:val="clear" w:color="auto" w:fill="CCEEFF"/>
          </w:tcPr>
          <w:p>
            <w:pPr>
              <w:spacing w:after="0" w:line="183"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General Motors Financial Company, Inc., General Motors do Brasil Ltda., the subsidiary borrowers from time to time parties</w:t>
              </w:r>
            </w:hyperlink>
          </w:p>
        </w:tc>
        <w:tc>
          <w:tcPr>
            <w:tcW w:w="360" w:type="dxa"/>
            <w:vAlign w:val="bottom"/>
            <w:tcBorders>
              <w:bottom w:val="single" w:sz="8" w:color="CCEEFF"/>
            </w:tcBorders>
            <w:gridSpan w:val="17"/>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60" w:type="dxa"/>
            <w:vAlign w:val="bottom"/>
            <w:gridSpan w:val="40"/>
            <w:shd w:val="clear" w:color="auto" w:fill="CCEEFF"/>
          </w:tcPr>
          <w:p>
            <w:pPr>
              <w:spacing w:after="0" w:line="183"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thereto, the several lenders from time to time parties thereto, JPMorgan Chase Bank, N.A., as administrative agent, and Citibank,</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360" w:type="dxa"/>
            <w:vAlign w:val="bottom"/>
            <w:tcBorders>
              <w:top w:val="single" w:sz="8" w:color="0000FF"/>
            </w:tcBorders>
            <w:gridSpan w:val="36"/>
            <w:shd w:val="clear" w:color="auto" w:fill="CCEEFF"/>
          </w:tcPr>
          <w:p>
            <w:pPr>
              <w:spacing w:after="0" w:line="183" w:lineRule="exact"/>
              <w:rPr>
                <w:rFonts w:ascii="Arial" w:cs="Arial" w:eastAsia="Arial" w:hAnsi="Arial"/>
                <w:sz w:val="16"/>
                <w:szCs w:val="16"/>
                <w:color w:val="0000FF"/>
                <w:w w:val="97"/>
              </w:rPr>
            </w:pPr>
            <w:hyperlink r:id="rId57">
              <w:r>
                <w:rPr>
                  <w:rFonts w:ascii="Arial" w:cs="Arial" w:eastAsia="Arial" w:hAnsi="Arial"/>
                  <w:sz w:val="16"/>
                  <w:szCs w:val="16"/>
                  <w:color w:val="0000FF"/>
                  <w:w w:val="97"/>
                </w:rPr>
                <w:t>N.A., as syndication agent, incorporated herein by reference to Exhibit 10.2 to the Current Report on Form 8-K of General</w:t>
              </w:r>
            </w:hyperlink>
          </w:p>
        </w:tc>
        <w:tc>
          <w:tcPr>
            <w:tcW w:w="100" w:type="dxa"/>
            <w:vAlign w:val="bottom"/>
            <w:tcBorders>
              <w:top w:val="single" w:sz="8" w:color="CCEEFF"/>
            </w:tcBorders>
            <w:gridSpan w:val="4"/>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340" w:type="dxa"/>
            <w:vAlign w:val="bottom"/>
            <w:tcBorders>
              <w:top w:val="single" w:sz="8" w:color="0000FF"/>
              <w:bottom w:val="single" w:sz="8" w:color="0000FF"/>
            </w:tcBorders>
            <w:gridSpan w:val="4"/>
            <w:shd w:val="clear" w:color="auto" w:fill="CCEEFF"/>
          </w:tcPr>
          <w:p>
            <w:pPr>
              <w:spacing w:after="0" w:line="183"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Motors Company filed June 2, 2016</w:t>
              </w:r>
            </w:hyperlink>
          </w:p>
        </w:tc>
        <w:tc>
          <w:tcPr>
            <w:tcW w:w="5600" w:type="dxa"/>
            <w:vAlign w:val="bottom"/>
            <w:tcBorders>
              <w:top w:val="single" w:sz="8" w:color="0000FF"/>
              <w:bottom w:val="single" w:sz="8" w:color="CCEEFF"/>
            </w:tcBorders>
            <w:gridSpan w:val="17"/>
            <w:shd w:val="clear" w:color="auto" w:fill="CCEEFF"/>
          </w:tcPr>
          <w:p>
            <w:pPr>
              <w:spacing w:after="0"/>
              <w:rPr>
                <w:sz w:val="20"/>
                <w:szCs w:val="20"/>
                <w:color w:val="auto"/>
              </w:rPr>
            </w:pPr>
          </w:p>
        </w:tc>
        <w:tc>
          <w:tcPr>
            <w:tcW w:w="520" w:type="dxa"/>
            <w:vAlign w:val="bottom"/>
            <w:tcBorders>
              <w:top w:val="single" w:sz="8" w:color="CCEEFF"/>
              <w:bottom w:val="single" w:sz="8" w:color="CCEEFF"/>
            </w:tcBorders>
            <w:gridSpan w:val="19"/>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0" w:type="dxa"/>
            <w:vAlign w:val="bottom"/>
            <w:tcBorders>
              <w:bottom w:val="single" w:sz="8" w:color="0000FF"/>
            </w:tcBorders>
            <w:gridSpan w:val="37"/>
          </w:tcPr>
          <w:p>
            <w:pPr>
              <w:spacing w:after="0"/>
              <w:rPr>
                <w:rFonts w:ascii="Arial" w:cs="Arial" w:eastAsia="Arial" w:hAnsi="Arial"/>
                <w:sz w:val="16"/>
                <w:szCs w:val="16"/>
                <w:color w:val="0000FF"/>
                <w:w w:val="91"/>
              </w:rPr>
            </w:pPr>
            <w:hyperlink r:id="rId58">
              <w:r>
                <w:rPr>
                  <w:rFonts w:ascii="Arial" w:cs="Arial" w:eastAsia="Arial" w:hAnsi="Arial"/>
                  <w:sz w:val="16"/>
                  <w:szCs w:val="16"/>
                  <w:color w:val="0000FF"/>
                  <w:w w:val="91"/>
                </w:rPr>
                <w:t>Amendment to Warrant Agreements between General Motors Company and U.S. Bank National Association, incorporated herein</w:t>
              </w:r>
            </w:hyperlink>
          </w:p>
        </w:tc>
        <w:tc>
          <w:tcPr>
            <w:tcW w:w="60" w:type="dxa"/>
            <w:vAlign w:val="bottom"/>
            <w:gridSpan w:val="3"/>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gridSpan w:val="40"/>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by reference to Exhibit 10.1 to the Quarterly Report on Form 10-Q of General Motors Company filed April 24,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60" w:type="dxa"/>
            <w:vAlign w:val="bottom"/>
            <w:gridSpan w:val="40"/>
            <w:shd w:val="clear" w:color="auto" w:fill="CCEEFF"/>
          </w:tcPr>
          <w:p>
            <w:pPr>
              <w:spacing w:after="0"/>
              <w:rPr>
                <w:rFonts w:ascii="Arial" w:cs="Arial" w:eastAsia="Arial" w:hAnsi="Arial"/>
                <w:sz w:val="16"/>
                <w:szCs w:val="16"/>
                <w:color w:val="0000FF"/>
                <w:w w:val="94"/>
              </w:rPr>
            </w:pPr>
            <w:hyperlink r:id="rId59">
              <w:r>
                <w:rPr>
                  <w:rFonts w:ascii="Arial" w:cs="Arial" w:eastAsia="Arial" w:hAnsi="Arial"/>
                  <w:sz w:val="16"/>
                  <w:szCs w:val="16"/>
                  <w:color w:val="0000FF"/>
                  <w:w w:val="94"/>
                </w:rPr>
                <w:t>Form of Non-Qualified Stock Option Agreement under the 2014 Long-Term Incentive Plan, incorporated herein by reference to</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80" w:type="dxa"/>
            <w:vAlign w:val="bottom"/>
            <w:tcBorders>
              <w:top w:val="single" w:sz="8" w:color="0000FF"/>
            </w:tcBorders>
            <w:gridSpan w:val="32"/>
            <w:shd w:val="clear" w:color="auto" w:fill="CCEEFF"/>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Exhibit 10.1 to the Current Report on Form 8-K of General Motors Company filed July 30, 2015</w:t>
              </w:r>
            </w:hyperlink>
          </w:p>
        </w:tc>
        <w:tc>
          <w:tcPr>
            <w:tcW w:w="180" w:type="dxa"/>
            <w:vAlign w:val="bottom"/>
            <w:tcBorders>
              <w:top w:val="single" w:sz="8" w:color="CCEEFF"/>
            </w:tcBorders>
            <w:gridSpan w:val="8"/>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4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341"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9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Exhibit Name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920" w:type="dxa"/>
            <w:vAlign w:val="bottom"/>
            <w:gridSpan w:val="8"/>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color w:val="auto"/>
                <w:w w:val="99"/>
              </w:rPr>
              <w:t>10.22*</w:t>
            </w:r>
          </w:p>
        </w:tc>
        <w:tc>
          <w:tcPr>
            <w:tcW w:w="180" w:type="dxa"/>
            <w:vAlign w:val="bottom"/>
          </w:tcPr>
          <w:p>
            <w:pPr>
              <w:spacing w:after="0"/>
              <w:rPr>
                <w:sz w:val="16"/>
                <w:szCs w:val="16"/>
                <w:color w:val="auto"/>
              </w:rPr>
            </w:pPr>
          </w:p>
        </w:tc>
        <w:tc>
          <w:tcPr>
            <w:tcW w:w="8640" w:type="dxa"/>
            <w:vAlign w:val="bottom"/>
            <w:tcBorders>
              <w:top w:val="single" w:sz="8" w:color="auto"/>
              <w:bottom w:val="single" w:sz="8" w:color="0000FF"/>
            </w:tcBorders>
            <w:gridSpan w:val="9"/>
          </w:tcPr>
          <w:p>
            <w:pPr>
              <w:spacing w:after="0"/>
              <w:rPr>
                <w:rFonts w:ascii="Arial" w:cs="Arial" w:eastAsia="Arial" w:hAnsi="Arial"/>
                <w:sz w:val="16"/>
                <w:szCs w:val="16"/>
                <w:color w:val="0000FF"/>
                <w:w w:val="92"/>
              </w:rPr>
            </w:pPr>
            <w:hyperlink r:id="rId60">
              <w:r>
                <w:rPr>
                  <w:rFonts w:ascii="Arial" w:cs="Arial" w:eastAsia="Arial" w:hAnsi="Arial"/>
                  <w:sz w:val="16"/>
                  <w:szCs w:val="16"/>
                  <w:color w:val="0000FF"/>
                  <w:w w:val="92"/>
                </w:rPr>
                <w:t>Form of General Motors Company Restricted Stock Unit Award Agreement under the 2014 Long-Term Incentive Plan, incorporated</w:t>
              </w:r>
            </w:hyperlink>
          </w:p>
        </w:tc>
        <w:tc>
          <w:tcPr>
            <w:tcW w:w="80" w:type="dxa"/>
            <w:vAlign w:val="bottom"/>
            <w:tcBorders>
              <w:top w:val="single" w:sz="8" w:color="auto"/>
            </w:tcBorders>
          </w:tcPr>
          <w:p>
            <w:pPr>
              <w:spacing w:after="0"/>
              <w:rPr>
                <w:sz w:val="16"/>
                <w:szCs w:val="16"/>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20" w:type="dxa"/>
            <w:vAlign w:val="bottom"/>
            <w:gridSpan w:val="10"/>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herein by reference to Exhibit 10.4 to the Quarterly Report on Form 10-Q of General Motors Company filed April 21, 2016</w:t>
              </w:r>
            </w:hyperlink>
          </w:p>
        </w:tc>
        <w:tc>
          <w:tcPr>
            <w:tcW w:w="1580" w:type="dxa"/>
            <w:vAlign w:val="bottom"/>
          </w:tcPr>
          <w:p>
            <w:pPr>
              <w:ind w:left="12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4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99"/>
              </w:rPr>
              <w:t>10.23*</w:t>
            </w:r>
          </w:p>
        </w:tc>
        <w:tc>
          <w:tcPr>
            <w:tcW w:w="18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10"/>
            <w:shd w:val="clear" w:color="auto" w:fill="CCEEFF"/>
          </w:tcPr>
          <w:p>
            <w:pPr>
              <w:spacing w:after="0"/>
              <w:rPr>
                <w:rFonts w:ascii="Arial" w:cs="Arial" w:eastAsia="Arial" w:hAnsi="Arial"/>
                <w:sz w:val="16"/>
                <w:szCs w:val="16"/>
                <w:color w:val="0000FF"/>
              </w:rPr>
            </w:pPr>
            <w:hyperlink r:id="rId61">
              <w:r>
                <w:rPr>
                  <w:rFonts w:ascii="Arial" w:cs="Arial" w:eastAsia="Arial" w:hAnsi="Arial"/>
                  <w:sz w:val="16"/>
                  <w:szCs w:val="16"/>
                  <w:color w:val="0000FF"/>
                </w:rPr>
                <w:t>Form of General Motors Company Performance Stock Unit Award Agreement under the 2014 Long-Term Incentive Plan,</w:t>
              </w:r>
            </w:hyperlink>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0" w:type="dxa"/>
            <w:vAlign w:val="bottom"/>
            <w:tcBorders>
              <w:right w:val="single" w:sz="8" w:color="CCEEFF"/>
            </w:tcBorders>
            <w:shd w:val="clear" w:color="auto" w:fill="0000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720" w:type="dxa"/>
            <w:vAlign w:val="bottom"/>
            <w:gridSpan w:val="10"/>
            <w:shd w:val="clear" w:color="auto" w:fill="CCEEFF"/>
          </w:tcPr>
          <w:p>
            <w:pPr>
              <w:spacing w:after="0" w:line="183" w:lineRule="exact"/>
              <w:rPr>
                <w:rFonts w:ascii="Arial" w:cs="Arial" w:eastAsia="Arial" w:hAnsi="Arial"/>
                <w:sz w:val="16"/>
                <w:szCs w:val="16"/>
                <w:color w:val="0000FF"/>
                <w:w w:val="95"/>
              </w:rPr>
            </w:pPr>
            <w:hyperlink r:id="rId61">
              <w:r>
                <w:rPr>
                  <w:rFonts w:ascii="Arial" w:cs="Arial" w:eastAsia="Arial" w:hAnsi="Arial"/>
                  <w:sz w:val="16"/>
                  <w:szCs w:val="16"/>
                  <w:color w:val="0000FF"/>
                  <w:w w:val="95"/>
                </w:rPr>
                <w:t>incorporated herein by reference to Exhibit 10.5 to the Quarterly Report on Form 10-Q of General Motors Company filed April 21,</w:t>
              </w:r>
            </w:hyperlink>
          </w:p>
        </w:tc>
        <w:tc>
          <w:tcPr>
            <w:tcW w:w="158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line="183" w:lineRule="exact"/>
              <w:rPr>
                <w:rFonts w:ascii="Arial" w:cs="Arial" w:eastAsia="Arial" w:hAnsi="Arial"/>
                <w:sz w:val="16"/>
                <w:szCs w:val="16"/>
                <w:color w:val="0000FF"/>
                <w:w w:val="78"/>
              </w:rPr>
            </w:pPr>
            <w:hyperlink r:id="rId61">
              <w:r>
                <w:rPr>
                  <w:rFonts w:ascii="Arial" w:cs="Arial" w:eastAsia="Arial" w:hAnsi="Arial"/>
                  <w:sz w:val="16"/>
                  <w:szCs w:val="16"/>
                  <w:color w:val="0000FF"/>
                  <w:w w:val="78"/>
                </w:rPr>
                <w:t>2016</w:t>
              </w:r>
            </w:hyperlink>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0000FF"/>
              <w:right w:val="single" w:sz="8" w:color="CCEEFF"/>
            </w:tcBorders>
            <w:shd w:val="clear" w:color="auto" w:fill="CCEEFF"/>
          </w:tcPr>
          <w:p>
            <w:pPr>
              <w:spacing w:after="0"/>
              <w:rPr>
                <w:sz w:val="4"/>
                <w:szCs w:val="4"/>
                <w:color w:val="auto"/>
              </w:rPr>
            </w:pPr>
          </w:p>
        </w:tc>
        <w:tc>
          <w:tcPr>
            <w:tcW w:w="3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20" w:type="dxa"/>
            <w:vAlign w:val="bottom"/>
          </w:tcPr>
          <w:p>
            <w:pPr>
              <w:jc w:val="right"/>
              <w:ind w:right="361"/>
              <w:spacing w:after="0"/>
              <w:rPr>
                <w:sz w:val="20"/>
                <w:szCs w:val="20"/>
                <w:color w:val="auto"/>
              </w:rPr>
            </w:pPr>
            <w:r>
              <w:rPr>
                <w:rFonts w:ascii="Arial" w:cs="Arial" w:eastAsia="Arial" w:hAnsi="Arial"/>
                <w:sz w:val="16"/>
                <w:szCs w:val="16"/>
                <w:color w:val="auto"/>
                <w:w w:val="99"/>
              </w:rPr>
              <w:t>10.24*</w:t>
            </w:r>
          </w:p>
        </w:tc>
        <w:tc>
          <w:tcPr>
            <w:tcW w:w="180" w:type="dxa"/>
            <w:vAlign w:val="bottom"/>
          </w:tcPr>
          <w:p>
            <w:pPr>
              <w:spacing w:after="0"/>
              <w:rPr>
                <w:sz w:val="16"/>
                <w:szCs w:val="16"/>
                <w:color w:val="auto"/>
              </w:rPr>
            </w:pPr>
          </w:p>
        </w:tc>
        <w:tc>
          <w:tcPr>
            <w:tcW w:w="8720" w:type="dxa"/>
            <w:vAlign w:val="bottom"/>
            <w:gridSpan w:val="10"/>
          </w:tcPr>
          <w:p>
            <w:pPr>
              <w:spacing w:after="0"/>
              <w:rPr>
                <w:rFonts w:ascii="Arial" w:cs="Arial" w:eastAsia="Arial" w:hAnsi="Arial"/>
                <w:sz w:val="16"/>
                <w:szCs w:val="16"/>
                <w:color w:val="0000FF"/>
                <w:w w:val="93"/>
              </w:rPr>
            </w:pPr>
            <w:hyperlink r:id="rId62">
              <w:r>
                <w:rPr>
                  <w:rFonts w:ascii="Arial" w:cs="Arial" w:eastAsia="Arial" w:hAnsi="Arial"/>
                  <w:sz w:val="16"/>
                  <w:szCs w:val="16"/>
                  <w:color w:val="0000FF"/>
                  <w:w w:val="93"/>
                </w:rPr>
                <w:t>Form of Director and Officer Indemnification Agreement, incorporated herein by reference to Exhibit 10.6 to the Quarterly Report on</w:t>
              </w:r>
            </w:hyperlink>
          </w:p>
        </w:tc>
        <w:tc>
          <w:tcPr>
            <w:tcW w:w="1580" w:type="dxa"/>
            <w:vAlign w:val="bottom"/>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Form 10-Q of General Motors Company filed April 21, 2016</w:t>
              </w:r>
            </w:hyperlink>
          </w:p>
        </w:tc>
        <w:tc>
          <w:tcPr>
            <w:tcW w:w="80" w:type="dxa"/>
            <w:vAlign w:val="bottom"/>
          </w:tcPr>
          <w:p>
            <w:pPr>
              <w:spacing w:after="0"/>
              <w:rPr>
                <w:sz w:val="15"/>
                <w:szCs w:val="15"/>
                <w:color w:val="auto"/>
              </w:rPr>
            </w:pPr>
          </w:p>
        </w:tc>
        <w:tc>
          <w:tcPr>
            <w:tcW w:w="1580" w:type="dxa"/>
            <w:vAlign w:val="bottom"/>
          </w:tcPr>
          <w:p>
            <w:pPr>
              <w:ind w:left="12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4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99"/>
              </w:rPr>
              <w:t>10.25*</w:t>
            </w:r>
          </w:p>
        </w:tc>
        <w:tc>
          <w:tcPr>
            <w:tcW w:w="180" w:type="dxa"/>
            <w:vAlign w:val="bottom"/>
            <w:tcBorders>
              <w:right w:val="single" w:sz="8" w:color="CCEEFF"/>
            </w:tcBorders>
            <w:shd w:val="clear" w:color="auto" w:fill="CCEEFF"/>
          </w:tcPr>
          <w:p>
            <w:pPr>
              <w:spacing w:after="0"/>
              <w:rPr>
                <w:sz w:val="17"/>
                <w:szCs w:val="17"/>
                <w:color w:val="auto"/>
              </w:rPr>
            </w:pPr>
          </w:p>
        </w:tc>
        <w:tc>
          <w:tcPr>
            <w:tcW w:w="8720" w:type="dxa"/>
            <w:vAlign w:val="bottom"/>
            <w:gridSpan w:val="10"/>
            <w:shd w:val="clear" w:color="auto" w:fill="CCEEFF"/>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General Motors Company 2017 Short-Term Incentive Plan</w:t>
              </w:r>
            </w:hyperlink>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1"/>
        </w:trPr>
        <w:tc>
          <w:tcPr>
            <w:tcW w:w="9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320" w:type="dxa"/>
            <w:vAlign w:val="bottom"/>
            <w:tcBorders>
              <w:top w:val="single" w:sz="8" w:color="0000FF"/>
              <w:right w:val="single" w:sz="8" w:color="CCEEFF"/>
            </w:tcBorders>
            <w:shd w:val="clear" w:color="auto" w:fill="CCEEFF"/>
          </w:tcPr>
          <w:p>
            <w:pPr>
              <w:spacing w:after="0"/>
              <w:rPr>
                <w:sz w:val="24"/>
                <w:szCs w:val="24"/>
                <w:color w:val="auto"/>
              </w:rPr>
            </w:pPr>
          </w:p>
        </w:tc>
        <w:tc>
          <w:tcPr>
            <w:tcW w:w="348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320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jc w:val="right"/>
              <w:ind w:right="361"/>
              <w:spacing w:after="0"/>
              <w:rPr>
                <w:sz w:val="20"/>
                <w:szCs w:val="20"/>
                <w:color w:val="auto"/>
              </w:rPr>
            </w:pPr>
            <w:r>
              <w:rPr>
                <w:rFonts w:ascii="Arial" w:cs="Arial" w:eastAsia="Arial" w:hAnsi="Arial"/>
                <w:sz w:val="16"/>
                <w:szCs w:val="16"/>
                <w:color w:val="auto"/>
                <w:w w:val="99"/>
              </w:rPr>
              <w:t>10.26*</w:t>
            </w:r>
          </w:p>
        </w:tc>
        <w:tc>
          <w:tcPr>
            <w:tcW w:w="180" w:type="dxa"/>
            <w:vAlign w:val="bottom"/>
          </w:tcPr>
          <w:p>
            <w:pPr>
              <w:spacing w:after="0"/>
              <w:rPr>
                <w:sz w:val="17"/>
                <w:szCs w:val="17"/>
                <w:color w:val="auto"/>
              </w:rPr>
            </w:pPr>
          </w:p>
        </w:tc>
        <w:tc>
          <w:tcPr>
            <w:tcW w:w="8720" w:type="dxa"/>
            <w:vAlign w:val="bottom"/>
            <w:gridSpan w:val="10"/>
          </w:tcPr>
          <w:p>
            <w:pPr>
              <w:spacing w:after="0"/>
              <w:rPr>
                <w:rFonts w:ascii="Arial" w:cs="Arial" w:eastAsia="Arial" w:hAnsi="Arial"/>
                <w:sz w:val="16"/>
                <w:szCs w:val="16"/>
                <w:color w:val="0000FF"/>
                <w:w w:val="98"/>
              </w:rPr>
            </w:pPr>
            <w:hyperlink r:id="rId63">
              <w:r>
                <w:rPr>
                  <w:rFonts w:ascii="Arial" w:cs="Arial" w:eastAsia="Arial" w:hAnsi="Arial"/>
                  <w:sz w:val="16"/>
                  <w:szCs w:val="16"/>
                  <w:color w:val="0000FF"/>
                  <w:w w:val="98"/>
                </w:rPr>
                <w:t>General Motors Company 2017 Long-Term Incentive Plan, incorporated herein by reference to Exhibit 4.1 to the Registration</w:t>
              </w:r>
            </w:hyperlink>
          </w:p>
        </w:tc>
        <w:tc>
          <w:tcPr>
            <w:tcW w:w="1580" w:type="dxa"/>
            <w:vAlign w:val="bottom"/>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40" w:type="dxa"/>
            <w:vAlign w:val="bottom"/>
            <w:tcBorders>
              <w:top w:val="single" w:sz="8" w:color="0000FF"/>
            </w:tcBorders>
            <w:gridSpan w:val="7"/>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Statement on Form S-8 of General Motors Company filed June 16, 2017</w:t>
              </w:r>
            </w:hyperlink>
          </w:p>
        </w:tc>
        <w:tc>
          <w:tcPr>
            <w:tcW w:w="580" w:type="dxa"/>
            <w:vAlign w:val="bottom"/>
            <w:gridSpan w:val="3"/>
          </w:tcPr>
          <w:p>
            <w:pPr>
              <w:spacing w:after="0"/>
              <w:rPr>
                <w:sz w:val="15"/>
                <w:szCs w:val="15"/>
                <w:color w:val="auto"/>
              </w:rPr>
            </w:pPr>
          </w:p>
        </w:tc>
        <w:tc>
          <w:tcPr>
            <w:tcW w:w="1580" w:type="dxa"/>
            <w:vAlign w:val="bottom"/>
          </w:tcPr>
          <w:p>
            <w:pPr>
              <w:ind w:left="12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99"/>
              </w:rPr>
              <w:t>10.27*</w:t>
            </w:r>
          </w:p>
        </w:tc>
        <w:tc>
          <w:tcPr>
            <w:tcW w:w="180" w:type="dxa"/>
            <w:vAlign w:val="bottom"/>
            <w:tcBorders>
              <w:right w:val="single" w:sz="8" w:color="CCEEFF"/>
            </w:tcBorders>
            <w:shd w:val="clear" w:color="auto" w:fill="CCEEFF"/>
          </w:tcPr>
          <w:p>
            <w:pPr>
              <w:spacing w:after="0"/>
              <w:rPr>
                <w:sz w:val="17"/>
                <w:szCs w:val="17"/>
                <w:color w:val="auto"/>
              </w:rPr>
            </w:pPr>
          </w:p>
        </w:tc>
        <w:tc>
          <w:tcPr>
            <w:tcW w:w="8720" w:type="dxa"/>
            <w:vAlign w:val="bottom"/>
            <w:gridSpan w:val="10"/>
            <w:shd w:val="clear" w:color="auto" w:fill="CCEEFF"/>
          </w:tcPr>
          <w:p>
            <w:pPr>
              <w:spacing w:after="0"/>
              <w:rPr>
                <w:rFonts w:ascii="Arial" w:cs="Arial" w:eastAsia="Arial" w:hAnsi="Arial"/>
                <w:sz w:val="16"/>
                <w:szCs w:val="16"/>
                <w:color w:val="0000FF"/>
                <w:w w:val="99"/>
              </w:rPr>
            </w:pPr>
            <w:hyperlink r:id="rId64">
              <w:r>
                <w:rPr>
                  <w:rFonts w:ascii="Arial" w:cs="Arial" w:eastAsia="Arial" w:hAnsi="Arial"/>
                  <w:sz w:val="16"/>
                  <w:szCs w:val="16"/>
                  <w:color w:val="0000FF"/>
                  <w:w w:val="99"/>
                </w:rPr>
                <w:t>Form of Non-Qualified Stock Option Award Agreement under the General Motors Company 2017 Long-Term Incentive Plan,</w:t>
              </w:r>
            </w:hyperlink>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5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line="20" w:lineRule="exact"/>
              <w:rPr>
                <w:sz w:val="1"/>
                <w:szCs w:val="1"/>
                <w:color w:val="auto"/>
              </w:rPr>
            </w:pPr>
          </w:p>
        </w:tc>
      </w:tr>
      <w:tr>
        <w:trPr>
          <w:trHeight w:val="183"/>
        </w:trPr>
        <w:tc>
          <w:tcPr>
            <w:tcW w:w="9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720" w:type="dxa"/>
            <w:vAlign w:val="bottom"/>
            <w:gridSpan w:val="10"/>
            <w:shd w:val="clear" w:color="auto" w:fill="CCEEFF"/>
          </w:tcPr>
          <w:p>
            <w:pPr>
              <w:spacing w:after="0" w:line="183" w:lineRule="exact"/>
              <w:rPr>
                <w:rFonts w:ascii="Arial" w:cs="Arial" w:eastAsia="Arial" w:hAnsi="Arial"/>
                <w:sz w:val="16"/>
                <w:szCs w:val="16"/>
                <w:color w:val="0000FF"/>
                <w:w w:val="93"/>
              </w:rPr>
            </w:pPr>
            <w:hyperlink r:id="rId64">
              <w:r>
                <w:rPr>
                  <w:rFonts w:ascii="Arial" w:cs="Arial" w:eastAsia="Arial" w:hAnsi="Arial"/>
                  <w:sz w:val="16"/>
                  <w:szCs w:val="16"/>
                  <w:color w:val="0000FF"/>
                  <w:w w:val="93"/>
                </w:rPr>
                <w:t>incorporated herein by reference to Exhibit 10.3 to the Current Report on Form 8-K of General Motors Company filed June 12, 2017</w:t>
              </w:r>
            </w:hyperlink>
          </w:p>
        </w:tc>
        <w:tc>
          <w:tcPr>
            <w:tcW w:w="1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320" w:type="dxa"/>
            <w:vAlign w:val="bottom"/>
            <w:tcBorders>
              <w:top w:val="single" w:sz="8" w:color="0000FF"/>
              <w:right w:val="single" w:sz="8" w:color="CCEEFF"/>
            </w:tcBorders>
            <w:shd w:val="clear" w:color="auto" w:fill="CCEEFF"/>
          </w:tcPr>
          <w:p>
            <w:pPr>
              <w:spacing w:after="0"/>
              <w:rPr>
                <w:sz w:val="24"/>
                <w:szCs w:val="24"/>
                <w:color w:val="auto"/>
              </w:rPr>
            </w:pPr>
          </w:p>
        </w:tc>
        <w:tc>
          <w:tcPr>
            <w:tcW w:w="348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tcBorders>
            <w:shd w:val="clear" w:color="auto" w:fill="CCEEFF"/>
          </w:tcPr>
          <w:p>
            <w:pPr>
              <w:spacing w:after="0"/>
              <w:rPr>
                <w:sz w:val="24"/>
                <w:szCs w:val="24"/>
                <w:color w:val="auto"/>
              </w:rPr>
            </w:pPr>
          </w:p>
        </w:tc>
        <w:tc>
          <w:tcPr>
            <w:tcW w:w="740" w:type="dxa"/>
            <w:vAlign w:val="bottom"/>
            <w:tcBorders>
              <w:top w:val="single" w:sz="8" w:color="0000FF"/>
            </w:tcBorders>
            <w:shd w:val="clear" w:color="auto" w:fill="CCEEFF"/>
          </w:tcPr>
          <w:p>
            <w:pPr>
              <w:spacing w:after="0"/>
              <w:rPr>
                <w:sz w:val="24"/>
                <w:szCs w:val="24"/>
                <w:color w:val="auto"/>
              </w:rPr>
            </w:pPr>
          </w:p>
        </w:tc>
        <w:tc>
          <w:tcPr>
            <w:tcW w:w="3200" w:type="dxa"/>
            <w:vAlign w:val="bottom"/>
            <w:tcBorders>
              <w:top w:val="single" w:sz="8" w:color="0000FF"/>
              <w:right w:val="single" w:sz="8" w:color="CCEEFF"/>
            </w:tcBorders>
            <w:shd w:val="clear" w:color="auto" w:fill="CCEEFF"/>
          </w:tcPr>
          <w:p>
            <w:pPr>
              <w:spacing w:after="0"/>
              <w:rPr>
                <w:sz w:val="24"/>
                <w:szCs w:val="24"/>
                <w:color w:val="auto"/>
              </w:rPr>
            </w:pPr>
          </w:p>
        </w:tc>
        <w:tc>
          <w:tcPr>
            <w:tcW w:w="100" w:type="dxa"/>
            <w:vAlign w:val="bottom"/>
            <w:tcBorders>
              <w:top w:val="single" w:sz="8" w:color="0000FF"/>
            </w:tcBorders>
            <w:shd w:val="clear" w:color="auto" w:fill="CCEEFF"/>
          </w:tcPr>
          <w:p>
            <w:pPr>
              <w:spacing w:after="0"/>
              <w:rPr>
                <w:sz w:val="24"/>
                <w:szCs w:val="24"/>
                <w:color w:val="auto"/>
              </w:rPr>
            </w:pPr>
          </w:p>
        </w:tc>
        <w:tc>
          <w:tcPr>
            <w:tcW w:w="16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480" w:type="dxa"/>
            <w:vAlign w:val="bottom"/>
            <w:tcBorders>
              <w:top w:val="single" w:sz="8" w:color="0000FF"/>
              <w:right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jc w:val="right"/>
              <w:ind w:right="361"/>
              <w:spacing w:after="0"/>
              <w:rPr>
                <w:sz w:val="20"/>
                <w:szCs w:val="20"/>
                <w:color w:val="auto"/>
              </w:rPr>
            </w:pPr>
            <w:r>
              <w:rPr>
                <w:rFonts w:ascii="Arial" w:cs="Arial" w:eastAsia="Arial" w:hAnsi="Arial"/>
                <w:sz w:val="16"/>
                <w:szCs w:val="16"/>
                <w:color w:val="auto"/>
                <w:w w:val="99"/>
              </w:rPr>
              <w:t>10.28*</w:t>
            </w:r>
          </w:p>
        </w:tc>
        <w:tc>
          <w:tcPr>
            <w:tcW w:w="180" w:type="dxa"/>
            <w:vAlign w:val="bottom"/>
          </w:tcPr>
          <w:p>
            <w:pPr>
              <w:spacing w:after="0"/>
              <w:rPr>
                <w:sz w:val="17"/>
                <w:szCs w:val="17"/>
                <w:color w:val="auto"/>
              </w:rPr>
            </w:pPr>
          </w:p>
        </w:tc>
        <w:tc>
          <w:tcPr>
            <w:tcW w:w="8720" w:type="dxa"/>
            <w:vAlign w:val="bottom"/>
            <w:gridSpan w:val="10"/>
          </w:tcPr>
          <w:p>
            <w:pPr>
              <w:spacing w:after="0"/>
              <w:rPr>
                <w:rFonts w:ascii="Arial" w:cs="Arial" w:eastAsia="Arial" w:hAnsi="Arial"/>
                <w:sz w:val="16"/>
                <w:szCs w:val="16"/>
                <w:color w:val="0000FF"/>
              </w:rPr>
            </w:pPr>
            <w:hyperlink r:id="rId65">
              <w:r>
                <w:rPr>
                  <w:rFonts w:ascii="Arial" w:cs="Arial" w:eastAsia="Arial" w:hAnsi="Arial"/>
                  <w:sz w:val="16"/>
                  <w:szCs w:val="16"/>
                  <w:color w:val="0000FF"/>
                </w:rPr>
                <w:t>Form of General Motors Company Performance Share Unit Award Agreement under the 2014 Long-Term Incentive Plan,</w:t>
              </w:r>
            </w:hyperlink>
          </w:p>
        </w:tc>
        <w:tc>
          <w:tcPr>
            <w:tcW w:w="1580" w:type="dxa"/>
            <w:vAlign w:val="bottom"/>
          </w:tcPr>
          <w:p>
            <w:pPr>
              <w:ind w:left="12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5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ind w:left="120"/>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bottom w:val="single" w:sz="8" w:color="0000FF"/>
            </w:tcBorders>
            <w:gridSpan w:val="9"/>
          </w:tcPr>
          <w:p>
            <w:pPr>
              <w:spacing w:after="0" w:line="183" w:lineRule="exact"/>
              <w:rPr>
                <w:rFonts w:ascii="Arial" w:cs="Arial" w:eastAsia="Arial" w:hAnsi="Arial"/>
                <w:sz w:val="16"/>
                <w:szCs w:val="16"/>
                <w:color w:val="0000FF"/>
                <w:w w:val="94"/>
              </w:rPr>
            </w:pPr>
            <w:hyperlink r:id="rId65">
              <w:r>
                <w:rPr>
                  <w:rFonts w:ascii="Arial" w:cs="Arial" w:eastAsia="Arial" w:hAnsi="Arial"/>
                  <w:sz w:val="16"/>
                  <w:szCs w:val="16"/>
                  <w:color w:val="0000FF"/>
                  <w:w w:val="94"/>
                </w:rPr>
                <w:t>incorporated herein by reference to Exhibit 10.1 to the Quarterly Report on Form 10-Q of General Motors Company filed April 28,</w:t>
              </w:r>
            </w:hyperlink>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line="183" w:lineRule="exact"/>
              <w:rPr>
                <w:rFonts w:ascii="Arial" w:cs="Arial" w:eastAsia="Arial" w:hAnsi="Arial"/>
                <w:sz w:val="16"/>
                <w:szCs w:val="16"/>
                <w:color w:val="0000FF"/>
                <w:w w:val="78"/>
              </w:rPr>
            </w:pPr>
            <w:hyperlink r:id="rId65">
              <w:r>
                <w:rPr>
                  <w:rFonts w:ascii="Arial" w:cs="Arial" w:eastAsia="Arial" w:hAnsi="Arial"/>
                  <w:sz w:val="16"/>
                  <w:szCs w:val="16"/>
                  <w:color w:val="0000FF"/>
                  <w:w w:val="78"/>
                </w:rPr>
                <w:t>2017</w:t>
              </w:r>
            </w:hyperlink>
          </w:p>
        </w:tc>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2947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00"/>
          </w:cols>
          <w:pgMar w:left="240" w:top="341" w:right="259" w:bottom="977" w:gutter="0" w:footer="0" w:header="0"/>
        </w:sect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40" w:type="dxa"/>
            <w:vAlign w:val="bottom"/>
          </w:tcPr>
          <w:p>
            <w:pPr>
              <w:jc w:val="right"/>
              <w:ind w:right="599"/>
              <w:spacing w:after="0"/>
              <w:rPr>
                <w:sz w:val="20"/>
                <w:szCs w:val="20"/>
                <w:color w:val="auto"/>
              </w:rPr>
            </w:pPr>
            <w:r>
              <w:rPr>
                <w:rFonts w:ascii="Arial" w:cs="Arial" w:eastAsia="Arial" w:hAnsi="Arial"/>
                <w:sz w:val="16"/>
                <w:szCs w:val="16"/>
                <w:color w:val="auto"/>
                <w:w w:val="84"/>
              </w:rPr>
              <w:t>10.29</w:t>
            </w:r>
          </w:p>
        </w:tc>
        <w:tc>
          <w:tcPr>
            <w:tcW w:w="8500" w:type="dxa"/>
            <w:vAlign w:val="bottom"/>
            <w:tcBorders>
              <w:bottom w:val="single" w:sz="8" w:color="0000FF"/>
            </w:tcBorders>
            <w:gridSpan w:val="4"/>
          </w:tcPr>
          <w:p>
            <w:pPr>
              <w:spacing w:after="0"/>
              <w:rPr>
                <w:rFonts w:ascii="Arial" w:cs="Arial" w:eastAsia="Arial" w:hAnsi="Arial"/>
                <w:sz w:val="16"/>
                <w:szCs w:val="16"/>
                <w:color w:val="0000FF"/>
                <w:w w:val="92"/>
              </w:rPr>
            </w:pPr>
            <w:hyperlink r:id="rId67">
              <w:r>
                <w:rPr>
                  <w:rFonts w:ascii="Arial" w:cs="Arial" w:eastAsia="Arial" w:hAnsi="Arial"/>
                  <w:sz w:val="16"/>
                  <w:szCs w:val="16"/>
                  <w:color w:val="0000FF"/>
                  <w:w w:val="92"/>
                </w:rPr>
                <w:t>Amendment, dated May 2, 2017 to the Master Agreement between General Motors Holdings, LLC and Peugeot S.A., incorporated</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700" w:type="dxa"/>
            <w:vAlign w:val="bottom"/>
            <w:gridSpan w:val="5"/>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herein by reference to Exhibit 10.4 to the Quarterly Report on Form 10-Q of General Motors Company filed July 25, 2017</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599"/>
              <w:spacing w:after="0"/>
              <w:rPr>
                <w:sz w:val="20"/>
                <w:szCs w:val="20"/>
                <w:color w:val="auto"/>
              </w:rPr>
            </w:pPr>
            <w:r>
              <w:rPr>
                <w:rFonts w:ascii="Arial" w:cs="Arial" w:eastAsia="Arial" w:hAnsi="Arial"/>
                <w:sz w:val="16"/>
                <w:szCs w:val="16"/>
                <w:color w:val="auto"/>
                <w:w w:val="84"/>
              </w:rPr>
              <w:t>10.30</w:t>
            </w:r>
          </w:p>
        </w:tc>
        <w:tc>
          <w:tcPr>
            <w:tcW w:w="340" w:type="dxa"/>
            <w:vAlign w:val="bottom"/>
            <w:shd w:val="clear" w:color="auto" w:fill="0000FF"/>
          </w:tcPr>
          <w:p>
            <w:pPr>
              <w:spacing w:after="0" w:line="20" w:lineRule="exact"/>
              <w:rPr>
                <w:sz w:val="1"/>
                <w:szCs w:val="1"/>
                <w:color w:val="auto"/>
              </w:rPr>
            </w:pPr>
          </w:p>
        </w:tc>
        <w:tc>
          <w:tcPr>
            <w:tcW w:w="7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vMerge w:val="continue"/>
          </w:tcPr>
          <w:p>
            <w:pPr>
              <w:spacing w:after="0"/>
              <w:rPr>
                <w:sz w:val="22"/>
                <w:szCs w:val="22"/>
                <w:color w:val="auto"/>
              </w:rPr>
            </w:pPr>
          </w:p>
        </w:tc>
        <w:tc>
          <w:tcPr>
            <w:tcW w:w="8700" w:type="dxa"/>
            <w:vAlign w:val="bottom"/>
            <w:gridSpan w:val="5"/>
          </w:tcPr>
          <w:p>
            <w:pPr>
              <w:spacing w:after="0"/>
              <w:rPr>
                <w:rFonts w:ascii="Arial" w:cs="Arial" w:eastAsia="Arial" w:hAnsi="Arial"/>
                <w:sz w:val="16"/>
                <w:szCs w:val="16"/>
                <w:color w:val="0000FF"/>
                <w:w w:val="95"/>
              </w:rPr>
            </w:pPr>
            <w:hyperlink r:id="rId68">
              <w:r>
                <w:rPr>
                  <w:rFonts w:ascii="Arial" w:cs="Arial" w:eastAsia="Arial" w:hAnsi="Arial"/>
                  <w:sz w:val="16"/>
                  <w:szCs w:val="16"/>
                  <w:color w:val="0000FF"/>
                  <w:w w:val="95"/>
                </w:rPr>
                <w:t>Amendment Number 2, dated July 30, 2017, to the Master Agreement between General Motors Holdings, LLC and Peugeot S.A.,</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8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870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68">
              <w:r>
                <w:rPr>
                  <w:rFonts w:ascii="Arial" w:cs="Arial" w:eastAsia="Arial" w:hAnsi="Arial"/>
                  <w:sz w:val="16"/>
                  <w:szCs w:val="16"/>
                  <w:color w:val="0000FF"/>
                  <w:w w:val="92"/>
                </w:rPr>
                <w:t>incorporated herein by reference to Exhibit 10.1 to the Quarterly Report on Form 10-Q of General Motors Company filed October 24,</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40" w:type="dxa"/>
            <w:vAlign w:val="bottom"/>
            <w:tcBorders>
              <w:bottom w:val="single" w:sz="8" w:color="0000FF"/>
            </w:tcBorders>
          </w:tcPr>
          <w:p>
            <w:pPr>
              <w:spacing w:after="0" w:line="183" w:lineRule="exact"/>
              <w:rPr>
                <w:rFonts w:ascii="Arial" w:cs="Arial" w:eastAsia="Arial" w:hAnsi="Arial"/>
                <w:sz w:val="16"/>
                <w:szCs w:val="16"/>
                <w:color w:val="0000FF"/>
                <w:w w:val="89"/>
              </w:rPr>
            </w:pPr>
            <w:hyperlink r:id="rId68">
              <w:r>
                <w:rPr>
                  <w:rFonts w:ascii="Arial" w:cs="Arial" w:eastAsia="Arial" w:hAnsi="Arial"/>
                  <w:sz w:val="16"/>
                  <w:szCs w:val="16"/>
                  <w:color w:val="0000FF"/>
                  <w:w w:val="89"/>
                </w:rPr>
                <w:t>2017</w:t>
              </w:r>
            </w:hyperlink>
          </w:p>
        </w:tc>
        <w:tc>
          <w:tcPr>
            <w:tcW w:w="7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Incorporated by Reference</w:t>
      </w:r>
    </w:p>
    <w:p>
      <w:pPr>
        <w:spacing w:after="0" w:line="3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Incorporated by Reference</w:t>
      </w:r>
    </w:p>
    <w:p>
      <w:pPr>
        <w:spacing w:after="0" w:line="354" w:lineRule="exact"/>
        <w:rPr>
          <w:sz w:val="20"/>
          <w:szCs w:val="20"/>
          <w:color w:val="auto"/>
        </w:rPr>
      </w:pPr>
    </w:p>
    <w:p>
      <w:pPr>
        <w:sectPr>
          <w:pgSz w:w="11900" w:h="16838" w:orient="portrait"/>
          <w:cols w:equalWidth="0" w:num="2">
            <w:col w:w="9780" w:space="160"/>
            <w:col w:w="1460"/>
          </w:cols>
          <w:pgMar w:left="240" w:top="341" w:right="259" w:bottom="977"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10.31</w:t>
            </w:r>
          </w:p>
        </w:tc>
        <w:tc>
          <w:tcPr>
            <w:tcW w:w="8760" w:type="dxa"/>
            <w:vAlign w:val="bottom"/>
            <w:gridSpan w:val="4"/>
            <w:shd w:val="clear" w:color="auto" w:fill="CCEEFF"/>
          </w:tcPr>
          <w:p>
            <w:pPr>
              <w:spacing w:after="0"/>
              <w:rPr>
                <w:rFonts w:ascii="Arial" w:cs="Arial" w:eastAsia="Arial" w:hAnsi="Arial"/>
                <w:sz w:val="16"/>
                <w:szCs w:val="16"/>
                <w:color w:val="0000FF"/>
                <w:w w:val="93"/>
              </w:rPr>
            </w:pPr>
            <w:hyperlink w:anchor="page108">
              <w:r>
                <w:rPr>
                  <w:rFonts w:ascii="Arial" w:cs="Arial" w:eastAsia="Arial" w:hAnsi="Arial"/>
                  <w:sz w:val="16"/>
                  <w:szCs w:val="16"/>
                  <w:color w:val="0000FF"/>
                  <w:w w:val="93"/>
                </w:rPr>
                <w:t>Amendment Number 3, dated October 30, 2017, to the Master Agreement between General Motors Holdings, LLC and Peugeot S.A.</w:t>
              </w:r>
            </w:hyperlink>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Filed Herewith</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5160" w:type="dxa"/>
            <w:vAlign w:val="bottom"/>
            <w:tcBorders>
              <w:top w:val="single" w:sz="8" w:color="0000FF"/>
            </w:tcBorders>
            <w:shd w:val="clear" w:color="auto" w:fill="CCEEFF"/>
          </w:tcPr>
          <w:p>
            <w:pPr>
              <w:spacing w:after="0"/>
              <w:rPr>
                <w:sz w:val="5"/>
                <w:szCs w:val="5"/>
                <w:color w:val="auto"/>
              </w:rPr>
            </w:pPr>
          </w:p>
        </w:tc>
        <w:tc>
          <w:tcPr>
            <w:tcW w:w="290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12</w:t>
            </w:r>
          </w:p>
        </w:tc>
        <w:tc>
          <w:tcPr>
            <w:tcW w:w="8760" w:type="dxa"/>
            <w:vAlign w:val="bottom"/>
            <w:gridSpan w:val="4"/>
          </w:tcPr>
          <w:p>
            <w:pPr>
              <w:spacing w:after="0"/>
              <w:rPr>
                <w:rFonts w:ascii="Arial" w:cs="Arial" w:eastAsia="Arial" w:hAnsi="Arial"/>
                <w:sz w:val="16"/>
                <w:szCs w:val="16"/>
                <w:color w:val="0000FF"/>
                <w:w w:val="99"/>
              </w:rPr>
            </w:pPr>
            <w:hyperlink w:anchor="page113">
              <w:r>
                <w:rPr>
                  <w:rFonts w:ascii="Arial" w:cs="Arial" w:eastAsia="Arial" w:hAnsi="Arial"/>
                  <w:sz w:val="16"/>
                  <w:szCs w:val="16"/>
                  <w:color w:val="0000FF"/>
                  <w:w w:val="99"/>
                </w:rPr>
                <w:t>Computations of Ratio of Earnings to Fixed Charges and Ratio of Earnings to Combined Fixed Charges and Preferred Stock</w:t>
              </w:r>
            </w:hyperlink>
          </w:p>
        </w:tc>
        <w:tc>
          <w:tcPr>
            <w:tcW w:w="15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83"/>
        </w:trPr>
        <w:tc>
          <w:tcPr>
            <w:tcW w:w="1080" w:type="dxa"/>
            <w:vAlign w:val="bottom"/>
          </w:tcPr>
          <w:p>
            <w:pPr>
              <w:spacing w:after="0"/>
              <w:rPr>
                <w:sz w:val="15"/>
                <w:szCs w:val="15"/>
                <w:color w:val="auto"/>
              </w:rPr>
            </w:pPr>
          </w:p>
        </w:tc>
        <w:tc>
          <w:tcPr>
            <w:tcW w:w="806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w:anchor="page113">
              <w:r>
                <w:rPr>
                  <w:rFonts w:ascii="Arial" w:cs="Arial" w:eastAsia="Arial" w:hAnsi="Arial"/>
                  <w:sz w:val="16"/>
                  <w:szCs w:val="16"/>
                  <w:color w:val="0000FF"/>
                </w:rPr>
                <w:t>Dividends for the Years Ended December 31, 2017, 2016, 2015, 2014 and 2013</w:t>
              </w:r>
            </w:hyperlink>
          </w:p>
        </w:tc>
        <w:tc>
          <w:tcPr>
            <w:tcW w:w="700" w:type="dxa"/>
            <w:vAlign w:val="bottom"/>
            <w:gridSpan w:val="2"/>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2947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ectPr>
          <w:pgSz w:w="11900" w:h="16838" w:orient="portrait"/>
          <w:cols w:equalWidth="0" w:num="1">
            <w:col w:w="11400"/>
          </w:cols>
          <w:pgMar w:left="240" w:top="341" w:right="259" w:bottom="977" w:gutter="0" w:footer="0" w:header="0"/>
          <w:type w:val="continuous"/>
        </w:sectPr>
      </w:pP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16.1</w:t>
            </w:r>
          </w:p>
        </w:tc>
        <w:tc>
          <w:tcPr>
            <w:tcW w:w="8540" w:type="dxa"/>
            <w:vAlign w:val="bottom"/>
            <w:gridSpan w:val="5"/>
          </w:tcPr>
          <w:p>
            <w:pPr>
              <w:spacing w:after="0"/>
              <w:rPr>
                <w:rFonts w:ascii="Arial" w:cs="Arial" w:eastAsia="Arial" w:hAnsi="Arial"/>
                <w:sz w:val="16"/>
                <w:szCs w:val="16"/>
                <w:color w:val="0000FF"/>
                <w:w w:val="93"/>
              </w:rPr>
            </w:pPr>
            <w:hyperlink r:id="rId70">
              <w:r>
                <w:rPr>
                  <w:rFonts w:ascii="Arial" w:cs="Arial" w:eastAsia="Arial" w:hAnsi="Arial"/>
                  <w:sz w:val="16"/>
                  <w:szCs w:val="16"/>
                  <w:color w:val="0000FF"/>
                  <w:w w:val="93"/>
                </w:rPr>
                <w:t>Letter from Deloitte &amp; Touche LLP, incorporated herein by reference to Exhibit 16.1 to the Current Report on Form 8-K of General</w:t>
              </w:r>
            </w:hyperlink>
          </w:p>
        </w:tc>
      </w:tr>
      <w:tr>
        <w:trPr>
          <w:trHeight w:val="183"/>
        </w:trPr>
        <w:tc>
          <w:tcPr>
            <w:tcW w:w="1040" w:type="dxa"/>
            <w:vAlign w:val="bottom"/>
          </w:tcPr>
          <w:p>
            <w:pPr>
              <w:spacing w:after="0"/>
              <w:rPr>
                <w:sz w:val="15"/>
                <w:szCs w:val="15"/>
                <w:color w:val="auto"/>
              </w:rPr>
            </w:pPr>
          </w:p>
        </w:tc>
        <w:tc>
          <w:tcPr>
            <w:tcW w:w="28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1"/>
              </w:rPr>
            </w:pPr>
            <w:hyperlink r:id="rId70">
              <w:r>
                <w:rPr>
                  <w:rFonts w:ascii="Arial" w:cs="Arial" w:eastAsia="Arial" w:hAnsi="Arial"/>
                  <w:sz w:val="16"/>
                  <w:szCs w:val="16"/>
                  <w:color w:val="0000FF"/>
                  <w:w w:val="91"/>
                </w:rPr>
                <w:t>Motors Company filed September 29, 2017</w:t>
              </w:r>
            </w:hyperlink>
          </w:p>
        </w:tc>
        <w:tc>
          <w:tcPr>
            <w:tcW w:w="57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6"/>
                <w:szCs w:val="16"/>
                <w:color w:val="auto"/>
              </w:rPr>
              <w:t>21</w:t>
            </w:r>
          </w:p>
        </w:tc>
        <w:tc>
          <w:tcPr>
            <w:tcW w:w="482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14">
              <w:r>
                <w:rPr>
                  <w:rFonts w:ascii="Arial" w:cs="Arial" w:eastAsia="Arial" w:hAnsi="Arial"/>
                  <w:sz w:val="16"/>
                  <w:szCs w:val="16"/>
                  <w:color w:val="0000FF"/>
                  <w:w w:val="90"/>
                </w:rPr>
                <w:t>Subsidiaries and Joint Ventures of the Registrant as of December 31, 2017</w:t>
              </w:r>
            </w:hyperlink>
          </w:p>
        </w:tc>
        <w:tc>
          <w:tcPr>
            <w:tcW w:w="3720" w:type="dxa"/>
            <w:vAlign w:val="bottom"/>
            <w:gridSpan w:val="3"/>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23.1</w:t>
            </w:r>
          </w:p>
        </w:tc>
        <w:tc>
          <w:tcPr>
            <w:tcW w:w="78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119">
              <w:r>
                <w:rPr>
                  <w:rFonts w:ascii="Arial" w:cs="Arial" w:eastAsia="Arial" w:hAnsi="Arial"/>
                  <w:sz w:val="16"/>
                  <w:szCs w:val="16"/>
                  <w:color w:val="0000FF"/>
                  <w:w w:val="92"/>
                </w:rPr>
                <w:t>Consent of Independent Registered Public Accounting Firm for audited financial statements of General Motors Company</w:t>
              </w:r>
            </w:hyperlink>
          </w:p>
        </w:tc>
        <w:tc>
          <w:tcPr>
            <w:tcW w:w="660" w:type="dxa"/>
            <w:vAlign w:val="bottom"/>
            <w:gridSpan w:val="2"/>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1080" w:hanging="1045"/>
        <w:spacing w:after="0"/>
        <w:tabs>
          <w:tab w:leader="none" w:pos="1080" w:val="left"/>
        </w:tabs>
        <w:numPr>
          <w:ilvl w:val="0"/>
          <w:numId w:val="30"/>
        </w:numPr>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Power of Attorney for Directors of General Motors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ind w:left="40"/>
              <w:spacing w:after="0"/>
              <w:rPr>
                <w:sz w:val="20"/>
                <w:szCs w:val="20"/>
                <w:color w:val="auto"/>
              </w:rPr>
            </w:pPr>
            <w:r>
              <w:rPr>
                <w:rFonts w:ascii="Arial" w:cs="Arial" w:eastAsia="Arial" w:hAnsi="Arial"/>
                <w:sz w:val="16"/>
                <w:szCs w:val="16"/>
                <w:color w:val="auto"/>
              </w:rPr>
              <w:t>31.1</w:t>
            </w:r>
          </w:p>
        </w:tc>
        <w:tc>
          <w:tcPr>
            <w:tcW w:w="364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129">
              <w:r>
                <w:rPr>
                  <w:rFonts w:ascii="Arial" w:cs="Arial" w:eastAsia="Arial" w:hAnsi="Arial"/>
                  <w:sz w:val="16"/>
                  <w:szCs w:val="16"/>
                  <w:color w:val="0000FF"/>
                  <w:w w:val="93"/>
                </w:rPr>
                <w:t>Section 302 Certification of the Chief Executive Officer</w:t>
              </w:r>
            </w:hyperlink>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6"/>
                <w:szCs w:val="16"/>
                <w:color w:val="auto"/>
              </w:rPr>
              <w:t>31.2</w:t>
            </w:r>
          </w:p>
        </w:tc>
        <w:tc>
          <w:tcPr>
            <w:tcW w:w="7900" w:type="dxa"/>
            <w:vAlign w:val="bottom"/>
            <w:gridSpan w:val="3"/>
          </w:tcPr>
          <w:p>
            <w:pPr>
              <w:spacing w:after="0"/>
              <w:rPr>
                <w:rFonts w:ascii="Arial" w:cs="Arial" w:eastAsia="Arial" w:hAnsi="Arial"/>
                <w:sz w:val="16"/>
                <w:szCs w:val="16"/>
                <w:color w:val="0000FF"/>
              </w:rPr>
            </w:pPr>
            <w:hyperlink w:anchor="page130">
              <w:r>
                <w:rPr>
                  <w:rFonts w:ascii="Arial" w:cs="Arial" w:eastAsia="Arial" w:hAnsi="Arial"/>
                  <w:sz w:val="16"/>
                  <w:szCs w:val="16"/>
                  <w:color w:val="0000FF"/>
                </w:rPr>
                <w:t>Section 302 Certification of the Chief Financial Officer</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40"/>
              <w:spacing w:after="0"/>
              <w:rPr>
                <w:sz w:val="20"/>
                <w:szCs w:val="20"/>
                <w:color w:val="auto"/>
              </w:rPr>
            </w:pPr>
            <w:r>
              <w:rPr>
                <w:rFonts w:ascii="Arial" w:cs="Arial" w:eastAsia="Arial" w:hAnsi="Arial"/>
                <w:sz w:val="16"/>
                <w:szCs w:val="16"/>
                <w:color w:val="auto"/>
              </w:rPr>
              <w:t>32</w:t>
            </w:r>
          </w:p>
        </w:tc>
        <w:tc>
          <w:tcPr>
            <w:tcW w:w="3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80" w:type="dxa"/>
            <w:vAlign w:val="bottom"/>
            <w:vMerge w:val="continue"/>
          </w:tcPr>
          <w:p>
            <w:pPr>
              <w:spacing w:after="0"/>
              <w:rPr>
                <w:sz w:val="23"/>
                <w:szCs w:val="23"/>
                <w:color w:val="auto"/>
              </w:rPr>
            </w:pPr>
          </w:p>
        </w:tc>
        <w:tc>
          <w:tcPr>
            <w:tcW w:w="7900" w:type="dxa"/>
            <w:vAlign w:val="bottom"/>
            <w:gridSpan w:val="3"/>
            <w:vMerge w:val="restart"/>
          </w:tcPr>
          <w:p>
            <w:pPr>
              <w:spacing w:after="0"/>
              <w:rPr>
                <w:rFonts w:ascii="Arial" w:cs="Arial" w:eastAsia="Arial" w:hAnsi="Arial"/>
                <w:sz w:val="16"/>
                <w:szCs w:val="16"/>
                <w:color w:val="0000FF"/>
                <w:w w:val="91"/>
              </w:rPr>
            </w:pPr>
            <w:hyperlink w:anchor="page131">
              <w:r>
                <w:rPr>
                  <w:rFonts w:ascii="Arial" w:cs="Arial" w:eastAsia="Arial" w:hAnsi="Arial"/>
                  <w:sz w:val="16"/>
                  <w:szCs w:val="16"/>
                  <w:color w:val="0000FF"/>
                  <w:w w:val="91"/>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4"/>
                <w:szCs w:val="14"/>
                <w:color w:val="auto"/>
              </w:rPr>
            </w:pPr>
          </w:p>
        </w:tc>
        <w:tc>
          <w:tcPr>
            <w:tcW w:w="790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1080" w:type="dxa"/>
            <w:vAlign w:val="bottom"/>
          </w:tcPr>
          <w:p>
            <w:pPr>
              <w:ind w:left="40"/>
              <w:spacing w:after="0"/>
              <w:rPr>
                <w:sz w:val="20"/>
                <w:szCs w:val="20"/>
                <w:color w:val="auto"/>
              </w:rPr>
            </w:pPr>
            <w:r>
              <w:rPr>
                <w:rFonts w:ascii="Arial" w:cs="Arial" w:eastAsia="Arial" w:hAnsi="Arial"/>
                <w:sz w:val="16"/>
                <w:szCs w:val="16"/>
                <w:color w:val="auto"/>
              </w:rPr>
              <w:t>101.INS</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6"/>
                <w:szCs w:val="16"/>
                <w:color w:val="auto"/>
              </w:rPr>
              <w:t>101.SCH</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6"/>
                <w:szCs w:val="16"/>
                <w:color w:val="auto"/>
              </w:rPr>
              <w:t>101.CAL</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6"/>
                <w:szCs w:val="16"/>
                <w:color w:val="auto"/>
              </w:rPr>
              <w:t>101.DEF</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6"/>
                <w:szCs w:val="16"/>
                <w:color w:val="auto"/>
              </w:rPr>
              <w:t>101.LAB</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6"/>
                <w:szCs w:val="16"/>
                <w:color w:val="auto"/>
              </w:rPr>
              <w:t>101.PRE</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49"/>
        </w:trPr>
        <w:tc>
          <w:tcPr>
            <w:tcW w:w="1080" w:type="dxa"/>
            <w:vAlign w:val="bottom"/>
          </w:tcPr>
          <w:p>
            <w:pPr>
              <w:spacing w:after="0"/>
              <w:rPr>
                <w:sz w:val="20"/>
                <w:szCs w:val="20"/>
                <w:color w:val="auto"/>
              </w:rPr>
            </w:pPr>
            <w:r>
              <w:rPr>
                <w:rFonts w:ascii="Arial" w:cs="Arial" w:eastAsia="Arial" w:hAnsi="Arial"/>
                <w:sz w:val="18"/>
                <w:szCs w:val="18"/>
                <w:color w:val="auto"/>
              </w:rPr>
              <w:t>_________</w:t>
            </w:r>
          </w:p>
        </w:tc>
        <w:tc>
          <w:tcPr>
            <w:tcW w:w="3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-1457325</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Incorporated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37" w:lineRule="exact"/>
        <w:rPr>
          <w:sz w:val="20"/>
          <w:szCs w:val="20"/>
          <w:color w:val="auto"/>
        </w:rPr>
      </w:pPr>
    </w:p>
    <w:p>
      <w:pPr>
        <w:sectPr>
          <w:pgSz w:w="11900" w:h="16838" w:orient="portrait"/>
          <w:cols w:equalWidth="0" w:num="2">
            <w:col w:w="9620" w:space="320"/>
            <w:col w:w="1460"/>
          </w:cols>
          <w:pgMar w:left="240" w:top="341" w:right="259" w:bottom="977" w:gutter="0" w:footer="0" w:header="0"/>
          <w:type w:val="continuous"/>
        </w:sectPr>
      </w:pPr>
    </w:p>
    <w:p>
      <w:pPr>
        <w:ind w:left="840" w:hanging="805"/>
        <w:spacing w:after="0"/>
        <w:tabs>
          <w:tab w:leader="none" w:pos="8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confidential portions have been omitted pursuant to a granted request for confidential treatment, which has been separately filed with the SEC.</w:t>
      </w:r>
    </w:p>
    <w:p>
      <w:pPr>
        <w:spacing w:after="0" w:line="96" w:lineRule="exact"/>
        <w:rPr>
          <w:sz w:val="20"/>
          <w:szCs w:val="20"/>
          <w:color w:val="auto"/>
        </w:rPr>
      </w:pPr>
    </w:p>
    <w:p>
      <w:pPr>
        <w:ind w:left="840" w:hanging="805"/>
        <w:spacing w:after="0"/>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15(b) of this Report.</w:t>
      </w:r>
    </w:p>
    <w:p>
      <w:pPr>
        <w:spacing w:after="0" w:line="275" w:lineRule="exact"/>
        <w:rPr>
          <w:sz w:val="20"/>
          <w:szCs w:val="20"/>
          <w:color w:val="auto"/>
        </w:rPr>
      </w:pPr>
    </w:p>
    <w:p>
      <w:pPr>
        <w:ind w:left="840" w:hanging="805"/>
        <w:spacing w:after="0"/>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agrees to furnish supplementally a copy of any omitted exhibit or schedule to the SEC upon request.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41" w:right="259" w:bottom="977" w:gutter="0" w:footer="0" w:header="0"/>
          <w:type w:val="continuous"/>
        </w:sectPr>
      </w:pPr>
    </w:p>
    <w:bookmarkStart w:id="98" w:name="page99"/>
    <w:bookmarkEnd w:id="9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GENERAL MOTORS COMPANY (Registrant)</w:t>
      </w:r>
    </w:p>
    <w:p>
      <w:pPr>
        <w:spacing w:after="0" w:line="27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341" w:right="259" w:bottom="1440" w:gutter="0" w:footer="0" w:header="0"/>
        </w:sectPr>
      </w:pPr>
    </w:p>
    <w:bookmarkStart w:id="99" w:name="page100"/>
    <w:bookmarkEnd w:id="9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6th day of February 2018 by the following persons on behalf of the registrant and in the capacities indicated, including a majority of the directors.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200"/>
              <w:spacing w:after="0"/>
              <w:rPr>
                <w:sz w:val="20"/>
                <w:szCs w:val="20"/>
                <w:color w:val="auto"/>
              </w:rPr>
            </w:pPr>
            <w:r>
              <w:rPr>
                <w:rFonts w:ascii="Arial" w:cs="Arial" w:eastAsia="Arial" w:hAnsi="Arial"/>
                <w:sz w:val="18"/>
                <w:szCs w:val="18"/>
                <w:b w:val="1"/>
                <w:bCs w:val="1"/>
                <w:color w:val="auto"/>
              </w:rPr>
              <w:t>Signature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2"/>
          </w:tcPr>
          <w:p>
            <w:pPr>
              <w:ind w:left="2680"/>
              <w:spacing w:after="0"/>
              <w:rPr>
                <w:sz w:val="20"/>
                <w:szCs w:val="20"/>
                <w:color w:val="auto"/>
              </w:rPr>
            </w:pPr>
            <w:r>
              <w:rPr>
                <w:rFonts w:ascii="Arial" w:cs="Arial" w:eastAsia="Arial" w:hAnsi="Arial"/>
                <w:sz w:val="18"/>
                <w:szCs w:val="18"/>
                <w:b w:val="1"/>
                <w:bCs w:val="1"/>
                <w:color w:val="auto"/>
              </w:rPr>
              <w:t>Title</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34"/>
        </w:trPr>
        <w:tc>
          <w:tcPr>
            <w:tcW w:w="516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CHARLES K. STEVENS III</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Charles K. Stevens III</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THOMAS S. TIMKO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9"/>
              </w:rPr>
              <w:t>Vice President, Global Business Solutions and Chief Accounting Officer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Thomas S. Timko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THEODORE M. SOLSO*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Theodore M. Solso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LINDA R. GOODEN*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Linda R. Gooden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JOSEPH JIMENEZ*</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Joseph Jimenez</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JANE L. MENDILLO*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Jane L. Mendillo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ADMIRAL MICHAEL G. MULLEN, USN (ret.)*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Admiral Michael G. Mullen, USN (ret.)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JAMES J. MULVA*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James J. Mulva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PATRICIA F. RUSSO*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Patricia F. Russo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THOMAS M. SCHOEWE*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Thomas M. Schoewe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CAROL M. STEPHENSON*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Carol M. Stephenson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37"/>
        </w:trPr>
        <w:tc>
          <w:tcPr>
            <w:tcW w:w="5160" w:type="dxa"/>
            <w:vAlign w:val="bottom"/>
          </w:tcPr>
          <w:p>
            <w:pPr>
              <w:spacing w:after="0"/>
              <w:rPr>
                <w:sz w:val="24"/>
                <w:szCs w:val="24"/>
                <w:color w:val="auto"/>
              </w:rPr>
            </w:pPr>
          </w:p>
        </w:tc>
        <w:tc>
          <w:tcPr>
            <w:tcW w:w="6260" w:type="dxa"/>
            <w:vAlign w:val="bottom"/>
            <w:gridSpan w:val="4"/>
          </w:tcPr>
          <w:p>
            <w:pPr>
              <w:ind w:left="80"/>
              <w:spacing w:after="0"/>
              <w:rPr>
                <w:sz w:val="20"/>
                <w:szCs w:val="20"/>
                <w:color w:val="auto"/>
              </w:rPr>
            </w:pPr>
            <w:r>
              <w:rPr>
                <w:rFonts w:ascii="Arial" w:cs="Arial" w:eastAsia="Arial" w:hAnsi="Arial"/>
                <w:sz w:val="18"/>
                <w:szCs w:val="18"/>
                <w:color w:val="auto"/>
              </w:rPr>
              <w:t>*By: /s/ RICK HANSEN</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3"/>
          </w:tcPr>
          <w:p>
            <w:pPr>
              <w:ind w:left="40"/>
              <w:spacing w:after="0"/>
              <w:rPr>
                <w:sz w:val="20"/>
                <w:szCs w:val="20"/>
                <w:color w:val="auto"/>
              </w:rPr>
            </w:pPr>
            <w:r>
              <w:rPr>
                <w:rFonts w:ascii="Arial" w:cs="Arial" w:eastAsia="Arial" w:hAnsi="Arial"/>
                <w:sz w:val="18"/>
                <w:szCs w:val="18"/>
                <w:color w:val="auto"/>
              </w:rPr>
              <w:t>Rick Hansen</w:t>
            </w:r>
          </w:p>
        </w:tc>
      </w:tr>
      <w:tr>
        <w:trPr>
          <w:trHeight w:val="270"/>
        </w:trPr>
        <w:tc>
          <w:tcPr>
            <w:tcW w:w="5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0" w:type="dxa"/>
            <w:vAlign w:val="bottom"/>
            <w:gridSpan w:val="3"/>
          </w:tcPr>
          <w:p>
            <w:pPr>
              <w:ind w:left="40"/>
              <w:spacing w:after="0"/>
              <w:rPr>
                <w:sz w:val="20"/>
                <w:szCs w:val="20"/>
                <w:color w:val="auto"/>
              </w:rPr>
            </w:pPr>
            <w:r>
              <w:rPr>
                <w:rFonts w:ascii="Arial" w:cs="Arial" w:eastAsia="Arial" w:hAnsi="Arial"/>
                <w:sz w:val="18"/>
                <w:szCs w:val="18"/>
                <w:i w:val="1"/>
                <w:iCs w:val="1"/>
                <w:color w:val="auto"/>
              </w:rPr>
              <w:t>Attorney-in-Fact</w:t>
            </w:r>
          </w:p>
        </w:tc>
      </w:tr>
      <w:tr>
        <w:trPr>
          <w:trHeight w:val="918"/>
        </w:trPr>
        <w:tc>
          <w:tcPr>
            <w:tcW w:w="5160" w:type="dxa"/>
            <w:vAlign w:val="bottom"/>
          </w:tcPr>
          <w:p>
            <w:pPr>
              <w:spacing w:after="0"/>
              <w:rPr>
                <w:sz w:val="24"/>
                <w:szCs w:val="24"/>
                <w:color w:val="auto"/>
              </w:rPr>
            </w:pPr>
          </w:p>
        </w:tc>
        <w:tc>
          <w:tcPr>
            <w:tcW w:w="4920" w:type="dxa"/>
            <w:vAlign w:val="bottom"/>
            <w:gridSpan w:val="3"/>
          </w:tcPr>
          <w:p>
            <w:pPr>
              <w:ind w:left="460"/>
              <w:spacing w:after="0"/>
              <w:rPr>
                <w:sz w:val="20"/>
                <w:szCs w:val="20"/>
                <w:color w:val="auto"/>
              </w:rPr>
            </w:pPr>
            <w:r>
              <w:rPr>
                <w:rFonts w:ascii="Arial" w:cs="Arial" w:eastAsia="Arial" w:hAnsi="Arial"/>
                <w:sz w:val="18"/>
                <w:szCs w:val="18"/>
                <w:color w:val="auto"/>
              </w:rPr>
              <w:t>93</w:t>
            </w: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SHORT-TERM INCENTIVE PLAN</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the General Motors Company 2017 Short-Term Incentive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is to provide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General Motors Company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incentive compensation based upon the achievement of financial, business and other performance goals. This Plan is also intended to permit the payment of bonuses that may qualify as performance-based compensation under Section 162(m) of the Code to officers and other employees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i w:val="1"/>
          <w:iCs w:val="1"/>
          <w:color w:val="auto"/>
        </w:rPr>
        <w:t>Definitions</w:t>
      </w:r>
      <w:r>
        <w:rPr>
          <w:rFonts w:ascii="Arial" w:cs="Arial" w:eastAsia="Arial" w:hAnsi="Arial"/>
          <w:sz w:val="16"/>
          <w:szCs w:val="16"/>
          <w:color w:val="auto"/>
        </w:rPr>
        <w:t>.  As used in the Plan, the following terms shall have the meanings set forth below:</w:t>
      </w:r>
    </w:p>
    <w:p>
      <w:pPr>
        <w:spacing w:after="0" w:line="221"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w:t>
      </w:r>
      <w:r>
        <w:rPr>
          <w:rFonts w:ascii="Arial" w:cs="Arial" w:eastAsia="Arial" w:hAnsi="Arial"/>
          <w:sz w:val="15"/>
          <w:szCs w:val="15"/>
          <w:color w:val="auto"/>
        </w:rPr>
        <w:t>” means a cash incentive award opportunity granted to a Participant under the Plan with respect to a Performance Period in accordance with Section 5.</w:t>
      </w:r>
    </w:p>
    <w:p>
      <w:pPr>
        <w:spacing w:after="0" w:line="232" w:lineRule="exact"/>
        <w:rPr>
          <w:rFonts w:ascii="Arial" w:cs="Arial" w:eastAsia="Arial" w:hAnsi="Arial"/>
          <w:sz w:val="15"/>
          <w:szCs w:val="15"/>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a person designated by a Participant to receive payments that are available under the Plan in the event of the Participant’s death.</w:t>
      </w: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one or more of the following events:</w:t>
      </w:r>
    </w:p>
    <w:p>
      <w:pPr>
        <w:spacing w:after="0" w:line="225" w:lineRule="exact"/>
        <w:rPr>
          <w:rFonts w:ascii="Arial" w:cs="Arial" w:eastAsia="Arial" w:hAnsi="Arial"/>
          <w:sz w:val="16"/>
          <w:szCs w:val="16"/>
          <w:color w:val="auto"/>
        </w:rPr>
      </w:pPr>
    </w:p>
    <w:p>
      <w:pPr>
        <w:jc w:val="both"/>
        <w:ind w:left="1260" w:hanging="9"/>
        <w:spacing w:after="0" w:line="250" w:lineRule="auto"/>
        <w:tabs>
          <w:tab w:leader="none" w:pos="145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195" w:lineRule="exact"/>
        <w:rPr>
          <w:rFonts w:ascii="Arial" w:cs="Arial" w:eastAsia="Arial" w:hAnsi="Arial"/>
          <w:sz w:val="16"/>
          <w:szCs w:val="16"/>
          <w:color w:val="auto"/>
        </w:rPr>
      </w:pPr>
    </w:p>
    <w:p>
      <w:pPr>
        <w:jc w:val="both"/>
        <w:ind w:left="1260" w:hanging="9"/>
        <w:spacing w:after="0" w:line="256" w:lineRule="auto"/>
        <w:tabs>
          <w:tab w:leader="none" w:pos="1499" w:val="left"/>
        </w:tabs>
        <w:numPr>
          <w:ilvl w:val="1"/>
          <w:numId w:val="34"/>
        </w:numPr>
        <w:rPr>
          <w:rFonts w:ascii="Arial" w:cs="Arial" w:eastAsia="Arial" w:hAnsi="Arial"/>
          <w:sz w:val="16"/>
          <w:szCs w:val="16"/>
          <w:color w:val="auto"/>
        </w:rPr>
      </w:pPr>
      <w:r>
        <w:rPr>
          <w:rFonts w:ascii="Arial" w:cs="Arial" w:eastAsia="Arial" w:hAnsi="Arial"/>
          <w:sz w:val="16"/>
          <w:szCs w:val="16"/>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“Incumbent Board”), cease for any reason to constitute a majority of members of the Board;</w:t>
      </w:r>
    </w:p>
    <w:p>
      <w:pPr>
        <w:spacing w:after="0" w:line="187" w:lineRule="exact"/>
        <w:rPr>
          <w:rFonts w:ascii="Arial" w:cs="Arial" w:eastAsia="Arial" w:hAnsi="Arial"/>
          <w:sz w:val="16"/>
          <w:szCs w:val="16"/>
          <w:color w:val="auto"/>
        </w:rPr>
      </w:pPr>
    </w:p>
    <w:p>
      <w:pPr>
        <w:jc w:val="both"/>
        <w:ind w:left="1260" w:hanging="9"/>
        <w:spacing w:after="0" w:line="272" w:lineRule="auto"/>
        <w:tabs>
          <w:tab w:leader="none" w:pos="1551"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177" w:lineRule="exact"/>
        <w:rPr>
          <w:rFonts w:ascii="Arial" w:cs="Arial" w:eastAsia="Arial" w:hAnsi="Arial"/>
          <w:sz w:val="15"/>
          <w:szCs w:val="15"/>
          <w:color w:val="auto"/>
        </w:rPr>
      </w:pPr>
    </w:p>
    <w:p>
      <w:pPr>
        <w:jc w:val="both"/>
        <w:ind w:left="1260" w:hanging="9"/>
        <w:spacing w:after="0" w:line="286" w:lineRule="auto"/>
        <w:tabs>
          <w:tab w:leader="none" w:pos="1549"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56" w:lineRule="exact"/>
        <w:rPr>
          <w:sz w:val="20"/>
          <w:szCs w:val="20"/>
          <w:color w:val="auto"/>
        </w:rPr>
      </w:pPr>
    </w:p>
    <w:p>
      <w:pPr>
        <w:ind w:firstLine="8"/>
        <w:spacing w:after="0" w:line="281"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 and the rules, regulations and guidance thereunder. Any reference to a provision in the Code shall include any successor provision thereto.</w:t>
      </w:r>
    </w:p>
    <w:p>
      <w:pPr>
        <w:spacing w:after="0" w:line="163" w:lineRule="exact"/>
        <w:rPr>
          <w:rFonts w:ascii="Arial" w:cs="Arial" w:eastAsia="Arial" w:hAnsi="Arial"/>
          <w:sz w:val="16"/>
          <w:szCs w:val="16"/>
          <w:color w:val="auto"/>
        </w:rPr>
      </w:pPr>
    </w:p>
    <w:p>
      <w:pPr>
        <w:ind w:right="20" w:firstLine="8"/>
        <w:spacing w:after="0" w:line="281" w:lineRule="auto"/>
        <w:tabs>
          <w:tab w:leader="none" w:pos="2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Executive Compensation Committee of the Board or such other independent committee as may be designated by the Board to perform the functions of the Executive Compensation Committee with respect to this Plan.</w:t>
      </w:r>
    </w:p>
    <w:p>
      <w:pPr>
        <w:sectPr>
          <w:pgSz w:w="11900" w:h="16838" w:orient="portrait"/>
          <w:cols w:equalWidth="0" w:num="1">
            <w:col w:w="11420"/>
          </w:cols>
          <w:pgMar w:left="240" w:top="580" w:right="239" w:bottom="1440" w:gutter="0" w:footer="0" w:header="0"/>
        </w:sectPr>
      </w:pPr>
    </w:p>
    <w:bookmarkStart w:id="101" w:name="page102"/>
    <w:bookmarkEnd w:id="101"/>
    <w:p>
      <w:pPr>
        <w:ind w:left="-8" w:firstLine="8"/>
        <w:spacing w:after="0" w:line="315" w:lineRule="auto"/>
        <w:tabs>
          <w:tab w:leader="none" w:pos="222" w:val="left"/>
        </w:tabs>
        <w:numPr>
          <w:ilvl w:val="0"/>
          <w:numId w:val="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Covered Employee</w:t>
      </w:r>
      <w:r>
        <w:rPr>
          <w:rFonts w:ascii="Arial" w:cs="Arial" w:eastAsia="Arial" w:hAnsi="Arial"/>
          <w:sz w:val="15"/>
          <w:szCs w:val="15"/>
          <w:color w:val="auto"/>
        </w:rPr>
        <w:t>” means an individual who is a “covered employee” or expected by the Committee to be a “covered employee,” in each case within the meaning of Section 162(m) of the Code, for whom the Committee intends an Award to be “qualified performance-based compensation” under Section 162(m) of the Code.</w:t>
      </w:r>
    </w:p>
    <w:p>
      <w:pPr>
        <w:spacing w:after="0" w:line="141" w:lineRule="exact"/>
        <w:rPr>
          <w:rFonts w:ascii="Arial" w:cs="Arial" w:eastAsia="Arial" w:hAnsi="Arial"/>
          <w:sz w:val="15"/>
          <w:szCs w:val="15"/>
          <w:color w:val="auto"/>
        </w:rPr>
      </w:pPr>
    </w:p>
    <w:p>
      <w:pPr>
        <w:ind w:left="-8" w:firstLine="8"/>
        <w:spacing w:after="0" w:line="315" w:lineRule="auto"/>
        <w:tabs>
          <w:tab w:leader="none" w:pos="222" w:val="left"/>
        </w:tabs>
        <w:numPr>
          <w:ilvl w:val="0"/>
          <w:numId w:val="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Disability</w:t>
      </w:r>
      <w:r>
        <w:rPr>
          <w:rFonts w:ascii="Arial" w:cs="Arial" w:eastAsia="Arial" w:hAnsi="Arial"/>
          <w:sz w:val="15"/>
          <w:szCs w:val="15"/>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41" w:lineRule="exact"/>
        <w:rPr>
          <w:rFonts w:ascii="Arial" w:cs="Arial" w:eastAsia="Arial" w:hAnsi="Arial"/>
          <w:sz w:val="15"/>
          <w:szCs w:val="15"/>
          <w:color w:val="auto"/>
        </w:rPr>
      </w:pPr>
    </w:p>
    <w:p>
      <w:pPr>
        <w:ind w:left="192" w:hanging="192"/>
        <w:spacing w:after="0"/>
        <w:tabs>
          <w:tab w:leader="none" w:pos="1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June 7, 2017.</w:t>
      </w:r>
    </w:p>
    <w:p>
      <w:pPr>
        <w:spacing w:after="0" w:line="221" w:lineRule="exact"/>
        <w:rPr>
          <w:rFonts w:ascii="Arial" w:cs="Arial" w:eastAsia="Arial" w:hAnsi="Arial"/>
          <w:sz w:val="16"/>
          <w:szCs w:val="16"/>
          <w:color w:val="auto"/>
        </w:rPr>
      </w:pPr>
    </w:p>
    <w:p>
      <w:pPr>
        <w:jc w:val="both"/>
        <w:ind w:left="-8" w:firstLine="8"/>
        <w:spacing w:after="0" w:line="263" w:lineRule="auto"/>
        <w:tabs>
          <w:tab w:leader="none" w:pos="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Person</w:t>
      </w:r>
      <w:r>
        <w:rPr>
          <w:rFonts w:ascii="Arial" w:cs="Arial" w:eastAsia="Arial" w:hAnsi="Arial"/>
          <w:sz w:val="16"/>
          <w:szCs w:val="16"/>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78" w:lineRule="exact"/>
        <w:rPr>
          <w:rFonts w:ascii="Arial" w:cs="Arial" w:eastAsia="Arial" w:hAnsi="Arial"/>
          <w:sz w:val="16"/>
          <w:szCs w:val="16"/>
          <w:color w:val="auto"/>
        </w:rPr>
      </w:pPr>
    </w:p>
    <w:p>
      <w:pPr>
        <w:ind w:left="-8" w:right="20" w:firstLine="8"/>
        <w:spacing w:after="0" w:line="281" w:lineRule="auto"/>
        <w:tabs>
          <w:tab w:leader="none" w:pos="2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Award</w:t>
      </w:r>
      <w:r>
        <w:rPr>
          <w:rFonts w:ascii="Arial" w:cs="Arial" w:eastAsia="Arial" w:hAnsi="Arial"/>
          <w:sz w:val="16"/>
          <w:szCs w:val="16"/>
          <w:color w:val="auto"/>
        </w:rPr>
        <w:t>” means, with respect to a Performance Period, the amount of an Award that will become payable to a Participant, subject to any additional terms and conditions applicable to the Award, as determined by the Committee under Section 7.</w:t>
      </w:r>
    </w:p>
    <w:p>
      <w:pPr>
        <w:spacing w:after="0" w:line="163" w:lineRule="exact"/>
        <w:rPr>
          <w:rFonts w:ascii="Arial" w:cs="Arial" w:eastAsia="Arial" w:hAnsi="Arial"/>
          <w:sz w:val="16"/>
          <w:szCs w:val="16"/>
          <w:color w:val="auto"/>
        </w:rPr>
      </w:pPr>
    </w:p>
    <w:p>
      <w:pPr>
        <w:ind w:left="192" w:hanging="192"/>
        <w:spacing w:after="0"/>
        <w:tabs>
          <w:tab w:leader="none" w:pos="192" w:val="left"/>
        </w:tabs>
        <w:numPr>
          <w:ilvl w:val="0"/>
          <w:numId w:val="36"/>
        </w:numPr>
        <w:rPr>
          <w:rFonts w:ascii="Arial" w:cs="Arial" w:eastAsia="Arial" w:hAnsi="Arial"/>
          <w:sz w:val="15"/>
          <w:szCs w:val="15"/>
          <w:color w:val="auto"/>
        </w:rPr>
      </w:pPr>
      <w:r>
        <w:rPr>
          <w:rFonts w:ascii="Arial" w:cs="Arial" w:eastAsia="Arial" w:hAnsi="Arial"/>
          <w:sz w:val="15"/>
          <w:szCs w:val="15"/>
          <w:color w:val="auto"/>
        </w:rPr>
        <w:t>Achievement of “</w:t>
      </w:r>
      <w:r>
        <w:rPr>
          <w:rFonts w:ascii="Arial" w:cs="Arial" w:eastAsia="Arial" w:hAnsi="Arial"/>
          <w:sz w:val="15"/>
          <w:szCs w:val="15"/>
          <w:b w:val="1"/>
          <w:bCs w:val="1"/>
          <w:color w:val="auto"/>
        </w:rPr>
        <w:t>Full Career Status</w:t>
      </w:r>
      <w:r>
        <w:rPr>
          <w:rFonts w:ascii="Arial" w:cs="Arial" w:eastAsia="Arial" w:hAnsi="Arial"/>
          <w:sz w:val="15"/>
          <w:szCs w:val="15"/>
          <w:color w:val="auto"/>
        </w:rPr>
        <w:t>” means a Participant’s voluntary Termination of Service (i) at the age of 55 or older with ten or more years of continuous service or</w:t>
      </w:r>
    </w:p>
    <w:p>
      <w:pPr>
        <w:spacing w:after="0" w:line="34" w:lineRule="exact"/>
        <w:rPr>
          <w:rFonts w:ascii="Arial" w:cs="Arial" w:eastAsia="Arial" w:hAnsi="Arial"/>
          <w:sz w:val="15"/>
          <w:szCs w:val="15"/>
          <w:color w:val="auto"/>
        </w:rPr>
      </w:pPr>
    </w:p>
    <w:p>
      <w:pPr>
        <w:ind w:left="-8" w:right="20" w:firstLine="8"/>
        <w:spacing w:after="0" w:line="257" w:lineRule="auto"/>
        <w:tabs>
          <w:tab w:leader="none" w:pos="2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the age of 62 or older. The chief human resources officer of the Company (or such individual holding comparable roles in the event of a restructuring of positions or re-designation of titles) shall have the binding authority to determine how many years of continuous service a Participant has at any given time.</w:t>
      </w:r>
    </w:p>
    <w:p>
      <w:pPr>
        <w:spacing w:after="0" w:line="182" w:lineRule="exact"/>
        <w:rPr>
          <w:rFonts w:ascii="Arial" w:cs="Arial" w:eastAsia="Arial" w:hAnsi="Arial"/>
          <w:sz w:val="16"/>
          <w:szCs w:val="16"/>
          <w:color w:val="auto"/>
        </w:rPr>
      </w:pPr>
    </w:p>
    <w:p>
      <w:pPr>
        <w:jc w:val="both"/>
        <w:ind w:left="-8" w:firstLine="8"/>
        <w:spacing w:after="0" w:line="253" w:lineRule="auto"/>
        <w:tabs>
          <w:tab w:leader="none" w:pos="26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86" w:lineRule="exact"/>
        <w:rPr>
          <w:rFonts w:ascii="Arial" w:cs="Arial" w:eastAsia="Arial" w:hAnsi="Arial"/>
          <w:sz w:val="16"/>
          <w:szCs w:val="16"/>
          <w:color w:val="auto"/>
        </w:rPr>
      </w:pPr>
    </w:p>
    <w:p>
      <w:pPr>
        <w:ind w:left="232" w:hanging="232"/>
        <w:spacing w:after="0"/>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Board</w:t>
      </w:r>
      <w:r>
        <w:rPr>
          <w:rFonts w:ascii="Arial" w:cs="Arial" w:eastAsia="Arial" w:hAnsi="Arial"/>
          <w:sz w:val="16"/>
          <w:szCs w:val="16"/>
          <w:color w:val="auto"/>
        </w:rPr>
        <w:t>” has the meaning assigned to it in Section 2(d).</w:t>
      </w:r>
    </w:p>
    <w:p>
      <w:pPr>
        <w:spacing w:after="0" w:line="221" w:lineRule="exact"/>
        <w:rPr>
          <w:rFonts w:ascii="Arial" w:cs="Arial" w:eastAsia="Arial" w:hAnsi="Arial"/>
          <w:sz w:val="16"/>
          <w:szCs w:val="16"/>
          <w:color w:val="auto"/>
        </w:rPr>
      </w:pPr>
    </w:p>
    <w:p>
      <w:pPr>
        <w:ind w:left="232" w:hanging="232"/>
        <w:spacing w:after="0"/>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employee selected by the Committee to participate in the Plan for a Performance Period.</w:t>
      </w:r>
    </w:p>
    <w:p>
      <w:pPr>
        <w:spacing w:after="0" w:line="221" w:lineRule="exact"/>
        <w:rPr>
          <w:rFonts w:ascii="Arial" w:cs="Arial" w:eastAsia="Arial" w:hAnsi="Arial"/>
          <w:sz w:val="16"/>
          <w:szCs w:val="16"/>
          <w:color w:val="auto"/>
        </w:rPr>
      </w:pPr>
    </w:p>
    <w:p>
      <w:pPr>
        <w:jc w:val="both"/>
        <w:ind w:left="-8" w:firstLine="8"/>
        <w:spacing w:after="0" w:line="270" w:lineRule="auto"/>
        <w:tabs>
          <w:tab w:leader="none" w:pos="222" w:val="left"/>
        </w:tabs>
        <w:numPr>
          <w:ilvl w:val="0"/>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Performance Measures</w:t>
      </w:r>
      <w:r>
        <w:rPr>
          <w:rFonts w:ascii="Arial" w:cs="Arial" w:eastAsia="Arial" w:hAnsi="Arial"/>
          <w:sz w:val="15"/>
          <w:szCs w:val="15"/>
          <w:color w:val="auto"/>
        </w:rPr>
        <w:t>” means any one or more of the following performance measures expressed on an absolute or adjusted basis, applied to either the Company as a whole or to a business unit, Subsidiary or business segment and measured either on an absolute basis or relative to a pre-established target, to a previous period’s results or to a designated comparison group, in each case as specified by the Committee: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 The Committee may grant Awards subject to performance measures that are intended to constitute qualified performance-based compensation under Section 162(m) of the Code.</w:t>
      </w:r>
    </w:p>
    <w:p>
      <w:pPr>
        <w:spacing w:after="0" w:line="176" w:lineRule="exact"/>
        <w:rPr>
          <w:rFonts w:ascii="Arial" w:cs="Arial" w:eastAsia="Arial" w:hAnsi="Arial"/>
          <w:sz w:val="15"/>
          <w:szCs w:val="15"/>
          <w:color w:val="auto"/>
        </w:rPr>
      </w:pPr>
    </w:p>
    <w:p>
      <w:pPr>
        <w:ind w:left="232" w:hanging="232"/>
        <w:spacing w:after="0"/>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the Company’s fiscal year, or any other period as determined by the Committee.</w:t>
      </w:r>
    </w:p>
    <w:p>
      <w:pPr>
        <w:spacing w:after="0" w:line="221" w:lineRule="exact"/>
        <w:rPr>
          <w:rFonts w:ascii="Arial" w:cs="Arial" w:eastAsia="Arial" w:hAnsi="Arial"/>
          <w:sz w:val="16"/>
          <w:szCs w:val="16"/>
          <w:color w:val="auto"/>
        </w:rPr>
      </w:pPr>
    </w:p>
    <w:p>
      <w:pPr>
        <w:ind w:left="212" w:hanging="212"/>
        <w:spacing w:after="0"/>
        <w:tabs>
          <w:tab w:leader="none" w:pos="212" w:val="left"/>
        </w:tabs>
        <w:numPr>
          <w:ilvl w:val="0"/>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any individual or entity, including any two or more Persons deemed to be one “person” as used in Sections 13(d)(3) and 14(d)(2) of the Exchange Act.</w:t>
      </w:r>
    </w:p>
    <w:p>
      <w:pPr>
        <w:spacing w:after="0" w:line="178" w:lineRule="exact"/>
        <w:rPr>
          <w:rFonts w:ascii="Arial" w:cs="Arial" w:eastAsia="Arial" w:hAnsi="Arial"/>
          <w:sz w:val="15"/>
          <w:szCs w:val="15"/>
          <w:color w:val="auto"/>
        </w:rPr>
      </w:pPr>
    </w:p>
    <w:p>
      <w:pPr>
        <w:jc w:val="both"/>
        <w:ind w:left="-8" w:firstLine="8"/>
        <w:spacing w:after="0" w:line="263" w:lineRule="auto"/>
        <w:tabs>
          <w:tab w:leader="none" w:pos="2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78" w:lineRule="exact"/>
        <w:rPr>
          <w:rFonts w:ascii="Arial" w:cs="Arial" w:eastAsia="Arial" w:hAnsi="Arial"/>
          <w:sz w:val="16"/>
          <w:szCs w:val="16"/>
          <w:color w:val="auto"/>
        </w:rPr>
      </w:pPr>
    </w:p>
    <w:p>
      <w:pPr>
        <w:ind w:left="-8" w:firstLine="8"/>
        <w:spacing w:after="0" w:line="281" w:lineRule="auto"/>
        <w:tabs>
          <w:tab w:leader="none" w:pos="213"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Award</w:t>
      </w:r>
      <w:r>
        <w:rPr>
          <w:rFonts w:ascii="Arial" w:cs="Arial" w:eastAsia="Arial" w:hAnsi="Arial"/>
          <w:sz w:val="16"/>
          <w:szCs w:val="16"/>
          <w:color w:val="auto"/>
        </w:rPr>
        <w:t>” means the amount that a Participant may earn under an Award if targeted performance levels are achieved (including corporate and individual performance). Target Awards may be denominated as a percentage of base salary or a dollar amount, or a combination thereof.</w:t>
      </w:r>
    </w:p>
    <w:p>
      <w:pPr>
        <w:spacing w:after="0" w:line="163" w:lineRule="exact"/>
        <w:rPr>
          <w:rFonts w:ascii="Arial" w:cs="Arial" w:eastAsia="Arial" w:hAnsi="Arial"/>
          <w:sz w:val="16"/>
          <w:szCs w:val="16"/>
          <w:color w:val="auto"/>
        </w:rPr>
      </w:pPr>
    </w:p>
    <w:p>
      <w:pPr>
        <w:jc w:val="both"/>
        <w:ind w:left="-8" w:firstLine="8"/>
        <w:spacing w:after="0" w:line="273" w:lineRule="auto"/>
        <w:tabs>
          <w:tab w:leader="none" w:pos="2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Termination of Service</w:t>
      </w:r>
      <w:r>
        <w:rPr>
          <w:rFonts w:ascii="Arial" w:cs="Arial" w:eastAsia="Arial" w:hAnsi="Arial"/>
          <w:sz w:val="15"/>
          <w:szCs w:val="15"/>
          <w:color w:val="auto"/>
        </w:rPr>
        <w:t xml:space="preserve">” means, subject to Section 15, the cessation of a Participant’s employment relationship with the Company or a Subsidiary such that the Participant is determined by the Company to no longer be an employee of the Company or such Subsidiary, as applicable;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unless the Company determines otherwise, such cessation of the Participant’s employment with the Company or a Subsidiary, where the Participant’s employment for the Company continues at another Subsidiary, shall not be deemed a cessation of employment or service that would constitute a Termination of Service; </w:t>
      </w:r>
      <w:r>
        <w:rPr>
          <w:rFonts w:ascii="Arial" w:cs="Arial" w:eastAsia="Arial" w:hAnsi="Arial"/>
          <w:sz w:val="15"/>
          <w:szCs w:val="15"/>
          <w:i w:val="1"/>
          <w:iCs w:val="1"/>
          <w:color w:val="auto"/>
        </w:rPr>
        <w:t>provided, further</w:t>
      </w:r>
      <w:r>
        <w:rPr>
          <w:rFonts w:ascii="Arial" w:cs="Arial" w:eastAsia="Arial" w:hAnsi="Arial"/>
          <w:sz w:val="15"/>
          <w:szCs w:val="15"/>
          <w:color w:val="auto"/>
        </w:rPr>
        <w:t>, that a Termination of Service shall be deemed to occur for a Participant employed by a Subsidiary when the Subsidiary ceases to be a Subsidiary unless such Participant’s employment continues with the Company or another Subsidiary. The chief human resources officer of the Company (or such individual holding comparable roles in the</w:t>
      </w:r>
    </w:p>
    <w:p>
      <w:pPr>
        <w:sectPr>
          <w:pgSz w:w="11900" w:h="16838" w:orient="portrait"/>
          <w:cols w:equalWidth="0" w:num="1">
            <w:col w:w="11412"/>
          </w:cols>
          <w:pgMar w:left="248" w:top="801" w:right="239" w:bottom="1440" w:gutter="0" w:footer="0" w:header="0"/>
        </w:sectPr>
      </w:pPr>
    </w:p>
    <w:bookmarkStart w:id="102" w:name="page103"/>
    <w:bookmarkEnd w:id="102"/>
    <w:p>
      <w:pPr>
        <w:ind w:right="20"/>
        <w:spacing w:after="0" w:line="275" w:lineRule="auto"/>
        <w:rPr>
          <w:sz w:val="20"/>
          <w:szCs w:val="20"/>
          <w:color w:val="auto"/>
        </w:rPr>
      </w:pPr>
      <w:r>
        <w:rPr>
          <w:rFonts w:ascii="Arial" w:cs="Arial" w:eastAsia="Arial" w:hAnsi="Arial"/>
          <w:sz w:val="16"/>
          <w:szCs w:val="16"/>
          <w:color w:val="auto"/>
        </w:rPr>
        <w:t>event of a restructuring of positions or re-designation of titles) shall have the binding authority to determine whether a Participant has had a cessation of his or her employment with the Company or a Subsidiary.</w:t>
      </w:r>
    </w:p>
    <w:p>
      <w:pPr>
        <w:spacing w:after="0" w:line="169" w:lineRule="exact"/>
        <w:rPr>
          <w:sz w:val="20"/>
          <w:szCs w:val="20"/>
          <w:color w:val="auto"/>
        </w:rPr>
      </w:pPr>
    </w:p>
    <w:p>
      <w:pPr>
        <w:ind w:firstLine="8"/>
        <w:spacing w:after="0" w:line="281" w:lineRule="auto"/>
        <w:tabs>
          <w:tab w:leader="none" w:pos="2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i w:val="1"/>
          <w:iCs w:val="1"/>
          <w:color w:val="auto"/>
        </w:rPr>
        <w:t>Eligibility</w:t>
      </w:r>
      <w:r>
        <w:rPr>
          <w:rFonts w:ascii="Arial" w:cs="Arial" w:eastAsia="Arial" w:hAnsi="Arial"/>
          <w:sz w:val="16"/>
          <w:szCs w:val="16"/>
          <w:color w:val="auto"/>
        </w:rPr>
        <w:t>.  Any person who is employed by the Company or any Subsidiary may be designated by the Committee as a Participant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52" w:lineRule="auto"/>
        <w:tabs>
          <w:tab w:leader="none" w:pos="2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the authority to administer the Plan, such as authority to establish the terms of Awards, determine Final Awards or take any other actions permitted under the Plan, within any limits established by the Committee, except that such delegation to an officer of the Company shall not be applicable with respect to any Award for any Participant who is a Covered Employee. Subject to the immediately preceding sentence, the Committee may directly or through its delegate issue rules and regulations for administration of the Plan.</w:t>
      </w:r>
    </w:p>
    <w:p>
      <w:pPr>
        <w:spacing w:after="0" w:line="191" w:lineRule="exact"/>
        <w:rPr>
          <w:rFonts w:ascii="Arial" w:cs="Arial" w:eastAsia="Arial" w:hAnsi="Arial"/>
          <w:sz w:val="16"/>
          <w:szCs w:val="16"/>
          <w:color w:val="auto"/>
        </w:rPr>
      </w:pPr>
    </w:p>
    <w:p>
      <w:pPr>
        <w:ind w:left="240" w:hanging="232"/>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the extent necessary or desirable to comply with applicable regulatory regimes, any action by the Committee shall require the approval of Committee members who are</w:t>
      </w:r>
    </w:p>
    <w:p>
      <w:pPr>
        <w:spacing w:after="0" w:line="42" w:lineRule="exact"/>
        <w:rPr>
          <w:rFonts w:ascii="Arial" w:cs="Arial" w:eastAsia="Arial" w:hAnsi="Arial"/>
          <w:sz w:val="14"/>
          <w:szCs w:val="14"/>
          <w:color w:val="auto"/>
        </w:rPr>
      </w:pPr>
    </w:p>
    <w:p>
      <w:pPr>
        <w:ind w:right="20" w:firstLine="8"/>
        <w:spacing w:after="0" w:line="257" w:lineRule="auto"/>
        <w:tabs>
          <w:tab w:leader="none" w:pos="20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independent, within the meaning of and to the extent required by applicable rulings and interpretations of the applicable stock market or exchange on which any equity securities issued by the Company are quoted or traded and (ii) independent outside directors pursuant to Section 162(m) of the Code.</w:t>
      </w:r>
    </w:p>
    <w:p>
      <w:pPr>
        <w:spacing w:after="0" w:line="186" w:lineRule="exact"/>
        <w:rPr>
          <w:rFonts w:ascii="Arial" w:cs="Arial" w:eastAsia="Arial" w:hAnsi="Arial"/>
          <w:sz w:val="16"/>
          <w:szCs w:val="16"/>
          <w:color w:val="auto"/>
        </w:rPr>
      </w:pPr>
    </w:p>
    <w:p>
      <w:pPr>
        <w:jc w:val="both"/>
        <w:ind w:firstLine="8"/>
        <w:spacing w:after="0" w:line="269" w:lineRule="auto"/>
        <w:tabs>
          <w:tab w:leader="none" w:pos="2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 (ii) determine the terms and conditions of any Award; (iii) determine whether, to what extent and under what circumstances amounts payable with respect to an Award under the Plan shall be deferred either automatically or at the election of the Participant or of the Committee; (iv) interpret and administer the Plan and any instrument or agreement relating to, or Award made under, the Plan; (v) establish, amend, suspend or waive such rules and regulations as it shall deem appropriate for the proper administration of the Plan and due compliance with applicable law or accounting or tax rules and regulations; (vi) make any other determination and take any other action that the Committee in its sole discretion deems necessary or desirable for the administration of the Plan and due compliance with applicable law or accounting or tax rules and regulations and (vii) to construe, interpret and apply the provisions of this Plan.</w:t>
      </w:r>
    </w:p>
    <w:p>
      <w:pPr>
        <w:spacing w:after="0" w:line="182" w:lineRule="exact"/>
        <w:rPr>
          <w:rFonts w:ascii="Arial" w:cs="Arial" w:eastAsia="Arial" w:hAnsi="Arial"/>
          <w:sz w:val="15"/>
          <w:szCs w:val="15"/>
          <w:color w:val="auto"/>
        </w:rPr>
      </w:pPr>
    </w:p>
    <w:p>
      <w:pPr>
        <w:jc w:val="both"/>
        <w:ind w:firstLine="8"/>
        <w:spacing w:after="0" w:line="253" w:lineRule="auto"/>
        <w:tabs>
          <w:tab w:leader="none" w:pos="23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i w:val="1"/>
          <w:iCs w:val="1"/>
          <w:color w:val="auto"/>
        </w:rPr>
        <w:t>Establishment of Award Terms</w:t>
      </w:r>
      <w:r>
        <w:rPr>
          <w:rFonts w:ascii="Arial" w:cs="Arial" w:eastAsia="Arial" w:hAnsi="Arial"/>
          <w:sz w:val="16"/>
          <w:szCs w:val="16"/>
          <w:color w:val="auto"/>
        </w:rPr>
        <w:t>. Subject to the limitations described in Section 4 and Section 8, the Committee shall establish the terms of each Award,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the positions or names of the employees who will be Participants for the Performance Period; the Target Award for each Participant or group of Participants (including any minimum or maximum amount); the applicable Performance Measures and any other additional goals, formulas or performance-based measures relating to the Company, any business unit, Subsidiary or business segment of the Company, or to an individual Participant; targeted achievement levels (including any minimum or maximum achievement levels) relating to such Performance Measures or other goals; the formula or methodology that will be applied to determine the extent to which Awards have been earned and any other terms that will be applicable to the Awards, including the payment date, payment conditions and any vesting schedule applicable to any Final Award.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Section 6</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Adjustments to Performance Measures, Goals and Formulas.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adjust, in whole or in part, any Performance Measures or any other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goals, formulas or performance-based measures, the targeted achievement levels (including any minimum or maximum achievement levels) relating to such Performance Measures, goals, formulas or performance-based measures, and the formula or methodology to be applied against the Performance Measures goals, formulas or performance-based measures, as the Committee may deem appropriate and equitable during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in part;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case of an Award intended to qualify under Section 162(m) of the Code, such modifications shall be made only to the extent that they would not disqualify such Award under Section 162(m) of the Code.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Determination of Final Awards.</w:t>
      </w:r>
    </w:p>
    <w:p>
      <w:pPr>
        <w:sectPr>
          <w:pgSz w:w="11900" w:h="16838" w:orient="portrait"/>
          <w:cols w:equalWidth="0" w:num="1">
            <w:col w:w="11420"/>
          </w:cols>
          <w:pgMar w:left="240" w:top="805" w:right="239" w:bottom="1440" w:gutter="0" w:footer="0" w:header="0"/>
        </w:sectPr>
      </w:pPr>
    </w:p>
    <w:bookmarkStart w:id="103" w:name="page104"/>
    <w:bookmarkEnd w:id="103"/>
    <w:p>
      <w:pPr>
        <w:ind w:firstLine="8"/>
        <w:spacing w:after="0" w:line="275"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soon as practicable after the end of each Performance Period, the Committee shall determine the extent to which the targeted achievement levels of the applicable Performance Measures and any other goals, formulas or performance-based measures applicable to each Award have been satisfied.</w:t>
      </w:r>
    </w:p>
    <w:p>
      <w:pPr>
        <w:spacing w:after="0" w:line="172" w:lineRule="exact"/>
        <w:rPr>
          <w:rFonts w:ascii="Arial" w:cs="Arial" w:eastAsia="Arial" w:hAnsi="Arial"/>
          <w:sz w:val="16"/>
          <w:szCs w:val="16"/>
          <w:color w:val="auto"/>
        </w:rPr>
      </w:pPr>
    </w:p>
    <w:p>
      <w:pPr>
        <w:ind w:firstLine="8"/>
        <w:spacing w:after="0" w:line="275" w:lineRule="auto"/>
        <w:tabs>
          <w:tab w:leader="none" w:pos="2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Committee may, in its sole discretion, adjust (upward or downward) the Award of any Participant or group of Participants;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Committee shall not adjust the Award of any Covered Employee above the maximum payout determined in accordance with Section 8(b).</w:t>
      </w:r>
    </w:p>
    <w:p>
      <w:pPr>
        <w:spacing w:after="0" w:line="172" w:lineRule="exact"/>
        <w:rPr>
          <w:rFonts w:ascii="Arial" w:cs="Arial" w:eastAsia="Arial" w:hAnsi="Arial"/>
          <w:sz w:val="16"/>
          <w:szCs w:val="16"/>
          <w:color w:val="auto"/>
        </w:rPr>
      </w:pPr>
    </w:p>
    <w:p>
      <w:pPr>
        <w:ind w:firstLine="8"/>
        <w:spacing w:after="0" w:line="275" w:lineRule="auto"/>
        <w:tabs>
          <w:tab w:leader="none" w:pos="2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Committee shall determine the Final Award for each Participant or group of Participants after applying any adjustments described in Section 7(b) and subject to the limitations described in Section 8.</w:t>
      </w:r>
    </w:p>
    <w:p>
      <w:pPr>
        <w:spacing w:after="0" w:line="172" w:lineRule="exact"/>
        <w:rPr>
          <w:rFonts w:ascii="Arial" w:cs="Arial" w:eastAsia="Arial" w:hAnsi="Arial"/>
          <w:sz w:val="16"/>
          <w:szCs w:val="16"/>
          <w:color w:val="auto"/>
        </w:rPr>
      </w:pPr>
    </w:p>
    <w:p>
      <w:pPr>
        <w:ind w:left="240" w:hanging="232"/>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any provisions of the Plan to the contrary, upon the occurrence of a Change in Control of the Company, the following provisions shall apply:</w:t>
      </w:r>
    </w:p>
    <w:p>
      <w:pPr>
        <w:spacing w:after="0" w:line="200" w:lineRule="exact"/>
        <w:rPr>
          <w:sz w:val="20"/>
          <w:szCs w:val="20"/>
          <w:color w:val="auto"/>
        </w:rPr>
      </w:pPr>
    </w:p>
    <w:p>
      <w:pPr>
        <w:spacing w:after="0" w:line="224"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Subject to the terms of the Plan as otherwise in effect, the minimum Award payable to each Participant as determined under this Section 7 of the Plan in</w:t>
      </w:r>
    </w:p>
    <w:p>
      <w:pPr>
        <w:spacing w:after="0" w:line="45" w:lineRule="exact"/>
        <w:rPr>
          <w:sz w:val="20"/>
          <w:szCs w:val="20"/>
          <w:color w:val="auto"/>
        </w:rPr>
      </w:pPr>
    </w:p>
    <w:p>
      <w:pPr>
        <w:ind w:left="1520" w:hanging="445"/>
        <w:spacing w:after="0"/>
        <w:tabs>
          <w:tab w:leader="none" w:pos="1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respect of the fiscal year in which the Change in Control occurs shall be the greatest of:</w:t>
      </w:r>
    </w:p>
    <w:p>
      <w:pPr>
        <w:spacing w:after="0" w:line="204"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The Award or other annual bonus paid or payable to the Participant in respect of the fiscal year prior to the year in which the Change in</w:t>
      </w:r>
    </w:p>
    <w:p>
      <w:pPr>
        <w:spacing w:after="0" w:line="34" w:lineRule="exact"/>
        <w:rPr>
          <w:sz w:val="20"/>
          <w:szCs w:val="20"/>
          <w:color w:val="auto"/>
        </w:rPr>
      </w:pPr>
    </w:p>
    <w:p>
      <w:pPr>
        <w:ind w:left="2440" w:hanging="460"/>
        <w:spacing w:after="0"/>
        <w:tabs>
          <w:tab w:leader="none" w:pos="2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Control occurs;</w:t>
      </w:r>
    </w:p>
    <w:p>
      <w:pPr>
        <w:spacing w:after="0" w:line="203" w:lineRule="exact"/>
        <w:rPr>
          <w:rFonts w:ascii="Arial" w:cs="Arial" w:eastAsia="Arial" w:hAnsi="Arial"/>
          <w:sz w:val="16"/>
          <w:szCs w:val="16"/>
          <w:color w:val="auto"/>
        </w:rPr>
      </w:pPr>
    </w:p>
    <w:p>
      <w:pPr>
        <w:ind w:left="2440" w:hanging="460"/>
        <w:spacing w:after="0"/>
        <w:tabs>
          <w:tab w:leader="none" w:pos="2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that would be payable to the Participant if the Company achieved the Target Award for such fiscal year; or</w:t>
      </w:r>
    </w:p>
    <w:p>
      <w:pPr>
        <w:spacing w:after="0" w:line="207"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4"/>
          <w:szCs w:val="14"/>
          <w:color w:val="auto"/>
        </w:rPr>
        <w:t>The Award amount that would be payable to the Participant based on the Company’s actual performance and achievement of applicable</w:t>
      </w:r>
    </w:p>
    <w:p>
      <w:pPr>
        <w:spacing w:after="0" w:line="45" w:lineRule="exact"/>
        <w:rPr>
          <w:rFonts w:ascii="Arial" w:cs="Arial" w:eastAsia="Arial" w:hAnsi="Arial"/>
          <w:sz w:val="16"/>
          <w:szCs w:val="16"/>
          <w:color w:val="auto"/>
        </w:rPr>
      </w:pPr>
    </w:p>
    <w:p>
      <w:pPr>
        <w:ind w:left="2440" w:hanging="460"/>
        <w:spacing w:after="0"/>
        <w:tabs>
          <w:tab w:leader="none" w:pos="2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Performance Measures for such fiscal year through the date of the Change in Control.</w:t>
      </w:r>
    </w:p>
    <w:p>
      <w:pPr>
        <w:spacing w:after="0" w:line="204" w:lineRule="exact"/>
        <w:rPr>
          <w:sz w:val="20"/>
          <w:szCs w:val="20"/>
          <w:color w:val="auto"/>
        </w:rPr>
      </w:pPr>
    </w:p>
    <w:p>
      <w:pPr>
        <w:ind w:left="1520" w:right="40"/>
        <w:spacing w:after="0" w:line="304" w:lineRule="auto"/>
        <w:rPr>
          <w:sz w:val="20"/>
          <w:szCs w:val="20"/>
          <w:color w:val="auto"/>
        </w:rPr>
      </w:pPr>
      <w:r>
        <w:rPr>
          <w:rFonts w:ascii="Arial" w:cs="Arial" w:eastAsia="Arial" w:hAnsi="Arial"/>
          <w:sz w:val="14"/>
          <w:szCs w:val="14"/>
          <w:color w:val="auto"/>
        </w:rPr>
        <w:t>If a Change in Control occurs following the completion of a fiscal year, but before Awards are paid under the Plan for that fiscal year, the Participant will be eligible to receive the Award for that fiscal year based on actual performance as determined by the Company, subject to the terms of the Plan as</w:t>
      </w:r>
    </w:p>
    <w:p>
      <w:pPr>
        <w:spacing w:after="0" w:line="1" w:lineRule="exact"/>
        <w:rPr>
          <w:sz w:val="20"/>
          <w:szCs w:val="20"/>
          <w:color w:val="auto"/>
        </w:rPr>
      </w:pPr>
    </w:p>
    <w:p>
      <w:pPr>
        <w:ind w:left="1520" w:hanging="445"/>
        <w:spacing w:after="0"/>
        <w:tabs>
          <w:tab w:leader="none" w:pos="1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otherwise in effect.</w:t>
      </w:r>
    </w:p>
    <w:p>
      <w:pPr>
        <w:spacing w:after="0" w:line="25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i w:val="1"/>
          <w:iCs w:val="1"/>
          <w:color w:val="auto"/>
        </w:rPr>
        <w:t>Awards for Covered Employees</w:t>
      </w:r>
      <w:r>
        <w:rPr>
          <w:rFonts w:ascii="Arial" w:cs="Arial" w:eastAsia="Arial" w:hAnsi="Arial"/>
          <w:sz w:val="16"/>
          <w:szCs w:val="16"/>
          <w:color w:val="auto"/>
        </w:rPr>
        <w:t>. Notwithstanding any other provision of the Plan, the following procedures and limitations shall apply with respect to any Award to</w:t>
      </w:r>
      <w:r>
        <w:rPr>
          <w:rFonts w:ascii="Arial" w:cs="Arial" w:eastAsia="Arial" w:hAnsi="Arial"/>
          <w:sz w:val="16"/>
          <w:szCs w:val="16"/>
          <w:b w:val="1"/>
          <w:bCs w:val="1"/>
          <w:color w:val="auto"/>
        </w:rPr>
        <w:t xml:space="preserve"> </w:t>
      </w:r>
      <w:r>
        <w:rPr>
          <w:rFonts w:ascii="Arial" w:cs="Arial" w:eastAsia="Arial" w:hAnsi="Arial"/>
          <w:sz w:val="16"/>
          <w:szCs w:val="16"/>
          <w:color w:val="auto"/>
        </w:rPr>
        <w:t>a Covered Employee.</w:t>
      </w:r>
    </w:p>
    <w:p>
      <w:pPr>
        <w:spacing w:after="0" w:line="167" w:lineRule="exact"/>
        <w:rPr>
          <w:sz w:val="20"/>
          <w:szCs w:val="20"/>
          <w:color w:val="auto"/>
        </w:rPr>
      </w:pPr>
    </w:p>
    <w:p>
      <w:pPr>
        <w:jc w:val="both"/>
        <w:ind w:firstLine="8"/>
        <w:spacing w:after="0" w:line="256" w:lineRule="auto"/>
        <w:tabs>
          <w:tab w:leader="none" w:pos="2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or before the earlier of (i) the date that is 90 days after commencement of the Performance Period or (ii) the expiration of 25 percent of the Performance Period, the Committee shall establish and approve in writing one or more Performance Measures applicable to the Covered Employee’s Award, the targeted achievement levels (including any minimum or maximum achievement levels) relating to such Performance Measures, and an objective formula or methodology that will be applied against the Performance Measures to determine the maximum amount payable under the Award.</w:t>
      </w:r>
    </w:p>
    <w:p>
      <w:pPr>
        <w:spacing w:after="0" w:line="187" w:lineRule="exact"/>
        <w:rPr>
          <w:rFonts w:ascii="Arial" w:cs="Arial" w:eastAsia="Arial" w:hAnsi="Arial"/>
          <w:sz w:val="16"/>
          <w:szCs w:val="16"/>
          <w:color w:val="auto"/>
        </w:rPr>
      </w:pPr>
    </w:p>
    <w:p>
      <w:pPr>
        <w:jc w:val="both"/>
        <w:ind w:firstLine="8"/>
        <w:spacing w:after="0" w:line="261" w:lineRule="auto"/>
        <w:tabs>
          <w:tab w:leader="none" w:pos="23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After the end of each Performance Period, the Committee shall determine and shall certify in writing the extent to which the targeted achievement levels with respect to the applicable Performance Measures have been satisfied and shall apply the pre-established objective formula or methodology to determine the maximum amount payable under the Covered Employee’s Award.</w:t>
      </w:r>
    </w:p>
    <w:p>
      <w:pPr>
        <w:spacing w:after="0" w:line="183" w:lineRule="exact"/>
        <w:rPr>
          <w:rFonts w:ascii="Arial" w:cs="Arial" w:eastAsia="Arial" w:hAnsi="Arial"/>
          <w:sz w:val="16"/>
          <w:szCs w:val="16"/>
          <w:color w:val="auto"/>
        </w:rPr>
      </w:pPr>
    </w:p>
    <w:p>
      <w:pPr>
        <w:jc w:val="both"/>
        <w:ind w:firstLine="8"/>
        <w:spacing w:after="0" w:line="261" w:lineRule="auto"/>
        <w:tabs>
          <w:tab w:leader="none" w:pos="233"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the avoidance of doubt, subject to the limitations set forth in this Section 8, the Committee may adjust the maximum payout level downward by applying any other applicable Performance Measures or other goals, formulas or performance-based measures pursuant to Section 7(a) and by making any other adjustments pursuant to Section 7(c).</w:t>
      </w:r>
    </w:p>
    <w:p>
      <w:pPr>
        <w:spacing w:after="0" w:line="183" w:lineRule="exact"/>
        <w:rPr>
          <w:rFonts w:ascii="Arial" w:cs="Arial" w:eastAsia="Arial" w:hAnsi="Arial"/>
          <w:sz w:val="16"/>
          <w:szCs w:val="16"/>
          <w:color w:val="auto"/>
        </w:rPr>
      </w:pPr>
    </w:p>
    <w:p>
      <w:pPr>
        <w:ind w:left="240" w:hanging="232"/>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Final Award for a Covered Employee shall in no instance exceed $15,000,000 for any fiscal year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i w:val="1"/>
          <w:iCs w:val="1"/>
          <w:color w:val="auto"/>
        </w:rPr>
        <w:t>Payment of Awards.</w:t>
      </w:r>
    </w:p>
    <w:p>
      <w:pPr>
        <w:spacing w:after="0" w:line="225" w:lineRule="exact"/>
        <w:rPr>
          <w:sz w:val="20"/>
          <w:szCs w:val="20"/>
          <w:color w:val="auto"/>
        </w:rPr>
      </w:pPr>
    </w:p>
    <w:p>
      <w:pPr>
        <w:jc w:val="both"/>
        <w:ind w:firstLine="8"/>
        <w:spacing w:after="0" w:line="261" w:lineRule="auto"/>
        <w:tabs>
          <w:tab w:leader="none" w:pos="2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Payment of the Final Awards for a Performance Period shall be made in cash after the Committee’s determination of the Final Awards (or if later, any vesting date or dates applicable to the Final Award), but no later than December 31 of the year following the end of the applicable Performance Period (or the applicable vesting date or dates);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grant, subject to Section 15, the Committee may determine that an Award will be paid at a later date.</w:t>
      </w:r>
    </w:p>
    <w:p>
      <w:pPr>
        <w:spacing w:after="0" w:line="183" w:lineRule="exact"/>
        <w:rPr>
          <w:rFonts w:ascii="Arial" w:cs="Arial" w:eastAsia="Arial" w:hAnsi="Arial"/>
          <w:sz w:val="16"/>
          <w:szCs w:val="16"/>
          <w:color w:val="auto"/>
        </w:rPr>
      </w:pPr>
    </w:p>
    <w:p>
      <w:pPr>
        <w:ind w:right="20" w:firstLine="8"/>
        <w:spacing w:after="0" w:line="275" w:lineRule="auto"/>
        <w:tabs>
          <w:tab w:leader="none" w:pos="2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Notwithstanding Section 9(a), the Company may, in its sole discretion, permit or require the deferral of payment of any Final Award in accordance with the terms of any deferred compensation plan or arrangement established or maintained by the Company or its Subsidiaries from time to time.</w:t>
      </w:r>
    </w:p>
    <w:p>
      <w:pPr>
        <w:sectPr>
          <w:pgSz w:w="11900" w:h="16838" w:orient="portrait"/>
          <w:cols w:equalWidth="0" w:num="1">
            <w:col w:w="11420"/>
          </w:cols>
          <w:pgMar w:left="240" w:top="805" w:right="23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5"/>
          <w:szCs w:val="15"/>
          <w:b w:val="1"/>
          <w:bCs w:val="1"/>
          <w:color w:val="auto"/>
        </w:rPr>
        <w:t xml:space="preserve">Section 10. </w:t>
      </w:r>
      <w:r>
        <w:rPr>
          <w:rFonts w:ascii="Arial" w:cs="Arial" w:eastAsia="Arial" w:hAnsi="Arial"/>
          <w:sz w:val="15"/>
          <w:szCs w:val="15"/>
          <w:i w:val="1"/>
          <w:iCs w:val="1"/>
          <w:color w:val="auto"/>
        </w:rPr>
        <w:t>Conditions Precedent to Final Awards</w:t>
      </w:r>
      <w:r>
        <w:rPr>
          <w:rFonts w:ascii="Arial" w:cs="Arial" w:eastAsia="Arial" w:hAnsi="Arial"/>
          <w:sz w:val="15"/>
          <w:szCs w:val="15"/>
          <w:color w:val="auto"/>
        </w:rPr>
        <w:t>. As a condition precedent to the payment of all or any portion of the Final Award, each Participant shall: (a) refrain from</w:t>
      </w:r>
      <w:r>
        <w:rPr>
          <w:rFonts w:ascii="Arial" w:cs="Arial" w:eastAsia="Arial" w:hAnsi="Arial"/>
          <w:sz w:val="15"/>
          <w:szCs w:val="15"/>
          <w:b w:val="1"/>
          <w:bCs w:val="1"/>
          <w:color w:val="auto"/>
        </w:rPr>
        <w:t xml:space="preserve"> </w:t>
      </w:r>
      <w:r>
        <w:rPr>
          <w:rFonts w:ascii="Arial" w:cs="Arial" w:eastAsia="Arial" w:hAnsi="Arial"/>
          <w:sz w:val="15"/>
          <w:szCs w:val="15"/>
          <w:color w:val="auto"/>
        </w:rPr>
        <w:t>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any unpaid portion of his or her Award, and such Participant will not be entitled to receive any consideration with respect to such cancellation.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i w:val="1"/>
          <w:iCs w:val="1"/>
          <w:color w:val="auto"/>
        </w:rPr>
        <w:t>Effect of Termination of Service on Awards</w:t>
      </w:r>
      <w:r>
        <w:rPr>
          <w:rFonts w:ascii="Arial" w:cs="Arial" w:eastAsia="Arial" w:hAnsi="Arial"/>
          <w:sz w:val="16"/>
          <w:szCs w:val="16"/>
          <w:color w:val="auto"/>
        </w:rPr>
        <w:t>. Subject to Section 9(b) and Section 10, and unless otherwise provided by the Committee at the time of the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Award, or as the Committee may determine in any individual case, the following shall apply with respect to a Participant’s outstanding Awards upon such Participant’s Termination of Service.</w:t>
      </w:r>
    </w:p>
    <w:p>
      <w:pPr>
        <w:spacing w:after="0" w:line="182"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set forth below, in the event of the Participant’s Termination of Service for any reason, any unpaid portion of any Award shall be forfeited.</w:t>
      </w:r>
    </w:p>
    <w:p>
      <w:pPr>
        <w:spacing w:after="0" w:line="221"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event of a Participant’s Termination of Service due to death or Disability, in either instance before or after the end of a Performance Period but before payment of his or her Final Award, the Participant’s Final Award will be determined (if not already determined) after the end of the Performance Period in accordance with Section 7, and the Final Award shall be paid to the Participant’s Beneficiary or Participant no later than December 31 of the year following the end of the applicable Performance Period. Any service-based vesting conditions applicable to such Final Award shall be waived.</w:t>
      </w:r>
    </w:p>
    <w:p>
      <w:pPr>
        <w:spacing w:after="0" w:line="187" w:lineRule="exact"/>
        <w:rPr>
          <w:rFonts w:ascii="Arial" w:cs="Arial" w:eastAsia="Arial" w:hAnsi="Arial"/>
          <w:sz w:val="16"/>
          <w:szCs w:val="16"/>
          <w:color w:val="auto"/>
        </w:rPr>
      </w:pPr>
    </w:p>
    <w:p>
      <w:pPr>
        <w:jc w:val="both"/>
        <w:ind w:firstLine="8"/>
        <w:spacing w:after="0" w:line="253" w:lineRule="auto"/>
        <w:tabs>
          <w:tab w:leader="none" w:pos="22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 the event of a Participant’s voluntary Termination of Service after achieving Full Career Status before or after the end of a Performance Period but before payment of his or her Final Award, the Participant’s Final Award will be determined (if not already determined) after the end of the Performance Period in accordance with Section 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Final Award will be prorated based on the number of months during the applicable Performance Period prior to the Participant’s Termination of Service. The Final Award shall be paid to the Participant after the determination of the Final Award, but no later than December 31 of the year following the end of the applicable Performance Period. Any service-based vesting conditions applicable to such Final Award shall be waived.</w:t>
      </w:r>
    </w:p>
    <w:p>
      <w:pPr>
        <w:spacing w:after="0" w:line="191" w:lineRule="exact"/>
        <w:rPr>
          <w:rFonts w:ascii="Arial" w:cs="Arial" w:eastAsia="Arial" w:hAnsi="Arial"/>
          <w:sz w:val="16"/>
          <w:szCs w:val="16"/>
          <w:color w:val="auto"/>
        </w:rPr>
      </w:pPr>
    </w:p>
    <w:p>
      <w:pPr>
        <w:ind w:firstLine="8"/>
        <w:spacing w:after="0" w:line="275" w:lineRule="auto"/>
        <w:tabs>
          <w:tab w:leader="none" w:pos="2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the above provisions, in the event of a Participant’s Termination of Service pursuant to an approved separation agreement or program, such Participant will not be entitled to retain any portion of an Award.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i w:val="1"/>
          <w:iCs w:val="1"/>
          <w:color w:val="auto"/>
        </w:rPr>
        <w:t>General Provisions Applicable to Awards</w:t>
      </w:r>
      <w:r>
        <w:rPr>
          <w:rFonts w:ascii="Arial" w:cs="Arial" w:eastAsia="Arial" w:hAnsi="Arial"/>
          <w:sz w:val="16"/>
          <w:szCs w:val="16"/>
          <w:color w:val="auto"/>
        </w:rPr>
        <w:t>.</w:t>
      </w:r>
    </w:p>
    <w:p>
      <w:pPr>
        <w:spacing w:after="0" w:line="225" w:lineRule="exact"/>
        <w:rPr>
          <w:sz w:val="20"/>
          <w:szCs w:val="20"/>
          <w:color w:val="auto"/>
        </w:rPr>
      </w:pPr>
    </w:p>
    <w:p>
      <w:pPr>
        <w:ind w:firstLine="8"/>
        <w:spacing w:after="0" w:line="275" w:lineRule="auto"/>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pursuant to Section 12(b) or the laws of descent, no Award and no right under any Award may be voluntarily or involuntarily assigned, alienated, sold or transferred, including as between spouses or pursuant to a domestic relations order in connection with dissolution of marriage, or by operation of law.</w:t>
      </w:r>
    </w:p>
    <w:p>
      <w:pPr>
        <w:spacing w:after="0" w:line="172" w:lineRule="exact"/>
        <w:rPr>
          <w:rFonts w:ascii="Arial" w:cs="Arial" w:eastAsia="Arial" w:hAnsi="Arial"/>
          <w:sz w:val="16"/>
          <w:szCs w:val="16"/>
          <w:color w:val="auto"/>
        </w:rPr>
      </w:pPr>
    </w:p>
    <w:p>
      <w:pPr>
        <w:ind w:firstLine="8"/>
        <w:spacing w:after="0" w:line="275" w:lineRule="auto"/>
        <w:tabs>
          <w:tab w:leader="none" w:pos="2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72" w:lineRule="exact"/>
        <w:rPr>
          <w:rFonts w:ascii="Arial" w:cs="Arial" w:eastAsia="Arial" w:hAnsi="Arial"/>
          <w:sz w:val="16"/>
          <w:szCs w:val="16"/>
          <w:color w:val="auto"/>
        </w:rPr>
      </w:pPr>
    </w:p>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entire expense of offering and administering the Plan shall be borne by the Company and its Subsidiaries.</w:t>
      </w:r>
    </w:p>
    <w:p>
      <w:pPr>
        <w:spacing w:after="0" w:line="221" w:lineRule="exact"/>
        <w:rPr>
          <w:rFonts w:ascii="Arial" w:cs="Arial" w:eastAsia="Arial" w:hAnsi="Arial"/>
          <w:sz w:val="16"/>
          <w:szCs w:val="16"/>
          <w:color w:val="auto"/>
        </w:rPr>
      </w:pPr>
    </w:p>
    <w:p>
      <w:pPr>
        <w:ind w:firstLine="8"/>
        <w:spacing w:after="0" w:line="275"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Awards granted under the Plan (including any amounts or benefits arising from such Awards) shall be subject to any clawback or recoupment policies the Company has in place from time to time.</w:t>
      </w:r>
    </w:p>
    <w:p>
      <w:pPr>
        <w:spacing w:after="0" w:line="172" w:lineRule="exact"/>
        <w:rPr>
          <w:rFonts w:ascii="Arial" w:cs="Arial" w:eastAsia="Arial" w:hAnsi="Arial"/>
          <w:sz w:val="16"/>
          <w:szCs w:val="16"/>
          <w:color w:val="auto"/>
        </w:rPr>
      </w:pPr>
    </w:p>
    <w:p>
      <w:pPr>
        <w:ind w:firstLine="8"/>
        <w:spacing w:after="0" w:line="275" w:lineRule="auto"/>
        <w:tabs>
          <w:tab w:leader="none" w:pos="2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(including Section 9, Section 11 and Section 15), the Committee may determine at any time and in its sole discretion, to accelerate or to delay any amounts payable with respect to any Award, or grant Awards subject to accelerated or delayed payment terms.</w:t>
      </w:r>
    </w:p>
    <w:p>
      <w:pPr>
        <w:spacing w:after="0" w:line="172" w:lineRule="exact"/>
        <w:rPr>
          <w:rFonts w:ascii="Arial" w:cs="Arial" w:eastAsia="Arial" w:hAnsi="Arial"/>
          <w:sz w:val="16"/>
          <w:szCs w:val="16"/>
          <w:color w:val="auto"/>
        </w:rPr>
      </w:pPr>
    </w:p>
    <w:p>
      <w:pPr>
        <w:jc w:val="both"/>
        <w:ind w:firstLine="8"/>
        <w:spacing w:after="0" w:line="286" w:lineRule="auto"/>
        <w:tabs>
          <w:tab w:leader="none" w:pos="209" w:val="left"/>
        </w:tabs>
        <w:numPr>
          <w:ilvl w:val="0"/>
          <w:numId w:val="50"/>
        </w:numPr>
        <w:rPr>
          <w:rFonts w:ascii="Arial" w:cs="Arial" w:eastAsia="Arial" w:hAnsi="Arial"/>
          <w:sz w:val="15"/>
          <w:szCs w:val="15"/>
          <w:color w:val="auto"/>
        </w:rPr>
      </w:pPr>
      <w:r>
        <w:rPr>
          <w:rFonts w:ascii="Arial" w:cs="Arial" w:eastAsia="Arial" w:hAnsi="Arial"/>
          <w:sz w:val="15"/>
          <w:szCs w:val="15"/>
          <w:color w:val="auto"/>
        </w:rPr>
        <w:t>Subject to Section 15, if the Company or any Subsidiary has any unpaid claim against a Participant arising out of or in connection with the Participant’s employment with the Company or any Subsidiary, prior to payment of a Final Award, such claim may be offset against any Award under this Plan (up to $5,000 per year) and at the time of payment of any Award, such claim may be offset in total. Such claims may include, but are not limited to, unpaid taxes or corporate business credit card charges.</w:t>
      </w:r>
    </w:p>
    <w:p>
      <w:pPr>
        <w:spacing w:after="0" w:line="166" w:lineRule="exact"/>
        <w:rPr>
          <w:rFonts w:ascii="Arial" w:cs="Arial" w:eastAsia="Arial" w:hAnsi="Arial"/>
          <w:sz w:val="15"/>
          <w:szCs w:val="15"/>
          <w:color w:val="auto"/>
        </w:rPr>
      </w:pPr>
    </w:p>
    <w:p>
      <w:pPr>
        <w:jc w:val="both"/>
        <w:ind w:firstLine="8"/>
        <w:spacing w:after="0" w:line="261" w:lineRule="auto"/>
        <w:tabs>
          <w:tab w:leader="none" w:pos="2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employee, Participant or other person shall have any claim to be granted any Award under the Plan, and there is no obligation for uniformity of treatment of employees, Participants or Beneficiaries under the Plan. The terms and conditions of Awards need not be the same with respect to each recipient. Any Award granted under the Plan shall be a one-time Award that does not constitute a promise of future grants.</w:t>
      </w:r>
    </w:p>
    <w:p>
      <w:pPr>
        <w:sectPr>
          <w:pgSz w:w="11900" w:h="16838" w:orient="portrait"/>
          <w:cols w:equalWidth="0" w:num="1">
            <w:col w:w="11420"/>
          </w:cols>
          <w:pgMar w:left="240" w:top="801" w:right="239" w:bottom="1440" w:gutter="0" w:footer="0" w:header="0"/>
        </w:sectPr>
      </w:pPr>
    </w:p>
    <w:bookmarkStart w:id="105" w:name="page106"/>
    <w:bookmarkEnd w:id="105"/>
    <w:p>
      <w:pPr>
        <w:jc w:val="both"/>
        <w:ind w:firstLine="8"/>
        <w:spacing w:after="0" w:line="261" w:lineRule="auto"/>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other agreement binding the parties.</w:t>
      </w:r>
    </w:p>
    <w:p>
      <w:pPr>
        <w:spacing w:after="0" w:line="183" w:lineRule="exact"/>
        <w:rPr>
          <w:rFonts w:ascii="Arial" w:cs="Arial" w:eastAsia="Arial" w:hAnsi="Arial"/>
          <w:sz w:val="16"/>
          <w:szCs w:val="16"/>
          <w:color w:val="auto"/>
        </w:rPr>
      </w:pPr>
    </w:p>
    <w:p>
      <w:pPr>
        <w:jc w:val="both"/>
        <w:ind w:firstLine="8"/>
        <w:spacing w:after="0" w:line="261" w:lineRule="auto"/>
        <w:tabs>
          <w:tab w:leader="none" w:pos="206"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Committee or the Company from adopting other non-stockholder approved plans, policies and arrangements for granting incentives and other compensation to employees of the Company and its Subsidiaries or adopting or continuing in effect other or additional compensation arrangements, and such arrangements may be either generally applicable or applicable only in specific cases.</w:t>
      </w:r>
    </w:p>
    <w:p>
      <w:pPr>
        <w:spacing w:after="0" w:line="183" w:lineRule="exact"/>
        <w:rPr>
          <w:rFonts w:ascii="Arial" w:cs="Arial" w:eastAsia="Arial" w:hAnsi="Arial"/>
          <w:sz w:val="16"/>
          <w:szCs w:val="16"/>
          <w:color w:val="auto"/>
        </w:rPr>
      </w:pPr>
    </w:p>
    <w:p>
      <w:pPr>
        <w:ind w:firstLine="8"/>
        <w:spacing w:after="0" w:line="275" w:lineRule="auto"/>
        <w:tabs>
          <w:tab w:leader="none" w:pos="1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(or any Subsidiary) shall be authorized to withhold from any payment due with respect to any Final Award the amount of applicable withholding taxes due in respect of an Award as may be necessary in the opinion of the Company (or the Subsidiary) to satisfy all obligations for the payment of such taxes.</w:t>
      </w:r>
    </w:p>
    <w:p>
      <w:pPr>
        <w:spacing w:after="0" w:line="172" w:lineRule="exact"/>
        <w:rPr>
          <w:rFonts w:ascii="Arial" w:cs="Arial" w:eastAsia="Arial" w:hAnsi="Arial"/>
          <w:sz w:val="16"/>
          <w:szCs w:val="16"/>
          <w:color w:val="auto"/>
        </w:rPr>
      </w:pPr>
    </w:p>
    <w:p>
      <w:pPr>
        <w:jc w:val="both"/>
        <w:ind w:firstLine="8"/>
        <w:spacing w:after="0" w:line="256" w:lineRule="auto"/>
        <w:tabs>
          <w:tab w:leader="none" w:pos="23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any provision of the Plan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such provision shall be stricken as to such jurisdiction, person or Award, and the remainder of the Plan shall remain in full force and effect.</w:t>
      </w:r>
    </w:p>
    <w:p>
      <w:pPr>
        <w:spacing w:after="0" w:line="187" w:lineRule="exact"/>
        <w:rPr>
          <w:rFonts w:ascii="Arial" w:cs="Arial" w:eastAsia="Arial" w:hAnsi="Arial"/>
          <w:sz w:val="16"/>
          <w:szCs w:val="16"/>
          <w:color w:val="auto"/>
        </w:rPr>
      </w:pPr>
    </w:p>
    <w:p>
      <w:pPr>
        <w:ind w:firstLine="8"/>
        <w:spacing w:after="0" w:line="275" w:lineRule="auto"/>
        <w:tabs>
          <w:tab w:leader="none" w:pos="1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Plan is unfunded and unsecured; nothing in this Plan shall be construed to create a trust or to establish or evidence any Participant’s claim of any right to payment of an Award other than as an unsecured general creditor with respect to any payment to which he or she may be entitled.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i w:val="1"/>
          <w:iCs w:val="1"/>
          <w:color w:val="auto"/>
        </w:rPr>
        <w:t>Effective Date of the Plan</w:t>
      </w:r>
      <w:r>
        <w:rPr>
          <w:rFonts w:ascii="Arial" w:cs="Arial" w:eastAsia="Arial" w:hAnsi="Arial"/>
          <w:sz w:val="16"/>
          <w:szCs w:val="16"/>
          <w:color w:val="auto"/>
        </w:rPr>
        <w:t>.  The Plan shall be effective as of the Effective Date, subject to stockholder approval.</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Section 14. </w:t>
      </w:r>
      <w:r>
        <w:rPr>
          <w:rFonts w:ascii="Arial" w:cs="Arial" w:eastAsia="Arial" w:hAnsi="Arial"/>
          <w:sz w:val="14"/>
          <w:szCs w:val="14"/>
          <w:i w:val="1"/>
          <w:iCs w:val="1"/>
          <w:color w:val="auto"/>
        </w:rPr>
        <w:t>Amendment, Modification, Suspension and Termination of the Plan; Rescissions and Corrections</w:t>
      </w:r>
      <w:r>
        <w:rPr>
          <w:rFonts w:ascii="Arial" w:cs="Arial" w:eastAsia="Arial" w:hAnsi="Arial"/>
          <w:sz w:val="14"/>
          <w:szCs w:val="14"/>
          <w:color w:val="auto"/>
        </w:rPr>
        <w:t>. Except to the extent prohibited by applicable law, the Board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may amend, alter, suspend, discontinue or terminate the Plan or any portion thereof at any time;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such amendment, alteration, suspension, discontinuation or termination shall be made without stockholder approval if such approval is required by applicable law, including Section 162(m) of the Code except (a) to the extent any such amendment, alteration, suspension, discontinuance or termination is made to cause the Plan to comply with applicable law or accounting or tax rules and regulations, (b) to impose any clawback or recoupment provisions with respect to any Awards (including any amounts or benefits arising from such Awards) in accordance with Section 12(d) of the Plan or (c) as the Board determines in good faith to be in the best interests of the Participants affected thereby. The Committee may correct any defect, supply any omission or reconcile any inconsistency in the Plan or any Award in the manner and to the extent it shall deem desirable to carry the Plan into effect.</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color w:val="auto"/>
        </w:rPr>
        <w:t xml:space="preserve">Section 15. </w:t>
      </w:r>
      <w:r>
        <w:rPr>
          <w:rFonts w:ascii="Arial" w:cs="Arial" w:eastAsia="Arial" w:hAnsi="Arial"/>
          <w:sz w:val="15"/>
          <w:szCs w:val="15"/>
          <w:i w:val="1"/>
          <w:iCs w:val="1"/>
          <w:color w:val="auto"/>
        </w:rPr>
        <w:t>Section 409A of the Code.</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any Award subject to Section 409A of the Code, the Plan is intended to comply with the requirements of 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Code, and the provisions of the Plan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5"/>
          <w:szCs w:val="15"/>
          <w:i w:val="1"/>
          <w:iCs w:val="1"/>
          <w:color w:val="auto"/>
        </w:rPr>
        <w:t>.</w:t>
      </w:r>
      <w:r>
        <w:rPr>
          <w:rFonts w:ascii="Arial" w:cs="Arial" w:eastAsia="Arial" w:hAnsi="Arial"/>
          <w:sz w:val="15"/>
          <w:szCs w:val="15"/>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77"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i w:val="1"/>
          <w:iCs w:val="1"/>
          <w:color w:val="auto"/>
        </w:rPr>
        <w:t>Data Protection.</w:t>
      </w:r>
      <w:r>
        <w:rPr>
          <w:sz w:val="20"/>
          <w:szCs w:val="20"/>
          <w:color w:val="auto"/>
        </w:rPr>
        <w:tab/>
      </w:r>
      <w:r>
        <w:rPr>
          <w:rFonts w:ascii="Arial" w:cs="Arial" w:eastAsia="Arial" w:hAnsi="Arial"/>
          <w:sz w:val="15"/>
          <w:szCs w:val="15"/>
          <w:color w:val="auto"/>
        </w:rPr>
        <w:t>By participating in the Plan, the Participant consents to the holding and processing of personal information provided by the Participant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or any Subsidiary, trustee or third party service provider, for all purposes relating to the operation of the Plan. These include, but are not limited to:</w:t>
      </w:r>
    </w:p>
    <w:p>
      <w:pPr>
        <w:spacing w:after="0" w:line="207"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administering and maintaining Participant records;</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providing information to the Company, Subsidiaries, trustees of any employee benefit trust, registrars, brokers or third party administrators of the Plan;</w:t>
      </w: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Subsidiary, or the business in which the Participant works; and</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transferring information about the Participant to any country or territory that may not provide the same protection for the information as the Participant’s home country.</w:t>
      </w:r>
    </w:p>
    <w:p>
      <w:pPr>
        <w:sectPr>
          <w:pgSz w:w="11900" w:h="16838" w:orient="portrait"/>
          <w:cols w:equalWidth="0" w:num="1">
            <w:col w:w="11420"/>
          </w:cols>
          <w:pgMar w:left="240" w:top="805" w:right="2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 xml:space="preserve">Section 17. </w:t>
      </w:r>
      <w:r>
        <w:rPr>
          <w:rFonts w:ascii="Arial" w:cs="Arial" w:eastAsia="Arial" w:hAnsi="Arial"/>
          <w:sz w:val="14"/>
          <w:szCs w:val="14"/>
          <w:i w:val="1"/>
          <w:iCs w:val="1"/>
          <w:color w:val="auto"/>
        </w:rPr>
        <w:t>Governing Law.</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shall be governed by the laws of the State of Delaware, without application of the conflicts of law principles thereof.</w:t>
      </w:r>
    </w:p>
    <w:p>
      <w:pPr>
        <w:sectPr>
          <w:pgSz w:w="11900" w:h="16838" w:orient="portrait"/>
          <w:cols w:equalWidth="0" w:num="1">
            <w:col w:w="10219"/>
          </w:cols>
          <w:pgMar w:left="240" w:top="801"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10.31</w:t>
      </w:r>
    </w:p>
    <w:p>
      <w:pPr>
        <w:spacing w:after="0" w:line="23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Annex I to notarial deed no. G [■■■]/2017</w:t>
      </w:r>
    </w:p>
    <w:p>
      <w:pPr>
        <w:spacing w:after="0" w:line="2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Amendment no. 3 to the Master Agreement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Motors Holdings LLC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 48265, United States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Peugeot S.A.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7 rue Henri Sainte-Claire-Deville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CS 60125 - 92563 Rueil-Malmaison Cedex, France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October 30, 2017</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Reference is made to that certain Master Agreement dated as of March 5, 2017, as amended from time to time (together with all Exhibits, schedules and attachments thereto, the “</w:t>
      </w:r>
      <w:r>
        <w:rPr>
          <w:rFonts w:ascii="Arial" w:cs="Arial" w:eastAsia="Arial" w:hAnsi="Arial"/>
          <w:sz w:val="21"/>
          <w:szCs w:val="21"/>
          <w:b w:val="1"/>
          <w:bCs w:val="1"/>
          <w:color w:val="auto"/>
        </w:rPr>
        <w:t>Agreement</w:t>
      </w:r>
      <w:r>
        <w:rPr>
          <w:rFonts w:ascii="Arial" w:cs="Arial" w:eastAsia="Arial" w:hAnsi="Arial"/>
          <w:sz w:val="21"/>
          <w:szCs w:val="21"/>
          <w:color w:val="auto"/>
        </w:rPr>
        <w:t>”) by and between General Motors Holdings, LLC, a limited liability company organized under the laws of the State of Delaware, with its principal office at 300 Renaissance Center, Detroit, MI 48265, United States (“</w:t>
      </w:r>
      <w:r>
        <w:rPr>
          <w:rFonts w:ascii="Arial" w:cs="Arial" w:eastAsia="Arial" w:hAnsi="Arial"/>
          <w:sz w:val="21"/>
          <w:szCs w:val="21"/>
          <w:b w:val="1"/>
          <w:bCs w:val="1"/>
          <w:color w:val="auto"/>
        </w:rPr>
        <w:t>General Motors</w:t>
      </w:r>
      <w:r>
        <w:rPr>
          <w:rFonts w:ascii="Arial" w:cs="Arial" w:eastAsia="Arial" w:hAnsi="Arial"/>
          <w:sz w:val="21"/>
          <w:szCs w:val="21"/>
          <w:color w:val="auto"/>
        </w:rPr>
        <w:t xml:space="preserve">”) and Peugeot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xml:space="preserve"> with its registered office at 7 rue Henri Sainte-Claire Deville, CS 60125 - 92563 Rueil-Malmaison Cedex, France, registered with the commercial register of Nanterre under identification number 552 100 554 (the “</w:t>
      </w:r>
      <w:r>
        <w:rPr>
          <w:rFonts w:ascii="Arial" w:cs="Arial" w:eastAsia="Arial" w:hAnsi="Arial"/>
          <w:sz w:val="21"/>
          <w:szCs w:val="21"/>
          <w:b w:val="1"/>
          <w:bCs w:val="1"/>
          <w:color w:val="auto"/>
        </w:rPr>
        <w:t>Buyer</w:t>
      </w:r>
      <w:r>
        <w:rPr>
          <w:rFonts w:ascii="Arial" w:cs="Arial" w:eastAsia="Arial" w:hAnsi="Arial"/>
          <w:sz w:val="21"/>
          <w:szCs w:val="21"/>
          <w:color w:val="auto"/>
        </w:rPr>
        <w:t>” and, together with General Motors, the “</w:t>
      </w:r>
      <w:r>
        <w:rPr>
          <w:rFonts w:ascii="Arial" w:cs="Arial" w:eastAsia="Arial" w:hAnsi="Arial"/>
          <w:sz w:val="21"/>
          <w:szCs w:val="21"/>
          <w:b w:val="1"/>
          <w:bCs w:val="1"/>
          <w:color w:val="auto"/>
        </w:rPr>
        <w:t>Parties</w:t>
      </w:r>
      <w:r>
        <w:rPr>
          <w:rFonts w:ascii="Arial" w:cs="Arial" w:eastAsia="Arial" w:hAnsi="Arial"/>
          <w:sz w:val="21"/>
          <w:szCs w:val="21"/>
          <w:color w:val="auto"/>
        </w:rPr>
        <w:t>”) which forms part of the Reference Deeds to which reference is hereby made. Capitalized terms not otherwise defined herein shall have the meaning ascribed to them in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letter (the “</w:t>
      </w:r>
      <w:r>
        <w:rPr>
          <w:rFonts w:ascii="Arial" w:cs="Arial" w:eastAsia="Arial" w:hAnsi="Arial"/>
          <w:sz w:val="22"/>
          <w:szCs w:val="22"/>
          <w:b w:val="1"/>
          <w:bCs w:val="1"/>
          <w:color w:val="auto"/>
        </w:rPr>
        <w:t>Amendment No. 3</w:t>
      </w:r>
      <w:r>
        <w:rPr>
          <w:rFonts w:ascii="Arial" w:cs="Arial" w:eastAsia="Arial" w:hAnsi="Arial"/>
          <w:sz w:val="22"/>
          <w:szCs w:val="22"/>
          <w:color w:val="auto"/>
        </w:rPr>
        <w:t>”), the Parties agree that:</w:t>
      </w:r>
    </w:p>
    <w:p>
      <w:pPr>
        <w:spacing w:after="0" w:line="226" w:lineRule="exact"/>
        <w:rPr>
          <w:sz w:val="20"/>
          <w:szCs w:val="20"/>
          <w:color w:val="auto"/>
        </w:rPr>
      </w:pPr>
    </w:p>
    <w:p>
      <w:pPr>
        <w:ind w:left="660" w:right="20" w:hanging="328"/>
        <w:spacing w:after="0" w:line="343"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9"/>
          <w:szCs w:val="19"/>
          <w:color w:val="auto"/>
        </w:rPr>
        <w:t>Notwithstanding anything to the contrary in Section 10.1(b)(iv) of the Agreement, the Second Closing shall take place on October 30, 2017 and, as a result, the Second Closing Date shall be the expiry of October 31, 2017 at 24:00 hours CET;</w:t>
      </w:r>
    </w:p>
    <w:p>
      <w:pPr>
        <w:spacing w:after="0" w:line="104"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9"/>
          <w:szCs w:val="19"/>
          <w:color w:val="auto"/>
        </w:rPr>
        <w:t>any action (including any foreign exchange risk hedging transaction or the incurrence of any indebtedness by GMAC Banque S.A. used to pay for any of the Fincos Shares) or omission by GMAC Banque S.A., or by any Finco at the direction or request of the Buyer or the Financial Partner and/or any of their respective Affiliates (other than any such action taken with the prior written consent of General Motors) from (and including) completion of the capital increases reserved for BNP Paribas Personal Finance SA, on the one hand, and Banque PSA Finance SA, on the other hand (the “</w:t>
      </w:r>
      <w:r>
        <w:rPr>
          <w:rFonts w:ascii="Arial" w:cs="Arial" w:eastAsia="Arial" w:hAnsi="Arial"/>
          <w:sz w:val="19"/>
          <w:szCs w:val="19"/>
          <w:b w:val="1"/>
          <w:bCs w:val="1"/>
          <w:color w:val="auto"/>
        </w:rPr>
        <w:t>Capital Increases</w:t>
      </w:r>
      <w:r>
        <w:rPr>
          <w:rFonts w:ascii="Arial" w:cs="Arial" w:eastAsia="Arial" w:hAnsi="Arial"/>
          <w:sz w:val="19"/>
          <w:szCs w:val="19"/>
          <w:color w:val="auto"/>
        </w:rPr>
        <w:t>”), until the expiry of October 31, 2017, 24:00 hours CET, shall not be taken into account to calculate the Fincos Book Value and shall have no impact on the Fincos Purchase Price. For the avoidance of doubt, the Capital Increases shall not be taken into account to calculate the Fincos Book Value and shall have no impact on the Fincos Purchase Price;</w:t>
      </w:r>
    </w:p>
    <w:p>
      <w:pPr>
        <w:spacing w:after="0" w:line="150" w:lineRule="exact"/>
        <w:rPr>
          <w:rFonts w:ascii="Arial" w:cs="Arial" w:eastAsia="Arial" w:hAnsi="Arial"/>
          <w:sz w:val="16"/>
          <w:szCs w:val="16"/>
          <w:color w:val="auto"/>
        </w:rPr>
      </w:pPr>
    </w:p>
    <w:p>
      <w:pPr>
        <w:ind w:left="660" w:hanging="328"/>
        <w:spacing w:after="0" w:line="26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 xml:space="preserve">the Pension Plans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this Amendment No. 3 are added to the corresponding section of Exhibit E to the Agreement;</w:t>
      </w:r>
    </w:p>
    <w:p>
      <w:pPr>
        <w:spacing w:after="0" w:line="168"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the Parties acknowledge and agree that no Fincos were transferred at the First Closing, and therefore (i) there shall be no Third Estimated Pension Closing Payment Amount and (ii) the Final Pension</w:t>
      </w:r>
    </w:p>
    <w:p>
      <w:pPr>
        <w:sectPr>
          <w:pgSz w:w="11900" w:h="16838" w:orient="portrait"/>
          <w:cols w:equalWidth="0" w:num="1">
            <w:col w:w="11420"/>
          </w:cols>
          <w:pgMar w:left="240" w:top="580" w:right="239" w:bottom="1440" w:gutter="0" w:footer="0" w:header="0"/>
        </w:sectPr>
      </w:pPr>
    </w:p>
    <w:bookmarkStart w:id="108" w:name="page109"/>
    <w:bookmarkEnd w:id="108"/>
    <w:p>
      <w:pPr>
        <w:jc w:val="both"/>
        <w:ind w:left="328"/>
        <w:spacing w:after="0" w:line="246" w:lineRule="auto"/>
        <w:rPr>
          <w:sz w:val="20"/>
          <w:szCs w:val="20"/>
          <w:color w:val="auto"/>
        </w:rPr>
      </w:pPr>
      <w:r>
        <w:rPr>
          <w:rFonts w:ascii="Arial" w:cs="Arial" w:eastAsia="Arial" w:hAnsi="Arial"/>
          <w:sz w:val="22"/>
          <w:szCs w:val="22"/>
          <w:color w:val="auto"/>
        </w:rPr>
        <w:t>Amount in respect of the Third Pension Closing Payment Amount shall be zero. All Estimated Pension Closing Payment Amounts relating to the Fincos (including all German Fincos) shall be calculated in accordance with Exhibit E and included in the Fourth Estimated Pension Closing Payment Amount, which shall be settled in full (i.e. including the excess of the Fourth Estimated Pension Closing Payment Amount over the Buyer Restricted Fourth Pension Amount) by wire transfer of immediately available funds on the Second Closing by General Motors or the relevant Fincos as contemplated in Section 10.3 of the Agreement, as amended by this Amendment No 3. All Pension Closing Payment Amounts (as calculated in accordance with Exhibit E) relating to the Fincos (including the German Fincos) shall be part of the Fourth Pension Closing Payment Amount;</w:t>
      </w:r>
    </w:p>
    <w:p>
      <w:pPr>
        <w:spacing w:after="0" w:line="189" w:lineRule="exact"/>
        <w:rPr>
          <w:sz w:val="20"/>
          <w:szCs w:val="20"/>
          <w:color w:val="auto"/>
        </w:rPr>
      </w:pPr>
    </w:p>
    <w:p>
      <w:pPr>
        <w:jc w:val="both"/>
        <w:ind w:left="328" w:hanging="328"/>
        <w:spacing w:after="0" w:line="252"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22"/>
          <w:szCs w:val="22"/>
          <w:color w:val="auto"/>
        </w:rPr>
        <w:t xml:space="preserve">in accordance with Section 6.9(b)(i) of the Agreement,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to this Amendment No. 3 sets forth a list, by country and by Pension Plan, of the jointly determined Agreed Pension Vehicles for the Finco Pension Plans and the relevant portion of the Buyer Restricted Fourth Pension Closing Amount allocated to the respective Finco Pension Plan for which such Agreed Pension Vehicle is established;</w:t>
      </w:r>
    </w:p>
    <w:p>
      <w:pPr>
        <w:spacing w:after="0" w:line="186"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22"/>
          <w:szCs w:val="22"/>
          <w:color w:val="auto"/>
        </w:rPr>
        <w:t xml:space="preserve">in accordance with Section 6.9(b)(i) of the Agreement, the Agreed Pension Vehicles List shall include the Agreed Pension Vehicles set forth in </w:t>
      </w:r>
      <w:r>
        <w:rPr>
          <w:rFonts w:ascii="Arial" w:cs="Arial" w:eastAsia="Arial" w:hAnsi="Arial"/>
          <w:sz w:val="22"/>
          <w:szCs w:val="22"/>
          <w:b w:val="1"/>
          <w:bCs w:val="1"/>
          <w:color w:val="auto"/>
        </w:rPr>
        <w:t>Exhibit 6.9(b)(i)</w:t>
      </w:r>
      <w:r>
        <w:rPr>
          <w:rFonts w:ascii="Arial" w:cs="Arial" w:eastAsia="Arial" w:hAnsi="Arial"/>
          <w:sz w:val="22"/>
          <w:szCs w:val="22"/>
          <w:color w:val="auto"/>
        </w:rPr>
        <w:t xml:space="preserve"> to the Agreement and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to this Amendment No. 3; it being understood that, for the avoidance of doubt, Sections 6.9(b)(ii) - (x) and Section 6.9(d) of the Agreement apply accordingly for any Agreed Pension Vehicles for the Finco Pension Plans;</w:t>
      </w:r>
    </w:p>
    <w:p>
      <w:pPr>
        <w:spacing w:after="0" w:line="222" w:lineRule="exact"/>
        <w:rPr>
          <w:rFonts w:ascii="Arial" w:cs="Arial" w:eastAsia="Arial" w:hAnsi="Arial"/>
          <w:sz w:val="18"/>
          <w:szCs w:val="18"/>
          <w:color w:val="auto"/>
        </w:rPr>
      </w:pPr>
    </w:p>
    <w:p>
      <w:pPr>
        <w:jc w:val="both"/>
        <w:ind w:left="328" w:hanging="328"/>
        <w:spacing w:after="0" w:line="287"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9"/>
          <w:szCs w:val="19"/>
          <w:color w:val="auto"/>
        </w:rPr>
        <w:t xml:space="preserve">to the extent that Agreed Pension Vehicles listed in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to this Amendment No. 3 have not been established by the Second Closing Date, as contemplated by the first sentence of Section 6.9(b) of the Agreement, General Motors shall place the relevant portion of the Buyer Restricted Fourth Pension Closing Amount into the escrow account established by that certain escrow deed by and among Deutsche Bank AG, as escrow agent, General Motors, Banque PSA Finance S.A. and BNP Paribas Personal Finance (the “</w:t>
      </w:r>
      <w:r>
        <w:rPr>
          <w:rFonts w:ascii="Arial" w:cs="Arial" w:eastAsia="Arial" w:hAnsi="Arial"/>
          <w:sz w:val="19"/>
          <w:szCs w:val="19"/>
          <w:b w:val="1"/>
          <w:bCs w:val="1"/>
          <w:color w:val="auto"/>
        </w:rPr>
        <w:t>Finco Pension Escrow Account Agreement</w:t>
      </w:r>
      <w:r>
        <w:rPr>
          <w:rFonts w:ascii="Arial" w:cs="Arial" w:eastAsia="Arial" w:hAnsi="Arial"/>
          <w:sz w:val="19"/>
          <w:szCs w:val="19"/>
          <w:color w:val="auto"/>
        </w:rPr>
        <w:t>”, a copy of which forms part of the Amendment No. 3 Reference Deed to which reference is hereby made)) for which, for the avoidance of doubt, Sections 6.9(b)(i) - (x) and Section 6.9(d) of the Agreement shall apply mutatis mutandis and with each reference therein to the Pension Escrow Account Agreement read as also including the Finco Pension Escrow Account Agreement. For the avoidance of doubt, Sections 10.3(b) and (c) of the Agreement are, with respect to the relevant portions of the Buyer Restricted Fourth Pension Closing Amount, subject to the provisions of Section 6.9(f) of the Agreement. For the avoidance of doubt, the amount of cash placed in the escrow account established by the Finco Pension Escrow Account Agreement by or on behalf of General Motors (including any cash amounts released from the escrow account to the Fincos in accordance with the Finco Pension Escrow Account Agreement) shall not be taken into account to calculate the Fincos Book Value and shall have no impact on the Fincos Purchase Price;</w:t>
      </w:r>
    </w:p>
    <w:p>
      <w:pPr>
        <w:spacing w:after="0" w:line="156" w:lineRule="exact"/>
        <w:rPr>
          <w:rFonts w:ascii="Arial" w:cs="Arial" w:eastAsia="Arial" w:hAnsi="Arial"/>
          <w:sz w:val="16"/>
          <w:szCs w:val="16"/>
          <w:color w:val="auto"/>
        </w:rPr>
      </w:pPr>
    </w:p>
    <w:p>
      <w:pPr>
        <w:jc w:val="both"/>
        <w:ind w:left="328" w:hanging="328"/>
        <w:spacing w:after="0" w:line="25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22"/>
          <w:szCs w:val="22"/>
          <w:color w:val="auto"/>
        </w:rPr>
        <w:t>for the avoidance of doubt, if, upon termination of the escrow account established by the Finco Pension Escrow Account Agreement, residual amounts are transferred to GMAC Banque S.A., such amounts shall be used exclusively for the purpose described in Section 6.9(d) of the Agreement;</w:t>
      </w:r>
    </w:p>
    <w:p>
      <w:pPr>
        <w:spacing w:after="0" w:line="185" w:lineRule="exact"/>
        <w:rPr>
          <w:rFonts w:ascii="Arial" w:cs="Arial" w:eastAsia="Arial" w:hAnsi="Arial"/>
          <w:sz w:val="18"/>
          <w:szCs w:val="18"/>
          <w:color w:val="auto"/>
        </w:rPr>
      </w:pPr>
    </w:p>
    <w:p>
      <w:pPr>
        <w:jc w:val="both"/>
        <w:ind w:left="328" w:hanging="328"/>
        <w:spacing w:after="0" w:line="294"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9"/>
          <w:szCs w:val="19"/>
          <w:color w:val="auto"/>
        </w:rPr>
        <w:t>notwithstanding Section 10.3(b)(ii) of the Agreement (i) on the Second Closing, General Motors shall pay or cause to be paid the excess of the Fourth Estimated Pension Closing Payment Amount over the Buyer Restricted Fourth Pension Closing Payment Amount (calculated based on the Fourth Estimated Pension Closing Payment Amount), as applicable, to GMAC Banque S.A. by wire transfer of immediately available funds and (ii) such excess payment by General Motors shall be treated as a reduction of the Fincos Purchase Price; provided, however, that this sentence shall not reduce any amounts to be paid to General Motors or its Affiliates at the Second Closing (including as a result of</w:t>
      </w:r>
    </w:p>
    <w:p>
      <w:pPr>
        <w:sectPr>
          <w:pgSz w:w="11900" w:h="16838" w:orient="portrait"/>
          <w:cols w:equalWidth="0" w:num="1">
            <w:col w:w="11088"/>
          </w:cols>
          <w:pgMar w:left="572" w:top="591" w:right="239" w:bottom="1440" w:gutter="0" w:footer="0" w:header="0"/>
        </w:sectPr>
      </w:pPr>
    </w:p>
    <w:bookmarkStart w:id="109" w:name="page110"/>
    <w:bookmarkEnd w:id="109"/>
    <w:p>
      <w:pPr>
        <w:jc w:val="both"/>
        <w:ind w:left="328"/>
        <w:spacing w:after="0" w:line="290" w:lineRule="auto"/>
        <w:rPr>
          <w:sz w:val="20"/>
          <w:szCs w:val="20"/>
          <w:color w:val="auto"/>
        </w:rPr>
      </w:pPr>
      <w:r>
        <w:rPr>
          <w:rFonts w:ascii="Arial" w:cs="Arial" w:eastAsia="Arial" w:hAnsi="Arial"/>
          <w:sz w:val="19"/>
          <w:szCs w:val="19"/>
          <w:color w:val="auto"/>
        </w:rPr>
        <w:t>any adjustment to the Fincos Purchase Price following the Second Closing pursuant to Section 3.3 of the Agreement). The excess of any Final Pension Amount in respect of the Fourth Pension Closing Payment Amount over the Fourth Estimated Pension Closing Payment Amount shall be paid by General Motors in accordance with Section 3.3(b) and Part 4 of Exhibit E of the Agreement, provided that (i) with respect to any payments to Buyer to be made by General Motors in accordance with Part 4 of Exhibit E, such payments shall be made to GMAC Banque S.A., and (ii) such payments to GMAC Banque S.A. shall be treated as a reduction of the Fincos Purchase Price; provided, however, that this sentence shall not reduce any amounts to be paid to General Motors or its Affiliates at the Second Closing (including as a result of any adjustment to the Fincos Purchase Price following the Second Closing pursuant to Section 3.3 of the Agreement);</w:t>
      </w:r>
    </w:p>
    <w:p>
      <w:pPr>
        <w:spacing w:after="0" w:line="157" w:lineRule="exact"/>
        <w:rPr>
          <w:sz w:val="20"/>
          <w:szCs w:val="20"/>
          <w:color w:val="auto"/>
        </w:rPr>
      </w:pPr>
    </w:p>
    <w:p>
      <w:pPr>
        <w:jc w:val="both"/>
        <w:ind w:left="328" w:hanging="328"/>
        <w:spacing w:after="0" w:line="294" w:lineRule="auto"/>
        <w:tabs>
          <w:tab w:leader="none" w:pos="328" w:val="left"/>
        </w:tabs>
        <w:numPr>
          <w:ilvl w:val="0"/>
          <w:numId w:val="55"/>
        </w:numPr>
        <w:rPr>
          <w:rFonts w:ascii="Arial" w:cs="Arial" w:eastAsia="Arial" w:hAnsi="Arial"/>
          <w:sz w:val="16"/>
          <w:szCs w:val="16"/>
          <w:color w:val="auto"/>
        </w:rPr>
      </w:pPr>
      <w:r>
        <w:rPr>
          <w:rFonts w:ascii="Arial" w:cs="Arial" w:eastAsia="Arial" w:hAnsi="Arial"/>
          <w:sz w:val="19"/>
          <w:szCs w:val="19"/>
          <w:color w:val="auto"/>
        </w:rPr>
        <w:t>the Parties hereby agree and acknowledge that upon receipt of any funds by GMAC Banque S.A. for an Agreed Pension Vehicle to be funded by another Finco from the escrow account established by the Finco Pension Escrow Account Agreement, Buyer shall cause such funds to be contributed to such other Finco that has established the relevant Agreed Pension Vehicle, and Buyer shall procure that such other Finco shall, upon receipt, promptly deposit such funds into the relevant Agreed Pension Vehicle. Buyer hereby agrees that if a Finco receives funds from the Escrow Agent directly, Buyer shall cause such Finco to deposit such funds into the relevant Agreed Pension Vehicle;</w:t>
      </w:r>
    </w:p>
    <w:p>
      <w:pPr>
        <w:spacing w:after="0" w:line="149" w:lineRule="exact"/>
        <w:rPr>
          <w:rFonts w:ascii="Arial" w:cs="Arial" w:eastAsia="Arial" w:hAnsi="Arial"/>
          <w:sz w:val="16"/>
          <w:szCs w:val="16"/>
          <w:color w:val="auto"/>
        </w:rPr>
      </w:pPr>
    </w:p>
    <w:p>
      <w:pPr>
        <w:jc w:val="both"/>
        <w:ind w:left="328" w:hanging="328"/>
        <w:spacing w:after="0" w:line="290" w:lineRule="auto"/>
        <w:tabs>
          <w:tab w:leader="none" w:pos="328" w:val="left"/>
        </w:tabs>
        <w:numPr>
          <w:ilvl w:val="0"/>
          <w:numId w:val="55"/>
        </w:numPr>
        <w:rPr>
          <w:rFonts w:ascii="Arial" w:cs="Arial" w:eastAsia="Arial" w:hAnsi="Arial"/>
          <w:sz w:val="16"/>
          <w:szCs w:val="16"/>
          <w:color w:val="auto"/>
        </w:rPr>
      </w:pPr>
      <w:r>
        <w:rPr>
          <w:rFonts w:ascii="Arial" w:cs="Arial" w:eastAsia="Arial" w:hAnsi="Arial"/>
          <w:sz w:val="19"/>
          <w:szCs w:val="19"/>
          <w:color w:val="auto"/>
        </w:rPr>
        <w:t>the Parties hereby agree and acknowledge that General Motors shall, pursuant to Section 10.3(c) of the Agreement, before the Second Closing Date, cause the payment of the Buyer Restricted Fourth Pension Closing Amount in respect of the German APVs to be made by debt incurred by the relevant Fincos (namely Opel Bank GmbH, GMF Germany Holdings GmbH, Opel Leasing GmbH, GM Financial GmbH and General Motors Financial International BV), the proceeds of which shall be transferred to the relevant German APV; provided, that the difference between the absolute amounts of (i) the Fincos Purchase Price and (ii) the portion or the full amount (as applicable) of the Fourth Pension Closing Payment Amount to be paid directly by General Motors, shall be the same as compared to the difference which would have resulted from the direct funding by General Motors of the German APVs on behalf of the Fincos pursuant to Section 10.3(c);</w:t>
      </w:r>
    </w:p>
    <w:p>
      <w:pPr>
        <w:spacing w:after="0" w:line="156" w:lineRule="exact"/>
        <w:rPr>
          <w:rFonts w:ascii="Arial" w:cs="Arial" w:eastAsia="Arial" w:hAnsi="Arial"/>
          <w:sz w:val="16"/>
          <w:szCs w:val="16"/>
          <w:color w:val="auto"/>
        </w:rPr>
      </w:pPr>
    </w:p>
    <w:p>
      <w:pPr>
        <w:jc w:val="both"/>
        <w:ind w:left="328" w:hanging="328"/>
        <w:spacing w:after="0" w:line="258" w:lineRule="auto"/>
        <w:tabs>
          <w:tab w:leader="none" w:pos="328" w:val="left"/>
        </w:tabs>
        <w:numPr>
          <w:ilvl w:val="0"/>
          <w:numId w:val="55"/>
        </w:numPr>
        <w:rPr>
          <w:rFonts w:ascii="Arial" w:cs="Arial" w:eastAsia="Arial" w:hAnsi="Arial"/>
          <w:sz w:val="17"/>
          <w:szCs w:val="17"/>
          <w:color w:val="auto"/>
        </w:rPr>
      </w:pPr>
      <w:r>
        <w:rPr>
          <w:rFonts w:ascii="Arial" w:cs="Arial" w:eastAsia="Arial" w:hAnsi="Arial"/>
          <w:sz w:val="21"/>
          <w:szCs w:val="21"/>
          <w:color w:val="auto"/>
        </w:rPr>
        <w:t>for the avoidance of doubt, any deferred tax asset relating to the pension liabilities related to the Fincos allocated to the (i) Agreed Pension Vehicles or (ii) Pension Funds, shall be excluded from the assets of such Agreed Pension Vehicles or Pension Funds, as applicable, and shall be included for purposes of calculating the Fincos Book Value. In the event that (i) any pre-Second Closing payments that relate to the pension liabilities related to the Fincos and that have been paid to the Agreed Pension Vehicles or the Pension Funds, or (ii) any payments related to the Fourth Pension Closing Payment Amount paid to the Agreed Pension Vehicles or Pension Funds of the Fincos are lower than the amount of pension liabilities in the Closing Accounts (before such funding of the Agreed Pension Vehicles or Pension Funds and the off-setting against the pension liabilities thereby), and either (i) or (ii) triggers a loss of, or a reduction in the amount of, any deferred tax asset included for the purposes of calculating the Fincos Book Value, then the Fincos Purchase Price shall be reduced to the extent of such loss or reduction;</w:t>
      </w:r>
    </w:p>
    <w:p>
      <w:pPr>
        <w:spacing w:after="0" w:line="186" w:lineRule="exact"/>
        <w:rPr>
          <w:rFonts w:ascii="Arial" w:cs="Arial" w:eastAsia="Arial" w:hAnsi="Arial"/>
          <w:sz w:val="17"/>
          <w:szCs w:val="17"/>
          <w:color w:val="auto"/>
        </w:rPr>
      </w:pPr>
    </w:p>
    <w:p>
      <w:pPr>
        <w:jc w:val="both"/>
        <w:ind w:left="328" w:hanging="328"/>
        <w:spacing w:after="0" w:line="253"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22"/>
          <w:szCs w:val="22"/>
          <w:color w:val="auto"/>
        </w:rPr>
        <w:t>For the avoidance of doubt, claims for cash payments to be made by AOAG to the relevant Finco or by the relevant Finco to AOAG pursuant to the profit and loss profit agreement (in accordance with Section 8.3(b)(i) of the Agreement) shall not be taken into account in the Fincos Book Value;</w:t>
      </w:r>
    </w:p>
    <w:p>
      <w:pPr>
        <w:spacing w:after="0" w:line="220"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6"/>
          <w:szCs w:val="16"/>
          <w:color w:val="auto"/>
        </w:rPr>
      </w:pPr>
      <w:r>
        <w:rPr>
          <w:rFonts w:ascii="Arial" w:cs="Arial" w:eastAsia="Arial" w:hAnsi="Arial"/>
          <w:sz w:val="19"/>
          <w:szCs w:val="19"/>
          <w:color w:val="auto"/>
        </w:rPr>
        <w:t xml:space="preserve">the Reorganization Transaction described in </w:t>
      </w:r>
      <w:r>
        <w:rPr>
          <w:rFonts w:ascii="Arial" w:cs="Arial" w:eastAsia="Arial" w:hAnsi="Arial"/>
          <w:sz w:val="19"/>
          <w:szCs w:val="19"/>
          <w:b w:val="1"/>
          <w:bCs w:val="1"/>
          <w:color w:val="auto"/>
        </w:rPr>
        <w:t>Exhibit 6.4(a)(ii)</w:t>
      </w:r>
      <w:r>
        <w:rPr>
          <w:rFonts w:ascii="Arial" w:cs="Arial" w:eastAsia="Arial" w:hAnsi="Arial"/>
          <w:sz w:val="19"/>
          <w:szCs w:val="19"/>
          <w:color w:val="auto"/>
        </w:rPr>
        <w:t>-Item 13 to the Agreement is hereby amended as follows:</w:t>
      </w:r>
    </w:p>
    <w:p>
      <w:pPr>
        <w:sectPr>
          <w:pgSz w:w="11900" w:h="16838" w:orient="portrait"/>
          <w:cols w:equalWidth="0" w:num="1">
            <w:col w:w="11088"/>
          </w:cols>
          <w:pgMar w:left="572" w:top="591" w:right="2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Transaction</w:t>
            </w:r>
          </w:p>
        </w:tc>
        <w:tc>
          <w:tcPr>
            <w:tcW w:w="11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Description</w:t>
            </w:r>
          </w:p>
        </w:tc>
        <w:tc>
          <w:tcPr>
            <w:tcW w:w="8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80" w:type="dxa"/>
            <w:vAlign w:val="bottom"/>
            <w:tcBorders>
              <w:top w:val="single" w:sz="8" w:color="auto"/>
              <w:right w:val="single" w:sz="8" w:color="auto"/>
            </w:tcBorders>
          </w:tcPr>
          <w:p>
            <w:pPr>
              <w:spacing w:after="0"/>
              <w:rPr>
                <w:sz w:val="22"/>
                <w:szCs w:val="22"/>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42"/>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2360" w:type="dxa"/>
            <w:vAlign w:val="bottom"/>
            <w:gridSpan w:val="6"/>
          </w:tcPr>
          <w:p>
            <w:pPr>
              <w:ind w:left="20"/>
              <w:spacing w:after="0" w:line="242" w:lineRule="exact"/>
              <w:rPr>
                <w:sz w:val="20"/>
                <w:szCs w:val="20"/>
                <w:color w:val="auto"/>
              </w:rPr>
            </w:pPr>
            <w:r>
              <w:rPr>
                <w:rFonts w:ascii="Arial" w:cs="Arial" w:eastAsia="Arial" w:hAnsi="Arial"/>
                <w:sz w:val="22"/>
                <w:szCs w:val="22"/>
                <w:color w:val="auto"/>
              </w:rPr>
              <w:t>General Motors will:</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9440" w:type="dxa"/>
            <w:vAlign w:val="bottom"/>
            <w:tcBorders>
              <w:right w:val="single" w:sz="8" w:color="auto"/>
            </w:tcBorders>
            <w:gridSpan w:val="18"/>
          </w:tcPr>
          <w:p>
            <w:pPr>
              <w:jc w:val="center"/>
              <w:spacing w:after="0" w:line="243" w:lineRule="exact"/>
              <w:rPr>
                <w:sz w:val="20"/>
                <w:szCs w:val="20"/>
                <w:color w:val="auto"/>
              </w:rPr>
            </w:pPr>
            <w:r>
              <w:rPr>
                <w:rFonts w:ascii="Arial" w:cs="Arial" w:eastAsia="Arial" w:hAnsi="Arial"/>
                <w:sz w:val="22"/>
                <w:szCs w:val="22"/>
                <w:color w:val="auto"/>
                <w:w w:val="97"/>
              </w:rPr>
              <w:t>(a) cause GMAC Continental Corporation to sell its interests in GMAC Financial AB to GMF Europe</w:t>
            </w: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spacing w:after="0" w:line="243" w:lineRule="exact"/>
              <w:rPr>
                <w:sz w:val="20"/>
                <w:szCs w:val="20"/>
                <w:color w:val="auto"/>
              </w:rPr>
            </w:pPr>
            <w:r>
              <w:rPr>
                <w:rFonts w:ascii="Arial" w:cs="Arial" w:eastAsia="Arial" w:hAnsi="Arial"/>
                <w:sz w:val="22"/>
                <w:szCs w:val="22"/>
                <w:color w:val="auto"/>
                <w:w w:val="93"/>
              </w:rPr>
              <w:t>Holdco Limited;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9440" w:type="dxa"/>
            <w:vAlign w:val="bottom"/>
            <w:tcBorders>
              <w:right w:val="single" w:sz="8" w:color="auto"/>
            </w:tcBorders>
            <w:gridSpan w:val="18"/>
          </w:tcPr>
          <w:p>
            <w:pPr>
              <w:jc w:val="center"/>
              <w:spacing w:after="0" w:line="243" w:lineRule="exact"/>
              <w:rPr>
                <w:sz w:val="20"/>
                <w:szCs w:val="20"/>
                <w:color w:val="auto"/>
              </w:rPr>
            </w:pPr>
            <w:r>
              <w:rPr>
                <w:rFonts w:ascii="Arial" w:cs="Arial" w:eastAsia="Arial" w:hAnsi="Arial"/>
                <w:sz w:val="22"/>
                <w:szCs w:val="22"/>
                <w:color w:val="auto"/>
                <w:w w:val="92"/>
              </w:rPr>
              <w:t>(b) cause General Motors Financial Company, Inc. to sell one share of GMAC Continental Corporation to</w:t>
            </w: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gridSpan w:val="8"/>
          </w:tcPr>
          <w:p>
            <w:pPr>
              <w:spacing w:after="0" w:line="243" w:lineRule="exact"/>
              <w:rPr>
                <w:sz w:val="20"/>
                <w:szCs w:val="20"/>
                <w:color w:val="auto"/>
              </w:rPr>
            </w:pPr>
            <w:r>
              <w:rPr>
                <w:rFonts w:ascii="Arial" w:cs="Arial" w:eastAsia="Arial" w:hAnsi="Arial"/>
                <w:sz w:val="22"/>
                <w:szCs w:val="22"/>
                <w:color w:val="auto"/>
              </w:rPr>
              <w:t>GMF Europe Holdco Limited; and</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9440" w:type="dxa"/>
            <w:vAlign w:val="bottom"/>
            <w:tcBorders>
              <w:right w:val="single" w:sz="8" w:color="auto"/>
            </w:tcBorders>
            <w:gridSpan w:val="18"/>
          </w:tcPr>
          <w:p>
            <w:pPr>
              <w:jc w:val="center"/>
              <w:spacing w:after="0" w:line="243" w:lineRule="exact"/>
              <w:rPr>
                <w:sz w:val="20"/>
                <w:szCs w:val="20"/>
                <w:color w:val="auto"/>
              </w:rPr>
            </w:pPr>
            <w:r>
              <w:rPr>
                <w:rFonts w:ascii="Arial" w:cs="Arial" w:eastAsia="Arial" w:hAnsi="Arial"/>
                <w:sz w:val="22"/>
                <w:szCs w:val="22"/>
                <w:color w:val="auto"/>
                <w:w w:val="99"/>
              </w:rPr>
              <w:t>(c) convert GMAC Continental Corporation from a Delaware entity into a Luxembourg entity (with</w:t>
            </w:r>
          </w:p>
        </w:tc>
      </w:tr>
      <w:tr>
        <w:trPr>
          <w:trHeight w:val="243"/>
        </w:trPr>
        <w:tc>
          <w:tcPr>
            <w:tcW w:w="48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20" w:type="dxa"/>
            <w:vAlign w:val="bottom"/>
            <w:tcBorders>
              <w:right w:val="single" w:sz="8" w:color="auto"/>
            </w:tcBorders>
            <w:gridSpan w:val="16"/>
          </w:tcPr>
          <w:p>
            <w:pPr>
              <w:spacing w:after="0" w:line="243" w:lineRule="exact"/>
              <w:rPr>
                <w:sz w:val="20"/>
                <w:szCs w:val="20"/>
                <w:color w:val="auto"/>
              </w:rPr>
            </w:pPr>
            <w:r>
              <w:rPr>
                <w:rFonts w:ascii="Arial" w:cs="Arial" w:eastAsia="Arial" w:hAnsi="Arial"/>
                <w:sz w:val="22"/>
                <w:szCs w:val="22"/>
                <w:color w:val="auto"/>
                <w:w w:val="92"/>
              </w:rPr>
              <w:t>continuity of personality) and then convert that Luxembourg entity into a Belgian entity (with continuity</w:t>
            </w:r>
          </w:p>
        </w:tc>
      </w:tr>
      <w:tr>
        <w:trPr>
          <w:trHeight w:val="285"/>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rPr>
              <w:t>of personality, and changes its name to Opel Finance BVBA).</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r>
      <w:tr>
        <w:trPr>
          <w:trHeight w:val="465"/>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720" w:type="dxa"/>
            <w:vAlign w:val="bottom"/>
            <w:gridSpan w:val="20"/>
          </w:tcPr>
          <w:p>
            <w:pPr>
              <w:ind w:left="26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21"/>
                <w:szCs w:val="21"/>
                <w:color w:val="auto"/>
                <w:w w:val="96"/>
              </w:rPr>
              <w:t>References to “GMCC” throughout the Agreement are changed, as the case may be, in such a way that they shall</w:t>
            </w:r>
          </w:p>
        </w:tc>
      </w:tr>
      <w:tr>
        <w:trPr>
          <w:trHeight w:val="275"/>
        </w:trPr>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60" w:type="dxa"/>
            <w:vAlign w:val="bottom"/>
            <w:gridSpan w:val="16"/>
          </w:tcPr>
          <w:p>
            <w:pPr>
              <w:ind w:left="580"/>
              <w:spacing w:after="0"/>
              <w:rPr>
                <w:sz w:val="20"/>
                <w:szCs w:val="20"/>
                <w:color w:val="auto"/>
              </w:rPr>
            </w:pPr>
            <w:r>
              <w:rPr>
                <w:rFonts w:ascii="Arial" w:cs="Arial" w:eastAsia="Arial" w:hAnsi="Arial"/>
                <w:sz w:val="22"/>
                <w:szCs w:val="22"/>
                <w:color w:val="auto"/>
              </w:rPr>
              <w:t>refer to Opel Finance BVBA following its conversion into a Belgian entity.</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73"/>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9"/>
          </w:tcPr>
          <w:p>
            <w:pPr>
              <w:ind w:left="260"/>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21"/>
                <w:szCs w:val="21"/>
                <w:color w:val="auto"/>
                <w:w w:val="94"/>
              </w:rPr>
              <w:t>Item 7 of the Direct Share Transfers table in</w:t>
            </w:r>
            <w:r>
              <w:rPr>
                <w:rFonts w:ascii="Arial" w:cs="Arial" w:eastAsia="Arial" w:hAnsi="Arial"/>
                <w:sz w:val="18"/>
                <w:szCs w:val="18"/>
                <w:color w:val="auto"/>
                <w:w w:val="94"/>
              </w:rPr>
              <w:t xml:space="preserve"> </w:t>
            </w:r>
            <w:r>
              <w:rPr>
                <w:rFonts w:ascii="Arial" w:cs="Arial" w:eastAsia="Arial" w:hAnsi="Arial"/>
                <w:sz w:val="21"/>
                <w:szCs w:val="21"/>
                <w:b w:val="1"/>
                <w:bCs w:val="1"/>
                <w:color w:val="auto"/>
                <w:w w:val="94"/>
              </w:rPr>
              <w:t>Exhibit 4.4(a)</w:t>
            </w:r>
            <w:r>
              <w:rPr>
                <w:rFonts w:ascii="Arial" w:cs="Arial" w:eastAsia="Arial" w:hAnsi="Arial"/>
                <w:sz w:val="18"/>
                <w:szCs w:val="18"/>
                <w:color w:val="auto"/>
                <w:w w:val="94"/>
              </w:rPr>
              <w:t xml:space="preserve"> </w:t>
            </w:r>
            <w:r>
              <w:rPr>
                <w:rFonts w:ascii="Arial" w:cs="Arial" w:eastAsia="Arial" w:hAnsi="Arial"/>
                <w:sz w:val="21"/>
                <w:szCs w:val="21"/>
                <w:color w:val="auto"/>
                <w:w w:val="94"/>
              </w:rPr>
              <w:t>to the Agreement is amended to read as follows:</w:t>
            </w:r>
          </w:p>
        </w:tc>
        <w:tc>
          <w:tcPr>
            <w:tcW w:w="780" w:type="dxa"/>
            <w:vAlign w:val="bottom"/>
          </w:tcPr>
          <w:p>
            <w:pPr>
              <w:spacing w:after="0"/>
              <w:rPr>
                <w:sz w:val="24"/>
                <w:szCs w:val="24"/>
                <w:color w:val="auto"/>
              </w:rPr>
            </w:pPr>
          </w:p>
        </w:tc>
      </w:tr>
      <w:tr>
        <w:trPr>
          <w:trHeight w:val="341"/>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09"/>
        </w:trPr>
        <w:tc>
          <w:tcPr>
            <w:tcW w:w="4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Target Group</w:t>
            </w:r>
          </w:p>
        </w:tc>
        <w:tc>
          <w:tcPr>
            <w:tcW w:w="1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Jurisdiction</w:t>
            </w:r>
          </w:p>
        </w:tc>
        <w:tc>
          <w:tcPr>
            <w:tcW w:w="40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6"/>
                <w:szCs w:val="16"/>
                <w:b w:val="1"/>
                <w:bCs w:val="1"/>
                <w:color w:val="auto"/>
              </w:rPr>
              <w:t>Seller</w:t>
            </w:r>
          </w:p>
        </w:tc>
        <w:tc>
          <w:tcPr>
            <w:tcW w:w="2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Number of Shares/Partnership</w:t>
            </w:r>
          </w:p>
        </w:tc>
        <w:tc>
          <w:tcPr>
            <w:tcW w:w="33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Percentage Ownership Held by Respective</w:t>
            </w:r>
          </w:p>
        </w:tc>
        <w:tc>
          <w:tcPr>
            <w:tcW w:w="20" w:type="dxa"/>
            <w:vAlign w:val="bottom"/>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Entity</w:t>
            </w:r>
          </w:p>
        </w:tc>
      </w:tr>
      <w:tr>
        <w:trPr>
          <w:trHeight w:val="210"/>
        </w:trPr>
        <w:tc>
          <w:tcPr>
            <w:tcW w:w="48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Company</w:t>
            </w: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Interest Held by Respective Seller</w:t>
            </w:r>
          </w:p>
        </w:tc>
        <w:tc>
          <w:tcPr>
            <w:tcW w:w="1840" w:type="dxa"/>
            <w:vAlign w:val="bottom"/>
          </w:tcPr>
          <w:p>
            <w:pPr>
              <w:jc w:val="center"/>
              <w:ind w:left="1359"/>
              <w:spacing w:after="0"/>
              <w:rPr>
                <w:sz w:val="20"/>
                <w:szCs w:val="20"/>
                <w:color w:val="auto"/>
              </w:rPr>
            </w:pPr>
            <w:r>
              <w:rPr>
                <w:rFonts w:ascii="Arial" w:cs="Arial" w:eastAsia="Arial" w:hAnsi="Arial"/>
                <w:sz w:val="16"/>
                <w:szCs w:val="16"/>
                <w:b w:val="1"/>
                <w:bCs w:val="1"/>
                <w:color w:val="auto"/>
                <w:w w:val="91"/>
              </w:rPr>
              <w:t>Seller</w:t>
            </w:r>
          </w:p>
        </w:tc>
        <w:tc>
          <w:tcPr>
            <w:tcW w:w="1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r>
      <w:tr>
        <w:trPr>
          <w:trHeight w:val="33"/>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r>
      <w:tr>
        <w:trPr>
          <w:trHeight w:val="213"/>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7.</w:t>
            </w:r>
          </w:p>
        </w:tc>
        <w:tc>
          <w:tcPr>
            <w:tcW w:w="1520" w:type="dxa"/>
            <w:vAlign w:val="bottom"/>
            <w:gridSpan w:val="4"/>
          </w:tcPr>
          <w:p>
            <w:pPr>
              <w:ind w:left="20"/>
              <w:spacing w:after="0"/>
              <w:rPr>
                <w:sz w:val="20"/>
                <w:szCs w:val="20"/>
                <w:color w:val="auto"/>
              </w:rPr>
            </w:pPr>
            <w:r>
              <w:rPr>
                <w:rFonts w:ascii="Arial" w:cs="Arial" w:eastAsia="Arial" w:hAnsi="Arial"/>
                <w:sz w:val="16"/>
                <w:szCs w:val="16"/>
                <w:color w:val="auto"/>
              </w:rPr>
              <w:t>GMAC Banque S.A.</w:t>
            </w:r>
          </w:p>
        </w:tc>
        <w:tc>
          <w:tcPr>
            <w:tcW w:w="100" w:type="dxa"/>
            <w:vAlign w:val="bottom"/>
            <w:tcBorders>
              <w:right w:val="single" w:sz="8" w:color="auto"/>
            </w:tcBorders>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w w:val="80"/>
              </w:rPr>
              <w:t>France</w:t>
            </w:r>
          </w:p>
        </w:tc>
        <w:tc>
          <w:tcPr>
            <w:tcW w:w="80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GM</w:t>
            </w:r>
          </w:p>
        </w:tc>
        <w:tc>
          <w:tcPr>
            <w:tcW w:w="40" w:type="dxa"/>
            <w:vAlign w:val="bottom"/>
          </w:tcPr>
          <w:p>
            <w:pPr>
              <w:spacing w:after="0"/>
              <w:rPr>
                <w:sz w:val="18"/>
                <w:szCs w:val="18"/>
                <w:color w:val="auto"/>
              </w:rPr>
            </w:pPr>
          </w:p>
        </w:tc>
        <w:tc>
          <w:tcPr>
            <w:tcW w:w="80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color w:val="auto"/>
                <w:w w:val="93"/>
              </w:rPr>
              <w:t>Financial</w:t>
            </w:r>
          </w:p>
        </w:tc>
        <w:tc>
          <w:tcPr>
            <w:tcW w:w="274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w w:val="94"/>
              </w:rPr>
              <w:t>212,893 (increased to 212,978 as of the</w:t>
            </w:r>
          </w:p>
        </w:tc>
        <w:tc>
          <w:tcPr>
            <w:tcW w:w="33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6"/>
              </w:rPr>
              <w:t>99.09% (increased to 99.13% as of the Second</w:t>
            </w:r>
          </w:p>
        </w:tc>
        <w:tc>
          <w:tcPr>
            <w:tcW w:w="8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Finco</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6"/>
                <w:szCs w:val="16"/>
                <w:color w:val="auto"/>
                <w:w w:val="89"/>
              </w:rPr>
              <w:t>Company, Inc.</w:t>
            </w:r>
          </w:p>
        </w:tc>
        <w:tc>
          <w:tcPr>
            <w:tcW w:w="280" w:type="dxa"/>
            <w:vAlign w:val="bottom"/>
            <w:tcBorders>
              <w:right w:val="single" w:sz="8" w:color="auto"/>
            </w:tcBorders>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Second  Closing  to</w:t>
            </w:r>
          </w:p>
        </w:tc>
        <w:tc>
          <w:tcPr>
            <w:tcW w:w="13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3"/>
              </w:rPr>
              <w:t>reflect  purchases</w:t>
            </w:r>
          </w:p>
        </w:tc>
        <w:tc>
          <w:tcPr>
            <w:tcW w:w="33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Closing  to  reflect  purchases  from  minority</w:t>
            </w:r>
          </w:p>
        </w:tc>
        <w:tc>
          <w:tcPr>
            <w:tcW w:w="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206"/>
        </w:trPr>
        <w:tc>
          <w:tcPr>
            <w:tcW w:w="48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from minority shareholders)</w:t>
            </w:r>
          </w:p>
        </w:tc>
        <w:tc>
          <w:tcPr>
            <w:tcW w:w="1840" w:type="dxa"/>
            <w:vAlign w:val="bottom"/>
          </w:tcPr>
          <w:p>
            <w:pPr>
              <w:jc w:val="center"/>
              <w:ind w:right="859"/>
              <w:spacing w:after="0"/>
              <w:rPr>
                <w:sz w:val="20"/>
                <w:szCs w:val="20"/>
                <w:color w:val="auto"/>
              </w:rPr>
            </w:pPr>
            <w:r>
              <w:rPr>
                <w:rFonts w:ascii="Arial" w:cs="Arial" w:eastAsia="Arial" w:hAnsi="Arial"/>
                <w:sz w:val="16"/>
                <w:szCs w:val="16"/>
                <w:color w:val="auto"/>
                <w:w w:val="87"/>
              </w:rPr>
              <w:t>shareholders)</w:t>
            </w:r>
          </w:p>
        </w:tc>
        <w:tc>
          <w:tcPr>
            <w:tcW w:w="10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33"/>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r>
      <w:tr>
        <w:trPr>
          <w:trHeight w:val="476"/>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72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Item 12 of the Direct Share Transfers table in</w:t>
            </w:r>
            <w:r>
              <w:rPr>
                <w:rFonts w:ascii="Arial" w:cs="Arial" w:eastAsia="Arial" w:hAnsi="Arial"/>
                <w:sz w:val="18"/>
                <w:szCs w:val="18"/>
                <w:color w:val="auto"/>
              </w:rPr>
              <w:t xml:space="preserve"> </w:t>
            </w:r>
            <w:r>
              <w:rPr>
                <w:rFonts w:ascii="Arial" w:cs="Arial" w:eastAsia="Arial" w:hAnsi="Arial"/>
                <w:sz w:val="21"/>
                <w:szCs w:val="21"/>
                <w:b w:val="1"/>
                <w:bCs w:val="1"/>
                <w:color w:val="auto"/>
              </w:rPr>
              <w:t>Exhibit 4.4(a)</w:t>
            </w:r>
            <w:r>
              <w:rPr>
                <w:rFonts w:ascii="Arial" w:cs="Arial" w:eastAsia="Arial" w:hAnsi="Arial"/>
                <w:sz w:val="18"/>
                <w:szCs w:val="18"/>
                <w:color w:val="auto"/>
              </w:rPr>
              <w:t xml:space="preserve"> </w:t>
            </w:r>
            <w:r>
              <w:rPr>
                <w:rFonts w:ascii="Arial" w:cs="Arial" w:eastAsia="Arial" w:hAnsi="Arial"/>
                <w:sz w:val="21"/>
                <w:szCs w:val="21"/>
                <w:color w:val="auto"/>
              </w:rPr>
              <w:t>to the Agreement is amended to read as follows:</w:t>
            </w:r>
          </w:p>
        </w:tc>
      </w:tr>
      <w:tr>
        <w:trPr>
          <w:trHeight w:val="341"/>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09"/>
        </w:trPr>
        <w:tc>
          <w:tcPr>
            <w:tcW w:w="480" w:type="dxa"/>
            <w:vAlign w:val="bottom"/>
            <w:tcBorders>
              <w:left w:val="single" w:sz="8" w:color="auto"/>
            </w:tcBorders>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7"/>
              </w:rPr>
              <w:t>Target Group Company</w:t>
            </w: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w w:val="96"/>
              </w:rPr>
              <w:t>Jurisdiction</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ind w:left="420"/>
              <w:spacing w:after="0"/>
              <w:rPr>
                <w:sz w:val="20"/>
                <w:szCs w:val="20"/>
                <w:color w:val="auto"/>
              </w:rPr>
            </w:pPr>
            <w:r>
              <w:rPr>
                <w:rFonts w:ascii="Arial" w:cs="Arial" w:eastAsia="Arial" w:hAnsi="Arial"/>
                <w:sz w:val="16"/>
                <w:szCs w:val="16"/>
                <w:b w:val="1"/>
                <w:bCs w:val="1"/>
                <w:color w:val="auto"/>
              </w:rPr>
              <w:t>Seller</w:t>
            </w: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Number of Shares/Partnership</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Percentage</w:t>
            </w:r>
          </w:p>
        </w:tc>
        <w:tc>
          <w:tcPr>
            <w:tcW w:w="20" w:type="dxa"/>
            <w:vAlign w:val="bottom"/>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Entity</w:t>
            </w:r>
          </w:p>
        </w:tc>
      </w:tr>
      <w:tr>
        <w:trPr>
          <w:trHeight w:val="203"/>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Interest Held by Respective Seller</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Ownership Held by</w:t>
            </w:r>
          </w:p>
        </w:tc>
        <w:tc>
          <w:tcPr>
            <w:tcW w:w="20" w:type="dxa"/>
            <w:vAlign w:val="bottom"/>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r>
      <w:tr>
        <w:trPr>
          <w:trHeight w:val="210"/>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Respective Seller</w:t>
            </w:r>
          </w:p>
        </w:tc>
        <w:tc>
          <w:tcPr>
            <w:tcW w:w="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6"/>
                <w:szCs w:val="16"/>
                <w:color w:val="auto"/>
              </w:rPr>
              <w:t>Opel Finance BVBA</w:t>
            </w:r>
            <w:r>
              <w:rPr>
                <w:rFonts w:ascii="Arial" w:cs="Arial" w:eastAsia="Arial" w:hAnsi="Arial"/>
                <w:sz w:val="21"/>
                <w:szCs w:val="21"/>
                <w:color w:val="auto"/>
                <w:vertAlign w:val="superscript"/>
              </w:rPr>
              <w:t>14</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Belgium</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7"/>
              </w:rPr>
              <w:t>GM Financial Company, Inc.</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999</w:t>
            </w:r>
          </w:p>
        </w:tc>
        <w:tc>
          <w:tcPr>
            <w:tcW w:w="18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gridSpan w:val="2"/>
          </w:tcPr>
          <w:p>
            <w:pPr>
              <w:jc w:val="right"/>
              <w:ind w:right="939"/>
              <w:spacing w:after="0"/>
              <w:rPr>
                <w:sz w:val="20"/>
                <w:szCs w:val="20"/>
                <w:color w:val="auto"/>
              </w:rPr>
            </w:pPr>
            <w:r>
              <w:rPr>
                <w:rFonts w:ascii="Arial" w:cs="Arial" w:eastAsia="Arial" w:hAnsi="Arial"/>
                <w:sz w:val="16"/>
                <w:szCs w:val="16"/>
                <w:color w:val="auto"/>
                <w:w w:val="92"/>
              </w:rPr>
              <w:t>99.9%</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Finco</w:t>
            </w:r>
          </w:p>
        </w:tc>
      </w:tr>
      <w:tr>
        <w:trPr>
          <w:trHeight w:val="24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40" w:type="dxa"/>
            <w:vAlign w:val="bottom"/>
            <w:gridSpan w:val="21"/>
          </w:tcPr>
          <w:p>
            <w:pPr>
              <w:ind w:left="60"/>
              <w:spacing w:after="0" w:line="242" w:lineRule="exact"/>
              <w:rPr>
                <w:sz w:val="20"/>
                <w:szCs w:val="20"/>
                <w:color w:val="auto"/>
              </w:rPr>
            </w:pPr>
            <w:r>
              <w:rPr>
                <w:rFonts w:ascii="Arial" w:cs="Arial" w:eastAsia="Arial" w:hAnsi="Arial"/>
                <w:sz w:val="28"/>
                <w:szCs w:val="28"/>
                <w:color w:val="auto"/>
                <w:w w:val="96"/>
                <w:vertAlign w:val="superscript"/>
              </w:rPr>
              <w:t>14</w:t>
            </w:r>
            <w:r>
              <w:rPr>
                <w:rFonts w:ascii="Arial" w:cs="Arial" w:eastAsia="Arial" w:hAnsi="Arial"/>
                <w:sz w:val="14"/>
                <w:szCs w:val="14"/>
                <w:color w:val="auto"/>
                <w:w w:val="96"/>
              </w:rPr>
              <w:t xml:space="preserve"> This entity is currently known as GMAC Continental Corporation (a Delaware corporation). As part of a Reorganization Transaction, it will migrate from Delaware to Luxembourg</w:t>
            </w:r>
          </w:p>
        </w:tc>
      </w:tr>
      <w:tr>
        <w:trPr>
          <w:trHeight w:val="275"/>
        </w:trPr>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740" w:type="dxa"/>
            <w:vAlign w:val="bottom"/>
            <w:gridSpan w:val="16"/>
          </w:tcPr>
          <w:p>
            <w:pPr>
              <w:ind w:left="60"/>
              <w:spacing w:after="0"/>
              <w:rPr>
                <w:sz w:val="20"/>
                <w:szCs w:val="20"/>
                <w:color w:val="auto"/>
              </w:rPr>
            </w:pPr>
            <w:r>
              <w:rPr>
                <w:rFonts w:ascii="Arial" w:cs="Arial" w:eastAsia="Arial" w:hAnsi="Arial"/>
                <w:sz w:val="14"/>
                <w:szCs w:val="14"/>
                <w:color w:val="auto"/>
              </w:rPr>
              <w:t>and then migrate from Luxembourg to Belgium at which time it will be renamed Opel Finance BVBA</w:t>
            </w:r>
            <w:r>
              <w:rPr>
                <w:rFonts w:ascii="Arial" w:cs="Arial" w:eastAsia="Arial" w:hAnsi="Arial"/>
                <w:sz w:val="21"/>
                <w:szCs w:val="21"/>
                <w:color w:val="auto"/>
              </w:rPr>
              <w:t>.</w:t>
            </w: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0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9"/>
          </w:tcPr>
          <w:p>
            <w:pPr>
              <w:ind w:left="26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21"/>
                <w:szCs w:val="21"/>
                <w:color w:val="auto"/>
                <w:w w:val="99"/>
              </w:rPr>
              <w:t>New line item no. 50 is added to the Indirect Share Transfers table in</w:t>
            </w:r>
            <w:r>
              <w:rPr>
                <w:rFonts w:ascii="Arial" w:cs="Arial" w:eastAsia="Arial" w:hAnsi="Arial"/>
                <w:sz w:val="18"/>
                <w:szCs w:val="18"/>
                <w:color w:val="auto"/>
                <w:w w:val="99"/>
              </w:rPr>
              <w:t xml:space="preserve"> </w:t>
            </w:r>
            <w:r>
              <w:rPr>
                <w:rFonts w:ascii="Arial" w:cs="Arial" w:eastAsia="Arial" w:hAnsi="Arial"/>
                <w:sz w:val="21"/>
                <w:szCs w:val="21"/>
                <w:b w:val="1"/>
                <w:bCs w:val="1"/>
                <w:color w:val="auto"/>
                <w:w w:val="99"/>
              </w:rPr>
              <w:t>Exhibit 4.4(a)</w:t>
            </w:r>
            <w:r>
              <w:rPr>
                <w:rFonts w:ascii="Arial" w:cs="Arial" w:eastAsia="Arial" w:hAnsi="Arial"/>
                <w:sz w:val="18"/>
                <w:szCs w:val="18"/>
                <w:color w:val="auto"/>
                <w:w w:val="99"/>
              </w:rPr>
              <w:t xml:space="preserve"> </w:t>
            </w:r>
            <w:r>
              <w:rPr>
                <w:rFonts w:ascii="Arial" w:cs="Arial" w:eastAsia="Arial" w:hAnsi="Arial"/>
                <w:sz w:val="21"/>
                <w:szCs w:val="21"/>
                <w:color w:val="auto"/>
                <w:w w:val="99"/>
              </w:rPr>
              <w:t>to the Agreement:</w:t>
            </w:r>
          </w:p>
        </w:tc>
        <w:tc>
          <w:tcPr>
            <w:tcW w:w="780" w:type="dxa"/>
            <w:vAlign w:val="bottom"/>
          </w:tcPr>
          <w:p>
            <w:pPr>
              <w:spacing w:after="0"/>
              <w:rPr>
                <w:sz w:val="24"/>
                <w:szCs w:val="24"/>
                <w:color w:val="auto"/>
              </w:rPr>
            </w:pPr>
          </w:p>
        </w:tc>
      </w:tr>
      <w:tr>
        <w:trPr>
          <w:trHeight w:val="341"/>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09"/>
        </w:trPr>
        <w:tc>
          <w:tcPr>
            <w:tcW w:w="480" w:type="dxa"/>
            <w:vAlign w:val="bottom"/>
            <w:tcBorders>
              <w:left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w w:val="98"/>
              </w:rPr>
              <w:t>Target Group</w:t>
            </w: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Jurisdiction</w:t>
            </w:r>
          </w:p>
        </w:tc>
        <w:tc>
          <w:tcPr>
            <w:tcW w:w="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Shareholder/Partner</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 Shares/Partnership Interest</w:t>
            </w:r>
          </w:p>
        </w:tc>
        <w:tc>
          <w:tcPr>
            <w:tcW w:w="1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20" w:type="dxa"/>
            <w:vAlign w:val="bottom"/>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Entity</w:t>
            </w:r>
          </w:p>
        </w:tc>
      </w:tr>
      <w:tr>
        <w:trPr>
          <w:trHeight w:val="210"/>
        </w:trPr>
        <w:tc>
          <w:tcPr>
            <w:tcW w:w="4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Company</w:t>
            </w: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Held by Respective Shareholder/Partner</w:t>
            </w:r>
          </w:p>
        </w:tc>
        <w:tc>
          <w:tcPr>
            <w:tcW w:w="1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20" w:type="dxa"/>
            <w:vAlign w:val="bottom"/>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17"/>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50.</w:t>
            </w:r>
          </w:p>
        </w:tc>
        <w:tc>
          <w:tcPr>
            <w:tcW w:w="120" w:type="dxa"/>
            <w:vAlign w:val="bottom"/>
            <w:tcBorders>
              <w:right w:val="single" w:sz="8" w:color="auto"/>
            </w:tcBorders>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auto"/>
                <w:w w:val="95"/>
              </w:rPr>
              <w:t>Opel Finance BVBA</w:t>
            </w: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color w:val="auto"/>
              </w:rPr>
              <w:t>Belgium</w:t>
            </w:r>
          </w:p>
        </w:tc>
        <w:tc>
          <w:tcPr>
            <w:tcW w:w="40" w:type="dxa"/>
            <w:vAlign w:val="bottom"/>
            <w:tcBorders>
              <w:right w:val="single" w:sz="8" w:color="auto"/>
            </w:tcBorders>
          </w:tcPr>
          <w:p>
            <w:pPr>
              <w:spacing w:after="0"/>
              <w:rPr>
                <w:sz w:val="18"/>
                <w:szCs w:val="18"/>
                <w:color w:val="auto"/>
              </w:rPr>
            </w:pPr>
          </w:p>
        </w:tc>
        <w:tc>
          <w:tcPr>
            <w:tcW w:w="2240" w:type="dxa"/>
            <w:vAlign w:val="bottom"/>
            <w:gridSpan w:val="4"/>
          </w:tcPr>
          <w:p>
            <w:pPr>
              <w:ind w:left="40"/>
              <w:spacing w:after="0"/>
              <w:rPr>
                <w:sz w:val="20"/>
                <w:szCs w:val="20"/>
                <w:color w:val="auto"/>
              </w:rPr>
            </w:pPr>
            <w:r>
              <w:rPr>
                <w:rFonts w:ascii="Arial" w:cs="Arial" w:eastAsia="Arial" w:hAnsi="Arial"/>
                <w:sz w:val="16"/>
                <w:szCs w:val="16"/>
                <w:color w:val="auto"/>
              </w:rPr>
              <w:t>GMF Europe Holdco Limited</w:t>
            </w:r>
          </w:p>
        </w:tc>
        <w:tc>
          <w:tcPr>
            <w:tcW w:w="280" w:type="dxa"/>
            <w:vAlign w:val="bottom"/>
            <w:tcBorders>
              <w:righ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1</w:t>
            </w:r>
          </w:p>
        </w:tc>
        <w:tc>
          <w:tcPr>
            <w:tcW w:w="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ind w:right="919"/>
              <w:spacing w:after="0"/>
              <w:rPr>
                <w:sz w:val="20"/>
                <w:szCs w:val="20"/>
                <w:color w:val="auto"/>
              </w:rPr>
            </w:pPr>
            <w:r>
              <w:rPr>
                <w:rFonts w:ascii="Arial" w:cs="Arial" w:eastAsia="Arial" w:hAnsi="Arial"/>
                <w:sz w:val="16"/>
                <w:szCs w:val="16"/>
                <w:color w:val="auto"/>
                <w:w w:val="93"/>
              </w:rPr>
              <w:t>0.1%</w:t>
            </w:r>
          </w:p>
        </w:tc>
        <w:tc>
          <w:tcPr>
            <w:tcW w:w="20" w:type="dxa"/>
            <w:vAlign w:val="bottom"/>
          </w:tcPr>
          <w:p>
            <w:pPr>
              <w:spacing w:after="0"/>
              <w:rPr>
                <w:sz w:val="18"/>
                <w:szCs w:val="18"/>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Finco</w:t>
            </w: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left="1300" w:right="20" w:hanging="319"/>
        <w:spacing w:after="0" w:line="304" w:lineRule="auto"/>
        <w:tabs>
          <w:tab w:leader="none" w:pos="1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9"/>
          <w:szCs w:val="19"/>
          <w:color w:val="auto"/>
        </w:rPr>
        <w:t xml:space="preserve">In </w:t>
      </w:r>
      <w:r>
        <w:rPr>
          <w:rFonts w:ascii="Arial" w:cs="Arial" w:eastAsia="Arial" w:hAnsi="Arial"/>
          <w:sz w:val="19"/>
          <w:szCs w:val="19"/>
          <w:b w:val="1"/>
          <w:bCs w:val="1"/>
          <w:color w:val="auto"/>
        </w:rPr>
        <w:t>Exhibit 4.4(d)</w:t>
      </w:r>
      <w:r>
        <w:rPr>
          <w:rFonts w:ascii="Arial" w:cs="Arial" w:eastAsia="Arial" w:hAnsi="Arial"/>
          <w:sz w:val="19"/>
          <w:szCs w:val="19"/>
          <w:color w:val="auto"/>
        </w:rPr>
        <w:t xml:space="preserve"> “Branches of Target Group Companies” to the Agreement, the references in line item no. 2 and line item no. 4 to “GMAC Continental Corporation” are changed in such a way that they refer to Opel Finance BVBA. Footnote 19 is changed to read: “Pursuant to item 13 of </w:t>
      </w:r>
      <w:r>
        <w:rPr>
          <w:rFonts w:ascii="Arial" w:cs="Arial" w:eastAsia="Arial" w:hAnsi="Arial"/>
          <w:sz w:val="19"/>
          <w:szCs w:val="19"/>
          <w:b w:val="1"/>
          <w:bCs w:val="1"/>
          <w:color w:val="auto"/>
        </w:rPr>
        <w:t>Exhibit 6.4(a)(ii)</w:t>
      </w:r>
      <w:r>
        <w:rPr>
          <w:rFonts w:ascii="Arial" w:cs="Arial" w:eastAsia="Arial" w:hAnsi="Arial"/>
          <w:sz w:val="19"/>
          <w:szCs w:val="19"/>
          <w:color w:val="auto"/>
        </w:rPr>
        <w:t xml:space="preserve"> and as part of the Reorganization Transactions related to GMAC Continental Corporation (name changing to Opel Finance BVBA), General Motors</w:t>
      </w:r>
    </w:p>
    <w:p>
      <w:pPr>
        <w:sectPr>
          <w:pgSz w:w="11900" w:h="16838" w:orient="portrait"/>
          <w:cols w:equalWidth="0" w:num="1">
            <w:col w:w="11440"/>
          </w:cols>
          <w:pgMar w:left="240" w:top="714" w:right="219" w:bottom="1440" w:gutter="0" w:footer="0" w:header="0"/>
        </w:sectPr>
      </w:pPr>
    </w:p>
    <w:bookmarkStart w:id="111" w:name="page112"/>
    <w:bookmarkEnd w:id="111"/>
    <w:p>
      <w:pPr>
        <w:ind w:left="1300" w:right="40"/>
        <w:spacing w:after="0" w:line="263" w:lineRule="auto"/>
        <w:rPr>
          <w:sz w:val="20"/>
          <w:szCs w:val="20"/>
          <w:color w:val="auto"/>
        </w:rPr>
      </w:pPr>
      <w:r>
        <w:rPr>
          <w:rFonts w:ascii="Arial" w:cs="Arial" w:eastAsia="Arial" w:hAnsi="Arial"/>
          <w:sz w:val="22"/>
          <w:szCs w:val="22"/>
          <w:color w:val="auto"/>
        </w:rPr>
        <w:t>will legally close the Greek branch (it being understood that any liability or claim relating to such Greek branch will be assumed by Opel Finance BVBA).”</w:t>
      </w:r>
    </w:p>
    <w:p>
      <w:pPr>
        <w:spacing w:after="0" w:line="169"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21"/>
          <w:szCs w:val="21"/>
          <w:color w:val="auto"/>
        </w:rPr>
        <w:t xml:space="preserve">Item 9 of the Direct Share Transfers table in </w:t>
      </w:r>
      <w:r>
        <w:rPr>
          <w:rFonts w:ascii="Arial" w:cs="Arial" w:eastAsia="Arial" w:hAnsi="Arial"/>
          <w:sz w:val="21"/>
          <w:szCs w:val="21"/>
          <w:b w:val="1"/>
          <w:bCs w:val="1"/>
          <w:color w:val="auto"/>
        </w:rPr>
        <w:t>Exhibit 4.4(a)</w:t>
      </w:r>
      <w:r>
        <w:rPr>
          <w:rFonts w:ascii="Arial" w:cs="Arial" w:eastAsia="Arial" w:hAnsi="Arial"/>
          <w:sz w:val="21"/>
          <w:szCs w:val="21"/>
          <w:color w:val="auto"/>
        </w:rPr>
        <w:t xml:space="preserve"> to the Agreement is amended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54875" cy="144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7254875" cy="144081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Share Transfers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 Group Company</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Entity</w:t>
            </w: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Shares/Partnership Interest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Held by Respective Seller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 by</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Respective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Seller</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GM Financial Real Estate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Germany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GM Financial Company,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Capital contribution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Finco</w:t>
            </w: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GmbH &amp; Co. KG</w:t>
            </w:r>
          </w:p>
        </w:tc>
        <w:tc>
          <w:tcPr>
            <w:tcW w:w="13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Gesellschafterkonto</w:t>
            </w:r>
            <w:r>
              <w:rPr>
                <w:rFonts w:ascii="Arial" w:cs="Arial" w:eastAsia="Arial" w:hAnsi="Arial"/>
                <w:sz w:val="18"/>
                <w:szCs w:val="18"/>
                <w:color w:val="auto"/>
                <w:w w:val="92"/>
              </w:rPr>
              <w:t>) of EUR</w:t>
            </w:r>
          </w:p>
        </w:tc>
        <w:tc>
          <w:tcPr>
            <w:tcW w:w="12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600</w:t>
            </w:r>
          </w:p>
        </w:tc>
        <w:tc>
          <w:tcPr>
            <w:tcW w:w="12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9"/>
          <w:szCs w:val="19"/>
          <w:color w:val="auto"/>
        </w:rPr>
        <w:t xml:space="preserve">Item 34 of the Indirect Share Transfers table in </w:t>
      </w:r>
      <w:r>
        <w:rPr>
          <w:rFonts w:ascii="Arial" w:cs="Arial" w:eastAsia="Arial" w:hAnsi="Arial"/>
          <w:sz w:val="19"/>
          <w:szCs w:val="19"/>
          <w:b w:val="1"/>
          <w:bCs w:val="1"/>
          <w:color w:val="auto"/>
        </w:rPr>
        <w:t>Exhibit 4.4(a)</w:t>
      </w:r>
      <w:r>
        <w:rPr>
          <w:rFonts w:ascii="Arial" w:cs="Arial" w:eastAsia="Arial" w:hAnsi="Arial"/>
          <w:sz w:val="19"/>
          <w:szCs w:val="19"/>
          <w:color w:val="auto"/>
        </w:rPr>
        <w:t xml:space="preserve"> to the Agreement is amended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54875" cy="130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7254875" cy="13036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Indirect Share Transfers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 Group Company</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Shareholder/Partner</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Entity</w:t>
            </w: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Shares/Partnership Interest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Held by Respective</w:t>
            </w:r>
          </w:p>
        </w:tc>
        <w:tc>
          <w:tcPr>
            <w:tcW w:w="1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Shareholder/Partner</w:t>
            </w:r>
          </w:p>
        </w:tc>
        <w:tc>
          <w:tcPr>
            <w:tcW w:w="13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GM Financial Real Estate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Germany</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Opel Leasing GmbH</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Capital contribution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Finco</w:t>
            </w: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GmbH &amp; Co. KG</w:t>
            </w:r>
          </w:p>
        </w:tc>
        <w:tc>
          <w:tcPr>
            <w:tcW w:w="13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(General Partner)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Gesellschafterkonto</w:t>
            </w:r>
            <w:r>
              <w:rPr>
                <w:rFonts w:ascii="Arial" w:cs="Arial" w:eastAsia="Arial" w:hAnsi="Arial"/>
                <w:sz w:val="18"/>
                <w:szCs w:val="18"/>
                <w:color w:val="auto"/>
                <w:w w:val="92"/>
              </w:rPr>
              <w:t>) of EUR</w:t>
            </w:r>
          </w:p>
        </w:tc>
        <w:tc>
          <w:tcPr>
            <w:tcW w:w="1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9,400</w:t>
            </w:r>
          </w:p>
        </w:tc>
        <w:tc>
          <w:tcPr>
            <w:tcW w:w="13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22"/>
          <w:szCs w:val="22"/>
          <w:color w:val="auto"/>
        </w:rPr>
        <w:t xml:space="preserve">A new line item no. 16 is added to the Reorganization Transactions in </w:t>
      </w:r>
      <w:r>
        <w:rPr>
          <w:rFonts w:ascii="Arial" w:cs="Arial" w:eastAsia="Arial" w:hAnsi="Arial"/>
          <w:sz w:val="22"/>
          <w:szCs w:val="22"/>
          <w:b w:val="1"/>
          <w:bCs w:val="1"/>
          <w:color w:val="auto"/>
        </w:rPr>
        <w:t>Exhibit 6.4(a)(ii)</w:t>
      </w:r>
      <w:r>
        <w:rPr>
          <w:rFonts w:ascii="Arial" w:cs="Arial" w:eastAsia="Arial" w:hAnsi="Arial"/>
          <w:sz w:val="22"/>
          <w:szCs w:val="22"/>
          <w:color w:val="auto"/>
        </w:rPr>
        <w:t xml:space="preserve"> to the Agreement:</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Transaction</w:t>
            </w:r>
          </w:p>
        </w:tc>
        <w:tc>
          <w:tcPr>
            <w:tcW w:w="9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980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w w:val="99"/>
              </w:rPr>
              <w:t>16</w:t>
            </w:r>
          </w:p>
        </w:tc>
        <w:tc>
          <w:tcPr>
            <w:tcW w:w="9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GMAC Continental Corporation will sell its 0.0002% interest in GMAC Servicios SAS to GM Financial Colombia Holdings LLC (a</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9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Sellers’ Retained Group Company).</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9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2"/>
          <w:szCs w:val="22"/>
          <w:color w:val="auto"/>
        </w:rPr>
        <w:t xml:space="preserve">This Amendment No. 3 is an integral part of the Agreement. Except as amended hereby, the Agreement shall continue in full force and effect and shall otherwise be unaffected by this Amendment No. 3. The provisions of Sections 17.3, 17.4, 17.14 and 17.16 of the Agreement are incorporated herein by reference and shall apply to the terms of this Amendment No. 3 and the Parties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ectPr>
          <w:pgSz w:w="11900" w:h="16838" w:orient="portrait"/>
          <w:cols w:equalWidth="0" w:num="1">
            <w:col w:w="11440"/>
          </w:cols>
          <w:pgMar w:left="240" w:top="591"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COMPUTATIONS OF RATIO OF EARNINGS TO FIXED CHARGES AND RATIO OF EARNINGS TO COMBINED FIXED CHARGES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0"/>
        </w:trPr>
        <w:tc>
          <w:tcPr>
            <w:tcW w:w="50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0A"/>
            </w:tcBorders>
          </w:tcPr>
          <w:p>
            <w:pPr>
              <w:spacing w:after="0"/>
              <w:rPr>
                <w:sz w:val="6"/>
                <w:szCs w:val="6"/>
                <w:color w:val="auto"/>
              </w:rPr>
            </w:pPr>
          </w:p>
        </w:tc>
        <w:tc>
          <w:tcPr>
            <w:tcW w:w="860" w:type="dxa"/>
            <w:vAlign w:val="bottom"/>
            <w:tcBorders>
              <w:bottom w:val="single" w:sz="8" w:color="00000A"/>
            </w:tcBorders>
          </w:tcPr>
          <w:p>
            <w:pPr>
              <w:spacing w:after="0"/>
              <w:rPr>
                <w:sz w:val="6"/>
                <w:szCs w:val="6"/>
                <w:color w:val="auto"/>
              </w:rPr>
            </w:pPr>
          </w:p>
        </w:tc>
        <w:tc>
          <w:tcPr>
            <w:tcW w:w="120" w:type="dxa"/>
            <w:vAlign w:val="bottom"/>
            <w:tcBorders>
              <w:bottom w:val="single" w:sz="8" w:color="00000A"/>
            </w:tcBorders>
          </w:tcPr>
          <w:p>
            <w:pPr>
              <w:spacing w:after="0"/>
              <w:rPr>
                <w:sz w:val="6"/>
                <w:szCs w:val="6"/>
                <w:color w:val="auto"/>
              </w:rPr>
            </w:pPr>
          </w:p>
        </w:tc>
        <w:tc>
          <w:tcPr>
            <w:tcW w:w="26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6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80" w:type="dxa"/>
            <w:vAlign w:val="bottom"/>
            <w:tcBorders>
              <w:bottom w:val="single" w:sz="8" w:color="00000A"/>
            </w:tcBorders>
          </w:tcPr>
          <w:p>
            <w:pPr>
              <w:spacing w:after="0"/>
              <w:rPr>
                <w:sz w:val="6"/>
                <w:szCs w:val="6"/>
                <w:color w:val="auto"/>
              </w:rPr>
            </w:pPr>
          </w:p>
        </w:tc>
        <w:tc>
          <w:tcPr>
            <w:tcW w:w="820" w:type="dxa"/>
            <w:vAlign w:val="bottom"/>
            <w:tcBorders>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6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r>
      <w:tr>
        <w:trPr>
          <w:trHeight w:val="258"/>
        </w:trPr>
        <w:tc>
          <w:tcPr>
            <w:tcW w:w="50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r>
      <w:tr>
        <w:trPr>
          <w:trHeight w:val="23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Income from continuing operations before income taxes and equity income</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6,654</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Fixed charges excluding capitalized interest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3,210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1,015</w:t>
            </w: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capitalized interest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Dividends from nonconsolidated affiliates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661</w:t>
            </w:r>
          </w:p>
        </w:tc>
      </w:tr>
      <w:tr>
        <w:trPr>
          <w:trHeight w:val="33"/>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available for fixed charges</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8,347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related charges on debt(a)</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896</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Portion of rentals deemed to be interest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capitalized in period</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Preference security dividend requirements(b)</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fixed charges</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Preferred stock dividends grossed up to a pre-tax basis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2,528</w:t>
            </w:r>
          </w:p>
        </w:tc>
      </w:tr>
      <w:tr>
        <w:trPr>
          <w:trHeight w:val="33"/>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 fixed charges and preferred stock dividends</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7.72</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w w:val="93"/>
              </w:rPr>
              <w:t>Ratio of earnings to combined fixed charges and preferred stock dividends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2.31</w:t>
            </w:r>
          </w:p>
        </w:tc>
      </w:tr>
      <w:tr>
        <w:trPr>
          <w:trHeight w:val="226"/>
        </w:trPr>
        <w:tc>
          <w:tcPr>
            <w:tcW w:w="5000" w:type="dxa"/>
            <w:vAlign w:val="bottom"/>
          </w:tcPr>
          <w:p>
            <w:pPr>
              <w:spacing w:after="0"/>
              <w:rPr>
                <w:sz w:val="20"/>
                <w:szCs w:val="20"/>
                <w:color w:val="auto"/>
              </w:rPr>
            </w:pPr>
            <w:r>
              <w:rPr>
                <w:rFonts w:ascii="Arial" w:cs="Arial" w:eastAsia="Arial" w:hAnsi="Arial"/>
                <w:sz w:val="16"/>
                <w:szCs w:val="16"/>
                <w:color w:val="auto"/>
              </w:rPr>
              <w:t>__________</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Excludes interest associated with uncertain tax positions, which is recorded within income tax expense.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pre-tax earnings required to pay preference security dividend requirements is calculated using the 2017 effective tax rate of 97.2%.</w:t>
      </w:r>
    </w:p>
    <w:p>
      <w:pPr>
        <w:sectPr>
          <w:pgSz w:w="11900" w:h="16838" w:orient="portrait"/>
          <w:cols w:equalWidth="0" w:num="1">
            <w:col w:w="11420"/>
          </w:cols>
          <w:pgMar w:left="240" w:top="3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2017</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Adam Opel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AFS SenSub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Consumer Loan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Funding Corp. XI</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Syndicated Warehouse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Banco GMAC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FAW-GM Light Duty Commercial Vehicle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Advisory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Belgique Automobile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bl>
    <w:p>
      <w:pPr>
        <w:sectPr>
          <w:pgSz w:w="11900" w:h="16838" w:orient="portrait"/>
          <w:cols w:equalWidth="0" w:num="1">
            <w:col w:w="11380"/>
          </w:cols>
          <w:pgMar w:left="280" w:top="126" w:right="239" w:bottom="1440" w:gutter="0" w:footer="0" w:header="0"/>
        </w:sectPr>
      </w:pPr>
    </w:p>
    <w:bookmarkStart w:id="114" w:name="page115"/>
    <w:bookmarkEnd w:id="114"/>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IT Services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2017</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Venezolana,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Vietnam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Auslandsprojekte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Limited Partnership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CME Holdings C.V.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Defense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Europe Treasury Company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del Peru S.A.C</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Business Services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Holden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Mexico Holdings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Plats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PSA Purchasing Services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16" w:name="page117"/>
    <w:bookmarkEnd w:id="116"/>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de Venezuela,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Prestadora de Servicios de Mao de 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Servicios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GMACI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GMAM Real Estate I,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LLP</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Floorplan Owner Revolving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Funding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Warehousing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Wholesale Receivables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Connected Services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17" w:name="page118"/>
    <w:bookmarkEnd w:id="117"/>
    <w:p>
      <w:pPr>
        <w:jc w:val="center"/>
        <w:ind w:right="-37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 OF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Private Auto Lease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Motor Insurance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Strobe,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Vehicle Asset Universal Leasing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Zona Franca Industrial Colmotores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rPr>
              <w:t>Total - 188</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2017. Additionally 75 subsidiaries of General Motors Financial Company, Inc. have been omitted that operate in the U.S. in the same line of business as General Motors Financial Company, Inc. at December 31, 2017.</w:t>
      </w:r>
    </w:p>
    <w:p>
      <w:pPr>
        <w:sectPr>
          <w:pgSz w:w="11900" w:h="16838" w:orient="portrait"/>
          <w:cols w:equalWidth="0" w:num="1">
            <w:col w:w="11040"/>
          </w:cols>
          <w:pgMar w:left="240" w:top="121" w:right="6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333-218793, 333-211344, and 333-196812 on Form S-8, and Registration Statement No. 333-215924 on Form S-3 of our reports dated February 6, 2018, relating to the consolidated financial statements of General Motors Company and subsidiaries (the Company) and the effectiveness of the Company's internal control over financial reporting, appearing in this Annual Report on Form 10-K of General Motors Company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2018</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Jane L. Mendillo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96"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60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2018</w:t>
      </w:r>
    </w:p>
    <w:p>
      <w:pPr>
        <w:sectPr>
          <w:pgSz w:w="11900" w:h="16838" w:orient="portrait"/>
          <w:cols w:equalWidth="0" w:num="1">
            <w:col w:w="11420"/>
          </w:cols>
          <w:pgMar w:left="2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6, 2018</w:t>
      </w:r>
    </w:p>
    <w:p>
      <w:pPr>
        <w:sectPr>
          <w:pgSz w:w="11900" w:h="16838" w:orient="portrait"/>
          <w:cols w:equalWidth="0" w:num="1">
            <w:col w:w="11420"/>
          </w:cols>
          <w:pgMar w:left="240" w:top="337"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2017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2"/>
    </w:lvl>
  </w:abstractNum>
  <w:abstractNum w:abstractNumId="5">
    <w:nsid w:val="614FD4A1"/>
    <w:multiLevelType w:val="hybridMultilevel"/>
    <w:lvl w:ilvl="0">
      <w:lvlJc w:val="left"/>
      <w:lvlText w:val="(%1)"/>
      <w:numFmt w:val="lowerLetter"/>
      <w:start w:val="1"/>
    </w:lvl>
    <w:lvl w:ilvl="1">
      <w:lvlJc w:val="left"/>
      <w:lvlText w:val="*"/>
      <w:numFmt w:val="bullet"/>
      <w:start w:val="1"/>
    </w:lvl>
  </w:abstractNum>
  <w:abstractNum w:abstractNumId="6">
    <w:nsid w:val="419AC241"/>
    <w:multiLevelType w:val="hybridMultilevel"/>
    <w:lvl w:ilvl="0">
      <w:lvlJc w:val="left"/>
      <w:lvlText w:val="(%1)"/>
      <w:numFmt w:val="lowerLetter"/>
      <w:start w:val="1"/>
    </w:lvl>
    <w:lvl w:ilvl="1">
      <w:lvlJc w:val="left"/>
      <w:lvlText w:val="*"/>
      <w:numFmt w:val="bullet"/>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lowerLetter"/>
      <w:start w:val="1"/>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decimal"/>
      <w:start w:val="4"/>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1"/>
    </w:lvl>
    <w:lvl w:ilvl="1">
      <w:lvlJc w:val="left"/>
      <w:lvlText w:val="%2."/>
      <w:numFmt w:val="decimal"/>
      <w:start w:val="2"/>
    </w:lvl>
  </w:abstractNum>
  <w:abstractNum w:abstractNumId="29">
    <w:nsid w:val="4B588F54"/>
    <w:multiLevelType w:val="hybridMultilevel"/>
    <w:lvl w:ilvl="0">
      <w:lvlJc w:val="left"/>
      <w:lvlText w:val="%1"/>
      <w:numFmt w:val="decimal"/>
      <w:start w:val="24"/>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Letter"/>
      <w:start w:val="1"/>
    </w:lvl>
    <w:lvl w:ilvl="1">
      <w:lvlJc w:val="left"/>
      <w:lvlText w:val="(%2)"/>
      <w:numFmt w:val="lowerRoman"/>
      <w:start w:val="1"/>
    </w:lvl>
  </w:abstractNum>
  <w:abstractNum w:abstractNumId="34">
    <w:nsid w:val="32FFF902"/>
    <w:multiLevelType w:val="hybridMultilevel"/>
    <w:lvl w:ilvl="0">
      <w:lvlJc w:val="left"/>
      <w:lvlText w:val="(%1)"/>
      <w:numFmt w:val="lowerLetter"/>
      <w:start w:val="5"/>
    </w:lvl>
  </w:abstractNum>
  <w:abstractNum w:abstractNumId="35">
    <w:nsid w:val="684A481A"/>
    <w:multiLevelType w:val="hybridMultilevel"/>
    <w:lvl w:ilvl="0">
      <w:lvlJc w:val="left"/>
      <w:lvlText w:val="(%1)"/>
      <w:numFmt w:val="lowerLetter"/>
      <w:start w:val="7"/>
    </w:lvl>
  </w:abstractNum>
  <w:abstractNum w:abstractNumId="36">
    <w:nsid w:val="579478FE"/>
    <w:multiLevelType w:val="hybridMultilevel"/>
    <w:lvl w:ilvl="0">
      <w:lvlJc w:val="left"/>
      <w:lvlText w:val="(%1)"/>
      <w:numFmt w:val="lowerLetter"/>
      <w:start w:val="35"/>
    </w:lvl>
  </w:abstractNum>
  <w:abstractNum w:abstractNumId="37">
    <w:nsid w:val="749ABB43"/>
    <w:multiLevelType w:val="hybridMultilevel"/>
    <w:lvl w:ilvl="0">
      <w:lvlJc w:val="left"/>
      <w:lvlText w:val="(%1)"/>
      <w:numFmt w:val="lowerLetter"/>
      <w:start w:val="13"/>
    </w:lvl>
  </w:abstractNum>
  <w:abstractNum w:abstractNumId="38">
    <w:nsid w:val="3DC240FB"/>
    <w:multiLevelType w:val="hybridMultilevel"/>
    <w:lvl w:ilvl="0">
      <w:lvlJc w:val="left"/>
      <w:lvlText w:val="(%1)"/>
      <w:numFmt w:val="lowerRoman"/>
      <w:start w:val="5"/>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9"/>
    </w:lvl>
  </w:abstractNum>
  <w:abstractNum w:abstractNumId="41">
    <w:nsid w:val="75C6C33A"/>
    <w:multiLevelType w:val="hybridMultilevel"/>
    <w:lvl w:ilvl="0">
      <w:lvlJc w:val="left"/>
      <w:lvlText w:val="(%1)"/>
      <w:numFmt w:val="lowerLetter"/>
      <w:start w:val="3"/>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Roman"/>
      <w:start w:val="2"/>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8"/>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5"/>
    </w:lvl>
  </w:abstractNum>
  <w:abstractNum w:abstractNumId="54">
    <w:nsid w:val="47398C89"/>
    <w:multiLevelType w:val="hybridMultilevel"/>
    <w:lvl w:ilvl="0">
      <w:lvlJc w:val="left"/>
      <w:lvlText w:val="%1."/>
      <w:numFmt w:val="decimal"/>
      <w:start w:val="10"/>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5"/>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66" Type="http://schemas.openxmlformats.org/officeDocument/2006/relationships/image" Target="media/image20.png"/><Relationship Id="rId69" Type="http://schemas.openxmlformats.org/officeDocument/2006/relationships/image" Target="media/image21.png"/><Relationship Id="rId71" Type="http://schemas.openxmlformats.org/officeDocument/2006/relationships/image" Target="media/image22.png"/><Relationship Id="rId72" Type="http://schemas.openxmlformats.org/officeDocument/2006/relationships/image" Target="media/image23.png"/><Relationship Id="rId73" Type="http://schemas.openxmlformats.org/officeDocument/2006/relationships/image" Target="media/image24.png"/><Relationship Id="rId74" Type="http://schemas.openxmlformats.org/officeDocument/2006/relationships/image" Target="media/image25.png"/><Relationship Id="rId75" Type="http://schemas.openxmlformats.org/officeDocument/2006/relationships/image" Target="media/image26.png"/><Relationship Id="rId76" Type="http://schemas.openxmlformats.org/officeDocument/2006/relationships/image" Target="media/image27.png"/><Relationship Id="rId77" Type="http://schemas.openxmlformats.org/officeDocument/2006/relationships/image" Target="media/image28.png"/><Relationship Id="rId78" Type="http://schemas.openxmlformats.org/officeDocument/2006/relationships/image" Target="media/image29.png"/><Relationship Id="rId79" Type="http://schemas.openxmlformats.org/officeDocument/2006/relationships/image" Target="media/image30.png"/><Relationship Id="rId80"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27" Type="http://schemas.openxmlformats.org/officeDocument/2006/relationships/hyperlink" Target="http://www.sec.gov/Archives/edgar/data/1467858/000119312517251403/d429540dex11.htm" TargetMode="External"/><Relationship Id="rId28" Type="http://schemas.openxmlformats.org/officeDocument/2006/relationships/hyperlink" Target="http://www.sec.gov/Archives/edgar/data/1467858/000146785817000070/ex-21x03312017.htm" TargetMode="External"/><Relationship Id="rId29" Type="http://schemas.openxmlformats.org/officeDocument/2006/relationships/hyperlink" Target="http://www.sec.gov/Archives/edgar/data/1467858/000119312510279214/dex32.htm" TargetMode="External"/><Relationship Id="rId30" Type="http://schemas.openxmlformats.org/officeDocument/2006/relationships/hyperlink" Target="http://www.sec.gov/Archives/edgar/data/1467858/000119312517373379/d490992dex31.htm" TargetMode="External"/><Relationship Id="rId31" Type="http://schemas.openxmlformats.org/officeDocument/2006/relationships/hyperlink" Target="http://www.sec.gov/Archives/edgar/data/1467858/000146785817000118/exhibit31-sept12017.htm" TargetMode="External"/><Relationship Id="rId32" Type="http://schemas.openxmlformats.org/officeDocument/2006/relationships/hyperlink" Target="http://www.sec.gov/Archives/edgar/data/1467858/000146785817000118/exhibit32-sept12017.htm" TargetMode="External"/><Relationship Id="rId33" Type="http://schemas.openxmlformats.org/officeDocument/2006/relationships/hyperlink" Target="http://www.sec.gov/Archives/edgar/data/1467858/000146785814000133/ex42043014indenture.htm" TargetMode="External"/><Relationship Id="rId34" Type="http://schemas.openxmlformats.org/officeDocument/2006/relationships/hyperlink" Target="http://www.sec.gov/Archives/edgar/data/1467858/000146785814000149/ex43gmsupplementalindenture.htm" TargetMode="External"/><Relationship Id="rId35" Type="http://schemas.openxmlformats.org/officeDocument/2006/relationships/hyperlink" Target="http://www.sec.gov/Archives/edgar/data/1467858/000146785814000251/ex-44secondsupplementalind.htm" TargetMode="External"/><Relationship Id="rId36" Type="http://schemas.openxmlformats.org/officeDocument/2006/relationships/hyperlink" Target="http://www.sec.gov/Archives/edgar/data/1467858/000119312516473749/d52897dex41.htm" TargetMode="External"/><Relationship Id="rId37" Type="http://schemas.openxmlformats.org/officeDocument/2006/relationships/hyperlink" Target="http://www.sec.gov/Archives/edgar/data/1467858/000119312517251403/d429540dex41.htm" TargetMode="External"/><Relationship Id="rId38" Type="http://schemas.openxmlformats.org/officeDocument/2006/relationships/hyperlink" Target="http://www.sec.gov/Archives/edgar/data/1467858/000119312517251403/d429540dex42.htm" TargetMode="External"/><Relationship Id="rId39" Type="http://schemas.openxmlformats.org/officeDocument/2006/relationships/hyperlink" Target="http://www.sec.gov/Archives/edgar/data/1467858/000119312509235641/dex108.htm" TargetMode="External"/><Relationship Id="rId40" Type="http://schemas.openxmlformats.org/officeDocument/2006/relationships/hyperlink" Target="http://www.sec.gov/Archives/edgar/data/40730/000090951809000714/mm10-2109_8ke101.htm" TargetMode="External"/><Relationship Id="rId41" Type="http://schemas.openxmlformats.org/officeDocument/2006/relationships/hyperlink" Target="http://www.sec.gov/Archives/edgar/data/1467858/000119312510246019/dex1043.htm" TargetMode="External"/><Relationship Id="rId42" Type="http://schemas.openxmlformats.org/officeDocument/2006/relationships/hyperlink" Target="http://www.sec.gov/Archives/edgar/data/1467858/000119312510078119/dex1014.htm" TargetMode="External"/><Relationship Id="rId43" Type="http://schemas.openxmlformats.org/officeDocument/2006/relationships/hyperlink" Target="http://www.sec.gov/Archives/edgar/data/1467858/000146785814000043/ex-107x12312013ltip.htm" TargetMode="External"/><Relationship Id="rId44" Type="http://schemas.openxmlformats.org/officeDocument/2006/relationships/hyperlink" Target="http://www.sec.gov/Archives/edgar/data/1467858/000119312511130473/dex101.htm" TargetMode="External"/><Relationship Id="rId45" Type="http://schemas.openxmlformats.org/officeDocument/2006/relationships/hyperlink" Target="http://www.sec.gov/Archives/edgar/data/1467858/000146785813000025/ex-1012x12312012.htm" TargetMode="External"/><Relationship Id="rId46" Type="http://schemas.openxmlformats.org/officeDocument/2006/relationships/hyperlink" Target="http://www.sec.gov/Archives/edgar/data/1467858/000119312516449435/d124387dex102.htm" TargetMode="External"/><Relationship Id="rId47" Type="http://schemas.openxmlformats.org/officeDocument/2006/relationships/hyperlink" Target="http://www.sec.gov/Archives/edgar/data/1467858/000146785814000043/ex-1010x12312013ssp.htm" TargetMode="External"/><Relationship Id="rId48" Type="http://schemas.openxmlformats.org/officeDocument/2006/relationships/hyperlink" Target="http://www.sec.gov/Archives/edgar/data/1467858/000146785814000164/ex102-2014shortxtermincent.htm" TargetMode="External"/><Relationship Id="rId49" Type="http://schemas.openxmlformats.org/officeDocument/2006/relationships/hyperlink" Target="http://www.sec.gov/Archives/edgar/data/1467858/000119312516449435/d124387dex103.htm" TargetMode="External"/><Relationship Id="rId50" Type="http://schemas.openxmlformats.org/officeDocument/2006/relationships/hyperlink" Target="http://www.sec.gov/Archives/edgar/data/1467858/000146785814000164/ex101-2014longxtermincenti.htm" TargetMode="External"/><Relationship Id="rId51" Type="http://schemas.openxmlformats.org/officeDocument/2006/relationships/hyperlink" Target="http://www.sec.gov/Archives/edgar/data/1467858/000119312516589990/d169701dex991.htm" TargetMode="External"/><Relationship Id="rId52" Type="http://schemas.openxmlformats.org/officeDocument/2006/relationships/hyperlink" Target="http://www.sec.gov/Archives/edgar/data/40730/000095012406001534/k03376exv10wxgy.htm" TargetMode="External"/><Relationship Id="rId53" Type="http://schemas.openxmlformats.org/officeDocument/2006/relationships/hyperlink" Target="http://www.sec.gov/Archives/edgar/data/1467858/000119312516449435/d124387dex101.htm" TargetMode="External"/><Relationship Id="rId54" Type="http://schemas.openxmlformats.org/officeDocument/2006/relationships/hyperlink" Target="http://www.sec.gov/Archives/edgar/data/1467858/000119312510078119/dex1030.htm" TargetMode="External"/><Relationship Id="rId55" Type="http://schemas.openxmlformats.org/officeDocument/2006/relationships/hyperlink" Target="http://www.sec.gov/Archives/edgar/data/1467858/000146785814000043/ex-1024x12312013psa.htm" TargetMode="External"/><Relationship Id="rId56" Type="http://schemas.openxmlformats.org/officeDocument/2006/relationships/hyperlink" Target="http://www.sec.gov/Archives/edgar/data/1467858/000119312516611214/d191384dex101.htm" TargetMode="External"/><Relationship Id="rId57" Type="http://schemas.openxmlformats.org/officeDocument/2006/relationships/hyperlink" Target="http://www.sec.gov/Archives/edgar/data/1467858/000119312516611214/d191384dex102.htm" TargetMode="External"/><Relationship Id="rId58" Type="http://schemas.openxmlformats.org/officeDocument/2006/relationships/hyperlink" Target="http://www.sec.gov/Archives/edgar/data/1467858/000146785814000125/ex-101x03312014.htm" TargetMode="External"/><Relationship Id="rId59" Type="http://schemas.openxmlformats.org/officeDocument/2006/relationships/hyperlink" Target="http://www.sec.gov/Archives/edgar/data/1467858/000146785815000178/formofawardagreement.htm" TargetMode="External"/><Relationship Id="rId60" Type="http://schemas.openxmlformats.org/officeDocument/2006/relationships/hyperlink" Target="http://www.sec.gov/Archives/edgar/data/1467858/000146785816000317/ex-104xformofrsuawardagree.htm" TargetMode="External"/><Relationship Id="rId61" Type="http://schemas.openxmlformats.org/officeDocument/2006/relationships/hyperlink" Target="http://www.sec.gov/Archives/edgar/data/1467858/000146785816000317/ex-105xformofpsuawardagree.htm" TargetMode="External"/><Relationship Id="rId62" Type="http://schemas.openxmlformats.org/officeDocument/2006/relationships/hyperlink" Target="http://www.sec.gov/Archives/edgar/data/1467858/000146785816000317/ex-106xindemnificationagre.htm" TargetMode="External"/><Relationship Id="rId63" Type="http://schemas.openxmlformats.org/officeDocument/2006/relationships/hyperlink" Target="http://www.sec.gov/Archives/edgar/data/1467858/000119312517205999/d405034dex41.htm" TargetMode="External"/><Relationship Id="rId64" Type="http://schemas.openxmlformats.org/officeDocument/2006/relationships/hyperlink" Target="http://www.sec.gov/Archives/edgar/data/1467858/000119312517201530/d395090dex103.htm" TargetMode="External"/><Relationship Id="rId65" Type="http://schemas.openxmlformats.org/officeDocument/2006/relationships/hyperlink" Target="http://www.sec.gov/Archives/edgar/data/1467858/000146785817000070/ex-101x03312017.htm" TargetMode="External"/><Relationship Id="rId67" Type="http://schemas.openxmlformats.org/officeDocument/2006/relationships/hyperlink" Target="http://www.sec.gov/Archives/edgar/data/1467858/000146785817000103/ex-104x20170502_amendmentt.htm" TargetMode="External"/><Relationship Id="rId68" Type="http://schemas.openxmlformats.org/officeDocument/2006/relationships/hyperlink" Target="http://www.sec.gov/Archives/edgar/data/1467858/000146785817000133/ex-101x07302017_amendmentt.htm" TargetMode="External"/><Relationship Id="rId70" Type="http://schemas.openxmlformats.org/officeDocument/2006/relationships/hyperlink" Target="http://www.sec.gov/Archives/edgar/data/1467858/000146785817000123/letterfromdeloittetouchell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2019-12-29T01:54:23Z</dcterms:created>
  <dcterms:modified xsi:type="dcterms:W3CDTF">2019-12-29T01:54:23Z</dcterms:modified>
</cp:coreProperties>
</file>