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8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29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2"/>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40" w:type="dxa"/>
            <w:vAlign w:val="bottom"/>
            <w:gridSpan w:val="2"/>
          </w:tcPr>
          <w:p>
            <w:pPr>
              <w:jc w:val="center"/>
              <w:ind w:right="2648"/>
              <w:spacing w:after="0"/>
              <w:rPr>
                <w:sz w:val="20"/>
                <w:szCs w:val="20"/>
                <w:color w:val="auto"/>
              </w:rPr>
            </w:pPr>
            <w:r>
              <w:rPr>
                <w:rFonts w:ascii="Arial" w:cs="Arial" w:eastAsia="Arial" w:hAnsi="Arial"/>
                <w:sz w:val="18"/>
                <w:szCs w:val="18"/>
                <w:b w:val="1"/>
                <w:bCs w:val="1"/>
                <w:color w:val="auto"/>
                <w:w w:val="90"/>
              </w:rPr>
              <w:t>Commission file number 001-34960</w:t>
            </w:r>
          </w:p>
        </w:tc>
      </w:tr>
      <w:tr>
        <w:trPr>
          <w:trHeight w:val="431"/>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00" w:type="dxa"/>
            <w:vAlign w:val="bottom"/>
            <w:gridSpan w:val="3"/>
          </w:tcPr>
          <w:p>
            <w:pPr>
              <w:jc w:val="center"/>
              <w:ind w:right="1788"/>
              <w:spacing w:after="0"/>
              <w:rPr>
                <w:sz w:val="20"/>
                <w:szCs w:val="20"/>
                <w:color w:val="auto"/>
              </w:rPr>
            </w:pPr>
            <w:r>
              <w:rPr>
                <w:rFonts w:ascii="Arial" w:cs="Arial" w:eastAsia="Arial" w:hAnsi="Arial"/>
                <w:sz w:val="29"/>
                <w:szCs w:val="29"/>
                <w:b w:val="1"/>
                <w:bCs w:val="1"/>
                <w:color w:val="auto"/>
                <w:w w:val="99"/>
              </w:rPr>
              <w:t>GENERAL MOTORS COMPANY</w:t>
            </w:r>
          </w:p>
        </w:tc>
      </w:tr>
      <w:tr>
        <w:trPr>
          <w:trHeight w:val="230"/>
        </w:trPr>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500" w:type="dxa"/>
            <w:vAlign w:val="bottom"/>
            <w:gridSpan w:val="3"/>
          </w:tcPr>
          <w:p>
            <w:pPr>
              <w:jc w:val="center"/>
              <w:ind w:right="1788"/>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326"/>
        </w:trPr>
        <w:tc>
          <w:tcPr>
            <w:tcW w:w="3820" w:type="dxa"/>
            <w:vAlign w:val="bottom"/>
            <w:gridSpan w:val="3"/>
          </w:tcPr>
          <w:p>
            <w:pPr>
              <w:jc w:val="center"/>
              <w:ind w:left="926"/>
              <w:spacing w:after="0"/>
              <w:rPr>
                <w:sz w:val="20"/>
                <w:szCs w:val="20"/>
                <w:color w:val="auto"/>
              </w:rPr>
            </w:pPr>
            <w:r>
              <w:rPr>
                <w:rFonts w:ascii="Arial" w:cs="Arial" w:eastAsia="Arial" w:hAnsi="Arial"/>
                <w:sz w:val="14"/>
                <w:szCs w:val="14"/>
                <w:b w:val="1"/>
                <w:bCs w:val="1"/>
                <w:color w:val="auto"/>
                <w:w w:val="99"/>
              </w:rPr>
              <w:t>STATE OF DELAWARE</w:t>
            </w:r>
          </w:p>
        </w:tc>
        <w:tc>
          <w:tcPr>
            <w:tcW w:w="5640" w:type="dxa"/>
            <w:vAlign w:val="bottom"/>
            <w:gridSpan w:val="2"/>
          </w:tcPr>
          <w:p>
            <w:pPr>
              <w:jc w:val="center"/>
              <w:ind w:left="2864"/>
              <w:spacing w:after="0"/>
              <w:rPr>
                <w:sz w:val="20"/>
                <w:szCs w:val="20"/>
                <w:color w:val="auto"/>
              </w:rPr>
            </w:pPr>
            <w:r>
              <w:rPr>
                <w:rFonts w:ascii="Arial" w:cs="Arial" w:eastAsia="Arial" w:hAnsi="Arial"/>
                <w:sz w:val="14"/>
                <w:szCs w:val="14"/>
                <w:b w:val="1"/>
                <w:bCs w:val="1"/>
                <w:color w:val="auto"/>
                <w:w w:val="93"/>
              </w:rPr>
              <w:t>27-0756180</w:t>
            </w:r>
          </w:p>
        </w:tc>
      </w:tr>
      <w:tr>
        <w:trPr>
          <w:trHeight w:val="169"/>
        </w:trPr>
        <w:tc>
          <w:tcPr>
            <w:tcW w:w="3820" w:type="dxa"/>
            <w:vAlign w:val="bottom"/>
            <w:gridSpan w:val="3"/>
          </w:tcPr>
          <w:p>
            <w:pPr>
              <w:jc w:val="center"/>
              <w:ind w:left="946"/>
              <w:spacing w:after="0"/>
              <w:rPr>
                <w:sz w:val="20"/>
                <w:szCs w:val="20"/>
                <w:color w:val="auto"/>
              </w:rPr>
            </w:pPr>
            <w:r>
              <w:rPr>
                <w:rFonts w:ascii="Arial" w:cs="Arial" w:eastAsia="Arial" w:hAnsi="Arial"/>
                <w:sz w:val="14"/>
                <w:szCs w:val="14"/>
                <w:i w:val="1"/>
                <w:iCs w:val="1"/>
                <w:color w:val="auto"/>
                <w:w w:val="95"/>
              </w:rPr>
              <w:t>(State or other jurisdiction of</w:t>
            </w:r>
          </w:p>
        </w:tc>
        <w:tc>
          <w:tcPr>
            <w:tcW w:w="296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3820" w:type="dxa"/>
            <w:vAlign w:val="bottom"/>
            <w:gridSpan w:val="3"/>
          </w:tcPr>
          <w:p>
            <w:pPr>
              <w:jc w:val="center"/>
              <w:ind w:left="926"/>
              <w:spacing w:after="0"/>
              <w:rPr>
                <w:sz w:val="20"/>
                <w:szCs w:val="20"/>
                <w:color w:val="auto"/>
              </w:rPr>
            </w:pPr>
            <w:r>
              <w:rPr>
                <w:rFonts w:ascii="Arial" w:cs="Arial" w:eastAsia="Arial" w:hAnsi="Arial"/>
                <w:sz w:val="14"/>
                <w:szCs w:val="14"/>
                <w:i w:val="1"/>
                <w:iCs w:val="1"/>
                <w:color w:val="auto"/>
                <w:w w:val="97"/>
              </w:rPr>
              <w:t>incorporation or organization)</w:t>
            </w:r>
          </w:p>
        </w:tc>
        <w:tc>
          <w:tcPr>
            <w:tcW w:w="296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38"/>
        </w:trPr>
        <w:tc>
          <w:tcPr>
            <w:tcW w:w="3820" w:type="dxa"/>
            <w:vAlign w:val="bottom"/>
            <w:gridSpan w:val="3"/>
          </w:tcPr>
          <w:p>
            <w:pPr>
              <w:jc w:val="center"/>
              <w:ind w:left="946"/>
              <w:spacing w:after="0"/>
              <w:rPr>
                <w:sz w:val="20"/>
                <w:szCs w:val="20"/>
                <w:color w:val="auto"/>
              </w:rPr>
            </w:pPr>
            <w:r>
              <w:rPr>
                <w:rFonts w:ascii="Arial" w:cs="Arial" w:eastAsia="Arial" w:hAnsi="Arial"/>
                <w:sz w:val="14"/>
                <w:szCs w:val="14"/>
                <w:b w:val="1"/>
                <w:bCs w:val="1"/>
                <w:color w:val="auto"/>
                <w:w w:val="92"/>
              </w:rPr>
              <w:t>300 Renaissance Center, Detroit, Michigan</w:t>
            </w:r>
          </w:p>
        </w:tc>
        <w:tc>
          <w:tcPr>
            <w:tcW w:w="5640" w:type="dxa"/>
            <w:vAlign w:val="bottom"/>
            <w:gridSpan w:val="2"/>
          </w:tcPr>
          <w:p>
            <w:pPr>
              <w:jc w:val="center"/>
              <w:ind w:left="2864"/>
              <w:spacing w:after="0"/>
              <w:rPr>
                <w:sz w:val="20"/>
                <w:szCs w:val="20"/>
                <w:color w:val="auto"/>
              </w:rPr>
            </w:pPr>
            <w:r>
              <w:rPr>
                <w:rFonts w:ascii="Arial" w:cs="Arial" w:eastAsia="Arial" w:hAnsi="Arial"/>
                <w:sz w:val="14"/>
                <w:szCs w:val="14"/>
                <w:b w:val="1"/>
                <w:bCs w:val="1"/>
                <w:color w:val="auto"/>
                <w:w w:val="93"/>
              </w:rPr>
              <w:t>48265-3000</w:t>
            </w:r>
          </w:p>
        </w:tc>
      </w:tr>
      <w:tr>
        <w:trPr>
          <w:trHeight w:val="192"/>
        </w:trPr>
        <w:tc>
          <w:tcPr>
            <w:tcW w:w="3820" w:type="dxa"/>
            <w:vAlign w:val="bottom"/>
            <w:gridSpan w:val="3"/>
          </w:tcPr>
          <w:p>
            <w:pPr>
              <w:jc w:val="center"/>
              <w:ind w:left="946"/>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9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i w:val="1"/>
                <w:iCs w:val="1"/>
                <w:color w:val="auto"/>
                <w:w w:val="96"/>
              </w:rPr>
              <w:t>(Zip Code)</w:t>
            </w:r>
          </w:p>
        </w:tc>
      </w:tr>
      <w:tr>
        <w:trPr>
          <w:trHeight w:val="162"/>
        </w:trPr>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500" w:type="dxa"/>
            <w:vAlign w:val="bottom"/>
            <w:gridSpan w:val="3"/>
          </w:tcPr>
          <w:p>
            <w:pPr>
              <w:jc w:val="center"/>
              <w:ind w:right="178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62"/>
        </w:trPr>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3"/>
              </w:rPr>
              <w:t>(313) 667-1500</w:t>
            </w:r>
          </w:p>
        </w:tc>
        <w:tc>
          <w:tcPr>
            <w:tcW w:w="2680" w:type="dxa"/>
            <w:vAlign w:val="bottom"/>
          </w:tcPr>
          <w:p>
            <w:pPr>
              <w:spacing w:after="0"/>
              <w:rPr>
                <w:sz w:val="14"/>
                <w:szCs w:val="14"/>
                <w:color w:val="auto"/>
              </w:rPr>
            </w:pPr>
          </w:p>
        </w:tc>
      </w:tr>
      <w:tr>
        <w:trPr>
          <w:trHeight w:val="186"/>
        </w:trPr>
        <w:tc>
          <w:tcPr>
            <w:tcW w:w="1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500" w:type="dxa"/>
            <w:vAlign w:val="bottom"/>
            <w:gridSpan w:val="3"/>
          </w:tcPr>
          <w:p>
            <w:pPr>
              <w:jc w:val="center"/>
              <w:ind w:right="17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96"/>
        </w:trPr>
        <w:tc>
          <w:tcPr>
            <w:tcW w:w="2960" w:type="dxa"/>
            <w:vAlign w:val="bottom"/>
            <w:gridSpan w:val="2"/>
          </w:tcPr>
          <w:p>
            <w:pPr>
              <w:jc w:val="center"/>
              <w:ind w:left="1806"/>
              <w:spacing w:after="0"/>
              <w:rPr>
                <w:sz w:val="20"/>
                <w:szCs w:val="20"/>
                <w:color w:val="auto"/>
              </w:rPr>
            </w:pPr>
            <w:r>
              <w:rPr>
                <w:rFonts w:ascii="Arial" w:cs="Arial" w:eastAsia="Arial" w:hAnsi="Arial"/>
                <w:sz w:val="14"/>
                <w:szCs w:val="14"/>
                <w:b w:val="1"/>
                <w:bCs w:val="1"/>
                <w:color w:val="auto"/>
                <w:w w:val="89"/>
              </w:rPr>
              <w:t>Title of each class</w:t>
            </w:r>
          </w:p>
        </w:tc>
        <w:tc>
          <w:tcPr>
            <w:tcW w:w="860" w:type="dxa"/>
            <w:vAlign w:val="bottom"/>
          </w:tcPr>
          <w:p>
            <w:pPr>
              <w:spacing w:after="0"/>
              <w:rPr>
                <w:sz w:val="24"/>
                <w:szCs w:val="24"/>
                <w:color w:val="auto"/>
              </w:rPr>
            </w:pPr>
          </w:p>
        </w:tc>
        <w:tc>
          <w:tcPr>
            <w:tcW w:w="5640" w:type="dxa"/>
            <w:vAlign w:val="bottom"/>
            <w:gridSpan w:val="2"/>
          </w:tcPr>
          <w:p>
            <w:pPr>
              <w:jc w:val="center"/>
              <w:ind w:left="28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188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Common Stock</w:t>
            </w: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03"/>
        </w:trPr>
        <w:tc>
          <w:tcPr>
            <w:tcW w:w="3820" w:type="dxa"/>
            <w:vAlign w:val="bottom"/>
            <w:gridSpan w:val="3"/>
          </w:tcPr>
          <w:p>
            <w:pPr>
              <w:jc w:val="center"/>
              <w:ind w:left="926"/>
              <w:spacing w:after="0"/>
              <w:rPr>
                <w:sz w:val="20"/>
                <w:szCs w:val="20"/>
                <w:color w:val="auto"/>
              </w:rPr>
            </w:pPr>
            <w:r>
              <w:rPr>
                <w:rFonts w:ascii="Arial" w:cs="Arial" w:eastAsia="Arial" w:hAnsi="Arial"/>
                <w:sz w:val="14"/>
                <w:szCs w:val="14"/>
                <w:color w:val="auto"/>
                <w:w w:val="94"/>
              </w:rPr>
              <w:t>Warrants (expiring July 10, 2019)</w:t>
            </w:r>
          </w:p>
        </w:tc>
        <w:tc>
          <w:tcPr>
            <w:tcW w:w="29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9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Securities registered pursuant to Section 12 (g) of the Act: None</w:t>
      </w:r>
    </w:p>
    <w:p>
      <w:pPr>
        <w:spacing w:after="0" w:line="86"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16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6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firstLine="16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p>
      <w:pPr>
        <w:ind w:left="4380" w:right="3360" w:hanging="4206"/>
        <w:spacing w:after="0" w:line="186"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88" w:lineRule="exact"/>
        <w:rPr>
          <w:sz w:val="24"/>
          <w:szCs w:val="24"/>
          <w:color w:val="auto"/>
        </w:rPr>
      </w:pPr>
    </w:p>
    <w:p>
      <w:pPr>
        <w:ind w:firstLine="162"/>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00" w:firstLine="162"/>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(assuming only for purposes of this computation that directors and executive officers may be affiliates) was approximately $55.5 billion as of June 30, 2018.</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4"/>
          <w:szCs w:val="14"/>
          <w:color w:val="auto"/>
        </w:rPr>
        <w:t>As of January 25, 2019 there were 1,409,478,926 shares of common stock outstanding.</w:t>
      </w:r>
    </w:p>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ind w:left="180"/>
        <w:spacing w:after="0"/>
        <w:rPr>
          <w:sz w:val="20"/>
          <w:szCs w:val="20"/>
          <w:color w:val="auto"/>
        </w:rPr>
      </w:pPr>
      <w:r>
        <w:rPr>
          <w:rFonts w:ascii="Arial" w:cs="Arial" w:eastAsia="Arial" w:hAnsi="Arial"/>
          <w:sz w:val="13"/>
          <w:szCs w:val="13"/>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Property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Goodwill and Intangible Assets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Accrued and Other Liabilities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spacing w:after="0"/>
              <w:rPr>
                <w:sz w:val="17"/>
                <w:szCs w:val="17"/>
                <w:color w:val="auto"/>
              </w:rPr>
            </w:pPr>
          </w:p>
        </w:tc>
        <w:tc>
          <w:tcPr>
            <w:tcW w:w="1100" w:type="dxa"/>
            <w:vAlign w:val="bottom"/>
          </w:tcPr>
          <w:p>
            <w:pPr>
              <w:ind w:left="340"/>
              <w:spacing w:after="0" w:line="202" w:lineRule="exact"/>
              <w:rPr>
                <w:sz w:val="20"/>
                <w:szCs w:val="20"/>
                <w:color w:val="auto"/>
              </w:rPr>
            </w:pPr>
            <w:r>
              <w:rPr>
                <w:rFonts w:ascii="Arial" w:cs="Arial" w:eastAsia="Arial" w:hAnsi="Arial"/>
                <w:sz w:val="18"/>
                <w:szCs w:val="18"/>
                <w:color w:val="auto"/>
              </w:rPr>
              <w:t>Note 26.</w:t>
            </w:r>
          </w:p>
        </w:tc>
        <w:tc>
          <w:tcPr>
            <w:tcW w:w="8780" w:type="dxa"/>
            <w:vAlign w:val="bottom"/>
          </w:tcPr>
          <w:p>
            <w:pPr>
              <w:ind w:left="12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98</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99</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100</w:t>
              </w:r>
            </w:hyperlink>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11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Form 10-K Summary</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Signatures</w:t>
            </w:r>
          </w:p>
        </w:tc>
        <w:tc>
          <w:tcPr>
            <w:tcW w:w="110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9" w:right="23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trucks, crossovers, cars and automobile parts worldwide. We also provide automotive financing services through General Motors Financial Company, Inc. (GM Financial). Except for per share amounts or as otherwise specified, amounts presented within tables are stated in millions.</w:t>
      </w:r>
    </w:p>
    <w:p>
      <w:pPr>
        <w:spacing w:after="0" w:line="13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consolidated financial statements for all periods presented. Unless otherwise indicated, information in this report relates to our continuing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Our automotive operations meet the demands of our customers through our automotive segments: GM North America (GMNA) and GM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Competitive Position and Vehicle Sales </w:t>
      </w:r>
      <w:r>
        <w:rPr>
          <w:rFonts w:ascii="Arial" w:cs="Arial" w:eastAsia="Arial" w:hAnsi="Arial"/>
          <w:sz w:val="18"/>
          <w:szCs w:val="18"/>
          <w:color w:val="auto"/>
        </w:rPr>
        <w:t>The principal factors that determine consumer vehicle preferences in the markets in which we operate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vehicle design, price, quality, available options, safety, reliability, fuel economy and functionality. Market leadership in individual countries in which we compete varies widely.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2018 36% of our wholesale vehicle sales volume was generated outside the U.S. The following table summarizes wholesale vehicle sales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58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GMI(b)</w:t>
            </w:r>
          </w:p>
        </w:tc>
        <w:tc>
          <w:tcPr>
            <w:tcW w:w="700" w:type="dxa"/>
            <w:vAlign w:val="bottom"/>
          </w:tcPr>
          <w:p>
            <w:pPr>
              <w:jc w:val="right"/>
              <w:spacing w:after="0"/>
              <w:rPr>
                <w:sz w:val="20"/>
                <w:szCs w:val="20"/>
                <w:color w:val="auto"/>
              </w:rPr>
            </w:pPr>
            <w:r>
              <w:rPr>
                <w:rFonts w:ascii="Arial" w:cs="Arial" w:eastAsia="Arial" w:hAnsi="Arial"/>
                <w:sz w:val="18"/>
                <w:szCs w:val="18"/>
                <w:color w:val="auto"/>
              </w:rPr>
              <w:t>1,152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7"/>
        </w:trPr>
        <w:tc>
          <w:tcPr>
            <w:tcW w:w="58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__________</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Wholesale vehicle sales related to transactions with the European Business were insignificant for the years ended December 31, 2017 and 2016.</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Wholesale vehicle sales include 131 and 128 vehicles related to transactions with the European Business for the years ended December 31, 2017 and 2016.</w:t>
      </w:r>
    </w:p>
    <w:p>
      <w:pPr>
        <w:spacing w:after="0" w:line="21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industry vehicle sales and our related competitive position by geographic region (vehicles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21,556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China(b)</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Other(c)</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22,252</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21,287</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20,602</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Africa(a)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48,718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49,518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in GM markets</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74,732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75,241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74,428</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Worldwide(d)</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93,777</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8,384</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94,431</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9,600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93,048</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10,008</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Cars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5,361</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6,972</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United States</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17,694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2,954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17,886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China(b)</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3,645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4,041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28,274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3,914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Sales of Opel/Vauxhall outside of Europe were insignificant in the years ended December 31, 2017 and 2016.</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SAIC GM Wuling Automobile Co., Ltd. (SGMW) and FAW-GM Light Duty Commercial Vehicle Co., Ltd. (FAW-GM). In the year ended December 31, 2016 wholesale volumes were used for Industry, GM and Market Share. Our total vehicle sales in China were 3,871 in the year ended December 31, 2016.</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where we ceased vehicle sales for those domestic markets as of December 31, 2017.</w:t>
      </w:r>
    </w:p>
    <w:p>
      <w:pPr>
        <w:spacing w:after="0" w:line="8" w:lineRule="exact"/>
        <w:rPr>
          <w:rFonts w:ascii="Arial" w:cs="Arial" w:eastAsia="Arial" w:hAnsi="Arial"/>
          <w:sz w:val="16"/>
          <w:szCs w:val="16"/>
          <w:color w:val="auto"/>
        </w:rPr>
      </w:pPr>
    </w:p>
    <w:p>
      <w:pPr>
        <w:ind w:left="340" w:hanging="332"/>
        <w:spacing w:after="0" w:line="27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w:t>
      </w:r>
      <w:r>
        <w:rPr>
          <w:rFonts w:ascii="Arial" w:cs="Arial" w:eastAsia="Arial" w:hAnsi="Arial"/>
          <w:sz w:val="18"/>
          <w:szCs w:val="18"/>
          <w:color w:val="auto"/>
        </w:rPr>
        <w:t>.</w:t>
      </w:r>
      <w:r>
        <w:rPr>
          <w:rFonts w:ascii="Arial" w:cs="Arial" w:eastAsia="Arial" w:hAnsi="Arial"/>
          <w:sz w:val="16"/>
          <w:szCs w:val="16"/>
          <w:color w:val="auto"/>
        </w:rPr>
        <w:t xml:space="preserve"> Accordingly these countries are excluded from industry sales data and corresponding calculation of market share.</w:t>
      </w:r>
    </w:p>
    <w:p>
      <w:pPr>
        <w:spacing w:after="0" w:line="17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year ended December 31, 2018 we estimate we had the number one market share in each of North America and South America, and the number three market share in the Asia/Pacific, Middle East and Africa region, which included the number two market share in China. Refer to the Overview in Management's Discussion and Analysis of Financial Condition and Results of Operations (MD&amp;A) for discussion on changes in market share by region.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Prior to January 1, 2018 a significant portion of the sales to daily rental car companies were recorded as operating leases under U.S. GAAP with no recognition of revenue at the date of initial delivery due to guaranteed repurchase obligations. Beginning January 1, 2018, a significant portion of the sales to daily rental car companies are recorded as sales at the time of delivery to daily rental car companies. The following table summarizes estimated fleet sales and those sales as a percentage of total vehicle sales (vehicles in thousands):</w:t>
      </w:r>
    </w:p>
    <w:p>
      <w:pPr>
        <w:spacing w:after="0" w:line="19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707</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GMI</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527</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1,218</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1,232</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1,234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4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6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Pricing </w:t>
      </w:r>
      <w:r>
        <w:rPr>
          <w:rFonts w:ascii="Arial" w:cs="Arial" w:eastAsia="Arial" w:hAnsi="Arial"/>
          <w:sz w:val="18"/>
          <w:szCs w:val="18"/>
          <w:color w:val="auto"/>
        </w:rPr>
        <w:t>Several methods are used to promote our products, including the use of dealer, retail and fleet incentives such as customer rebates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rate support. The level of incentives is dependent upon the level of competition in the markets in which we operate and the level of demand for our products.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Cyclical Nature of Business </w:t>
      </w:r>
      <w:r>
        <w:rPr>
          <w:rFonts w:ascii="Arial" w:cs="Arial" w:eastAsia="Arial" w:hAnsi="Arial"/>
          <w:sz w:val="16"/>
          <w:szCs w:val="16"/>
          <w:color w:val="auto"/>
        </w:rPr>
        <w:t>Retail sales are cyclical and production varies from month to month. Vehicle model changeovers occur throughout the year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new market entries. The market for vehicles depends in part on general economic conditions, credit availability and consumer spending.</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Dealers </w:t>
      </w:r>
      <w:r>
        <w:rPr>
          <w:rFonts w:ascii="Arial" w:cs="Arial" w:eastAsia="Arial" w:hAnsi="Arial"/>
          <w:sz w:val="18"/>
          <w:szCs w:val="18"/>
          <w:color w:val="auto"/>
        </w:rPr>
        <w:t>We market vehicles and automotive parts worldwide primarily through a network of independent authorized retail dealers.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outlets include 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GMI</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8,598</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12,509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13,455</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program and those repairs are made only with GM parts. Our dealers generally provide their customers with access to credit or lease financing, vehicle insurance and extended service contracts provided by GM Financial and other financial institutions.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Research, Product and Business Development and Intellectual Property </w:t>
      </w:r>
      <w:r>
        <w:rPr>
          <w:rFonts w:ascii="Arial" w:cs="Arial" w:eastAsia="Arial" w:hAnsi="Arial"/>
          <w:sz w:val="16"/>
          <w:szCs w:val="16"/>
          <w:color w:val="auto"/>
        </w:rPr>
        <w:t>Costs for research, manufacturing engineering, product engineering and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activities relate primarily to developing new products or services or improving existing products or services, including activities related to vehicle and greenhouse gas (GHG) emissions control, improved fuel economy, electrification, autonomous vehicles, the safety of drivers and passengers, and urban mobility. Research and development expenses were $7.8 billion, $7.3 billion and $6.6 billion in the years ended December 31, 2018, 2017 and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The Product Development organization is responsible for designing and integrating vehicle and propulsion components to maximize</w:t>
      </w:r>
      <w:r>
        <w:rPr>
          <w:rFonts w:ascii="Arial" w:cs="Arial" w:eastAsia="Arial" w:hAnsi="Arial"/>
          <w:sz w:val="16"/>
          <w:szCs w:val="16"/>
          <w:i w:val="1"/>
          <w:iCs w:val="1"/>
          <w:color w:val="auto"/>
        </w:rPr>
        <w:t xml:space="preserve"> </w:t>
      </w:r>
      <w:r>
        <w:rPr>
          <w:rFonts w:ascii="Arial" w:cs="Arial" w:eastAsia="Arial" w:hAnsi="Arial"/>
          <w:sz w:val="16"/>
          <w:szCs w:val="16"/>
          <w:color w:val="auto"/>
        </w:rPr>
        <w:t>part sharing across multiple vehicle segments. Global teams in Design, Program Management, Component &amp; Subsystem Engineering, Product Integrity, Safety, Propulsion Systems and Purchasing &amp; Supply Chain collaborate to meet customer requirements and maximize global economies of scale.</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global vehicle architecture development is headquartered at our Global Technical Center in Warren, Michigan. Cross-segment part sharing is an essential enabler to optimize our current vehicle portfolio, as we expect that more than 75% of our global sales volume will come from five vehicle architectures by early next decade. We will continue to leverage our current architecture portfolio to accommodate our customers around the world while achieving our financial goals.</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November 2018 we announced plans to transform our product development and optimize our product portfolio. We are evolving our global product development workforce and processes to drive world-class levels of engineering in advanced technologies and to improve quality and speed to market.</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Hybrid, Plug-In, Extended Range and Battery Electric Vehicles </w:t>
      </w:r>
      <w:r>
        <w:rPr>
          <w:rFonts w:ascii="Arial" w:cs="Arial" w:eastAsia="Arial" w:hAnsi="Arial"/>
          <w:sz w:val="17"/>
          <w:szCs w:val="17"/>
          <w:color w:val="auto"/>
        </w:rPr>
        <w:t>We are investing in multiple technologies offering increasing levels of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electrification including eAssist, plug-in hybrid, full hybrid, extended range and zero emission battery electric vehicles that are part of our long-term strategy to reduce petroleum consumption and GHG emissions. We currently offer seven 2018 model year vehicles in the U.S. featuring some form of electrification and continue to develop plug-in hybrid electric vehicle technology and extended range electric vehicles such as the Chevrolet Bolt EV.</w:t>
      </w:r>
    </w:p>
    <w:p>
      <w:pPr>
        <w:spacing w:after="0" w:line="17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 xml:space="preserve">Car- and Ride-Sharing </w:t>
      </w:r>
      <w:r>
        <w:rPr>
          <w:rFonts w:ascii="Arial" w:cs="Arial" w:eastAsia="Arial" w:hAnsi="Arial"/>
          <w:sz w:val="17"/>
          <w:szCs w:val="17"/>
          <w:color w:val="auto"/>
        </w:rPr>
        <w:t>Maven is a shared vehicle marketplace that leverages a versatile software and operational platform to provide members with on-demand access to vehicles through two primary services, Maven Gig and Maven Car Sharing. Maven Gig allows members to access vehicles that can be used in ride-sharing and delivery with companies such as Uber Technologies Inc. and GrubHub Inc. Maven Car Sharing is a consumer service that provides on-demand access to Maven owned and peer-owned vehicles through a new peer-to-peer car-sharing offering. Maven is available in 24 cities across the U.S., Canada and Australia. Through December 31, 2018 Maven Gig and Maven Car Sharing have accumulated in aggregate over 171 million miles driven, 34 million all-electric miles driven and 247,000 reservations. Maven now has 190,000 members.</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Autonomous Technology </w:t>
      </w:r>
      <w:r>
        <w:rPr>
          <w:rFonts w:ascii="Arial" w:cs="Arial" w:eastAsia="Arial" w:hAnsi="Arial"/>
          <w:sz w:val="16"/>
          <w:szCs w:val="16"/>
          <w:color w:val="auto"/>
        </w:rPr>
        <w:t>We see autonomous technology leading to a future of zero crashes, zero emissions and zero congestion, since more than 90% of</w:t>
      </w:r>
      <w:r>
        <w:rPr>
          <w:rFonts w:ascii="Arial" w:cs="Arial" w:eastAsia="Arial" w:hAnsi="Arial"/>
          <w:sz w:val="16"/>
          <w:szCs w:val="16"/>
          <w:i w:val="1"/>
          <w:iCs w:val="1"/>
          <w:color w:val="auto"/>
        </w:rPr>
        <w:t xml:space="preserve"> </w:t>
      </w:r>
      <w:r>
        <w:rPr>
          <w:rFonts w:ascii="Arial" w:cs="Arial" w:eastAsia="Arial" w:hAnsi="Arial"/>
          <w:sz w:val="16"/>
          <w:szCs w:val="16"/>
          <w:color w:val="auto"/>
        </w:rPr>
        <w:t>crashes are caused by driver error, according to the National Highway Traffic Safety Administration (NHTSA). We are among the leaders in the industry with significant global real-world experience in delivering connectivity and advanced safety features that are the building blocks to more advanced automation features that are driving our leadership position in the development of autonomous technology. An example of advanced technology is Super Cruise, a driver assistance feature that enables hands-free driving on the highway, which will be expanded to all Cadillac models, with roll-out beginning in 2020.</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actively testing autonomous vehicles in San Francisco, California; Scottsdale, Arizona; and Michigan. Gated by safety and regulation, we continue to make rapid progress toward commercialization of a network of on-demand autonomous vehicles in the U.S.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January 2018 we revealed the Cruise AV, a production-intent self-driving vehicle that was engineered from the start to operate safely on its own, with no driver.</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May 2018 SoftBank Vision Fund (The Vision Fund) agreed to invest in GM Cruise, our global segment responsible for the development and commercialization of autonomous vehicle technology. In addition, in October 2018 we reached an agreement to work jointly with Honda Motor Co., Ltd (Honda) to fund and develop a shared autonomous vehicle (SAV) for GM Cruise that can serve a wide variety of use cases and be manufactured at high volume. For additional information on third-party investments in GM Cruise, refer to the Overview section of the Management's Discussion and Analysis of Financial Condition and Results of Operations (MD&amp;A).</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Alternative Fuel Vehicles </w:t>
      </w:r>
      <w:r>
        <w:rPr>
          <w:rFonts w:ascii="Arial" w:cs="Arial" w:eastAsia="Arial" w:hAnsi="Arial"/>
          <w:sz w:val="16"/>
          <w:szCs w:val="16"/>
          <w:color w:val="auto"/>
        </w:rPr>
        <w:t>We believe alternative fuels offer significant potential to reduce petroleum consumption and resulting GHG emissions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sector. By leveraging experience and capability developed around these technologies in our global operations we continue to develop FlexFuel vehicles that can run on ethanol-gasoline blend fuels as well as technologies that support compressed natural gas and liquefied petroleum gas (LPG).</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offer a variety of FlexFuel vehicles in the U.S. for the 2019 model year to retail and fleet customers capable of operating on gasoline, E85 ethanol or any combination of the two. In Brazil, a substantial majority of vehicles sold are FlexFuel vehicles capable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running on high ethanol blends. We also market FlexFuel vehicles in other global markets where biofuels are in the marketplace. We support the development of biodiesel blend fuels, which are alternative diesel fuels produced from renewable sources.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Hydrogen Fuel Cell Technology </w:t>
      </w:r>
      <w:r>
        <w:rPr>
          <w:rFonts w:ascii="Arial" w:cs="Arial" w:eastAsia="Arial" w:hAnsi="Arial"/>
          <w:sz w:val="18"/>
          <w:szCs w:val="18"/>
          <w:color w:val="auto"/>
        </w:rPr>
        <w:t>Another part of our long-term strategy to reduce petroleum consumption and GHG emissions is our commitment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our hydrogen fuel cell technology. Our Chevrolet Equinox fuel cell electric vehicle demonstration programs, such as Project Driveway, have accumulated more than three million miles of real-world driving. These programs are helping us identify consumer and infrastructure needs to understand the business case for potential production of vehicles with this technology. We are exploring non-traditional automotive uses for fuel cells in several areas, including demonstrations with the U.S. Army and U.S. Navy.</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signed a co-development agreement and established a nonconsolidated JV with Honda in 2016 for a next-generation fuel cell system and hydrogen storage technologies, aiming for commercialization in the early 2020s. We expect the collaboration to succeed by sharing expertise, economies of scale and common sourcing strategies and building upon GM's and Honda's strengths as leaders in hydrogen fuel cell technology.</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OnStar and Vehicle Connectivity </w:t>
      </w:r>
      <w:r>
        <w:rPr>
          <w:rFonts w:ascii="Arial" w:cs="Arial" w:eastAsia="Arial" w:hAnsi="Arial"/>
          <w:sz w:val="17"/>
          <w:szCs w:val="17"/>
          <w:color w:val="auto"/>
        </w:rPr>
        <w:t>OnStar, LLC (OnStar) provides subscription-based and complementary services to more than 20 million connected</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globally. OnStar provides connected safety, security and mobility solutions for retail and fleet customers, including automatic crash response, stolen vehicle assistance, roadside assistance, dealer maintenance notifications, remote door unlock, turn-by-turn navigation, vehicle location services, hands-free calling, Smart Driver and Marketplace. OnStar also offers additional connectivity packages that include remote vehicle access through a mobile application, on-demand vehicle diagnostics, connected navigation and 4G LTE wireless connectivity.</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We generate and hold a significant number of patents in a number of countries in connection with the operation of our business. While</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these patents are individually material to our business as a whole, these patents are important to our operations and continued technological development. We hold a number of trademarks and service marks that are very important to our identity and recognition in the marketplace.</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Raw Materials, Services and Supplies </w:t>
      </w:r>
      <w:r>
        <w:rPr>
          <w:rFonts w:ascii="Arial" w:cs="Arial" w:eastAsia="Arial" w:hAnsi="Arial"/>
          <w:sz w:val="18"/>
          <w:szCs w:val="18"/>
          <w:color w:val="auto"/>
        </w:rPr>
        <w:t>We purchase a wide variety of raw materials, parts, supplies, energy, freight, transportation and other services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suppliers to manufacture our products. The raw materials primarily include steel, aluminum, resins, copper, lead and platinum group metals. We have not experienced any significant shortages of raw materials and normally do not carry substantial inventories of such raw materials in excess of levels reasonably required to meet our production requirements. We continue to experience higher commodity costs and anticipate higher costs associated with tariffs.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Combined purchases from our two largest suppliers have been approximately 12% of our total purchases in each of the years ended December 31, 2018, 2017 and 2016. Refer to Item 1A. Risk Factors for further discussion of these risks.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b w:val="1"/>
          <w:bCs w:val="1"/>
          <w:i w:val="1"/>
          <w:iCs w:val="1"/>
          <w:color w:val="auto"/>
        </w:rPr>
        <w:t xml:space="preserve">Automotive Emissions Control </w:t>
      </w:r>
      <w:r>
        <w:rPr>
          <w:rFonts w:ascii="Arial" w:cs="Arial" w:eastAsia="Arial" w:hAnsi="Arial"/>
          <w:sz w:val="18"/>
          <w:szCs w:val="18"/>
          <w:color w:val="auto"/>
        </w:rPr>
        <w:t>We are subject to laws and regulations that require us to control automotive emissions, including vehicle and engine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exhaust emission standards, vehicle evaporative emission standards and onboard diagnostic (OBD) system requirements. Advanced OBD systems are used to identify and diagnose problems with emission control systems. Problems detected by the OBD system and other in-use compliance monitoring activities may increase warranty costs and the likelihood of recall. Emission and OBD requirements have become more stringent as a result of lower emission standards and new diagnostic requirements that have come into force in many markets around the world driven by policy priorities such as air quality, energy security and climate change, often with very little harmonization. While we believe all of our products are designed and manufactured in material compliance with substantially all vehicle emissions requirements, regulatory authorities may conduct ongoing evaluations of the emissions compliance of products from all manufacturers. This includes vehicle emissions testing, including CO</w:t>
      </w:r>
      <w:r>
        <w:rPr>
          <w:rFonts w:ascii="Arial" w:cs="Arial" w:eastAsia="Arial" w:hAnsi="Arial"/>
          <w:sz w:val="12"/>
          <w:szCs w:val="12"/>
          <w:color w:val="auto"/>
        </w:rPr>
        <w:t>2</w:t>
      </w:r>
      <w:r>
        <w:rPr>
          <w:rFonts w:ascii="Arial" w:cs="Arial" w:eastAsia="Arial" w:hAnsi="Arial"/>
          <w:sz w:val="18"/>
          <w:szCs w:val="18"/>
          <w:color w:val="auto"/>
        </w:rPr>
        <w:t xml:space="preserve"> and nitrogen oxide emissions testing, and review of emission control designs and strategies.</w:t>
      </w:r>
    </w:p>
    <w:p>
      <w:pPr>
        <w:spacing w:after="0" w:line="19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as well as the requirement that increasing percentages of Zero Emission Vehicle (ZEVs) must be sold in California. The Clean Air Act permits states that have areas with air quality compliance issues to adopt California emission standards in lieu of federal requirements. Thirteen states have adopted California emission standards, and ten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these have adopted the ZEV requirements. There is a possibility that additional U.S. jurisdictions could adopt California emissions and ZEV requirements in the future.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the EPA has not imposed ZEV requirements, the EPA and California's emissions control standards will likely increase the time and mileage periods over which manufacturers are responsible for a vehicle's emission performance. The Canadian federal government's vehicle emission requirements are generally aligned with the U.S. federal requirements. The Canadian province of Quebec has adopted ZEV requirements starting with the 2018 model year largely based on California program requirements.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Each model year we must obtain certification that our vehicles and heavy-duty engines will meet emission requirements of the EPA before we can sell vehicles in the U.S. and Canada, and of the CARB before we can sell vehicles in California and other states that have adopted the California emissions requirements.</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China implemented the China 5 emission standard nationwide at the beginning of 2017. China 5 is more stringent than the previous program on all levels including overall emission requirements and the time and mileage period for which vehicles need to meet China 5 level performance. China will implement a unique China 6 emission standard that combines elements of both European and U.S. standards and includes more stringent emission requirements and increases the time and mileage periods over which manufacturers are responsible for a vehicle's emission performance. Nationwide implementation for new registrations is expected in July 2020 for China 6a and July 2023 for the more stringent China 6b standard. Localities can pull ahead China 6 requirements if certain criteria are met. The majority of cities that have announced plans to implement China 6 early have projected implementation in July 2019, but one city has indicated implementation in the three months ended March 31, 2019. For additional information, refer to Item 1A. Risk Factors.</w:t>
      </w:r>
    </w:p>
    <w:p>
      <w:pPr>
        <w:spacing w:after="0" w:line="167"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In South America certain countries follow the U.S. test procedures, standards and OBD requirements and others follow the European Union test procedures, standards and OBD requirements with different levels of stringency. Brazil implemented national L6 standards for light diesel vehicles in 2012 and OBD installation for light diesel vehicles in 2015. L6 standards for light gasoline vehicles were implemented in 2015 for all models.</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a result of the sale of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the European Union, increased scrutiny of compliance with emissions standards may result in changes to these standards, including implementation of “real world driving” emissions tests, as well as stricter interpretations or redefinition of these standards and more rigorous enforcement. For example, our former German subsidiary has participated in continuing discussions with German and European authorities concerning emissions control systems. For additional information, refer to Note 22 to our consolidated financial statements.</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Automotive Fuel Economy </w:t>
      </w:r>
      <w:r>
        <w:rPr>
          <w:rFonts w:ascii="Arial" w:cs="Arial" w:eastAsia="Arial" w:hAnsi="Arial"/>
          <w:sz w:val="17"/>
          <w:szCs w:val="17"/>
          <w:color w:val="auto"/>
        </w:rPr>
        <w:t>In the U.S., the National Highway Traffic Safety Administration (NHTSA) promulgates and enforces Corporate Average Fuel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(CAFE) standards for three separate fleets: domestically produced cars, imported cars and light-duty trucks. Manufacturers are subject to substantial civil penalties if they fail to meet the applicable CAFE standard in any model year, after taking into account all available credits for the preceding five model years and expected credits for the three succeeding model years, including credits obtained from other manufacturers. In addition to federal CAFE, the EPA promulgates and enforces GHG emission standards, which are effectively fuel economy standards because the majority of vehicle GHG emissions are carbon dioxide emissions that are emitted in direct proportion to the amount of fuel burned by a vehicle. The EPA and NHTSA also regulate the fuel efficiency and GHG emissions of medium- and heavy-duty vehicles, imposing more stringent standards over time.</w:t>
      </w:r>
    </w:p>
    <w:p>
      <w:pPr>
        <w:spacing w:after="0" w:line="17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In Canada, light-duty and heavy-duty GHG regulations are currently patterned after the existing EPA GHG emission standards. However, with both the U.S. and Canadian governments reviewing potential changes to these existing regulations and the difference in each country's climate change policies, there is an increased risk that future Canadian light-duty GHG regulations may not be aligned with future EPA regulations. In addition, CARB has asserted the right to promulgate and enforce its own state GHG standards for motor vehicles, and other states have asserted the right to adopt the California standards. Until recently, CARB regulations have provided that compliance with the federal EPA light-duty GHG program is deemed to be in compliance with the California standards through the 2025 model year. However, on December 12, 2018 CARB amended this regulation to clarify that, in the event the EPA alters the GHG stringency by means of the now-pending EPA GHG rulemaking, compliance with the EPA's GHG emissions standards will no longer be deemed in compliance with CARB's requirements. As a result, depending on the outcome of the EPA GHG rulemaking and finality of CARB's regulatory amendment in the future GM might be required to meet California standards that are different than the EPA GHG standards.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China has two fuel economy requirements for passenger vehicles: an individual vehicle pass-fail type approval requirement and a fleet average fuel consumption requirement. With a focus on the fleet average program, the current China Phase 4 fleet fuel consumption requirement, which went into effect in 2016, is based on curb weight with full compliance to 5.0L/100 km required by 2020. China Phase 4 has continued subsidies for plug-in hybrid, battery electric and fuel cell vehicles. China Phase 5 is currently being developed with a planned start in 2021 with full compliance to 4.0L/100km required by 2025. In addition, China has established the New Energy Vehicle (NEV) Mandate which will require passenger car manufacturers to produce a certain volume of plug-in hybrid, battery electric and fuel cell vehicles to generate "credits" equivalent to 10% in 2019 and 12% in 2020 against the internal combustion engine vehicle production volume. The number of credits per car is based on the level of electric range and energy efficiency. The NEV Mandate requirement for 2021 to 2025 currently is being developed with a goal of NEV volume reaching 20% of total vehicle volume in 2025.</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Regulators in other jurisdictions have already adopted or are developing fuel economy or carbon dioxide regulations. If regulators in these jurisdictions seek to impose and enforce emission standards that are misaligned with market conditions, we may be forced to take various actions to increase market support programs for more fuel-efficient vehicles and curtail production of certain high-performance cars, trucks and sport utility vehicles (SUVs) in order to achieve compliance. We regularly evaluate our current and future product plans and strategies for compliance with fuel economy and GHG regulations.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Industrial Environmental Control </w:t>
      </w:r>
      <w:r>
        <w:rPr>
          <w:rFonts w:ascii="Arial" w:cs="Arial" w:eastAsia="Arial" w:hAnsi="Arial"/>
          <w:sz w:val="18"/>
          <w:szCs w:val="18"/>
          <w:color w:val="auto"/>
        </w:rPr>
        <w:t>Our operations are subject to a wide range of environmental protection laws including those regulating air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 mitigate the effects of our worldwide operations on the environment, we are converting as many of our worldwide operations as practicable to landfill-free operations which reduces GHG emissions associated with waste disposal. At December 31, 2018, 75 (or approximately 50%) of our manufacturing operations and 61 of our non-manufacturing operations were landfill-free, including idled facilities. At our landfill-free manufacturing operations approximately 94% of waste materials are composted, reused, or recycled and approximately 5% are converted to energy at waste-to-energy facilities. In 2018 we estimate that our waste reduction program diverted 1.6 million metric tons of waste from landfill, resulting in approximately 6.9 million metric tons of GHG emissions avoided in global manufacturing operations, including construction, demolition and remediation wastes.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to minimizing our impact on the environment, our landfill-free program and total waste reduction commitments generate revenue from the sale of production by-products, reduce our use of material, reduce our carbon footprint and help to reduce the risks and financial liabilities associated with waste disposal.</w:t>
      </w:r>
    </w:p>
    <w:p>
      <w:pPr>
        <w:spacing w:after="0" w:line="181"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 xml:space="preserve">We continue to search for ways to increase our use of renewable energy, improve our energy efficiency and work to drive growth and scale of renewables. We are committed to meeting the electricity needs of our operations worldwide with renewable energy by 2050. At December 31, 2018 we had implemented projects or signed renewable energy contracts globally that had increased our total renewable energy capacity to over 400 megawatts, which represents approximately 20% of our global electricity use. In 2018, several wind farms totaling approximately 250 megawatts now match the load of GM facilities in Texas, Ohio and Indiana. We continue to seek opportunities for a diversified renewable energy portfolio including wind, solar, and landfill gas. In 2018 Energy Star certified one assembly plant in Canada through Natural Resources Canada and 17 buildings in the U.S. for superior energy management. We also met the EPA Energy Star Challenge for Industry (EPA Challenge) </w:t>
      </w:r>
      <w:r>
        <w:rPr>
          <w:rFonts w:ascii="Arial" w:cs="Arial" w:eastAsia="Arial" w:hAnsi="Arial"/>
          <w:sz w:val="16"/>
          <w:szCs w:val="16"/>
          <w:color w:val="222222"/>
        </w:rPr>
        <w:t>at eight additional sites globally by reducing energy intensity an average of 13% at these</w:t>
      </w:r>
      <w:r>
        <w:rPr>
          <w:rFonts w:ascii="Arial" w:cs="Arial" w:eastAsia="Arial" w:hAnsi="Arial"/>
          <w:sz w:val="16"/>
          <w:szCs w:val="16"/>
          <w:color w:val="auto"/>
        </w:rPr>
        <w:t xml:space="preserve"> </w:t>
      </w:r>
      <w:r>
        <w:rPr>
          <w:rFonts w:ascii="Arial" w:cs="Arial" w:eastAsia="Arial" w:hAnsi="Arial"/>
          <w:sz w:val="16"/>
          <w:szCs w:val="16"/>
          <w:color w:val="222222"/>
        </w:rPr>
        <w:t xml:space="preserve">sites within 2.5 years. To meet the EPA Challenge, industrial sites must reduce energy intensity by 10% within a five year period. In total 75 GM-owned manufacturing sites have met the EPA Challenge, with many sites achieving the goal multiple times for a total of 137 recognitions. These efforts minimize our utility expenses and </w:t>
      </w:r>
      <w:r>
        <w:rPr>
          <w:rFonts w:ascii="Arial" w:cs="Arial" w:eastAsia="Arial" w:hAnsi="Arial"/>
          <w:sz w:val="16"/>
          <w:szCs w:val="16"/>
          <w:color w:val="000000"/>
        </w:rPr>
        <w:t>are part of our approach to addressing climate change through setting a GHG emissions reduction target, collecting accurate data,</w:t>
      </w:r>
      <w:r>
        <w:rPr>
          <w:rFonts w:ascii="Arial" w:cs="Arial" w:eastAsia="Arial" w:hAnsi="Arial"/>
          <w:sz w:val="16"/>
          <w:szCs w:val="16"/>
          <w:color w:val="222222"/>
        </w:rPr>
        <w:t xml:space="preserve"> </w:t>
      </w:r>
      <w:r>
        <w:rPr>
          <w:rFonts w:ascii="Arial" w:cs="Arial" w:eastAsia="Arial" w:hAnsi="Arial"/>
          <w:sz w:val="16"/>
          <w:szCs w:val="16"/>
          <w:color w:val="000000"/>
        </w:rPr>
        <w:t>following our business plan to operate more efficiently and publicly reporting progress against our target.</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Chemical Regulations </w:t>
      </w:r>
      <w:r>
        <w:rPr>
          <w:rFonts w:ascii="Arial" w:cs="Arial" w:eastAsia="Arial" w:hAnsi="Arial"/>
          <w:sz w:val="18"/>
          <w:szCs w:val="18"/>
          <w:color w:val="auto"/>
        </w:rPr>
        <w:t>We continually monitor the implementation of chemical regulations to maintain compliance and evaluate their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suppliers and the automotive industry.</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Globally, governmental agencies continue to introduce new legislation and regulations related to the selection and use of chemicals by mandating broad prohibitions or restrictions and implementing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Stockholm, Basel and Rotterdam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Conventions on Chemicals and Waste and the Minamata Convention on Mercury, are driving chemical regulations across signatory countries. In addition, more global jurisdictions are establishing substance standards with regard to Vehicle Interior Air Quality.</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 xml:space="preserve">Chemical regulations are increasing in North America. In </w:t>
      </w:r>
      <w:r>
        <w:rPr>
          <w:rFonts w:ascii="Arial" w:cs="Arial" w:eastAsia="Arial" w:hAnsi="Arial"/>
          <w:sz w:val="18"/>
          <w:szCs w:val="18"/>
          <w:color w:val="151515"/>
        </w:rPr>
        <w:t>the U.S. the</w:t>
      </w:r>
      <w:r>
        <w:rPr>
          <w:rFonts w:ascii="Arial" w:cs="Arial" w:eastAsia="Arial" w:hAnsi="Arial"/>
          <w:sz w:val="18"/>
          <w:szCs w:val="18"/>
          <w:color w:val="auto"/>
        </w:rPr>
        <w:t xml:space="preserve"> EPA is moving forward with risk analysis and management of high priority chemicals under the authority of the 2016 Lautenberg Chemical Safety for the 21st Century Act, and several U.S. states have chemical management regulations that can affect vehicle design such as the California and Washington laws banning the use of copper in brake friction material. Chemical restrictions in Canada continue to progress rapidly as a result of Environment Canada's Chemical Management Plan to assess existing substances and implement risk management controls on any chemical deemed toxic.</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China prohibits the use of several chemical substances in vehicles. There are also various regulations in China stipulating the requirements for chemical management. Among other things, these regulations catalogue and restrict the use and the import and export of various chemical substances. The failure of our joint venture partners or our suppliers to comply with these regulations could disrupt production in China or prevent our joint venture partners from selling the affected products in the China market.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These emerging regulations will potentially lead to increases in costs and supply chain complexity. We believe that we are materially in compliance with substantially all of these requirements or expect to be materially in compliance by the required dates.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Safety </w:t>
      </w:r>
      <w:r>
        <w:rPr>
          <w:rFonts w:ascii="Arial" w:cs="Arial" w:eastAsia="Arial" w:hAnsi="Arial"/>
          <w:sz w:val="18"/>
          <w:szCs w:val="18"/>
          <w:color w:val="auto"/>
        </w:rPr>
        <w:t>In the U.S. the National Traffic and Motor Vehicle Safety Act of 1966 prohibits the sale of any new vehicle or equipment in the U.S. that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applicable vehicle safety standards established by NHTSA. If we or NHTSA determine that either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adding complexity to regulatory compliance.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Financing - GM Financial </w:t>
      </w:r>
      <w:r>
        <w:rPr>
          <w:rFonts w:ascii="Arial" w:cs="Arial" w:eastAsia="Arial" w:hAnsi="Arial"/>
          <w:sz w:val="18"/>
          <w:szCs w:val="18"/>
          <w:color w:val="auto"/>
        </w:rPr>
        <w:t>GM Financial is our global captive automotive finance company and our global provider of automobile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GM Financial conducts its business in North America, South America and through joint ventures in China.</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lending products to dealers including new and used vehicle inventory floorplan financing and dealer loans, that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Employees </w:t>
      </w:r>
      <w:r>
        <w:rPr>
          <w:rFonts w:ascii="Arial" w:cs="Arial" w:eastAsia="Arial" w:hAnsi="Arial"/>
          <w:sz w:val="17"/>
          <w:szCs w:val="17"/>
          <w:color w:val="auto"/>
        </w:rPr>
        <w:t>At December 31, 2018 we employed 97,000 (56%) hourly employees and 76,000 (44%) salaried employees. At December 31, 2018 50,000</w:t>
      </w:r>
      <w:r>
        <w:rPr>
          <w:rFonts w:ascii="Arial" w:cs="Arial" w:eastAsia="Arial" w:hAnsi="Arial"/>
          <w:sz w:val="17"/>
          <w:szCs w:val="17"/>
          <w:b w:val="1"/>
          <w:bCs w:val="1"/>
          <w:color w:val="auto"/>
        </w:rPr>
        <w:t xml:space="preserve"> </w:t>
      </w:r>
      <w:r>
        <w:rPr>
          <w:rFonts w:ascii="Arial" w:cs="Arial" w:eastAsia="Arial" w:hAnsi="Arial"/>
          <w:sz w:val="17"/>
          <w:szCs w:val="17"/>
          <w:color w:val="auto"/>
        </w:rPr>
        <w:t>(49%)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GMI</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97"/>
        </w:trPr>
        <w:tc>
          <w:tcPr>
            <w:tcW w:w="20" w:type="dxa"/>
            <w:vAlign w:val="bottom"/>
          </w:tcPr>
          <w:p>
            <w:pPr>
              <w:spacing w:after="0"/>
              <w:rPr>
                <w:sz w:val="24"/>
                <w:szCs w:val="24"/>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Worldwide</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w:t>
            </w:r>
          </w:p>
        </w:tc>
      </w:tr>
      <w:tr>
        <w:trPr>
          <w:trHeight w:val="109"/>
        </w:trPr>
        <w:tc>
          <w:tcPr>
            <w:tcW w:w="20" w:type="dxa"/>
            <w:vAlign w:val="bottom"/>
          </w:tcPr>
          <w:p>
            <w:pPr>
              <w:spacing w:after="0"/>
              <w:rPr>
                <w:sz w:val="9"/>
                <w:szCs w:val="9"/>
                <w:color w:val="auto"/>
              </w:rPr>
            </w:pPr>
          </w:p>
        </w:tc>
        <w:tc>
          <w:tcPr>
            <w:tcW w:w="98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06"/>
        </w:trPr>
        <w:tc>
          <w:tcPr>
            <w:tcW w:w="20" w:type="dxa"/>
            <w:vAlign w:val="bottom"/>
          </w:tcPr>
          <w:p>
            <w:pPr>
              <w:spacing w:after="0"/>
              <w:rPr>
                <w:sz w:val="17"/>
                <w:szCs w:val="17"/>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__________</w:t>
            </w:r>
          </w:p>
        </w:tc>
        <w:tc>
          <w:tcPr>
            <w:tcW w:w="1600" w:type="dxa"/>
            <w:vAlign w:val="bottom"/>
          </w:tcPr>
          <w:p>
            <w:pPr>
              <w:spacing w:after="0"/>
              <w:rPr>
                <w:sz w:val="17"/>
                <w:szCs w:val="17"/>
                <w:color w:val="auto"/>
              </w:rPr>
            </w:pPr>
          </w:p>
        </w:tc>
      </w:tr>
      <w:tr>
        <w:trPr>
          <w:trHeight w:val="206"/>
        </w:trPr>
        <w:tc>
          <w:tcPr>
            <w:tcW w:w="9820" w:type="dxa"/>
            <w:vAlign w:val="bottom"/>
            <w:gridSpan w:val="2"/>
          </w:tcPr>
          <w:p>
            <w:pPr>
              <w:spacing w:after="0"/>
              <w:rPr>
                <w:sz w:val="20"/>
                <w:szCs w:val="20"/>
                <w:color w:val="auto"/>
              </w:rPr>
            </w:pPr>
            <w:r>
              <w:rPr>
                <w:rFonts w:ascii="Arial" w:cs="Arial" w:eastAsia="Arial" w:hAnsi="Arial"/>
                <w:sz w:val="16"/>
                <w:szCs w:val="16"/>
                <w:color w:val="auto"/>
              </w:rPr>
              <w:t>(a)  Includes GM Cruise</w:t>
            </w:r>
          </w:p>
        </w:tc>
        <w:tc>
          <w:tcPr>
            <w:tcW w:w="1600" w:type="dxa"/>
            <w:vAlign w:val="bottom"/>
          </w:tcPr>
          <w:p>
            <w:pPr>
              <w:spacing w:after="0"/>
              <w:rPr>
                <w:sz w:val="17"/>
                <w:szCs w:val="17"/>
                <w:color w:val="auto"/>
              </w:rPr>
            </w:pPr>
          </w:p>
        </w:tc>
      </w:tr>
    </w:tbl>
    <w:p>
      <w:pPr>
        <w:spacing w:after="0" w:line="1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November 2018 we announced our plan to transform our global workforce, which includes reducing our salaried staff in 2019 to ensure we have the right skill sets for today and the future, as well as 25% fewer executives to streamline decision making.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Officers of the Registrant </w:t>
      </w:r>
      <w:r>
        <w:rPr>
          <w:rFonts w:ascii="Arial" w:cs="Arial" w:eastAsia="Arial" w:hAnsi="Arial"/>
          <w:sz w:val="17"/>
          <w:szCs w:val="17"/>
          <w:color w:val="auto"/>
        </w:rPr>
        <w:t>As of February 6, 2019 the names and ages of our executive officers and their positions with GM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 (Age)</w:t>
            </w:r>
          </w:p>
        </w:tc>
        <w:tc>
          <w:tcPr>
            <w:tcW w:w="14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Present GM Position (Effective Date)</w:t>
            </w:r>
          </w:p>
        </w:tc>
        <w:tc>
          <w:tcPr>
            <w:tcW w:w="120" w:type="dxa"/>
            <w:vAlign w:val="bottom"/>
            <w:tcBorders>
              <w:bottom w:val="single" w:sz="8" w:color="CCEEFF"/>
            </w:tcBorders>
          </w:tcPr>
          <w:p>
            <w:pPr>
              <w:spacing w:after="0"/>
              <w:rPr>
                <w:sz w:val="16"/>
                <w:szCs w:val="16"/>
                <w:color w:val="auto"/>
              </w:rPr>
            </w:pPr>
          </w:p>
        </w:tc>
        <w:tc>
          <w:tcPr>
            <w:tcW w:w="54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21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Mary T. Barra (57)</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the Board of Directors (2014)</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19"/>
                <w:szCs w:val="19"/>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Alan S. Batey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President,</w:t>
            </w:r>
          </w:p>
        </w:tc>
        <w:tc>
          <w:tcPr>
            <w:tcW w:w="5460" w:type="dxa"/>
            <w:vAlign w:val="bottom"/>
          </w:tcPr>
          <w:p>
            <w:pPr>
              <w:spacing w:after="0"/>
              <w:rPr>
                <w:sz w:val="19"/>
                <w:szCs w:val="19"/>
                <w:color w:val="auto"/>
              </w:rPr>
            </w:pP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North America (2014)</w:t>
            </w:r>
          </w:p>
        </w:tc>
        <w:tc>
          <w:tcPr>
            <w:tcW w:w="5460" w:type="dxa"/>
            <w:vAlign w:val="bottom"/>
          </w:tcPr>
          <w:p>
            <w:pPr>
              <w:spacing w:after="0"/>
              <w:rPr>
                <w:sz w:val="17"/>
                <w:szCs w:val="17"/>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Alicia Boler-Davis (49)</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Global Connected Customer Experience (2014)</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Manufacturing (2016)</w:t>
            </w: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Global Quality and U.S. Customer Experience (2012)</w:t>
            </w: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Barry L. Engle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w w:val="96"/>
              </w:rPr>
              <w:t>Executive Vice President and President, GM</w:t>
            </w:r>
          </w:p>
        </w:tc>
        <w:tc>
          <w:tcPr>
            <w:tcW w:w="5460" w:type="dxa"/>
            <w:vAlign w:val="bottom"/>
          </w:tcPr>
          <w:p>
            <w:pPr>
              <w:ind w:left="20"/>
              <w:spacing w:after="0"/>
              <w:rPr>
                <w:sz w:val="20"/>
                <w:szCs w:val="20"/>
                <w:color w:val="auto"/>
              </w:rPr>
            </w:pPr>
            <w:r>
              <w:rPr>
                <w:rFonts w:ascii="Arial" w:cs="Arial" w:eastAsia="Arial" w:hAnsi="Arial"/>
                <w:sz w:val="16"/>
                <w:szCs w:val="16"/>
                <w:color w:val="auto"/>
              </w:rPr>
              <w:t>Executive Vice President and President, South America (2015)</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International (2018)</w:t>
            </w:r>
          </w:p>
        </w:tc>
        <w:tc>
          <w:tcPr>
            <w:tcW w:w="5460" w:type="dxa"/>
            <w:vAlign w:val="bottom"/>
          </w:tcPr>
          <w:p>
            <w:pPr>
              <w:ind w:left="20"/>
              <w:spacing w:after="0"/>
              <w:rPr>
                <w:sz w:val="20"/>
                <w:szCs w:val="20"/>
                <w:color w:val="auto"/>
              </w:rPr>
            </w:pPr>
            <w:r>
              <w:rPr>
                <w:rFonts w:ascii="Arial" w:cs="Arial" w:eastAsia="Arial" w:hAnsi="Arial"/>
                <w:sz w:val="16"/>
                <w:szCs w:val="16"/>
                <w:color w:val="auto"/>
              </w:rPr>
              <w:t>Agility Fuel Systems, Chief Executive Officer (2011)</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Craig B. Glidden (61)</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and General</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LyondellBasell, Executive Vice President and Chief Legal Officer (2009)</w:t>
            </w:r>
          </w:p>
        </w:tc>
      </w:tr>
      <w:tr>
        <w:trPr>
          <w:trHeight w:val="219"/>
        </w:trPr>
        <w:tc>
          <w:tcPr>
            <w:tcW w:w="2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Counsel (2015)</w:t>
            </w:r>
          </w:p>
        </w:tc>
        <w:tc>
          <w:tcPr>
            <w:tcW w:w="5460" w:type="dxa"/>
            <w:vAlign w:val="bottom"/>
            <w:tcBorders>
              <w:bottom w:val="single" w:sz="8" w:color="CCEEFF"/>
            </w:tcBorders>
            <w:shd w:val="clear" w:color="auto" w:fill="CCEEFF"/>
          </w:tcPr>
          <w:p>
            <w:pPr>
              <w:spacing w:after="0"/>
              <w:rPr>
                <w:sz w:val="19"/>
                <w:szCs w:val="19"/>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Christopher T. Hatto (48)</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Vice President, Controller and Chief</w:t>
            </w:r>
          </w:p>
        </w:tc>
        <w:tc>
          <w:tcPr>
            <w:tcW w:w="5460" w:type="dxa"/>
            <w:vAlign w:val="bottom"/>
          </w:tcPr>
          <w:p>
            <w:pPr>
              <w:ind w:left="20"/>
              <w:spacing w:after="0"/>
              <w:rPr>
                <w:sz w:val="20"/>
                <w:szCs w:val="20"/>
                <w:color w:val="auto"/>
              </w:rPr>
            </w:pPr>
            <w:r>
              <w:rPr>
                <w:rFonts w:ascii="Arial" w:cs="Arial" w:eastAsia="Arial" w:hAnsi="Arial"/>
                <w:sz w:val="16"/>
                <w:szCs w:val="16"/>
                <w:color w:val="auto"/>
              </w:rPr>
              <w:t>Chief Financial Officer, U.S. Sales Operations (2016)</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Accounting Officer (2018)</w:t>
            </w:r>
          </w:p>
        </w:tc>
        <w:tc>
          <w:tcPr>
            <w:tcW w:w="5460" w:type="dxa"/>
            <w:vAlign w:val="bottom"/>
          </w:tcPr>
          <w:p>
            <w:pPr>
              <w:ind w:left="20"/>
              <w:spacing w:after="0"/>
              <w:rPr>
                <w:sz w:val="20"/>
                <w:szCs w:val="20"/>
                <w:color w:val="auto"/>
              </w:rPr>
            </w:pPr>
            <w:r>
              <w:rPr>
                <w:rFonts w:ascii="Arial" w:cs="Arial" w:eastAsia="Arial" w:hAnsi="Arial"/>
                <w:sz w:val="16"/>
                <w:szCs w:val="16"/>
                <w:color w:val="auto"/>
              </w:rPr>
              <w:t>Chief Financial Officer, Customer Care and Aftersales (2013)</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 L. Reuss (55)</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President (2019)</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Executive Vice President and President, Global Product Development Group and</w:t>
            </w: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Cadillac (2018)</w:t>
            </w: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Executive Vice President, Global Product Development, Purchasing &amp; Supply</w:t>
            </w:r>
          </w:p>
        </w:tc>
      </w:tr>
      <w:tr>
        <w:trPr>
          <w:trHeight w:val="206"/>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Chain (2014)</w:t>
            </w:r>
          </w:p>
        </w:tc>
      </w:tr>
      <w:tr>
        <w:trPr>
          <w:trHeight w:val="236"/>
        </w:trPr>
        <w:tc>
          <w:tcPr>
            <w:tcW w:w="2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60" w:type="dxa"/>
            <w:vAlign w:val="bottom"/>
            <w:shd w:val="clear" w:color="auto" w:fill="CCEEFF"/>
          </w:tcPr>
          <w:p>
            <w:pPr>
              <w:spacing w:after="0"/>
              <w:rPr>
                <w:sz w:val="20"/>
                <w:szCs w:val="20"/>
                <w:color w:val="auto"/>
              </w:rPr>
            </w:pPr>
          </w:p>
        </w:tc>
      </w:tr>
      <w:tr>
        <w:trPr>
          <w:trHeight w:val="22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Dhivya Suryadevara (39)</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w:t>
            </w:r>
          </w:p>
        </w:tc>
        <w:tc>
          <w:tcPr>
            <w:tcW w:w="5460" w:type="dxa"/>
            <w:vAlign w:val="bottom"/>
          </w:tcPr>
          <w:p>
            <w:pPr>
              <w:ind w:left="20"/>
              <w:spacing w:after="0"/>
              <w:rPr>
                <w:sz w:val="20"/>
                <w:szCs w:val="20"/>
                <w:color w:val="auto"/>
              </w:rPr>
            </w:pPr>
            <w:r>
              <w:rPr>
                <w:rFonts w:ascii="Arial" w:cs="Arial" w:eastAsia="Arial" w:hAnsi="Arial"/>
                <w:sz w:val="16"/>
                <w:szCs w:val="16"/>
                <w:color w:val="auto"/>
              </w:rPr>
              <w:t>Vice President Corporate Finance (2017)</w:t>
            </w: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Financial Officer (2018)</w:t>
            </w:r>
          </w:p>
        </w:tc>
        <w:tc>
          <w:tcPr>
            <w:tcW w:w="5460" w:type="dxa"/>
            <w:vAlign w:val="bottom"/>
          </w:tcPr>
          <w:p>
            <w:pPr>
              <w:ind w:left="20"/>
              <w:spacing w:after="0"/>
              <w:rPr>
                <w:sz w:val="20"/>
                <w:szCs w:val="20"/>
                <w:color w:val="auto"/>
              </w:rPr>
            </w:pPr>
            <w:r>
              <w:rPr>
                <w:rFonts w:ascii="Arial" w:cs="Arial" w:eastAsia="Arial" w:hAnsi="Arial"/>
                <w:sz w:val="16"/>
                <w:szCs w:val="16"/>
                <w:color w:val="auto"/>
              </w:rPr>
              <w:t>Vice President Finance and Treasurer (2015)</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Chief Executive Officer, GM Asset Management (2013)</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22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Matthew Tsien (58)</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and President, GM</w:t>
            </w:r>
          </w:p>
        </w:tc>
        <w:tc>
          <w:tcPr>
            <w:tcW w:w="5460" w:type="dxa"/>
            <w:vAlign w:val="bottom"/>
            <w:shd w:val="clear" w:color="auto" w:fill="CCEEFF"/>
          </w:tcPr>
          <w:p>
            <w:pPr>
              <w:spacing w:after="0"/>
              <w:rPr>
                <w:sz w:val="19"/>
                <w:szCs w:val="19"/>
                <w:color w:val="auto"/>
              </w:rPr>
            </w:pPr>
          </w:p>
        </w:tc>
      </w:tr>
      <w:tr>
        <w:trPr>
          <w:trHeight w:val="206"/>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China (2014)</w:t>
            </w:r>
          </w:p>
        </w:tc>
        <w:tc>
          <w:tcPr>
            <w:tcW w:w="5460" w:type="dxa"/>
            <w:vAlign w:val="bottom"/>
            <w:shd w:val="clear" w:color="auto" w:fill="CCEEFF"/>
          </w:tcPr>
          <w:p>
            <w:pPr>
              <w:spacing w:after="0"/>
              <w:rPr>
                <w:sz w:val="17"/>
                <w:szCs w:val="17"/>
                <w:color w:val="auto"/>
              </w:rPr>
            </w:pPr>
          </w:p>
        </w:tc>
      </w:tr>
      <w:tr>
        <w:trPr>
          <w:trHeight w:val="33"/>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Website Access to Our Reports </w:t>
      </w:r>
      <w:r>
        <w:rPr>
          <w:rFonts w:ascii="Arial" w:cs="Arial" w:eastAsia="Arial" w:hAnsi="Arial"/>
          <w:sz w:val="18"/>
          <w:szCs w:val="18"/>
          <w:color w:val="auto"/>
        </w:rPr>
        <w:t>Our internet website address is www.gm.com. In addition to the information about us and our subsidiaries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2018 Form 10-K information about us can be found on our website including information on our corporate governance principles and practices. Our Investor Relations website at https://investor.gm.com contains a significant amount of information about us, including financial and other information for investors. We encourage investors to visit our website, as we frequently update and post new information about our company on our website and it is possible that this information could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 deemed to be material information. Our website and information included in or linked to our website are not part of this 2018 Form 10-K.</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listed below the most significant risk factors applicable to us. These risk factors are not necessarily in the order of importance or probability of occurrence:</w:t>
      </w:r>
    </w:p>
    <w:p>
      <w:pPr>
        <w:spacing w:after="0" w:line="170"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If we do not deliver new products, services and customer experiences in response to increased competition in the automotive industry, our business could suffer. </w:t>
      </w:r>
      <w:r>
        <w:rPr>
          <w:rFonts w:ascii="Arial" w:cs="Arial" w:eastAsia="Arial" w:hAnsi="Arial"/>
          <w:sz w:val="17"/>
          <w:szCs w:val="17"/>
          <w:color w:val="auto"/>
        </w:rPr>
        <w:t>We believe that the automotive industry will continue to experience significant change in the coming years. In addition to our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competitors, we must also be responsive to the entrance of non-traditional participants in the automotive industry. Industry participants are disrupting the historic business model of our industry through the introduction of new technologies, products, services, and methods of travel and vehicle ownership. It is strategically significant that we lead the technological disruption occurring in our industry, including consumer adoption of electric vehicles and commercialization of autonomous vehicles in a rideshare environment. To successfully execute our long-term strategy, we must continue to develop new products and services, including products and services that are outside of our historically core business, such as autonomous and electric vehicles, digital services and transportation as a service. The process of designing and developing new technology, products and services is complex, costly, and uncertain and requires extensive capital investment and the ability to retain and recruit talent. There can be no assurance that advances in technology will occur in a timely or feasible way, or that others will not acquire similar or superior technologies sooner than we do or that we will acquire technologies on an exclusive basis or at a significant price advantage. If we do not adequately prepare for and respond to new kinds of technological innovations, market developments and changing customer needs, our sales, profitability and long-term competitiveness may be harmed.</w:t>
      </w:r>
    </w:p>
    <w:p>
      <w:pPr>
        <w:spacing w:after="0" w:line="180"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Our ability to maintain profitability is dependent upon our ability to timely fund and introduce new and improved vehicle models that are able to attract a sufficient number of consumers. </w:t>
      </w:r>
      <w:r>
        <w:rPr>
          <w:rFonts w:ascii="Arial" w:cs="Arial" w:eastAsia="Arial" w:hAnsi="Arial"/>
          <w:sz w:val="16"/>
          <w:szCs w:val="16"/>
          <w:color w:val="auto"/>
        </w:rPr>
        <w:t>We operate in a very competitive industry with market participants routinely introducing new and improved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models and features designed to meet rapidly evolving consumer expectations. Producing new and improved vehicle models preserving our reputation for designing, building and selling safe, high-quality cars and trucks is critical to our long-term profitability. Successful launches of our new vehicles are critical to our short-term profitability. It generally takes two years or more to design and develop a new vehicle,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and changes in quality, safety, reliability and styling demands and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17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Our profitability is dependent upon the success of SUVs and full-size pick-up trucks. </w:t>
      </w:r>
      <w:r>
        <w:rPr>
          <w:rFonts w:ascii="Arial" w:cs="Arial" w:eastAsia="Arial" w:hAnsi="Arial"/>
          <w:sz w:val="16"/>
          <w:szCs w:val="16"/>
          <w:color w:val="auto"/>
        </w:rPr>
        <w:t>While we offer a balanced portfolio of cars, crossovers, SUVs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trucks, we generally recognize higher profit margins on our SUVs and trucks. Our success is dependent upon our ability to sell higher margin vehicles in sufficient volumes. Any shift in consumer preferences toward smaller, more fuel- efficient vehicles, whether as a result of increases in the price of oil or any sustained shortage of oil, including as a result of global political instability or other reasons, could weaken the demand for our higher margin vehicles.</w:t>
      </w:r>
    </w:p>
    <w:p>
      <w:pPr>
        <w:spacing w:after="0" w:line="1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We may continue to restructure our operations in the U.S. and various other countries and initiate additional cost reduction actions, but we may not succeed in doing so. </w:t>
      </w:r>
      <w:r>
        <w:rPr>
          <w:rFonts w:ascii="Arial" w:cs="Arial" w:eastAsia="Arial" w:hAnsi="Arial"/>
          <w:sz w:val="17"/>
          <w:szCs w:val="17"/>
          <w:color w:val="auto"/>
        </w:rPr>
        <w:t>Since 2017, we have undertaken restructuring actions to lower our operating costs in response to difficult market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in various parts of the world, including the U.S., Korea and Europe. As we continue to assess our performance throughout our regions, we may take additional restructuring actions to rationalize our operations, which may result in asset write-downs or impairments and reduce our profitability in the periods incurred. In addition, we are continuing to implement a number of operating effectiveness initiatives to improve productivity and reduce costs. For example, in late 2018, we announced certain transformation actions to drive significant cost efficiencies and realign our current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manufacturing capacity and utilization in response to market-related volume declines in passenger cars. There is no guarantee that we will realize the anticipated savings or benefits from past or future restructuring and/or cost reduction actions in full or within the time periods we expect. In addition, these actions also subject us to increased risks of labor unrest or strikes, litigation, negative publicity and business disruption. Failure to realize anticipated savings or benefits from our restructuring and/or cost reduction actions could have a material adverse effect on our business, prospects, financial condition, liquidity, results of operations and cash flows.</w:t>
      </w:r>
    </w:p>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Our electric vehicle strategy is dependent upon our ability to reduce the cost of manufacturing electric vehicles, as well as increased consumer adoption. </w:t>
      </w:r>
      <w:r>
        <w:rPr>
          <w:rFonts w:ascii="Arial" w:cs="Arial" w:eastAsia="Arial" w:hAnsi="Arial"/>
          <w:sz w:val="16"/>
          <w:szCs w:val="16"/>
          <w:color w:val="auto"/>
        </w:rPr>
        <w:t>We anticipate that the production and profitable sale of electric vehicles will become increasingly important to our business. Our inability to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costs associated with the manufacture of battery-electric vehicles may negatively impact our earnings and financial condition. We currently benefit from certain government and economic incentives supporting the development of electric vehicles. The benefits from these incentives could be reduced, eliminated or exhausted, which may negatively affect our ability to sell electric vehicles at high enough prices to be profitable. In addition, our sale of electric vehicles is dependent upon consumer adoption, which could be impacted by numerous factors, including perceptions about electric vehicle features, quality, safety, performance and cost; perceptions about the limited range over which electric vehicles may be driven on a single battery charge; high fuel-economy internal combustion engine vehicles; volatility in the cost of fuel; government regulations and economic incentives; and access to charging facilities.</w:t>
      </w:r>
    </w:p>
    <w:p>
      <w:pPr>
        <w:spacing w:after="0" w:line="16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Our autonomous vehicle strategy is dependent upon our ability to successfully mitigate unique technological, operational, and regulatory risks. </w:t>
      </w:r>
      <w:r>
        <w:rPr>
          <w:rFonts w:ascii="Arial" w:cs="Arial" w:eastAsia="Arial" w:hAnsi="Arial"/>
          <w:sz w:val="17"/>
          <w:szCs w:val="17"/>
          <w:color w:val="auto"/>
        </w:rPr>
        <w:t>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recent years, we announced significant investments in autonomous vehicle technologies, including in GM Cruise Holdings LLC (GM Cruise Holdings), our subsidiary that is responsible for the development and commercialization of autonomous vehicle technology. Our autonomous vehicle operations are capital intensive and subject to a variety of risks inherent with the development of new technologies, including: our ability to continue to develop self-driving software and hardware, such as LiDAR sensors and other components; access to sufficient capital, including with respect to additional Softbank funding that is subject to regulatory approval; risks related to the manufacture of purpose-built autonomous vehicles; and significant competition from both established automotive companies and technology companies, some of which may have more resources and capital to devote to autonomous vehicle technologies than we do. In addition, we face risks related to the commercial deployment of autonomous vehicles on our targeted timeline or at all, including consumer acceptance, achievement of adequate safety and other performance standards and compliance with uncertain, evolving and potentially conflicting federal and state regulations. To the extent accidents, cybersecurity breaches or other adverse events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18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Our business is highly dependent upon global automobile market sales volume, which can be volatile. </w:t>
      </w:r>
      <w:r>
        <w:rPr>
          <w:rFonts w:ascii="Arial" w:cs="Arial" w:eastAsia="Arial" w:hAnsi="Arial"/>
          <w:sz w:val="16"/>
          <w:szCs w:val="16"/>
          <w:color w:val="auto"/>
        </w:rPr>
        <w:t>Because we have a high proportion of relatively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structural costs, small changes in sales volume can have a disproportionately large effect on our profitability. A number of economic and market conditions drive changes in vehicle sales, including real estate values, the availability and prices of used vehicles, levels of unemployment, availability of affordable financing, fluctuations in the cost of fuel, consumer confidence, political unrest and global economic conditions. For a discussion of economic and market trends, see the Overview section of the MD&amp;A. We cannot predict future economic and market conditions with certainty.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Our significant business in China subjects us to unique operational, competitive and regulatory risks. </w:t>
      </w:r>
      <w:r>
        <w:rPr>
          <w:rFonts w:ascii="Arial" w:cs="Arial" w:eastAsia="Arial" w:hAnsi="Arial"/>
          <w:sz w:val="16"/>
          <w:szCs w:val="16"/>
          <w:color w:val="auto"/>
        </w:rPr>
        <w:t>Maintaining a strong position in the Chinese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is a key component of our global growth strategy. Our business in China is subject to aggressive competition from many of the largest global manufacturers and numerous domestic manufacturers as well as non-traditional market participants, such as domestic technology companies. In addition, our success in China depends upon our ability to adequately address unique market and consumer preferences driven by advancements related to infotainment and other new technologies. Increased competition, increased U.S.-China trade restrictions and weakening economic conditions in China, among other things, may result in price reductions, reduced sales, profitability, and margins, and challenges to gain or hold market share. In addition to increased competition, Chinese regulators have announced aggressive "green" policy initiatives and quotas for the sale of electric vehicles, which have challenging lead times.</w:t>
      </w:r>
    </w:p>
    <w:p>
      <w:pPr>
        <w:spacing w:after="0" w:line="16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Certain risks and uncertainties of doing business in China are solely within the control of the Chinese government, and Chinese law regulates the scope of our foreign investments and business conducted within China. In order to maintain access to the Chinese market, we may be required to comply with significant technical and other regulatory requirements that are unique to the Chinese market, at times with challenging lead times to implement such requirements. These actions may increase the cost of doing business in China and reduce our profitability. In particular, the announced intention of several Chinese cities to implement new China 6 emissions regulations in July 2019 represents a risk for the sales of our Chinese joint ventures.</w:t>
      </w:r>
    </w:p>
    <w:p>
      <w:pPr>
        <w:spacing w:after="0" w:line="15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A significant amount of our operations are conducted by joint ventures that we cannot operate solely for our benefit. </w:t>
      </w:r>
      <w:r>
        <w:rPr>
          <w:rFonts w:ascii="Arial" w:cs="Arial" w:eastAsia="Arial" w:hAnsi="Arial"/>
          <w:sz w:val="16"/>
          <w:szCs w:val="16"/>
          <w:color w:val="auto"/>
        </w:rPr>
        <w:t>Many of our operations,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China and Korea,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The benefits from a successful joint venture are shared among the co-owners, therefore we do not receive all the benefits from our successful joint ventures. In addition, because we share ownership and management with one or more parties, we may have limited control over the actions of a joint venture, particularly when we own a minority interest. As a result, we may be unable to prevent misconduct or other violations of applicable laws by a joint venture. Moreover, a joint venture may not follow the same requirements regarding compliance, internal controls and internal control over financial reporting that we follow. To the extent another party makes decisions that negatively impact the joint venture or internal control issues arise within the joint venture, we may have to take responsive or other actions or we may be subject to penalties, fines or other related actions for these activities.</w:t>
      </w:r>
    </w:p>
    <w:p>
      <w:pPr>
        <w:spacing w:after="0" w:line="175"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6"/>
          <w:szCs w:val="16"/>
          <w:b w:val="1"/>
          <w:bCs w:val="1"/>
          <w:i w:val="1"/>
          <w:iCs w:val="1"/>
          <w:color w:val="auto"/>
        </w:rPr>
        <w:t xml:space="preserve">The international scale and footprint of our operations exposes us to additional risks. </w:t>
      </w:r>
      <w:r>
        <w:rPr>
          <w:rFonts w:ascii="Arial" w:cs="Arial" w:eastAsia="Arial" w:hAnsi="Arial"/>
          <w:sz w:val="16"/>
          <w:szCs w:val="16"/>
          <w:color w:val="auto"/>
        </w:rPr>
        <w:t>We manufacture, sell and service products globally and rely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including: (1) changes in government leadership; (2) changes in labor, tax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(4) political instability or government controls over certain sectors; (5) political and economic tensions between governments and changes in international trade policies, including restrictions on the repatriation of dividends, especially between China and the U.S.; (6) more detailed inspections, new or higher tariffs, for example, on products imported into or exported from the U.S.;</w:t>
      </w:r>
    </w:p>
    <w:p>
      <w:pPr>
        <w:spacing w:after="0" w:line="7" w:lineRule="exact"/>
        <w:rPr>
          <w:sz w:val="20"/>
          <w:szCs w:val="20"/>
          <w:color w:val="auto"/>
        </w:rPr>
      </w:pPr>
    </w:p>
    <w:p>
      <w:pPr>
        <w:jc w:val="both"/>
        <w:ind w:firstLine="8"/>
        <w:spacing w:after="0" w:line="281" w:lineRule="auto"/>
        <w:tabs>
          <w:tab w:leader="none" w:pos="27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barriers to entry or domestic preference procurement requirements, including changes to, withdrawals from or impediments to implementing free trade agreements (for example, the North American Free Trade Agreement or its successor), or preferences of foreign nationals for domestically manufactured products; (8) changes in foreign currency exchange rates, particularly in Brazil and Argentina, and interest rates; (9) economic downturns in foreign countries or geographic regions where we have significant operations, or significant changes in conditions in the countries in which we operate; (10) differing local product preferences and product requirements, including government certification requirements related to, among other things, fuel economy, vehicle emissions and safety; (11) impact of compliance with U.S. and other foreign countries’ export controls and economic sanctions; (12) liabilities resulting from U.S. and foreign laws and regulations, including, but not limited to, those related to the Foreign Corrupt Practices Act and certain other anti-corruption laws; (13) differing labor regulations, requirements and union relationships; (14) differing dealer and franchise regulations and relationships; and</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Any significant disruption at one of our manufacturing facilities could disrupt our production schedule. </w:t>
      </w:r>
      <w:r>
        <w:rPr>
          <w:rFonts w:ascii="Arial" w:cs="Arial" w:eastAsia="Arial" w:hAnsi="Arial"/>
          <w:sz w:val="17"/>
          <w:szCs w:val="17"/>
          <w:color w:val="auto"/>
        </w:rPr>
        <w:t>We assemble vehicles at various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Should these or other facilities become unavailable either temporarily or permanently for any number of reasons, including labor disruptions or catastrophic weather events, the inability to manufacture at the affected facility may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2019, our collective bargaining agreement with the United Automobile Workers will expire, and we will negotiate a new agreement. In addition, in late 2018 we announced certain restructuring actions, which included among other things, a reduction in our workforce and the unallocation of products to certain manufacturing facilities in North America. As a result, we may be subject to an increased risk of strikes, work stoppages or other types of conflicts with labor unions and employees.</w:t>
      </w:r>
    </w:p>
    <w:p>
      <w:pPr>
        <w:spacing w:after="0" w:line="18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Any disruption in our suppliers' operations could disrupt our production schedule. </w:t>
      </w:r>
      <w:r>
        <w:rPr>
          <w:rFonts w:ascii="Arial" w:cs="Arial" w:eastAsia="Arial" w:hAnsi="Arial"/>
          <w:sz w:val="16"/>
          <w:szCs w:val="16"/>
          <w:color w:val="auto"/>
        </w:rPr>
        <w:t>Our automotive operations are dependent upon the continued 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suppliers to deliver the systems, components, raw materials and parts that we need to manufacture our products. Our use of “just-in-time” manufacturing processes allows us to maintain minimal inventory. As a result, our ability to maintain production is dependent upon our suppliers delivering sufficient quantities of systems, components, raw materials and parts on time to meet our production schedules. In some instances, we purchase systems, components, raw materials and parts that are ultimately derived from a single source and may be at an increased risk for supply disruptions. Any number of factors, including labor disruptions, catastrophic weather events, contractual or other disputes with suppliers, and supplier financial difficulties or solvency problems could disrupt our suppliers' operations and lead to uncertainty in our supply chain or cause supply disruptions for us which could, in turn, disrupt our operations, including the production of certain of our higher margin vehicles. If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w:t>
      </w:r>
    </w:p>
    <w:p>
      <w:pPr>
        <w:spacing w:after="0" w:line="16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High prices of raw materials or other inputs used by us and our suppliers could negatively impact our profitability. </w:t>
      </w:r>
      <w:r>
        <w:rPr>
          <w:rFonts w:ascii="Arial" w:cs="Arial" w:eastAsia="Arial" w:hAnsi="Arial"/>
          <w:sz w:val="18"/>
          <w:szCs w:val="18"/>
          <w:color w:val="auto"/>
        </w:rPr>
        <w:t>Increases in prices for raw materials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inputs that we and our suppliers use in manufacturing products, systems, components and parts, such as steel, precious metals, or non-ferrous metals, including aluminum, copper and plastic, may lead to higher production costs for parts, components and vehicles. Changes in trade policies and tariffs, fluctuations in supply and demand, and other economic and political factors may continue to create pricing pressure for raw materials and other inputs. This could, in turn, negatively impact our future profitability because we may not be able to pass all of those costs on to our customers or require our suppliers to absorb such costs.</w:t>
      </w:r>
    </w:p>
    <w:p>
      <w:pPr>
        <w:spacing w:after="0" w:line="193"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We operate in a highly competitive industry that has excess manufacturing capacity and attempts by our competitors to sell more vehicles could have a significant negative effect on our vehicle pricing, market share and operating results. </w:t>
      </w:r>
      <w:r>
        <w:rPr>
          <w:rFonts w:ascii="Arial" w:cs="Arial" w:eastAsia="Arial" w:hAnsi="Arial"/>
          <w:sz w:val="16"/>
          <w:szCs w:val="16"/>
          <w:color w:val="auto"/>
        </w:rPr>
        <w:t>The global automotive industry is highly competitive and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capacity in the industry far exceeds demand. Many manufacturers have relatively high fixed labor costs as well as significant limitations on their ability to close facilities and reduce fixed costs. Many of our competitors have responded to these relatively high fixed costs by providing subsidized financing or leasing programs, offering marketing incentives or reducing vehicle prices. As a result, we are not necessarily able to set our prices to offset higher costs of marketing incentives, commodity or other cost increases, or the impact of adverse currency fluctuations. Our competitors may also seek to benefit from economies of scale by consolidating or entering into other strategic agreements such as alliances intended to enhance their competitiveness.</w:t>
      </w:r>
    </w:p>
    <w:p>
      <w:pPr>
        <w:spacing w:after="0" w:line="16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Domestic manufacturers in lower cost countries, such as China and India, have become competitors in key emerging markets and announced their intention to export their products to established markets as a low-cost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Arial" w:cs="Arial" w:eastAsia="Arial" w:hAnsi="Arial"/>
          <w:sz w:val="18"/>
          <w:szCs w:val="18"/>
          <w:color w:val="auto"/>
        </w:rPr>
        <w:t>There may be instances where, notwithstanding our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completely deter misappropriation or improper use of our technology.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may be the target of enforcement of patents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infringe any third-party rights, we could be required to pay substantial damages or we could be enjoined from offering some of our products and services.</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Security breaches and other disruptions to information technology systems and networked products, including connected vehicles, owned or maintained by us, GM Financial, or third-party vendors or suppliers on our behalf, could interfere with our operations and could compromise the confidentiality of private customer data or our proprietary information. </w:t>
      </w:r>
      <w:r>
        <w:rPr>
          <w:rFonts w:ascii="Arial" w:cs="Arial" w:eastAsia="Arial" w:hAnsi="Arial"/>
          <w:sz w:val="16"/>
          <w:szCs w:val="16"/>
          <w:color w:val="auto"/>
        </w:rPr>
        <w:t>We rely upon information technology systems and manufacture networked products, some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managed by third-parties, to process, transmit and store electronic information, and to manage or support a variety of our business processes, activities and products. Additionally, we and GM Financial collect and store sensitive data, including intellectual property, proprietary business information, proprietary business information of our dealers and suppliers, as well as personally identifiable information of our customers and employees, in data centers and on information technology networks. The secure operation of these systems and products, and the processing and maintenance of the information processed by these systems and products, is critical to our business operations and strategy. Despite security measures and business continuity plans, these systems and products may be vulnerable to damage, disruptions or shutdowns caused by attacks by hackers, computer viruses, or breaches due to errors or malfeasance by employees, contractors and others who have access to these systems and products. The occurrence of any of these events could compromise the operational integrity of these systems and products.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result in legal claims or proceedings, liability or regulatory penalties under laws protecting the privacy of personal information; disrupt operations; or reduce the competitive advantage we hope to derive from our investment in advanced technologies. We have experienced such events in the past and, although past events were immaterial, future events may occur and may be material.</w:t>
      </w:r>
    </w:p>
    <w:p>
      <w:pPr>
        <w:spacing w:after="0" w:line="16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Portions of our information technology systems also may experience interruptions, delays or cessations of service or produce errors due to regular maintenance efforts, such as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design, manufacture and sell products and services, and interrupt other business processes.</w:t>
      </w:r>
    </w:p>
    <w:p>
      <w:pPr>
        <w:spacing w:after="0" w:line="17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b w:val="1"/>
          <w:bCs w:val="1"/>
          <w:i w:val="1"/>
          <w:iCs w:val="1"/>
          <w:color w:val="auto"/>
        </w:rPr>
        <w:t>Security breaches and other disruptions of our in-vehicle systems could impact the safety of our customers and reduce confidence in GM and our products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vehicles contain complex information technology systems. These systems control various vehicle functions including engine,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steering, navigation, acceleration, braking, window and door lock functions. We have designed, implemented and tested security measures intended to prevent unauthorized access to these systems. However, hackers have reportedly attempted, and may attempt in the future, to gain unauthorized access to modify, alter and use such systems to gain control of, or to change, our vehicles’ functionality, user interface and performance characteristics, or to gain access to data stored in or generated by the vehicle. Any unauthorized access to or control of our vehicles or their systems or any loss of data could impact the safety of our customers or result in legal claims or proceedings, liability or regulatory penalties. In addition, regardless of their veracity, reports of unauthorized access to our vehicles, their systems or data could negatively affect our brand and harm our business, prospects, financial condition and operating results.</w:t>
      </w:r>
    </w:p>
    <w:p>
      <w:pPr>
        <w:spacing w:after="0" w:line="19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Our enterprise data practices, including the collection, use, sharing, and security of the Personal Identifiable Information of our customers, employees, or suppliers are subject to increasingly complex, restrictive, and punitive regulations in all key market regions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these regulations, the failure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compliant data practices could result in consumer complaints and regulatory inquiry, resulting in civil or criminal penalties, as well as brand impact or other harm to our business. In addition, increased consumer sensitivity to real or perceived failures in maintaining acceptable data practices could damage our reputation and deter current and potential users or customers from using our products and services. Because many of these laws are new, there is little clarity as to their interpretation, as well as a lack of precedent for the scope of enforcement. The cost of compliance with these laws and regulations will be high and is likely to increase in the future. For example, in Europe, the General Data Protection Regulation came into effect on May 25, 2018, and applies to all our ongoing operations in the EU. This regulation significantly increases the potential financial penalties for noncompliance, including possible fines of up to 4% of global annual turnover. Similar regulations are coming into effect in Brazil, China, and California.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Our operations and products are subject to extensive laws, governmental regulations and policies that can significantly increase our costs and affect how we do business. </w:t>
      </w:r>
      <w:r>
        <w:rPr>
          <w:rFonts w:ascii="Arial" w:cs="Arial" w:eastAsia="Arial" w:hAnsi="Arial"/>
          <w:sz w:val="16"/>
          <w:szCs w:val="16"/>
          <w:color w:val="auto"/>
        </w:rPr>
        <w:t>We are significantly affected by governmental regulations that can increase costs related to the production of our vehicles and affect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portfolio, particularly regulations relating to emissions and fuel economy standards. Meeting or exceeding many of these regulations is costly and often technologically challenging, especially when standards may not be harmonized across jurisdictions. We anticipate that the number and extent of these and other regulations, laws and policies, and the related costs and changes to our product portfolio, may increase significantly in the future, primarily out of concern for the environment (including concerns about global climate change and its impact). These government regulatory requirements could significantly affect our plans for global product development and given the uncertainty surrounding enforcement and regulatory definitions and interpretations, may result in substantial costs, including civil or criminal penalties. In addition, an evolving but un-harmonized regulatory framework may limit or dictate the types of vehicles we sell and where we sell them, which can affect revenue. Refer to the "Environmental and Regulatory Matters" section of Item 1. Business for further information on these requirements. We also expect that manufacturers will continue to be subject to increased scrutiny from regulators globally.</w:t>
      </w:r>
    </w:p>
    <w:p>
      <w:pPr>
        <w:spacing w:after="0" w:line="16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expect that to comply with current or even revised fuel economy and emission control requirements we will be required to sell a significant volume of electric vehicles, as well as develop and implement new technologies for conventional internal combustion engines, all at increased cost levels. There are limits on our ability to achieve fuel economy improvements over a given time frame, however. There is no assurance that we will be able to produce and sell vehicles that use such new technologies on a profitable basis or that our customers will purchase such vehicles in the quantities necessary for us to comply with these regulatory programs.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current uncertain regulatory framework, environmental liabilities for which we may be responsible and that are not reasonably estimable could be substantial. Alleged violations of safety, fuel economy or emissions standards could result in legal proceedings, the recall of one or more of our products, negotiated remedial actions, fines, restricted product offerings or a combination of any of those items. Any of these actions could have substantial adverse effects on our operations including facility idling, reduced employment, increased costs and loss of revenue.</w:t>
      </w:r>
    </w:p>
    <w:p>
      <w:pPr>
        <w:spacing w:after="0" w:line="17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our advanced technologies, including autonomous vehicles, present novel issues with which domestic and foreign regulators have only limited experience and will be subject to evolving regulatory frameworks. Any current or future regulations in these areas could impact whether and how these technologies are designed and integrated into our products, and may ultimately subject us to increased costs and uncertainty.</w:t>
      </w:r>
    </w:p>
    <w:p>
      <w:pPr>
        <w:spacing w:after="0" w:line="166"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b w:val="1"/>
          <w:bCs w:val="1"/>
          <w:i w:val="1"/>
          <w:iCs w:val="1"/>
          <w:color w:val="auto"/>
        </w:rPr>
        <w:t xml:space="preserve">We could be materially adversely affected by unusual or significant litigation, governmental investigations or other proceedings. </w:t>
      </w:r>
      <w:r>
        <w:rPr>
          <w:rFonts w:ascii="Arial" w:cs="Arial" w:eastAsia="Arial" w:hAnsi="Arial"/>
          <w:sz w:val="16"/>
          <w:szCs w:val="16"/>
          <w:color w:val="auto"/>
        </w:rPr>
        <w:t>We are subject to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proceedings involving various issues, including product liability lawsuits, class action litigations alleging product defects, emissions litigation (both in the U.S. and elsewhere), stockholder litigation, labor litigation in various countries (including Korea and Brazil) and proceedings related to the Ignition Switch Recall. In addition, we are subject to governmental proceedings and investigations. A negative outcome in one or more of these legal proceedings could result in the imposition of damages, including punitive damages, substantial fines, significant reputational harm, civil lawsuits and criminal penalties, interruptions of business, modification of business practices, equitable remedies and other sanctions against us or our personnel as well as significant legal and other costs. In addition, we may become obligated to issue additional shares (Adjustment Shares) of up to 30 million shares of our common stock (subject to adjustment to take into account stock dividends, stock splits and other transactions) to the Motors Liquidation Company (MLC) GUC Trust (GUC Trust) under a provision of the Amended and Restated Master Sale and Purchase Agreement between us and General Motors Corporation and certain of its subsidiaries in the event that allowed general unsecured claims against the GUC Trust, as estimated by the United States Bankruptcy Court for the Southern District of New York (Bankruptcy Court), exceed $35.0 billion. The GUC Trust stated in public filings that allowed general unsecured claims were approximately $31.9 billion as of December 31, 2018. For a further discussion of these matters refer to Note 16 to our consolidated financial statements.</w:t>
      </w:r>
    </w:p>
    <w:p>
      <w:pPr>
        <w:spacing w:after="0" w:line="16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The costs and effect on our reputation of product safety recalls and alleged defects in products and services could materially adversely affect our business. </w:t>
      </w:r>
      <w:r>
        <w:rPr>
          <w:rFonts w:ascii="Arial" w:cs="Arial" w:eastAsia="Arial" w:hAnsi="Arial"/>
          <w:sz w:val="17"/>
          <w:szCs w:val="17"/>
          <w:color w:val="auto"/>
        </w:rPr>
        <w:t>Government safety standards require manufacturers to remedy certain product safety defects through recall campaigns. Under these standards,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subject to civil or criminal penalties or may incur various costs, including significant costs for free repairs. At present,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autonomous, whether raised internally or by regulators or consumer advocates, and whether or not based on scientific evidence or supported by data, can result in product delays, recalls, lost sales, governmental investigations, regulatory action, private claims, lawsuits and settlements, and reputational damage. These circumstances can also result in damage to brand image, brand equity and consumer trust in the Company’s products and ability to lead the disruption occurring in the automotive industry.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currently source a variety of systems, components, raw materials and parts from third parties. From time to time these items may have performance or quality issues that could harm our reputation and cause us to incur significant costs.</w:t>
      </w:r>
    </w:p>
    <w:p>
      <w:pPr>
        <w:spacing w:after="0" w:line="170"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We may incur additional tax expense or become subject to additional tax exposure. </w:t>
      </w:r>
      <w:r>
        <w:rPr>
          <w:rFonts w:ascii="Arial" w:cs="Arial" w:eastAsia="Arial" w:hAnsi="Arial"/>
          <w:sz w:val="16"/>
          <w:szCs w:val="16"/>
          <w:color w:val="auto"/>
        </w:rPr>
        <w:t>We are subject to the tax laws and regulations of the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and/or regulations in the countries in which we do business, the possibility of adverse determinations with respect to the application of existing laws, and changes in the valuation of our deferred tax assets and liabilities. Any unfavorable resolution of these and other uncertainties may have a significant adverse impact on our tax rate. For example, the impact of the U.S. Tax Cuts and Jobs Act of 2017 (the Tax Act), which was enacted on December 22, 2017, may differ from the Company’s previously recorded amounts, possibly materially, due to potential changes in the Tax Act (including with respect to the regulations promulgated thereunder) or changes to its interpretation. If our tax expense were to increase, or if the ultimate determination of our taxes owed is for an amount in excess of amounts previously accrued, our operating results, cash flows and financial condition could be adversely affected.</w:t>
      </w:r>
    </w:p>
    <w:p>
      <w:pPr>
        <w:spacing w:after="0" w:line="16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We rely on GM Financial to provide financial services to our customers and dealers in North America, South America and Asia/Pacific. </w:t>
      </w:r>
      <w:r>
        <w:rPr>
          <w:rFonts w:ascii="Arial" w:cs="Arial" w:eastAsia="Arial" w:hAnsi="Arial"/>
          <w:sz w:val="18"/>
          <w:szCs w:val="18"/>
          <w:color w:val="auto"/>
        </w:rPr>
        <w:t>GM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faces a number of business, economic and financial risks that could impair its access to capital and negatively affect its business and operations, which in turn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primary factors that could adversely affect GM Financial's business and operations and reduce its ability to provide financing services at competitive rates include the sufficiency, availability and cost of sources of financing, including credit facilities, securitization programs and secured and unsecured debt issuances; the performance of loans and leases in its portfolio, which could be materially affected by charge-offs, delinquencies and prepayments; wholesale auction values of used vehicles; higher than expected vehicle return rates and the residual value performance on vehicles GM Financial leases to customers; fluctuations in interest rates and currencies; and changes to regulation, supervision, enforcement and licensing across various jurisdictions.</w:t>
      </w:r>
    </w:p>
    <w:p>
      <w:pPr>
        <w:spacing w:after="0" w:line="15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changes in assumptions or investments that do not achieve adequate returns. </w:t>
      </w:r>
      <w:r>
        <w:rPr>
          <w:rFonts w:ascii="Arial" w:cs="Arial" w:eastAsia="Arial" w:hAnsi="Arial"/>
          <w:sz w:val="16"/>
          <w:szCs w:val="16"/>
          <w:color w:val="auto"/>
        </w:rPr>
        <w:t>Our employee benefit plans currently hold a significant amount of equity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future funding requirements for our U.S.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2018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have manufacturing, assembly, distribution, office or warehousing operations in 33 countries, including equity interests in associated companies which perform manufacturing, assembly or distribution operations. The major facilities outside the U.S., which are principally vehicle manufacturing and assembly operations, are located in Argentina, Brazil, Canada, China, Colombia, Ecuador, Mexico, South Korea and Thailand.</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November 2018 we announced our plans to realign our manufacturing capacity in response to market-related volume declines in passenger cars.</w:t>
      </w:r>
    </w:p>
    <w:p>
      <w:pPr>
        <w:spacing w:after="0" w:line="2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owns or leases facilities for administration and regional credit centers. GM Financial has 39 facilities, of which 26 are located in the U.S. The major facilities outside the U.S. are located in Brazil, Canada, China and Mexico.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16 to our consolidated financial statements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Shares of our common stock are publicly traded on the New York Stock Exchange under the symbol "GM".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At January 25, 2019 we had 1.4 billion issued and outstanding shares of common stock held by 501 holders of record.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2018 through October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118,108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November 1, 2018 through November 30,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6,552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2018 through December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2,992,631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3,117,291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63"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purchased includes approximately three million shares purchased and held by GM Cruise Holdings to hedge its exposure to cash settled share-based awards issued to certain of its employees. In addition, shares purchased consist of shares retained by us for the payment of the exercise price upon the exercise of warrants and shares delivered by employees or directors to us for the payment of taxes resulting from issuance of common stock upon the vesting of Restricted Stock Units (RSUs), Performance Stock Units (PSUs) and Restricted Stock Awards (RSAs) relating to compensation plans. In June 2017 our shareholders approved the 2017 Long Term Incentive Plan which authorizes awards of stock options, stock appreciation rights, RSAs, RSUs, PSUs or other stock-based awards to selected employees, consultants, advisors, and non-employee Directors of the Company. Refer to Note 23 to our consolidated financial statements for additional details on employee stock incentive plans and Note 20 to our consolidated financial statements for additional details on warrants outstanding.</w:t>
      </w:r>
    </w:p>
    <w:p>
      <w:pPr>
        <w:spacing w:after="0" w:line="4" w:lineRule="exact"/>
        <w:rPr>
          <w:rFonts w:ascii="Arial" w:cs="Arial" w:eastAsia="Arial" w:hAnsi="Arial"/>
          <w:sz w:val="15"/>
          <w:szCs w:val="15"/>
          <w:color w:val="auto"/>
        </w:rPr>
      </w:pPr>
    </w:p>
    <w:p>
      <w:pPr>
        <w:ind w:left="340" w:hanging="332"/>
        <w:spacing w:after="0"/>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January 2017 we announced that our Board of Directors had authorized the purchase of up to an additional $5.0 billion of our common stock with no expiration date.</w:t>
      </w:r>
    </w:p>
    <w:p>
      <w:pPr>
        <w:spacing w:after="0" w:line="214"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137,958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from continuing operations(a)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8,075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9,269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4,525</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 – continuing operations(a)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earnings per common share – continuing operations(a)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1.95</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assets(b)</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212,482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177,311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13,963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13,502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10,560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8,535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9,084</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80,717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29,304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42,777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36,200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44,075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40,323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36,024</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63"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year ended December 31, 2018 we recorded charges of $1.3 billion related to transformation activities including employee separation, accelerated depreciation and other charges, $1.1 billion related to the closure of a facility and other restructuring actions in Korea, charges of $0.4 billion for ignition switch related legal matters, and a non-recurring tax benefit of $1.0 billion related to foreign earnings. In the year ended December 31, 2017 we recorded tax expense of $7.3 billion related to U.S. tax reform legislation, $2.3 billion related to the establishment of a valuation allowance against deferred tax assets that will no longer be realizable as a result of the sale of the Opel/Vauxhall Business, and charges of $0.5 billion related to restructuring actions in India and South Africa. In the year ended December 31, 2015 we recorded the reversal of deferred tax asset valuation allowances of $3.9 billion in Europe and recorded charges related to the Ignition Switch Recall Compensation Program (Compensation Program) and for various legal matters of approximately $1.6 billion. In the year ended December 31, 2014 we recorded charges of approximately $2.8 billion in Automotive and other cost of sales related to recall campaigns and courtesy transportation, a catch-up adjustment of $0.9 billion related to the change in estimate for recall campaigns and a charge of $0.4 billion related to the Compensation Program. In December 2014 we redeemed all of the remaining shares of our Series A Preferred Stock for $3.9 billion, which reduced Income from continuing operations by $0.8 billion.</w:t>
      </w:r>
    </w:p>
    <w:p>
      <w:pPr>
        <w:spacing w:after="0" w:line="4" w:lineRule="exact"/>
        <w:rPr>
          <w:rFonts w:ascii="Arial" w:cs="Arial" w:eastAsia="Arial" w:hAnsi="Arial"/>
          <w:sz w:val="15"/>
          <w:szCs w:val="15"/>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assets included assets held for sale of $20.6 billion, $20.0 billion, and $17.8 billion at December 31, 2016, 2015 and 2014.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for a discussion of these risks and uncertainties.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Non-GAAP Measures </w:t>
      </w:r>
      <w:r>
        <w:rPr>
          <w:rFonts w:ascii="Arial" w:cs="Arial" w:eastAsia="Arial" w:hAnsi="Arial"/>
          <w:sz w:val="17"/>
          <w:szCs w:val="17"/>
          <w:color w:val="auto"/>
        </w:rPr>
        <w:t>Unless otherwise indicated, our non-GAAP measures discussed in this MD&amp;A are related to our continuing operations and not our</w:t>
      </w:r>
      <w:r>
        <w:rPr>
          <w:rFonts w:ascii="Arial" w:cs="Arial" w:eastAsia="Arial" w:hAnsi="Arial"/>
          <w:sz w:val="17"/>
          <w:szCs w:val="17"/>
          <w:b w:val="1"/>
          <w:bCs w:val="1"/>
          <w:color w:val="auto"/>
        </w:rPr>
        <w:t xml:space="preserve"> </w:t>
      </w:r>
      <w:r>
        <w:rPr>
          <w:rFonts w:ascii="Arial" w:cs="Arial" w:eastAsia="Arial" w:hAnsi="Arial"/>
          <w:sz w:val="17"/>
          <w:szCs w:val="17"/>
          <w:color w:val="auto"/>
        </w:rPr>
        <w:t>discontinued operations. Our non-GAAP measures include: earnings before interest and taxes (EBIT)-adjusted, presented net of noncontrolling interests; Core EBIT-adjusted;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Core EBIT-adjusted </w:t>
      </w:r>
      <w:r>
        <w:rPr>
          <w:rFonts w:ascii="Arial" w:cs="Arial" w:eastAsia="Arial" w:hAnsi="Arial"/>
          <w:sz w:val="17"/>
          <w:szCs w:val="17"/>
          <w:color w:val="auto"/>
        </w:rPr>
        <w:t>Core EBIT-adjusted is used by management and can be used by investors to review our core consolidated operating results.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EBIT-adjusted begins with EBIT-adjusted and excludes the EBIT-adjusted results of GM Cruise. Prior to the three months ended June 30, 2018 Core EBIT-adjusted excluded the EBIT-adjusted results of autonomous vehicle operations, including GM Cruise, Maven and our investment in Lyft, Inc. (Lyft). The measure was changed to align with segment reporting. All periods presented have been recast to reflect the changes.</w:t>
      </w:r>
    </w:p>
    <w:p>
      <w:pPr>
        <w:spacing w:after="0" w:line="17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other postretirement benefits (OPEB) liabilities; and average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automotive net income tax assets during the same period. Adjustments to the average equity balances exclude assets and liabilities classified as either assets held for sale or liabilities held for sale.</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9,427</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w:t>
            </w: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Transformation activities(a)</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200"/>
              <w:spacing w:after="0"/>
              <w:rPr>
                <w:sz w:val="20"/>
                <w:szCs w:val="20"/>
                <w:color w:val="auto"/>
              </w:rPr>
            </w:pPr>
            <w:r>
              <w:rPr>
                <w:rFonts w:ascii="Arial" w:cs="Arial" w:eastAsia="Arial" w:hAnsi="Arial"/>
                <w:sz w:val="18"/>
                <w:szCs w:val="18"/>
                <w:color w:val="auto"/>
              </w:rPr>
              <w:t>GMI restructuring(b)</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Ignition switch recall and related legal matters(c)</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 adjustments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11,783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12,848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340" w:hanging="332"/>
        <w:spacing w:after="0" w:line="263"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employee separation charges and accelerated depreciation.</w:t>
      </w:r>
    </w:p>
    <w:p>
      <w:pPr>
        <w:jc w:val="both"/>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in the year ended December 31, 2018, all in Korea. The adjustment in the year ended December 31, 2017 primarily consists of asset impairments and other restructuring actions in India, South Africa and Venezuela.</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EBIT-adjusted to Core EBIT-adjusted: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11,783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EBIT loss-adjusted – GM Cruise</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Core EBIT-adjusted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12,511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13,457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jc w:val="right"/>
              <w:ind w:right="5652"/>
              <w:spacing w:after="0"/>
              <w:rPr>
                <w:sz w:val="20"/>
                <w:szCs w:val="20"/>
                <w:color w:val="auto"/>
              </w:rPr>
            </w:pPr>
            <w:r>
              <w:rPr>
                <w:rFonts w:ascii="Arial" w:cs="Arial" w:eastAsia="Arial" w:hAnsi="Arial"/>
                <w:sz w:val="16"/>
                <w:szCs w:val="16"/>
                <w:color w:val="auto"/>
                <w:w w:val="89"/>
              </w:rPr>
              <w:t>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w:t>
      </w:r>
    </w:p>
    <w:p>
      <w:pPr>
        <w:spacing w:after="0" w:line="22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Adjustments(a)</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Tax effect on adjustments(b)</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adjustments(c)</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9,364</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9,877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630"/>
              <w:spacing w:after="0"/>
              <w:rPr>
                <w:sz w:val="20"/>
                <w:szCs w:val="20"/>
                <w:color w:val="auto"/>
              </w:rPr>
            </w:pPr>
            <w:r>
              <w:rPr>
                <w:rFonts w:ascii="Arial" w:cs="Arial" w:eastAsia="Arial" w:hAnsi="Arial"/>
                <w:sz w:val="16"/>
                <w:szCs w:val="16"/>
                <w:color w:val="auto"/>
                <w:w w:val="89"/>
              </w:rPr>
              <w:t>________</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EBIT-adjusted within this section of the MD&amp;A for adjustment details.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year ended December 31, 2018 the adjustment consists of: (1) a non-recurring tax benefit related to foreign earnings; and (2) tax effects related to U.S. tax reform legislation. In the year ended December 31, 2017 the adjustment consisted of the tax expense of $7.3 billion related to U.S. tax reform legislation and the establishment of a valuation allowance against deferred tax assets of $2.3 billion that are no longer realizable as a result of the sale of the Opel/Vauxhall Business, partially offset by tax benefits related to tax settlements. These adjustments were excluded because impacts of tax legislation and valuation allowances are not considered part of our core operations.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before</w:t>
            </w:r>
          </w:p>
        </w:tc>
        <w:tc>
          <w:tcPr>
            <w:tcW w:w="880" w:type="dxa"/>
            <w:vAlign w:val="bottom"/>
            <w:gridSpan w:val="2"/>
          </w:tcPr>
          <w:p>
            <w:pPr>
              <w:jc w:val="right"/>
              <w:ind w:right="22"/>
              <w:spacing w:after="0" w:line="153" w:lineRule="exact"/>
              <w:rPr>
                <w:sz w:val="20"/>
                <w:szCs w:val="20"/>
                <w:color w:val="auto"/>
              </w:rPr>
            </w:pPr>
            <w:r>
              <w:rPr>
                <w:rFonts w:ascii="Arial" w:cs="Arial" w:eastAsia="Arial" w:hAnsi="Arial"/>
                <w:sz w:val="14"/>
                <w:szCs w:val="14"/>
                <w:b w:val="1"/>
                <w:bCs w:val="1"/>
                <w:color w:val="auto"/>
              </w:rPr>
              <w:t>Income tax</w:t>
            </w:r>
          </w:p>
        </w:tc>
        <w:tc>
          <w:tcPr>
            <w:tcW w:w="12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Income before</w:t>
            </w:r>
          </w:p>
        </w:tc>
        <w:tc>
          <w:tcPr>
            <w:tcW w:w="900" w:type="dxa"/>
            <w:vAlign w:val="bottom"/>
            <w:gridSpan w:val="2"/>
          </w:tcPr>
          <w:p>
            <w:pPr>
              <w:jc w:val="right"/>
              <w:ind w:right="22"/>
              <w:spacing w:after="0" w:line="153" w:lineRule="exact"/>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Income before</w:t>
            </w:r>
          </w:p>
        </w:tc>
        <w:tc>
          <w:tcPr>
            <w:tcW w:w="900" w:type="dxa"/>
            <w:vAlign w:val="bottom"/>
            <w:gridSpan w:val="2"/>
          </w:tcPr>
          <w:p>
            <w:pPr>
              <w:jc w:val="right"/>
              <w:ind w:right="42"/>
              <w:spacing w:after="0" w:line="153" w:lineRule="exact"/>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3"/>
                <w:szCs w:val="13"/>
                <w:color w:val="auto"/>
              </w:rPr>
            </w:pPr>
          </w:p>
        </w:tc>
        <w:tc>
          <w:tcPr>
            <w:tcW w:w="9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Effective tax</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income taxes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expense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adjustments(b)</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620" w:type="dxa"/>
            <w:vAlign w:val="bottom"/>
          </w:tcPr>
          <w:p>
            <w:pPr>
              <w:ind w:left="40"/>
              <w:spacing w:after="0"/>
              <w:rPr>
                <w:sz w:val="20"/>
                <w:szCs w:val="20"/>
                <w:color w:val="auto"/>
              </w:rPr>
            </w:pPr>
            <w:r>
              <w:rPr>
                <w:rFonts w:ascii="Arial" w:cs="Arial" w:eastAsia="Arial" w:hAnsi="Arial"/>
                <w:sz w:val="18"/>
                <w:szCs w:val="18"/>
                <w:color w:val="auto"/>
              </w:rPr>
              <w:t>ETR-adjusted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11,495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2,001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12,517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2,642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12,308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2,853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 for adjustment details. Net income attributable to noncontrolling interests for these adjustments is included in the year ended December 31, 2018.</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this section of the MD&amp;A for adjustment details.</w:t>
      </w:r>
    </w:p>
    <w:p>
      <w:pPr>
        <w:spacing w:after="0" w:line="22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3"/>
              </w:rPr>
              <w:t>Years Ended December 31,</w:t>
            </w:r>
          </w:p>
        </w:tc>
        <w:tc>
          <w:tcPr>
            <w:tcW w:w="9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9.4</w:t>
            </w: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43.6</w:t>
            </w: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193"/>
        </w:trPr>
        <w:tc>
          <w:tcPr>
            <w:tcW w:w="20" w:type="dxa"/>
            <w:vAlign w:val="bottom"/>
          </w:tcPr>
          <w:p>
            <w:pPr>
              <w:spacing w:after="0"/>
              <w:rPr>
                <w:sz w:val="16"/>
                <w:szCs w:val="16"/>
                <w:color w:val="auto"/>
              </w:rPr>
            </w:pPr>
          </w:p>
        </w:tc>
        <w:tc>
          <w:tcPr>
            <w:tcW w:w="7520" w:type="dxa"/>
            <w:vAlign w:val="bottom"/>
          </w:tcPr>
          <w:p>
            <w:pPr>
              <w:jc w:val="right"/>
              <w:ind w:right="6872"/>
              <w:spacing w:after="0"/>
              <w:rPr>
                <w:sz w:val="20"/>
                <w:szCs w:val="20"/>
                <w:color w:val="auto"/>
              </w:rPr>
            </w:pPr>
            <w:r>
              <w:rPr>
                <w:rFonts w:ascii="Arial" w:cs="Arial" w:eastAsia="Arial" w:hAnsi="Arial"/>
                <w:sz w:val="16"/>
                <w:szCs w:val="16"/>
                <w:color w:val="auto"/>
                <w:w w:val="86"/>
              </w:rPr>
              <w:t>_______</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Years Ended December 31,</w:t>
            </w:r>
          </w:p>
        </w:tc>
        <w:tc>
          <w:tcPr>
            <w:tcW w:w="9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37.4</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43.6</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22.0</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r>
      <w:tr>
        <w:trPr>
          <w:trHeight w:val="297"/>
        </w:trPr>
        <w:tc>
          <w:tcPr>
            <w:tcW w:w="20" w:type="dxa"/>
            <w:vAlign w:val="bottom"/>
          </w:tcPr>
          <w:p>
            <w:pPr>
              <w:spacing w:after="0"/>
              <w:rPr>
                <w:sz w:val="24"/>
                <w:szCs w:val="24"/>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42.7</w:t>
            </w:r>
          </w:p>
        </w:tc>
      </w:tr>
      <w:tr>
        <w:trPr>
          <w:trHeight w:val="237"/>
        </w:trPr>
        <w:tc>
          <w:tcPr>
            <w:tcW w:w="20" w:type="dxa"/>
            <w:vAlign w:val="bottom"/>
          </w:tcPr>
          <w:p>
            <w:pPr>
              <w:spacing w:after="0"/>
              <w:rPr>
                <w:sz w:val="20"/>
                <w:szCs w:val="20"/>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193"/>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________</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management team has adopted a strategic plan to transform GM into the world's most valued automotive company. Our plan includes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major initiatives that we anticipate will redefine the future of personal mobility through our zero crashes, zero emissions, zero congestion vision while also strengthening the core of our business: earning customers for life by delivering winning vehicles, leading the industry in quality and safety and improving the customer ownership experience; leading in technology and innovation, including electrification, autonomous, data connectivity; growing our brands; making tough, strategic decisions about which markets and products in which we will invest and compete; building profitable adjacent businesses and targeting 10% core margins on an EBIT-adjusted basis.</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our EBIT-adjusted margin improvement goal, through 2018 we fully realized our financial targets of $6.5 billion in total annual operational and functional cost savings compared to 2014 costs.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ending December 31, 2019 we expect EPS-diluted of between $5.17 and $6.00 and EPS-diluted-adjusted of between $6.50 and $7.00. The following table reconciles expected EPS-diluted under U.S. GAAP to expected EPS-diluted-adjusted and includes the future impact of the expected adjustment related to transformation activities: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$ 5.17-6.00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Adjustment – transformation activities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1.17-1.59</w:t>
            </w:r>
          </w:p>
        </w:tc>
      </w:tr>
      <w:tr>
        <w:trPr>
          <w:trHeight w:val="27"/>
        </w:trPr>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 on adjustment(a)</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(0.17-0.26)</w:t>
            </w:r>
          </w:p>
        </w:tc>
      </w:tr>
      <w:tr>
        <w:trPr>
          <w:trHeight w:val="250"/>
        </w:trPr>
        <w:tc>
          <w:tcPr>
            <w:tcW w:w="968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$ 6.50-7.00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8890</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26035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tax effect of the adjustment is determined based on the tax laws and valuation allowance status of the jurisdiction to which the adjustment relates.</w:t>
      </w:r>
    </w:p>
    <w:p>
      <w:pPr>
        <w:spacing w:after="0" w:line="176"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face continuing market, operating and regulatory challenges in a number of countries across the globe due to, among other factors, weak economic conditions, competitive pressures, our product portfolio offerings, heightened emissions standards, foreign exchange volatility, rising materials prices,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for a discussion of these challenges. We expect transformation activities to drive approximately $6.0 billion of annual cash savings by the end of 2020, resulting from reductions in Automotive and other cost of sales in our consolidated financial statements, as well as reduced capital expenditures. This target includes approximately $4.5 billion of cost savings, to be achieved through staffing, manufacturing and product initiatives. As we continue to assess our performance and the needs of our evolving business, additional restructuring and rationalization actions could be required. These additional actions could give rise to future asset impairments or other charges which may have a material impact on our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21.5 million units in the year ended December 31, 2018 representing a decrease of 0.1%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2017. U.S. industry sales were 17.7 million units in the year ended December 31, 2018.</w:t>
      </w:r>
    </w:p>
    <w:p>
      <w:pPr>
        <w:spacing w:after="0" w:line="17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total vehicle sales in the U.S., our largest market in North America, totaled 3.0 million units for market share of 16.7% in the year ended December 31, 2018 representing a decrease of 0.4 percentage points compared to the corresponding period in 2017. We continue to lead the U.S. industry in market share.</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recorded charges of $1.2 billion in the year ended December 31, 2018 and expect to record additional charges of $1.5 billion to $2.0 billion in 2019. These charges are primarily considered special for EBIT-adjusted, EPS diluted-adjusted, and adjusted automotive free cash flow purposes.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estimate GMNA's breakeven point at the U.S. industry level to be in the range of 10.0 to 11.0 million units. We expect to sustain a strong EBIT-adjusted margin in 2019 on continued strength of the U.S. industry light vehicle sales, favorable vehicle mix and continued focus on overall cost savings partially offset by higher costs associated with commodities and tariffs, as well as pricing pressures.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UAW contract ratified in November 2015 expires in September 2019. For discussion of the risks related to a significant labor disruption at one of our facilities, refer to Item 1A. Risk Factors.</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26.5 million units in the year ended December 31, 2018 representing a decrease of 6.3% compared to the corresponding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in 2017. Our total vehicle sales in China were 3.6 million units for a market share of 13.8% in the year ended December 31, 2018, representing a decrease of 0.5 percentage points compared to the corresponding period in 2017. We continue to see strength in sales of our Cadillac vehicles, and Chevrolet outperformed the passenger vehicle industry. Baojun and Wuling sales were impacted by the market slowdown in less developed cities and market shift away from mini commercial vehicles. Our Automotive China JVs generated equity income of $2.0 billion in the year ended December 31, 2018. In 2019 we expect industry sales to remain relatively flat with a continuation of pricing pressures, a more challenging regulatory environment related to emissions, fuel consumption and new energy vehicles as well as a weaker Chinese Yuan against the U.S. Dollar, which will continue to put pressure on our operations in China. While we expect China equity income to be moderately down, we expect to sustain strong China equity income by focusing on improvements in vehicle mix, cost efficiencies, and downstream performance optimization.</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many markets across the segment continue to improve, resulting in industry sales of 26.7 million units, representing an increase of 5.0% in the year ended December 31, 2018 compared to the corresponding period in 2017. This increase was due primarily to increases in India and Brazil. Our total vehicle sales were 1.2 million units for a market share of 4.7% in the year ended December 31, 2018, representing a decrease of 0.4 percentage points compared to the corresponding period in 2017.</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February 2018 we announced the closure of a facility and other restructuring actions in Korea. We recorded charges of $1.1 billion consisting of $0.6 billion in non-cash asset impairments and other charges and $0.5 billion in employee separation charges in the year ended December 31, 2018. We incurred $0.8 billion in cash outflows resulting from these Korea restructuring actions for employee separations and statutory pension payments in the year ended December 31, 2018. The charges are considered special for EBIT-adjusted, EPS-diluted-adjusted and adjusted automotive free cash flow reporting purposes. Refer to Note 18 to our consolidated financial statements for information related to these restructuring actions.</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connection with these restructuring actions, the Korea Development Bank (KDB) purchased approximately $0.7 billion of GM Korea Company's (GM Korea) Class B Preferred Shares from GM Korea (GM Korea Preferred Shares) in 2018. In conjunction with the GM Korea Preferred Share issuance we agreed to provide GM Korea future funding, if needed, not to exceed $2.8 billion through December 31, 2027, inclusive of $2.0 billion of planned capital expenditures through 2027. The actions being taken to address GM Korea's financial and operational performance have and may continue to result in litigation, negative publicity, business disruption, and labor unrest. Refer to Note 20 to our consolidated financial statements for additional information.</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 Cruise </w:t>
      </w:r>
      <w:r>
        <w:rPr>
          <w:rFonts w:ascii="Arial" w:cs="Arial" w:eastAsia="Arial" w:hAnsi="Arial"/>
          <w:sz w:val="18"/>
          <w:szCs w:val="18"/>
          <w:color w:val="auto"/>
        </w:rPr>
        <w:t>In June 2018 GM Cruise Holdings issued $0.9 billion of convertible preferred shares (GM Cruise Preferred Shares) to SoftBank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(UK) Limited (SoftBank). Immediately prior to the issuance of the GM Cruise Preferred Shares, we invested $1.1 billion in GM Cruise Holdings. When GM Cruise's autonomous vehicles are ready for commercial deployment, SoftBank is obligated to purchase additional GM Cruise Preferred Shares for $1.35 billion, subject to regulatory approval. All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are designated exclusively for working capital and general corporate purposes of GM Cruise. Refer to Note 20 to our consolidated financial statements for additional information.</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October 2018 GM Cruise Holdings issued $0.75 billion of GM Cruise Holdings Class E Common Shares to Honda, representing 5.7% of the fully diluted equity of GM Cruise Holdings at closing. In addition, Honda agreed to contribute approximately $2.0 billion primarily in the form of a long-term annual fee to GM Cruise Holdings for certain rights to use GM Cruise Holdings' trade names and trademarks and the exclusive right to partner with GM Cruise Holdings to develop, deploy and maintain a foreign market. The remaining contribution or funding will come in the form of shared development costs for a SAV that Honda, General Motors Holdings LLC and GM Cruise Holdings will jointly develop for deployment onto GM Cruise's autonomous vehicle network. All proceeds are designated exclusively for working capital and general corporate purposes of GM Cruise. Refer to Note 20 to our consolidated financial statements for additional information.</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Beginning in 2012 through January 25, 2019, we purchased an aggregate of 510 million shares of our outstanding common stock for $16.4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16 to our consolidated financial statements for additional information.</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Takata Matters </w:t>
      </w:r>
      <w:r>
        <w:rPr>
          <w:rFonts w:ascii="Arial" w:cs="Arial" w:eastAsia="Arial" w:hAnsi="Arial"/>
          <w:sz w:val="17"/>
          <w:szCs w:val="17"/>
          <w:color w:val="auto"/>
        </w:rPr>
        <w:t>In May 2016 NHTSA issued an amended consent order requiring Takata to file defect information reports (DIRs) for previously unrecalled</w:t>
      </w:r>
      <w:r>
        <w:rPr>
          <w:rFonts w:ascii="Arial" w:cs="Arial" w:eastAsia="Arial" w:hAnsi="Arial"/>
          <w:sz w:val="17"/>
          <w:szCs w:val="17"/>
          <w:i w:val="1"/>
          <w:iCs w:val="1"/>
          <w:color w:val="auto"/>
        </w:rPr>
        <w:t xml:space="preserve"> </w:t>
      </w:r>
      <w:r>
        <w:rPr>
          <w:rFonts w:ascii="Arial" w:cs="Arial" w:eastAsia="Arial" w:hAnsi="Arial"/>
          <w:sz w:val="17"/>
          <w:szCs w:val="17"/>
          <w:color w:val="auto"/>
        </w:rPr>
        <w:t>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MLC, GM may be obligated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Shares of our common stock if allowed general unsecured claims against the GUC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Trust, as estimated by the Bankruptcy Court, exceed $35.0 billion. Refer to Note 16 to our consolidated financial statements for a description of the contingently issuable Adjustment Shares.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Summary and Outlook </w:t>
      </w:r>
      <w:r>
        <w:rPr>
          <w:rFonts w:ascii="Arial" w:cs="Arial" w:eastAsia="Arial" w:hAnsi="Arial"/>
          <w:sz w:val="18"/>
          <w:szCs w:val="18"/>
          <w:color w:val="auto"/>
        </w:rPr>
        <w:t>We believe that offering a comprehensive suite of financing products will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sales of our vehicles, drive incremental GM Financial earnings and help support our sales throughout various economic cycles. The expansion of GM Financial's leasing program results in increased exposure to residual values, which are heavily dependent on used vehicle prices. Used vehicle prices in 2018 held at similar levels as compared to 2017. We expect a decrease of 4% to 5% in 2019 compared to 2018, due primarily to continued increases in the industry supply of used vehicles. The following table summarizes the residual value as well as the number of units included in GM Financial equipment on operating leases, net by vehicle type (units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7,299</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31,400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2018 GM Financial continued to expand its prime lending programs in North America. Accordingly, GM Financial's retail penetration in North America increased to approximately 47% in the year ended December 31, 2018 from approximately 37% in 2017, due primarily to further alignment with GM and greater dealer engagement. GM Financial's prime loan originations as a percentage of total loan originations in North America increased to 72% in 2018 from 61% in 2017. In the year ended December 31, 2018 GM Financial's revenue consisted of leased vehicle income of 71%, retail finance charge income of 22%, and commercial finance charge income of 4%.</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 We adopted Accounting Standards Update (ASU) 2014-09, "Revenue from Contracts with Customers," as amended (ASU 2014-09) on a modified retrospective basis effective January 1, 2018. The impacts of the new standard are reflected in this MD&amp;A. Refer to Note 2 of our consolidated financial statements 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2"/>
                <w:szCs w:val="22"/>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133,143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133,607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147,049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145,588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1,461</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5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133,607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140,205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145,588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149,184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0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2"/>
              </w:rPr>
              <w:t>Automotive and Other Cost of Sales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 Cruise</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Arial" w:cs="Arial" w:eastAsia="Arial" w:hAnsi="Arial"/>
                <w:sz w:val="18"/>
                <w:szCs w:val="18"/>
                <w:color w:val="auto"/>
              </w:rPr>
              <w:t>Total automotive and other cost of</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120,656</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116,229</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0" w:type="dxa"/>
            <w:vAlign w:val="bottom"/>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24"/>
                <w:szCs w:val="24"/>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GMI</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 Cruise</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00" w:type="dxa"/>
            <w:vAlign w:val="bottom"/>
          </w:tcPr>
          <w:p>
            <w:pPr>
              <w:ind w:left="40"/>
              <w:spacing w:after="0"/>
              <w:rPr>
                <w:sz w:val="20"/>
                <w:szCs w:val="20"/>
                <w:color w:val="auto"/>
              </w:rPr>
            </w:pPr>
            <w:r>
              <w:rPr>
                <w:rFonts w:ascii="Arial" w:cs="Arial" w:eastAsia="Arial" w:hAnsi="Arial"/>
                <w:sz w:val="18"/>
                <w:szCs w:val="18"/>
                <w:color w:val="auto"/>
              </w:rPr>
              <w:t>Total automotive and other cost of</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116,229</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121,784</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0" w:type="dxa"/>
            <w:vAlign w:val="bottom"/>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Arial" w:cs="Arial" w:eastAsia="Arial" w:hAnsi="Arial"/>
          <w:sz w:val="16"/>
          <w:szCs w:val="16"/>
          <w:color w:val="auto"/>
        </w:rPr>
        <w:t>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most significant element of our Automotive and other cost of sales is material cost which makes up approximately two-thirds of the total amount. The remaining portion includes labor costs, depreciation and amortization, engineering, freight and product warranty and recall campaigns.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Factors which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2018 unfavorable Cost was due primarily to: (1) increased raw material and freight costs related to carryover vehicles of $1.3 billion; (2) charges of $1.3 billion primarily related to employee separation charges and accelerated depreciation resulting from the transformation activities; (3) increased other costs of $1.2 billion primarily related to manufacturing, engineering and warranty; (4) increased material and freight costs of $1.2 billion related to vehicles launched within the last twelve</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months incorporating significant exterior and/or interior changes (Majors); and (5) a net increase in charges of $0.7 billion primarily related to asset impairments and employee separation charges in Korea in 2018, partially offset by restructuring actions in India and South Africa in 2017; partially offset by</w:t>
      </w:r>
    </w:p>
    <w:p>
      <w:pPr>
        <w:jc w:val="both"/>
        <w:ind w:firstLine="8"/>
        <w:spacing w:after="0" w:line="255"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material performance of $1.1 billion related to carryover vehicles. In the year ended December 31, 2018 favorable Other was due to the foreign currency effect resulting from the weakening of the Brazilian Real and other currencies, partially offset by the strengthening of various currencies against the U.S. Dollar.</w:t>
      </w:r>
    </w:p>
    <w:p>
      <w:pPr>
        <w:spacing w:after="0" w:line="19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2017 favorable Cost was due primarily to: (1) decreased warranty costs of $1.4 billion; (2) decreased employee related costs of $0.8 billion; (3) decreased material and freight costs of $0.7 billion related to carryover vehicles; and (4) decreased restructuring costs related to UAW cash severance incentive program of $0.2 billion in 2016 that did not recur in 2017; partially offset by (5) increased material and freight costs of $1.4 billion related to Majors; (6) increased engineering costs of $0.7 billion; and (7) charges of $0.4 billion related to restructuring actions in India and South Africa. In the year ended December 31, 2017 unfavorable Other was due primarily to the foreign currency effect of $0.4 billion due to the strengthening of the Brazilian Real and other currencies against the U.S. Dollar.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vMerge w:val="restart"/>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ind w:left="70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6"/>
          </w:tcPr>
          <w:p>
            <w:pPr>
              <w:ind w:left="460"/>
              <w:spacing w:after="0"/>
              <w:rPr>
                <w:sz w:val="20"/>
                <w:szCs w:val="20"/>
                <w:color w:val="auto"/>
              </w:rPr>
            </w:pPr>
            <w:r>
              <w:rPr>
                <w:rFonts w:ascii="Arial" w:cs="Arial" w:eastAsia="Arial" w:hAnsi="Arial"/>
                <w:sz w:val="14"/>
                <w:szCs w:val="14"/>
                <w:b w:val="1"/>
                <w:bCs w:val="1"/>
                <w:color w:val="auto"/>
              </w:rPr>
              <w:t>2018 vs. 2017 Change</w:t>
            </w:r>
          </w:p>
        </w:tc>
        <w:tc>
          <w:tcPr>
            <w:tcW w:w="2280" w:type="dxa"/>
            <w:vAlign w:val="bottom"/>
            <w:gridSpan w:val="4"/>
          </w:tcPr>
          <w:p>
            <w:pPr>
              <w:ind w:left="420"/>
              <w:spacing w:after="0"/>
              <w:rPr>
                <w:sz w:val="20"/>
                <w:szCs w:val="20"/>
                <w:color w:val="auto"/>
              </w:rPr>
            </w:pPr>
            <w:r>
              <w:rPr>
                <w:rFonts w:ascii="Arial" w:cs="Arial" w:eastAsia="Arial" w:hAnsi="Arial"/>
                <w:sz w:val="14"/>
                <w:szCs w:val="14"/>
                <w:b w:val="1"/>
                <w:bCs w:val="1"/>
                <w:color w:val="auto"/>
              </w:rPr>
              <w:t>2017 vs. 2016 Change</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Favorable/</w:t>
            </w:r>
          </w:p>
        </w:tc>
        <w:tc>
          <w:tcPr>
            <w:tcW w:w="74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72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(Unfavorable)</w:t>
            </w: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and other selling,</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10,345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(80)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  $</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2018 Automotive and other selling, general and administrative expense increased due primarily to an increase in charges of $0.3 billion for ignition switch related legal matters; partially offset by decreased advertising costs of $0.3 billion.</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2017 Automotive and other selling, general and administrative expense decreased due primarily to decreased advertising costs of $0.4 billion and a decrease in net charges of $0.2 billion for ignition switch related legal matters.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vMerge w:val="restart"/>
          </w:tcPr>
          <w:p>
            <w:pPr>
              <w:jc w:val="center"/>
              <w:ind w:left="52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ind w:left="7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Arial" w:cs="Arial" w:eastAsia="Arial" w:hAnsi="Arial"/>
                <w:sz w:val="14"/>
                <w:szCs w:val="14"/>
                <w:b w:val="1"/>
                <w:bCs w:val="1"/>
                <w:color w:val="auto"/>
              </w:rPr>
              <w:t>2018 vs. 2017 Change</w:t>
            </w:r>
          </w:p>
        </w:tc>
        <w:tc>
          <w:tcPr>
            <w:tcW w:w="22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1"/>
              </w:rPr>
              <w:t>2017 vs. 2016 Change</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74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4"/>
              </w:rPr>
              <w:t>Favorable/</w:t>
            </w:r>
          </w:p>
        </w:tc>
        <w:tc>
          <w:tcPr>
            <w:tcW w:w="72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  $</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2018 Interest income and other non-operating income, net increased due primarily to: (1) increased non-service pension and OPEB income of $0.3 billion; (2) favorable revaluation of investments of $0.3 billion; and (3) $0.2 billion from licensing agreements.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6"/>
            <w:vMerge w:val="restart"/>
          </w:tcPr>
          <w:p>
            <w:pPr>
              <w:jc w:val="center"/>
              <w:ind w:left="59"/>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91"/>
              </w:rPr>
              <w:t>2018 vs. 2017 Change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1"/>
              </w:rPr>
              <w:t>2017 vs. 2016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7"/>
              </w:rPr>
              <w:t>Favorable/</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4"/>
              </w:rPr>
              <w:t>Favorable/</w:t>
            </w:r>
          </w:p>
        </w:tc>
        <w:tc>
          <w:tcPr>
            <w:tcW w:w="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(Unfavorable)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3"/>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11,059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n.m.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2018 Income tax expense decreased due primarily to the absence of certain expense items which occurred in 2017, including $7.3 billion of tax expense related to U.S. tax reform and $2.3 billion of tax expense related to the recording of a valuation allowance on the sale of the Opel/Vauxhall Business, combined with the impact of a lower U.S. statutory tax rate and pre-tax income in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Income tax expense increased due primarily to the $7.3 billion tax expense related to U.S. tax reform legislation and the establishment of a $2.3 billion valuation allowance related to the sale of Opel/Vauxhall Business, partially offset by tax benefits related to tax settlements and foreign earnings.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2018 our ETR-adjusted was 17.4%, and we expect an effective tax rate of between 16% and 18% for the year ending December 31, 2019.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consolidated financial statements for additional information related to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113,792</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111,345</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10,769</w:t>
            </w:r>
          </w:p>
        </w:tc>
        <w:tc>
          <w:tcPr>
            <w:tcW w:w="3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11,889</w:t>
            </w:r>
          </w:p>
        </w:tc>
        <w:tc>
          <w:tcPr>
            <w:tcW w:w="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3,555</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3,511</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4"/>
            <w:vMerge w:val="restart"/>
          </w:tcPr>
          <w:p>
            <w:pPr>
              <w:jc w:val="center"/>
              <w:ind w:left="30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vMerge w:val="continue"/>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vMerge w:val="continue"/>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6"/>
                <w:szCs w:val="6"/>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5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111,345</w:t>
            </w:r>
          </w:p>
        </w:tc>
        <w:tc>
          <w:tcPr>
            <w:tcW w:w="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119,113</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(7,768)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11,889</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12,388</w:t>
            </w:r>
          </w:p>
        </w:tc>
        <w:tc>
          <w:tcPr>
            <w:tcW w:w="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61"/>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3,511</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3,958</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year ended December 31, 2018 Total net sales and revenue increased due primarily to: (1) favorable pricing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Majors of $1.9 billion, partially offset by unfavorable pricing for carryover vehicles of $0.5 billion, inclusive of new revenue standard impacts; (2) increased net wholesale volumes due to an increase in sales of crossover and fleet vehicles, partially offset by a decrease in sales of passenger cars, planned downtime for full-size trucks and a decrease in sales of mid-size trucks; and (3) favorable Other due to increased sales of parts and accessories; partially offset by (4) unfavorable mix due to fleet customer, trim and other mix.</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2017 Total net sales and revenue decreased due primarily to: (1) decreased net wholesale volumes associated with a decrease in Chevrolet passenger car sales and a decrease in off-lease rental car sales; partially offset by (2) favorable mix associated with a decrease in sales of Chevrolet passenger cars and decreased volumes of off-lease rental car sales; (3) favorable pricing for Majors of $1.4 billion, partially offset by unfavorable pricing for carryover vehicles of $0.8 billion; and (4) favorable Other due primarily to the foreign currency effect resulting from the strengthening of the Canadian Dollar against the U.S. Dollar.</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The most significant factors which influence profitability are industry volume and market share. While not as significant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volume and market share, another factor affecting profitability is the relative mix of vehicles sold. Trucks, crossovers and cars sold currently have a variable profit of approximately 180%, 50% and 20% of our GMNA portfolio on a weighted-average basis.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2018 EBIT-adjusted decreased due primarily to: (1) unfavorable Cost due to increased vehicle content for Majors of $1.3 billion and increased raw material and freight costs of $1.1 billion, partially offset by favorable materials performance of $1.0 billion related to carryover vehicles; and (2) unfavorable mix due to an increase in sales of crossover vehicles, fleet customer mix, trim and other mix, partially offset by decreased sales of passenger cars; partially offset by (3) favorable pricing; and (4) increased net wholesale volumes.</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2017 EBIT-adjusted decreased due primarily to: (1) decreased net wholesale volumes; and (2) unfavorable Other due primarily to the foreign currency effect resulting from the weakening of the Mexican Peso against the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Dollar; partially offset by (3) favorable Cost including decreased warranty costs of $1.4 billion, decreased material and freight costs related to carryover vehicles of $0.7 billion, decreased other employee related costs of $0.7 billion, decreased advertising costs of $0.3 billion and decreased restructuring charges of $0.2 billion related to the 2016 UAW cash severance incentive program, partially offset by increased material costs for Majors of $1.3 billion and increased engineering costs of $0.3 billion; (4) favorable mix; and (5) favorable pricing.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7"/>
              </w:rPr>
              <w:t>Years Ended December 31,</w:t>
            </w:r>
          </w:p>
        </w:tc>
        <w:tc>
          <w:tcPr>
            <w:tcW w:w="260" w:type="dxa"/>
            <w:vAlign w:val="bottom"/>
          </w:tcPr>
          <w:p>
            <w:pPr>
              <w:spacing w:after="0"/>
              <w:rPr>
                <w:sz w:val="22"/>
                <w:szCs w:val="22"/>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4"/>
          </w:tcPr>
          <w:p>
            <w:pPr>
              <w:jc w:val="center"/>
              <w:ind w:left="30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9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vMerge w:val="restart"/>
          </w:tcPr>
          <w:p>
            <w:pPr>
              <w:jc w:val="center"/>
              <w:ind w:right="7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19,148</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21,920</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(2,772)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423</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61"/>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i w:val="1"/>
                <w:iCs w:val="1"/>
                <w:color w:val="auto"/>
                <w:w w:val="99"/>
              </w:rPr>
              <w:t>Equity income — Automotive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i w:val="1"/>
                <w:iCs w:val="1"/>
                <w:color w:val="auto"/>
              </w:rPr>
              <w:t>1,981</w:t>
            </w:r>
          </w:p>
        </w:tc>
        <w:tc>
          <w:tcPr>
            <w:tcW w:w="36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13"/>
              <w:spacing w:after="0"/>
              <w:rPr>
                <w:sz w:val="20"/>
                <w:szCs w:val="20"/>
                <w:color w:val="auto"/>
              </w:rPr>
            </w:pPr>
            <w:r>
              <w:rPr>
                <w:rFonts w:ascii="Arial" w:cs="Arial" w:eastAsia="Arial" w:hAnsi="Arial"/>
                <w:sz w:val="18"/>
                <w:szCs w:val="18"/>
                <w:i w:val="1"/>
                <w:iCs w:val="1"/>
                <w:color w:val="auto"/>
              </w:rPr>
              <w:t>1,976</w:t>
            </w:r>
          </w:p>
        </w:tc>
        <w:tc>
          <w:tcPr>
            <w:tcW w:w="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c>
          <w:tcPr>
            <w:tcW w:w="1140" w:type="dxa"/>
            <w:vAlign w:val="bottom"/>
          </w:tcPr>
          <w:p>
            <w:pPr>
              <w:jc w:val="right"/>
              <w:ind w:right="154"/>
              <w:spacing w:after="0"/>
              <w:rPr>
                <w:sz w:val="20"/>
                <w:szCs w:val="20"/>
                <w:color w:val="auto"/>
              </w:rPr>
            </w:pPr>
            <w:r>
              <w:rPr>
                <w:rFonts w:ascii="Arial" w:cs="Arial" w:eastAsia="Arial" w:hAnsi="Arial"/>
                <w:sz w:val="18"/>
                <w:szCs w:val="18"/>
                <w:i w:val="1"/>
                <w:iCs w:val="1"/>
                <w:color w:val="auto"/>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(1,558)</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(676)</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(882)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n.m.</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1,152</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1,267</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4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1"/>
                <w:szCs w:val="11"/>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vMerge w:val="continue"/>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vMerge w:val="continue"/>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6"/>
                <w:szCs w:val="6"/>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9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21,920</w:t>
            </w:r>
          </w:p>
        </w:tc>
        <w:tc>
          <w:tcPr>
            <w:tcW w:w="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20,943</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1,300</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767</w:t>
            </w: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i w:val="1"/>
                <w:iCs w:val="1"/>
                <w:color w:val="auto"/>
                <w:w w:val="99"/>
              </w:rPr>
              <w:t>Equity income — Automotive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i w:val="1"/>
                <w:iCs w:val="1"/>
                <w:color w:val="auto"/>
              </w:rPr>
              <w:t>1,976</w:t>
            </w:r>
          </w:p>
        </w:tc>
        <w:tc>
          <w:tcPr>
            <w:tcW w:w="360" w:type="dxa"/>
            <w:vAlign w:val="bottom"/>
          </w:tcPr>
          <w:p>
            <w:pPr>
              <w:ind w:left="1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i w:val="1"/>
                <w:iCs w:val="1"/>
                <w:color w:val="auto"/>
              </w:rPr>
              <w:t>1,973</w:t>
            </w: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i w:val="1"/>
                <w:iCs w:val="1"/>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i w:val="1"/>
                <w:iCs w:val="1"/>
                <w:color w:val="auto"/>
              </w:rPr>
              <w:t>0.2%</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(676)</w:t>
            </w:r>
          </w:p>
        </w:tc>
        <w:tc>
          <w:tcPr>
            <w:tcW w:w="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(1,206)</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530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w w:val="92"/>
              </w:rPr>
              <w:t>(Vehicles in thousands)</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1,267</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GMI Total Net Sales and Revenue </w:t>
      </w:r>
      <w:r>
        <w:rPr>
          <w:rFonts w:ascii="Arial" w:cs="Arial" w:eastAsia="Arial" w:hAnsi="Arial"/>
          <w:sz w:val="17"/>
          <w:szCs w:val="17"/>
          <w:color w:val="auto"/>
        </w:rPr>
        <w:t>In the year ended December 31, 2018 Total net sales and revenue decreased due primarily to: (1) decreased wholesale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volumes in Korea due to the closure of a facility, in Argentina primarily driven by lower industry volumes, and in Asia/Pacific due to the withdrawal from the Indian and South African markets in 2017, partially offset by an increase in Brazil primarily due to an increase in sales of the Chevrolet Onix, Tracker and Equinox; (2) unfavorable Other due primarily to the foreign currency effect resulting from the weakening of the Brazilian Real and Argentine Peso against the U.S. Dollar; partially offset by (3) favorable pricing related to carryover vehicles in Argentina and Brazil.</w:t>
      </w:r>
    </w:p>
    <w:p>
      <w:pPr>
        <w:spacing w:after="0" w:line="17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2017 Total net sales and revenue increased due primarily to: (1) favorable pricing related to carryover vehicles in Argentina and Brazil and in Egypt to mitigate the impact of the weakening Egyptian Pound against the U.S. Dollar; (2) favorable mix driven by the increased sales of Chevrolet Cruze in Brazil and Argentina; and (3) increased wholesale volumes associated with the Chevrolet Onix in Brazil and Argentina, partially offset by decreased wholesale volumes across multiple product lines in Asia/Pacific, the Middle East and Africa; (4) flat Other due primarily to the foreign currency effect resulting from the strengthening of the Brazilian Real and Korean Won against the U.S. Dollar, offset by the depreciation of the Argentine Peso and Egyptian Pound against the U.S. Dollar and decreased parts and accessories sales in the Middle East.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EBIT-Adjusted </w:t>
      </w:r>
      <w:r>
        <w:rPr>
          <w:rFonts w:ascii="Arial" w:cs="Arial" w:eastAsia="Arial" w:hAnsi="Arial"/>
          <w:sz w:val="18"/>
          <w:szCs w:val="18"/>
          <w:color w:val="auto"/>
        </w:rPr>
        <w:t>In the year ended December 31, 2018 EBIT-adjusted decreased due primarily to: (1) decreased wholesale volumes;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unfavorable Other due primarily to the foreign currency effect resulting from the weakening of the Argentine Peso and Brazilian Real against the U.S. Dollar; partially offset by (3) favorable pricing.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EBIT-adjusted increased due primarily to: (1) favorable pricing; and (2) favorable Cost due to decreased employee related costs and selling, general and administrative expenses across the region; partially offset by (3) unfavorable mix driven by decreased high-margin sales in the Middle East.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50,316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50,065</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47,150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4,117</w:t>
            </w:r>
          </w:p>
        </w:tc>
      </w:tr>
      <w:tr>
        <w:trPr>
          <w:trHeight w:val="399"/>
        </w:trPr>
        <w:tc>
          <w:tcPr>
            <w:tcW w:w="76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7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Cruise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center"/>
              <w:ind w:left="462"/>
              <w:spacing w:after="0"/>
              <w:rPr>
                <w:sz w:val="20"/>
                <w:szCs w:val="20"/>
                <w:color w:val="auto"/>
              </w:rPr>
            </w:pPr>
            <w:r>
              <w:rPr>
                <w:rFonts w:ascii="Arial" w:cs="Arial" w:eastAsia="Arial" w:hAnsi="Arial"/>
                <w:sz w:val="14"/>
                <w:szCs w:val="14"/>
                <w:b w:val="1"/>
                <w:bCs w:val="1"/>
                <w:color w:val="auto"/>
                <w:w w:val="92"/>
              </w:rPr>
              <w:t>Years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2018 vs. 2017 Change</w:t>
            </w: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2017 vs. 2016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Favorable/</w:t>
            </w:r>
          </w:p>
        </w:tc>
        <w:tc>
          <w:tcPr>
            <w:tcW w:w="9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Favorable/</w:t>
            </w:r>
          </w:p>
        </w:tc>
        <w:tc>
          <w:tcPr>
            <w:tcW w:w="80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4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Cruise EBIT (Loss)-Adjusted </w:t>
      </w:r>
      <w:r>
        <w:rPr>
          <w:rFonts w:ascii="Arial" w:cs="Arial" w:eastAsia="Arial" w:hAnsi="Arial"/>
          <w:sz w:val="18"/>
          <w:szCs w:val="18"/>
          <w:color w:val="auto"/>
        </w:rPr>
        <w:t>In the years ended December 31, 2018 and 2017 EBIT (loss)-adjusted increased due primarily to increased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 we progress towards the commercialization of autonomous vehicles.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1"/>
              </w:rPr>
              <w:t>Years Ended December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2018 vs. 2017 Change</w:t>
            </w:r>
          </w:p>
        </w:tc>
        <w:tc>
          <w:tcPr>
            <w:tcW w:w="260" w:type="dxa"/>
            <w:vAlign w:val="bottom"/>
          </w:tcPr>
          <w:p>
            <w:pPr>
              <w:spacing w:after="0"/>
              <w:rPr>
                <w:sz w:val="16"/>
                <w:szCs w:val="16"/>
                <w:color w:val="auto"/>
              </w:rPr>
            </w:pPr>
          </w:p>
        </w:tc>
        <w:tc>
          <w:tcPr>
            <w:tcW w:w="2000" w:type="dxa"/>
            <w:vAlign w:val="bottom"/>
            <w:gridSpan w:val="3"/>
          </w:tcPr>
          <w:p>
            <w:pPr>
              <w:ind w:left="220"/>
              <w:spacing w:after="0"/>
              <w:rPr>
                <w:sz w:val="20"/>
                <w:szCs w:val="20"/>
                <w:color w:val="auto"/>
              </w:rPr>
            </w:pPr>
            <w:r>
              <w:rPr>
                <w:rFonts w:ascii="Arial" w:cs="Arial" w:eastAsia="Arial" w:hAnsi="Arial"/>
                <w:sz w:val="14"/>
                <w:szCs w:val="14"/>
                <w:b w:val="1"/>
                <w:bCs w:val="1"/>
                <w:color w:val="auto"/>
              </w:rPr>
              <w:t>2017 vs. 2016 Change</w:t>
            </w:r>
          </w:p>
        </w:tc>
      </w:tr>
      <w:tr>
        <w:trPr>
          <w:trHeight w:val="264"/>
        </w:trPr>
        <w:tc>
          <w:tcPr>
            <w:tcW w:w="3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35.3%</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642</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17.5%</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taxes-adjusted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56.7%</w:t>
            </w: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rPr>
              <w:t>Average debt outstanding (dollars in</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billions)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85.1</w:t>
            </w: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36.7%</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rate of interest paid</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GM Financial Revenue </w:t>
      </w:r>
      <w:r>
        <w:rPr>
          <w:rFonts w:ascii="Arial" w:cs="Arial" w:eastAsia="Arial" w:hAnsi="Arial"/>
          <w:sz w:val="16"/>
          <w:szCs w:val="16"/>
          <w:color w:val="auto"/>
        </w:rPr>
        <w:t>In the year ended December 31, 2018 Total revenue increased due primarily to increased leased vehicle income of $1.4 billion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larger lease portfolio and increased finance charge income of $0.4 billion due to growth in the retail and commercial finance receivables portfolios.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2017 Total revenue increased due primarily to increased leased vehicle income of $2.7 billion due to a larger lease portfolio and increased finance charge income of $0.4 billion due to growth in the retail and commercial finance receivables portfolios.</w:t>
      </w:r>
    </w:p>
    <w:p>
      <w:pPr>
        <w:spacing w:after="0" w:line="14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Financial Earnings Before Income Taxes-Adjusted </w:t>
      </w:r>
      <w:r>
        <w:rPr>
          <w:rFonts w:ascii="Arial" w:cs="Arial" w:eastAsia="Arial" w:hAnsi="Arial"/>
          <w:sz w:val="16"/>
          <w:szCs w:val="16"/>
          <w:color w:val="auto"/>
        </w:rPr>
        <w:t>In the year ended December 31, 2018 Earnings before income taxes-adjusted increased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(1) increased gains on sales of terminated leased vehicles of $0.5 billion due to stronger than expected used vehicle prices; (2) increased net leased vehicle income of $0.4 billion due to an increase in average balance of the lease portfolio; and (3) increased finance charge income of $0.4 billion due to an increase in the average balance of the retail and commercial finance receivables portfolios; partially offset by (4) increased interest expense of $0.7 billion due to an increase in average debt outstanding resulting from growth in the loan and lease portfolios as well as rising benchmark interest rates.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Earnings before income taxes-adjusted increased due primarily to: (1) increased net leased vehicle income of $0.8 billion due primarily to a larger lease portfolio; and (2) increased finance charge income; partially offset by (3) increased interest expense of $0.6 billion due to an increase in average debt outstanding.</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 strong investment-grade balance sheet; and (3) return available cash to shareholders. Our known future material uses of cash include, among other possible demands: (1) capital expenditures of $8.0 billion to $9.0 billion in 2019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Item 1A. Risk Factors, some of which are outside of our control.</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continue to monitor and evaluate opportunities to strengthen our competitive position over the long-term while maintaining a strong investment-grade balance sheet. These actions may include opportunistic payments to reduce our long-term obligations such as our pension plans, as well as the possibility of acquisitions, dispositions, investments with joint venture partners and strategic alliances that we believe would generate significant advantages and substantially strengthen our business. In September 2018, we used a portion of the net proceeds from the issuance of senior unsecured notes to pre-fund $0.6 billion in certain mandatory contributions to our U.K. and Canada pension plans due in 2019 through 2021.</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senior management evaluates our capital allocation program on an ongoing basis and recommends any modifications to the program to our Board of Directors, not less than once annually. Management reaffirmed and our Board of Directors approved the capital allocation program, which includes reinvesting in our business at an average target ROIC-adjusted rate of 20% or greater, maintaining a strong investment-grade balance sheet, including an average automotive target cash balance of $18 billion, and returning available cash to shareholders.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 part of our capital allocation program, our Board of Directors authorized programs to purchase $9.0 billion in aggregate of our common stock which were completed in the three months ended September 30, 2016 and 2017. We announced in January 2017 that our Board of Directors had authorized the purchase of up to an additional $5.0 billion of our common stock with no expiration date, subsequent to completing the remaining portion of the previously announced programs. We completed $1.6 billion of the $5.0 billion program through December 31, 2018, which included $0.1 billion purchased in the three months ended March 31, 2018 in conjunction with the sale of GM common stock by the UAW Retiree Medical Benefits Trust (New VEBA). From inception of the program in 2015 through January 25, 2019 we had purchased an aggregate of 302 million shares of our outstanding common stock under our common stock repurchase program for $10.6 billion.</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Approximately 90% of our cash and marketable securities were managed within North America and at our regional treasury centers at December 31, 2018. We have used and will continue to use other methods including intercompany loans to utilize these funds across our global operations as needed.</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cash equivalents and marketable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7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At December 31, 2017 the total size of our credit facilities was $14.5 billion, which consisted principally of our two primary revolving credit facilities. 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7"/>
          <w:szCs w:val="17"/>
          <w:color w:val="002060"/>
        </w:rPr>
        <w:t>.</w:t>
      </w:r>
      <w:r>
        <w:rPr>
          <w:rFonts w:ascii="Arial" w:cs="Arial" w:eastAsia="Arial" w:hAnsi="Arial"/>
          <w:sz w:val="17"/>
          <w:szCs w:val="17"/>
          <w:color w:val="auto"/>
        </w:rPr>
        <w:t xml:space="preserve"> Total automotive available credit under the facility remained unchanged at $14.5 billion at December 31, 2018. In January 2019 we entered into a new three-year unsecured revolving credit facility with an initial borrowing capacity of $3.0 billion, reducing to $2.0 billion in July 2020. The facility will be used to fund costs related to the transformation activities announced in November 2018 and to provide additional financial flexibility.</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did not have any borrowings against our primary facilities, but had letters of credit outstanding under our sub-facility of $0.3 billion and $0.4 billion at December 31, 2018 and 2017. GM Financial did not have any borrowings against our credit facility designated for their exclusive use at December 31, 2018 or the remainder of our revolving credit facilities at December 31, 2018 and 2017. Refer to Note 13 to our consolidated financial statements for additional information on credit facilities. We had intercompany loans from GM Financial of $0.6 billion and $0.4 billion at December 31, 2018 and 2017, which consisted primarily of commercial loans to dealers we consolidate, and we had no intercompany loans to GM Financial. Refer to Note 5 of our consolidated financial statements for additional information.</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May 2018 we entered into an agreement with KDB to fund capital expenditure requirements of GM Korea. In the year ended December 31, 2018 KDB purchased $0.7 billion of GM Korea Preferred Shares. Additionally we agreed to provide future funding to GM Korea if needed, not to exceed $2.8 billion through December 31, 2027, inclusive of $2.0 billion of planned capital expenditures through 2027. Refer to Note 20 to our consolidated financial statements for further details.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September 2018 we issued $2.1 billion in aggregate principal amount of senior unsecured notes with an initial weighted average interest rate of 5.03% and maturity dates ranging from 2021 to 2049. The notes are governed by the same indenture that was used in past issuances, which contains terms and covenants customary of these types of securities including limitations on the amount of certain secured debt we may incur. The net proceeds from the issuance of these senior unsecured notes were used to repay $1.5 billion of debt in October 2018 upon maturity, pre-fund $0.6 billion in certain mandatory contributions for our U.K. and Canada pension plans due in 2019 through 2021, and for other general corporate purposes.</w:t>
      </w:r>
    </w:p>
    <w:p>
      <w:pPr>
        <w:spacing w:after="0" w:line="1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Financial’s Board of Directors declared and paid a dividend of $0.4 billion on its common stock in October 2018. Future dividends from GM Financial will depend on a number of factors including business and economic conditions, its financial condition, earnings, liquidity requirements and leverage ratio.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securities(a)(b)</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GM Cruise cash and cash equivalents(c)</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liquidity(a)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do not add due to rounding.</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$0.6 billion that is designated exclusively to fund capital expenditures in GM Korea at December 31, 2018. Refer to Note 20 to our consolidated financial statements for further details.</w:t>
      </w:r>
    </w:p>
    <w:p>
      <w:pPr>
        <w:ind w:left="340" w:right="2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GM Cruise and do not include $0.1 billion of GM Cruise's investment in GM stock. Refer to Note 20 to our consolidated financial statements for further details.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GM Cruise,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senior unsecured notes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GM investment in GM Cruise</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2018 vs. 2017</w:t>
            </w:r>
          </w:p>
        </w:tc>
        <w:tc>
          <w:tcPr>
            <w:tcW w:w="140" w:type="dxa"/>
            <w:vAlign w:val="bottom"/>
          </w:tcPr>
          <w:p>
            <w:pPr>
              <w:spacing w:after="0"/>
              <w:rPr>
                <w:sz w:val="24"/>
                <w:szCs w:val="2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5"/>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year ended December 31, 2018 the decrease in Net automotive cash provided by operating activities was due primarily to: (1) unfavorable pre-tax earnings from continuing operations of $3.9 billion, net of employee separation and other charges of $1.3 billion resulting from transformation activities; (2) unfavorable Pension and OPEB activities due primarily to pension contributions of $0.6 billion made to our U.K. and Canada pension plans; (3) less favorable Working capital due primarily to accounts receivable and accounts payable; and (4) unfavorable Other due to the increase in units returned from rental car companies of $0.8 billion and several other insignificant items; partially offset by (5) favorable sales incentives and other accruals of $3.6 billion; and (6) favorable re-timing of subvention payments and receivables factoring with GM Financial and other external sources of $0.4 billion.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year ended December 31, 2017 the decrease in Net automotive cash provided by operating activities was due primarily to: (1) unfavorable Income (loss) from continuing operations partially offset by the add back of $7.3 billion as a result of U.S. tax reform legislation and the establishment of a $2.3 billion valuation allowance related to the sale of the Opel/Vauxhall Business; and (2) unfavorable Working capital due to lower production volumes, partially offset by accelerated cash receipts from GM Financial and other external sources totaling $0.5 billion; partially offset by (3) favorable Pension and OPEB activities due primarily to discretionary contributions of $2.0 billion made to our U.S. hourly pension plan in the year ended December 31, 2016; and (4) favorable Other due to a GM Financial dividend of $0.6 billion and several insignificant items, partially offset by unfavorable equipment on operating leases of $1.1 billion due to an increase in units out to daily rental car companies.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2018 vs. 2017</w:t>
            </w:r>
          </w:p>
        </w:tc>
        <w:tc>
          <w:tcPr>
            <w:tcW w:w="140" w:type="dxa"/>
            <w:vAlign w:val="bottom"/>
          </w:tcPr>
          <w:p>
            <w:pPr>
              <w:spacing w:after="0"/>
              <w:rPr>
                <w:sz w:val="16"/>
                <w:szCs w:val="16"/>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ind w:right="1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7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2018 vs. 2017</w:t>
            </w:r>
          </w:p>
        </w:tc>
        <w:tc>
          <w:tcPr>
            <w:tcW w:w="140" w:type="dxa"/>
            <w:vAlign w:val="bottom"/>
          </w:tcPr>
          <w:p>
            <w:pPr>
              <w:spacing w:after="0"/>
              <w:rPr>
                <w:sz w:val="24"/>
                <w:szCs w:val="24"/>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ind w:right="1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payments on short-term debt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measure adjusted automotive free cash flow as automotive operating cash flow from continuing operations less capital expenditures adjusted for management actions. For the year ended December 31, 2018, net automotive cash provided by operating activities under U.S. GAAP was $11.7 billion, capital expenditures were $8.7 billion and an adjustment for management actions related to restructuring in Korea was $0.8 billion.</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ended December 31, 2017, net automotive cash provided by operating activities under U.S. GAAP was $14.4 billion, capital expenditures were $8.3 billion, and adjustments resulting from the sale of the European Business included an adjustment related to a U.K. pension plan contribution of $0.2 billion and a reduction adjustment related to a dividend received from GM Financial of $0.6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2016, net automotive cash provided by operating activities under U.S. GAAP was $14.6 billion, capital expenditures were $8.3 billion, and an adjustment for discretionary U.S. pension plan contributions was $2.0 billion.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(Fitch),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All four credit rating agencies currently rate our corporate credit at investment grade. The following table summarizes our credit ratings at January 25,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Positive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March 2018 DBRS Limited revised their outlook to Positive from Stable. All other credit ratings remained unchanged from January 1, 2018 through January 25, 2019.</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Cruise Liquidity</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GM Cruise available liquidity (dollars in billions):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Year Ended December 31,</w:t>
            </w:r>
          </w:p>
        </w:tc>
      </w:tr>
      <w:tr>
        <w:trPr>
          <w:trHeight w:val="192"/>
        </w:trPr>
        <w:tc>
          <w:tcPr>
            <w:tcW w:w="95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Issuance of GM Cruise Preferred Shares to SoftBank</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9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GM Cruise Common Shares to Honda</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GM investment in GM Cruise</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9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57"/>
        </w:trPr>
        <w:tc>
          <w:tcPr>
            <w:tcW w:w="9560" w:type="dxa"/>
            <w:vAlign w:val="bottom"/>
          </w:tcPr>
          <w:p>
            <w:pPr>
              <w:ind w:left="20"/>
              <w:spacing w:after="0"/>
              <w:rPr>
                <w:sz w:val="20"/>
                <w:szCs w:val="20"/>
                <w:color w:val="auto"/>
              </w:rPr>
            </w:pPr>
            <w:r>
              <w:rPr>
                <w:rFonts w:ascii="Arial" w:cs="Arial" w:eastAsia="Arial" w:hAnsi="Arial"/>
                <w:sz w:val="18"/>
                <w:szCs w:val="18"/>
                <w:color w:val="auto"/>
              </w:rPr>
              <w:t>Total change in GM Cruise available liquidity</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0"/>
        </w:trPr>
        <w:tc>
          <w:tcPr>
            <w:tcW w:w="9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GM Cruise's autonomous vehicles are ready for commercial deployment, SoftBank is obligated to purchase additional GM Cruise Preferred Shares for $1.35 billion, subject to regulatory approval. In addition, Honda agreed to contribute approximately $2.0 billion primarily in the form of a long-term annual fee to GM Cruise Holdings for certain rights to use GM Cruise Holdings' trade names and trademarks and the exclusive right to partner with GM Cruise Holdings to develop, deploy, and maintain a foreign market.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Cruise Cash Flow (Dollars in Billions)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2018 vs. 2017</w:t>
            </w:r>
          </w:p>
        </w:tc>
        <w:tc>
          <w:tcPr>
            <w:tcW w:w="140" w:type="dxa"/>
            <w:vAlign w:val="bottom"/>
          </w:tcPr>
          <w:p>
            <w:pPr>
              <w:spacing w:after="0"/>
              <w:rPr>
                <w:sz w:val="16"/>
                <w:szCs w:val="16"/>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58"/>
        </w:trPr>
        <w:tc>
          <w:tcPr>
            <w:tcW w:w="524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year ended December 31, 2017 Net cash used in operating activities increased due primarily to unfavorable income from operations.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2018 Net cash provided by financing activities increased due primarily to the GM investment in GM Cruise, proceeds from the issuance of GM Cruise Preferred Shares to SoftBank, and proceeds from the issuance of GM Cruise Common Shares to Honda.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distributions from credit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In September 2018 GM Financial issued $0.5 billion of Fixed-to-Floating Rate Cumulative Perpetual Preferred Stock, Series B, $0.01 par value, with a liquidation preference of $1,000 per share. In September 2017 GM Financial issued $1.0 billion of Fixed-to-Floating Rate Cumulative Perpetual Preferred Stock, Series A, $0.01 par value, with a liquidation preference of $1,000 per share. Refer to Note 20 to our consolidated financial statements for further details. The following table summarizes GM Financial's available liquidity (dollars in billions):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2018 available liquidity increased due primarily to an increase in cash and additional capacity on new and renewed secured revolving credit facilities, resulting from the issuance of securitizations and unsecured debt. In addition, GM Financial added $2.0 billion in borrowing capacity on our 364-day credit facility as described in the Automotive Liquidity section of this MD&amp;A.</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has access to our revolving credit facilities of $16.5 billion with exclusive access to the 364-day, $2.0 billion facility. Refer to the Automotive Liquidity section of this MD&amp;A for additional details. We have a support agreement with GM Financial which, among other things, establishes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secured or unsecured, and GM Financial repays these borrowings as appropriate under its cash management strategy. At December 31, 2018 secured, committed unsecured and uncommitted unsecured credit facilities totaled $26.4 billion, $0.4 billion and $2.0 billion with advances outstanding of $3.4 billion, an insignificant amount and $2.0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2018 vs. 2017</w:t>
            </w:r>
          </w:p>
        </w:tc>
        <w:tc>
          <w:tcPr>
            <w:tcW w:w="140" w:type="dxa"/>
            <w:vAlign w:val="bottom"/>
          </w:tcPr>
          <w:p>
            <w:pPr>
              <w:spacing w:after="0"/>
              <w:rPr>
                <w:sz w:val="16"/>
                <w:szCs w:val="16"/>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58"/>
        </w:trPr>
        <w:tc>
          <w:tcPr>
            <w:tcW w:w="5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2018 and 2017 Net cash provided by operating activities increased due primarily to an increase in leased vehicle income and finance charge income, partially offset by increased interest expense.</w:t>
      </w:r>
    </w:p>
    <w:p>
      <w:pPr>
        <w:spacing w:after="0" w:line="1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2018 Net cash used in investing activities decreased due primarily to: (1) increased collections on finance receivables of $4.5 billion; (2) increased proceeds from the termination of leased vehicles of $4.2 billion; and (3) decreased purchases of leased vehicles of $2.4 billion; partially offset by (4) increased purchases and funding of finance receivables of $6.8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2017 Net cash used in investing activities decreased due primarily to: (1) increased proceeds from the termination of leased vehicles of $4.1 billion; (2) increased collections and recoveries on retail finance receivables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 billion; and (3) decreased purchases of leased vehicles of $0.3 billion; partially offset by (4) increased net purchases of retail finance receivables of $5.5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2018 Net cash provided by financing activities decreased due primarily to a decrease in borrowing, net of payments, of $4.6 billion and a decrease in the issuance of preferred stock of $0.5 billion.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2017 Net cash provided by financing activities decreased due primarily to an increase in repayments of $12.4 billion and a special dividend payment to GM of $0.6 billion, partially offset by an increase in borrowings of $9.0 billion and the issuance of preferred stock of $1.0 billion.</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We do not currently utilize off-balance sheet securitization arrangements. All trade or finance receivables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subject to securitization programs are recorded on our consolidated balance sheets at December 31, 2018 and 2017. Refer to Note 16 of our consolidated financial statements for detailed information related to guarantees we have provided and for our noncancelable operating lease obligations.</w:t>
      </w:r>
    </w:p>
    <w:p>
      <w:pPr>
        <w:spacing w:after="0" w:line="14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Contractual Obligations and Other Long-Term Liabilities </w:t>
      </w:r>
      <w:r>
        <w:rPr>
          <w:rFonts w:ascii="Arial" w:cs="Arial" w:eastAsia="Arial" w:hAnsi="Arial"/>
          <w:sz w:val="16"/>
          <w:szCs w:val="16"/>
          <w:color w:val="auto"/>
        </w:rPr>
        <w:t>We have minimum commitments under contractual obligations, including purchase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which include fixed or minimum obligations. The majority of our purchases are not included in the table as they are made under purchase orders which are requirements based and accordingly do not specify minimum quantities. The following table summarizes aggregated information about our outstanding contractual obligations and other long-term liabilities at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2022-2023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2024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13,934</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91,686</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13,263</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7,717</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Other contractual commitments: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w:t>
            </w:r>
          </w:p>
        </w:tc>
      </w:tr>
      <w:tr>
        <w:trPr>
          <w:trHeight w:val="243"/>
        </w:trPr>
        <w:tc>
          <w:tcPr>
            <w:tcW w:w="2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1,144</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car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43"/>
        </w:trPr>
        <w:tc>
          <w:tcPr>
            <w:tcW w:w="2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commitments(d)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45,552</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32,016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134,292</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Non-contractual benefits(e)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12,473</w:t>
            </w: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right="2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2018.</w:t>
      </w:r>
    </w:p>
    <w:p>
      <w:pPr>
        <w:jc w:val="both"/>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2018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include OPEB payments under the current U.S. contractual labor agreements through 2019 and Canada labor agreements through 2021. These agreements are generally renegotiated in the year of expiration. Amounts do not include pension funding obligations, which are discussed in Note 15 to our consolidated financial statements.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2018.</w:t>
      </w:r>
    </w:p>
    <w:p>
      <w:pPr>
        <w:jc w:val="both"/>
        <w:ind w:left="340" w:hanging="332"/>
        <w:spacing w:after="0" w:line="25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2018 for OPEB obligations for salaried and hourly employees extending beyond the current North American union contract agreements, workers' compensation and extended disability benefits. Amounts do not include pension funding obligations, which are discussed in Note 15 to our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2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table above does not reflect product warranty and related liabilities, certified pre-owned, extended warranty and free maintenance of $8.5 billion and unrecognized tax benefits of $1.3 billion due to the uncertainty regarding the future cash outflows potentially associated with these amounts. In addition, future cash outflows related to transformation activities announced in November 2018 are not included in the table above. Refer to Note 18 of our consolidated financial statements for additional information. To fund costs associated with transformation activities, we entered into a new three-year committed unsecured revolving credit facility in January 2019, with an initial borrowing capacity of $3.0 billion reducing to $2.0 billion in July 2020.</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The consolidated financial statements are prepared in conformity with U.S. GAAP, which requires the use of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Warranty and Recall Campaigns </w:t>
      </w:r>
      <w:r>
        <w:rPr>
          <w:rFonts w:ascii="Arial" w:cs="Arial" w:eastAsia="Arial" w:hAnsi="Arial"/>
          <w:sz w:val="18"/>
          <w:szCs w:val="18"/>
          <w:color w:val="auto"/>
        </w:rPr>
        <w:t>The estimates related to product warranties are established using historical information on the nature,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accrue the costs related to product warranty at the time of vehicle sale and we accrue the estimated cost of recall campaigns when they are probable and estimable, which is generally at the time of sale.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estimates related to recall campaigns accrued at the time of vehicle sale are established by applying a frequency times severity approach that considers the number of recall campaigns, the number of vehicles per recall campaign, the assumed number of vehicles that will be brought in by customers for repair (take rate) and the cost per vehicle for each recall campaign. These estimates consider the nature, frequency and magnitude of historical recall campaigns.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$0.2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Subsequent adjustments to incentive estimates are possible as facts and circumstances change over time, which could affect the revenue previously recognized in Automotive net sales and revenue.</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Valuation of GM Financial Equipment on Operating Leases Assets and Residuals </w:t>
      </w:r>
      <w:r>
        <w:rPr>
          <w:rFonts w:ascii="Arial" w:cs="Arial" w:eastAsia="Arial" w:hAnsi="Arial"/>
          <w:sz w:val="18"/>
          <w:szCs w:val="18"/>
          <w:color w:val="auto"/>
        </w:rPr>
        <w:t>GM Financial has investments in leased vehicles recorded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which relate to vehicle leases to retail customers with lease terms which typically range from two to five years. At the beginning of the lease an estimate is made of the expected residual value at the end of the lease term. The expected residual value is based on third-party data which considers inputs including recent auction values, the expected future volume of returning leased vehicles, used vehicle prices, manufacturer incentive programs and fuel prices. Realization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residual values is dependent on the future ability to market the vehicles under prevailing market conditions. The customer is obligated to make payments during the term of the lease for the difference between the purchase price and the contract residual value plus a money factor. Since the customer is not obligated to purchase the vehicle prior to or at the end of the contract, we are exposed to a risk of loss to the extent the customer returns the vehicle at the end of the lease term and the value of the vehicle is below the expected residual value estimated at the inception of the lease.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Trucks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SUVs</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1,652</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2018 the estimated residual value of our leased assets at the end of the lease term was $31.4 billion. We periodically review the adequacy of the depreciation rates. If we believe that the expected residual values of the leased assets have changed, we revise the depreciation rate to ensure the net investment in the operating leases reflects the revised estimate of expected residual value at the end of the lease term. Such adjustments to the depreciation rate would result in a change in depreciation expense on leased assets which is recorded prospectively on a straight-line basis. The following table illustrates the effect of a 1% change in the estimated residual values at December 31, 2018, which would increase or decrease depreciation expense over the remaining term of our operating lease portfolio, holding all other assumptions constant: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Impact to Depreciation</w:t>
            </w:r>
          </w:p>
        </w:tc>
      </w:t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73</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42</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evaluate the carrying value of the operating leases aggregated by vehicle make, year and model into leased asset groups, check for indicators of impairment and test for impairment to the extent necessary in accordance with applicable accounting standards. A leased asset group is considered impaired if impairment indicators exist and the undiscounted expected future cash flows (including the expected residual value) are lower than the carrying value of the asset group. We believe no impairment indicators existed during 2018, 2017 or 2016.</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Pension and OPEB Plans </w:t>
      </w:r>
      <w:r>
        <w:rPr>
          <w:rFonts w:ascii="Arial" w:cs="Arial" w:eastAsia="Arial" w:hAnsi="Arial"/>
          <w:sz w:val="18"/>
          <w:szCs w:val="18"/>
          <w:color w:val="auto"/>
        </w:rPr>
        <w:t>Our defined benefit pension plans are accounted for on an actuarial basis, which requires the selection of various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2018 an investment policy study was completed for the U.S. pension plans. As a result of changes to our capital market assumptions the weighted-average long-term rate of return on assets decreased from 6.6% at December 31, 2017 to 6.4% at December 31, 2018. The expected long-term rate of return on plan assets used in determining pension expense for non-U.S. plans is determined in a similar manner to the U.S. plans.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rate to determine the service cost and interest cost, which more specifically links the cash flows related to service cost and interest cost to bonds maturing in their year of payment.</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Society of Actuaries (SOA) issued mortality improvement tables in the three months ended December 31, 2018. We reviewed our recent mortality experience and have updated our base mortality assumptions in the U.S. This change in assumption decreased the December 31, 2018 U.S. pension and OPEB plans' obligations by $0.3 billion. We determined our current mortality assumptions are appropriate to measure our December 31, 2018 U.S. pension and OPEB plans obligations.</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$4.7 billion and $4.0 billion at December 31, 2018 and 2017. The year-over-year change is primarily due to lower than expected asset returns partially offset by the increase in discount rates. At December 31, 2018 $2.1 billion of the unamortized pre-tax actuarial loss is outside the corridor (primarily 10% of the projected benefit obligation (PBO)) and subject to amortization. The weighted-average amortization period is approximately sixteen years resulting in amortization expense of $0.1 billion in 2019.</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underfunded status of the U.S. pension plans decreased by $0.7 billion in the year ended December 31, 2018 to $5.1 billion due primarily to: (1) a favorable effect of an increase in discount rates of $4.1 billion; and (2) other favorable changes including contributions, demographic gains and assumption changes of $0.3 billion; partially offset by (3) service and interest cost of $2.3 billion; and (4) an unfavorable effect of actual returns on plan assets of $1.4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U.S. Plans(a)</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Non-U.S. Plans(a)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2019</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on 2019</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13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PBO</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sensitivity does not include the effects of the individual annual yield curve rates applied for the calculation of the service and interest cost.</w:t>
      </w:r>
    </w:p>
    <w:p>
      <w:pPr>
        <w:spacing w:after="0" w:line="20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Valuation of Deferred Tax Assets </w:t>
      </w:r>
      <w:r>
        <w:rPr>
          <w:rFonts w:ascii="Arial" w:cs="Arial" w:eastAsia="Arial" w:hAnsi="Arial"/>
          <w:sz w:val="16"/>
          <w:szCs w:val="16"/>
          <w:color w:val="auto"/>
        </w:rPr>
        <w:t>The ability to realize deferred tax assets depends on the ability to generate sufficient taxable income within the carryback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 Refer to Note 17 to our consolidated financial statements for additional information on the composition of these valuation allowances.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In this 2018 Form 10-K and in reports we subsequently file and have previously filed with the SEC on Forms 10-K and 10-Q</w:t>
      </w:r>
      <w:r>
        <w:rPr>
          <w:rFonts w:ascii="Arial" w:cs="Arial" w:eastAsia="Arial" w:hAnsi="Arial"/>
          <w:sz w:val="17"/>
          <w:szCs w:val="17"/>
          <w:b w:val="1"/>
          <w:bCs w:val="1"/>
          <w:color w:val="auto"/>
        </w:rPr>
        <w:t xml:space="preserve"> </w:t>
      </w:r>
      <w:r>
        <w:rPr>
          <w:rFonts w:ascii="Arial" w:cs="Arial" w:eastAsia="Arial" w:hAnsi="Arial"/>
          <w:sz w:val="17"/>
          <w:szCs w:val="17"/>
          <w:color w:val="auto"/>
        </w:rPr>
        <w:t>and file or furnish on Form 8-K, and in related comments by our management, we use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jc w:val="both"/>
        <w:ind w:firstLine="8"/>
        <w:spacing w:after="0" w:line="283" w:lineRule="auto"/>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costs associated with the manufacture and sale of electric vehicles and drive increased consumer adoption; (6) unique technological, operational and regulatory risks related to our autonomous vehicle regulations; (7) global automobile market sales volume, which can be volatile; (8) our significant business in China which is subject to unique operational, competitive and regulatory risks as well as economic conditions in China; (9) our joint ventures, which we cannot operate solely for our benefit and over which we may have limited control; (10) the international scale and footprint of our operations which exposes us to a variety of political, economic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at one of our manufacturing facilities could disrupt our production schedule;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vehicles, information technology networks and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and regulations applicable to our industry, including those regarding fuel economy and emissions and autonomous vehicles; (19) costs and risks associated with litigation and government investigations; (20) the cost and effect on our reputation of product safety recalls and alleged defects in products and services; (21) any additional tax expense or exposure; (22) our continued ability to develop captive financing capability through GM Financial; and (23)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this 2018 Form 10-K and our subsequent filings with the SEC.</w:t>
      </w:r>
    </w:p>
    <w:p>
      <w:pPr>
        <w:spacing w:after="0" w:line="17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The following analyses provide quantitative information regarding exposure to foreign currency exchange rate risk and interest rate risk.</w:t>
      </w:r>
      <w:r>
        <w:rPr>
          <w:rFonts w:ascii="Arial" w:cs="Arial" w:eastAsia="Arial" w:hAnsi="Arial"/>
          <w:sz w:val="18"/>
          <w:szCs w:val="18"/>
          <w:b w:val="1"/>
          <w:bCs w:val="1"/>
          <w:color w:val="auto"/>
        </w:rPr>
        <w:t xml:space="preserve"> </w:t>
      </w:r>
      <w:r>
        <w:rPr>
          <w:rFonts w:ascii="Arial" w:cs="Arial" w:eastAsia="Arial" w:hAnsi="Arial"/>
          <w:sz w:val="18"/>
          <w:szCs w:val="18"/>
          <w:color w:val="auto"/>
        </w:rPr>
        <w:t>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exposures, offsetting long-short positions in currency or other exposures such as interest rates which may significantly reduce the potential loss in value.</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We have foreign currency exposures related to buying, selling and financing in currencies other than the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currencies of our operations. At December 31, 2018 our most significant foreign currency exposures were between the U.S. Dollar and the Canadian Dollar, Brazilian Real, Euro, Chinese Yuan, Australian Dollar, Mexican Peso, and Argentine Peso. Derivative instruments such as foreign currency forwards, swaps and options are used primarily to hedge exposures with respect to forecasted revenues, costs and commitments denominated in foreign currencies. Such contracts had remaining maturities of up to 12 months at December 31, 2018.</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net fair value liability of financial instruments with exposure to foreign currency risk was $0.9 billion and $0.8 billion at December 31, 2018 and 2017.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$0.1 billion at December 31, 2018 and 2017.</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We had foreign currency derivatives with notional amounts of $2.7 billion and $4.0 billion at December 31, 2018 and 2017. The fair value of these derivative financial instruments was insignificant. Fluctuations in foreign currency exchange rates can therefore create volatility in the results of operations and may adversely affect our financial condition.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amounts of automotive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Transaction and remeasurement losses recorded in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market risk from exposure to changes in interest rates related to certain financial instruments, primarily debt,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obligations and certain marketable securities. We did not have any interest rate swap positions to manage interest rate exposures in our automotive operations at December 31, 2018 and 2017. The fair value liability of debt and capital leases was $13.5 billion and $15.1 billion at December 31, 2018 and 2017. The potential increase in fair value resulting from a 10% decrease in quoted interest rates would have been $0.8 billion and $0.7 billion at December 31, 2018 and 2017.</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had marketable securities of $6.0 billion and $8.3 billion classified as available-for-sale at December 31, 2018 and 2017. The potential decrease in fair value from a 50 basis point increase in interest rates would have had an insignificant effect at December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Fluctuations in market interest rates can affect GM Financial's gross interest rate spread, which is the difference between interest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finance receivables and interest paid on debt. Typically retail finance receivables purchased by GM Financial bear fixed interest rates and are funded by variable or fixed rate debt. Commercial finance receivables originated by GM Financial bear variable interest rates and are funded by variable rate debt. The variable rate debt is subject to adjustments to reflect prevailing market interest rates. To help mitigate interest rate risk or mismatched funding, GM Financial may employ hedging strategies to lock in the interest rate spread.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may be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Quantitative Disclosure </w:t>
      </w:r>
      <w:r>
        <w:rPr>
          <w:rFonts w:ascii="Arial" w:cs="Arial" w:eastAsia="Arial" w:hAnsi="Arial"/>
          <w:sz w:val="16"/>
          <w:szCs w:val="16"/>
          <w:color w:val="auto"/>
        </w:rPr>
        <w:t>We measure the sensitivity of our net interest income to changes in interest rates by using interest rate scenarios that assume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our analysis. Therefore, the actual impact to net interest income could be higher or lower than the results detailed in the table below. These interest rate scenarios are purely hypothetical and do not represent our view of future interest rate movements.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Under these interest rate scenarios, we are asset-sensitive, meaning that we expect more assets than liabilities to re-price within the next twelve months. During a period of rising interest rates, the interest earned on our assets will increase more than the interest paid on our debt, which would initially increase our net interest income. During a period of falling interest rates, we would expect our net interest income to initially decrease. The following table presents our net interest income sensitivity to interest rate movement: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20" w:type="dxa"/>
            <w:vAlign w:val="bottom"/>
          </w:tcPr>
          <w:p>
            <w:pPr>
              <w:spacing w:after="0"/>
              <w:rPr>
                <w:sz w:val="22"/>
                <w:szCs w:val="22"/>
                <w:color w:val="auto"/>
              </w:rPr>
            </w:pPr>
          </w:p>
        </w:tc>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hundred basis points instantaneous increase in interest rates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One hundred basis points instantaneous decrease in interest rates(a)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0"/>
        </w:trPr>
        <w:tc>
          <w:tcPr>
            <w:tcW w:w="8800" w:type="dxa"/>
            <w:vAlign w:val="bottom"/>
            <w:gridSpan w:val="2"/>
          </w:tcPr>
          <w:p>
            <w:pPr>
              <w:jc w:val="right"/>
              <w:ind w:right="7890"/>
              <w:spacing w:after="0"/>
              <w:rPr>
                <w:sz w:val="20"/>
                <w:szCs w:val="20"/>
                <w:color w:val="auto"/>
              </w:rPr>
            </w:pPr>
            <w:r>
              <w:rPr>
                <w:rFonts w:ascii="Arial" w:cs="Arial" w:eastAsia="Arial" w:hAnsi="Arial"/>
                <w:sz w:val="16"/>
                <w:szCs w:val="16"/>
                <w:color w:val="auto"/>
                <w:w w:val="89"/>
              </w:rPr>
              <w:t>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340" w:right="2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15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Additional Model Assumptions </w:t>
      </w:r>
      <w:r>
        <w:rPr>
          <w:rFonts w:ascii="Arial" w:cs="Arial" w:eastAsia="Arial" w:hAnsi="Arial"/>
          <w:sz w:val="18"/>
          <w:szCs w:val="18"/>
          <w:color w:val="auto"/>
        </w:rPr>
        <w:t>The sensitivity analysis presented is our best estimate of the effect of the hypothetical interest rate scenarios; however,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actual results could differ. Our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Our prepayment projections are based on historical experience. If interest rates or other factors change, our actual prepayment experience could be different than projected.</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GM Financial is exposed to foreign currency risk due to the translation and remeasurement of the results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had foreign currency swaps with notional amounts of $3.9 billion and $2.8 billion at December 31, 2018 and 2017. The fair value of these derivative financial instruments was insignificant.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foreign currency translation and transaction and remeasurement (gains)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(gains) losses recorded in Accumulated other comprehensive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Transaction and remeasurement losses, net recorded in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General Motors Company and subsidiaries (the Company) as of December 31, 2018, the related Consolidated Statements of Income, Comprehensive Income, Cash Flows, and Equity for the year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the year ended December 31, 2018, in conformity with U.S. generally accepted accounting principles.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issued by the Committee of Sponsoring Organizations of the Treadway Commission (2013 framework) and our report dated February 6,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2014-09</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from contracts with customers in 2018 due to the adoption of ASU No. 2014-09, "Revenue from Contracts with Customers,"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General Motors Company and subsidiaries’ internal control over financial reporting as of December 31, 2018, based on criteria established in Internal Control - 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December 31, 2018, the related Consolidated Statements of Income, Comprehensive Income, Cash Flows and Equity for the year ended December 31, 2018, and the related notes and our report dated February 6, 2019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General Motors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General Motors Company and subsidiaries (the "Company") as of December 31, 2017, the related Consolidated Statements of Income, Comprehensive Income, Cash Flows, and Equity for the years ended December 31, 2017 and 2016, and the related notes (collectively referred to as the "financial statements"). In our opinion, the 2017 and 2016 financial statements present fairly, in all material respects, the financial position of the Company as of December 31, 2017, and the results of its operations and its cash flows for the years ended December 31, 2017 and 2016,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February 6, 2018 (July 25, 2018 as to Note 25,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1918. In 2018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ind w:left="62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0"/>
                <w:szCs w:val="20"/>
                <w:color w:val="auto"/>
              </w:rPr>
            </w:pPr>
          </w:p>
        </w:tc>
      </w:tr>
      <w:tr>
        <w:trPr>
          <w:trHeight w:val="210"/>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4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133,045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133,449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140,205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8,979</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3)</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147,049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4"/>
        </w:trPr>
        <w:tc>
          <w:tcPr>
            <w:tcW w:w="48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120,656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121,784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8,369</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142,604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140,498</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Automotive interest expense</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 (Note 19)</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Equity income (Note 8)</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2,282</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Income tax expense (Note 17)</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2,739</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tax (Note 22)</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76"/>
        </w:trPr>
        <w:tc>
          <w:tcPr>
            <w:tcW w:w="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21)</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 xml:space="preserve">Basic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loss per common share – discontinued operations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Basic earnings (loss) per common share</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6.12</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22"/>
        </w:trPr>
        <w:tc>
          <w:tcPr>
            <w:tcW w:w="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Diluted loss per common share – discontinued operations</w:t>
            </w:r>
          </w:p>
        </w:tc>
        <w:tc>
          <w:tcPr>
            <w:tcW w:w="2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 (loss) per common share</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480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1,570</w:t>
            </w:r>
          </w:p>
        </w:tc>
        <w:tc>
          <w:tcPr>
            <w:tcW w:w="20" w:type="dxa"/>
            <w:vAlign w:val="bottom"/>
          </w:tcPr>
          <w:p>
            <w:pPr>
              <w:spacing w:after="0"/>
              <w:rPr>
                <w:sz w:val="20"/>
                <w:szCs w:val="20"/>
                <w:color w:val="auto"/>
              </w:rPr>
            </w:pPr>
          </w:p>
        </w:tc>
      </w:tr>
      <w:tr>
        <w:trPr>
          <w:trHeight w:val="312"/>
        </w:trPr>
        <w:tc>
          <w:tcPr>
            <w:tcW w:w="40" w:type="dxa"/>
            <w:vAlign w:val="bottom"/>
          </w:tcPr>
          <w:p>
            <w:pPr>
              <w:spacing w:after="0"/>
              <w:rPr>
                <w:sz w:val="24"/>
                <w:szCs w:val="24"/>
                <w:color w:val="auto"/>
              </w:rPr>
            </w:pPr>
          </w:p>
        </w:tc>
        <w:tc>
          <w:tcPr>
            <w:tcW w:w="8780" w:type="dxa"/>
            <w:vAlign w:val="bottom"/>
            <w:gridSpan w:val="7"/>
          </w:tcPr>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80" w:type="dxa"/>
            <w:vAlign w:val="bottom"/>
            <w:gridSpan w:val="3"/>
          </w:tcPr>
          <w:p>
            <w:pPr>
              <w:jc w:val="right"/>
              <w:ind w:right="15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20)</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 and other</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6"/>
                <w:szCs w:val="16"/>
                <w:color w:val="auto"/>
              </w:rPr>
              <w:t>Defined benefit plans</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(969)</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20" w:type="dxa"/>
            <w:vAlign w:val="bottom"/>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5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7,915</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58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8,133</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90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906"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r>
      <w:tr>
        <w:trPr>
          <w:trHeight w:val="210"/>
        </w:trPr>
        <w:tc>
          <w:tcPr>
            <w:tcW w:w="8120" w:type="dxa"/>
            <w:vAlign w:val="bottom"/>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4)</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8,313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 of allowance of $211 and $278)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20,521</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1,106</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4; Note 11 at VIEs)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75,293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68,744</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25,083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21,208</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net (Note 9)</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36,253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 (Note 10)</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43,559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42,882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(Note 17)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 (Note 4;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4,929</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143,738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227,339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73"/>
        </w:trPr>
        <w:tc>
          <w:tcPr>
            <w:tcW w:w="8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20)</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22,297</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23,929</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30,956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24,450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28,049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25,996</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82,237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76,890</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10,987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60,032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56,267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5,998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11,538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13,746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12,357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12,394</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102,325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99,392</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184,562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176,282</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25,563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25,371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22,322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17,627</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(9,039)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38,860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35,001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3,917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1,199</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42,777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36,200</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227,339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212,482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144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9019"/>
          </w:cols>
          <w:pgMar w:left="1440" w:top="39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019"/>
          </w:cols>
          <w:pgMar w:left="1440" w:top="395" w:right="1440"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impairment of Equipment on operating leases, net</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4,804</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amortization and impairment charges on Property,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Foreign currency remeasurement and transaction losses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Undistributed earnings of nonconsolidated affiliates,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(3,454)</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OPEB income,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other operating assets and liabilities (Note 26)</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74"/>
        </w:trPr>
        <w:tc>
          <w:tcPr>
            <w:tcW w:w="7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 – continuing operations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16,993</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Net cash used in operating activities – discontinued operations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16,607</w:t>
            </w: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(15,182)</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10,871</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Acquisition of companies/investments, net of cash acquired</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finance receivables,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(14,378)</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17,048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9,899</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(19,495)</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10,864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2,554</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0"/>
        </w:trPr>
        <w:tc>
          <w:tcPr>
            <w:tcW w:w="7440" w:type="dxa"/>
            <w:vAlign w:val="bottom"/>
          </w:tcPr>
          <w:p>
            <w:pPr>
              <w:ind w:left="180"/>
              <w:spacing w:after="0"/>
              <w:rPr>
                <w:sz w:val="20"/>
                <w:szCs w:val="20"/>
                <w:color w:val="auto"/>
              </w:rPr>
            </w:pPr>
            <w:r>
              <w:rPr>
                <w:rFonts w:ascii="Arial" w:cs="Arial" w:eastAsia="Arial" w:hAnsi="Arial"/>
                <w:sz w:val="14"/>
                <w:szCs w:val="14"/>
                <w:color w:val="auto"/>
              </w:rPr>
              <w:t>Net cash used in investing activities – continuing operations</w:t>
            </w: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(20,929)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(34,147)</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(used in) investing activities – discontinued operations (Note 22)</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90"/>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(20,763)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(35,643)</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42,036</w:t>
            </w:r>
          </w:p>
        </w:tc>
        <w:tc>
          <w:tcPr>
            <w:tcW w:w="0" w:type="dxa"/>
            <w:vAlign w:val="bottom"/>
          </w:tcPr>
          <w:p>
            <w:pPr>
              <w:spacing w:after="0"/>
              <w:rPr>
                <w:sz w:val="1"/>
                <w:szCs w:val="1"/>
                <w:color w:val="auto"/>
              </w:rPr>
            </w:pPr>
          </w:p>
        </w:tc>
      </w:tr>
      <w:tr>
        <w:trPr>
          <w:trHeight w:val="197"/>
        </w:trPr>
        <w:tc>
          <w:tcPr>
            <w:tcW w:w="744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(20,727)</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common stock</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issuance of subsidiary preferred and common stock (Note 20)</w:t>
            </w:r>
          </w:p>
        </w:tc>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 – continuing operations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15,996</w:t>
            </w: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Net cash provided by financing activities – discontinued operations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11,454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12,584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17,077</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17,332</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continuing operations at end of period (Note 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14,487</w:t>
            </w: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 discontinued operations at end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02"/>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Significant Non-cash Investing and Financing Activity</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Non-cash property additions –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3,996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3,897</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property additions – discontinued operations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4"/>
                <w:szCs w:val="14"/>
                <w:color w:val="auto"/>
              </w:rPr>
              <w:t>Non-cash business acquisition –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proceeds on sale of discontinued operations (Note 22)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97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41" w:right="239" w:bottom="973"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1"/>
              <w:spacing w:after="0"/>
              <w:rPr>
                <w:sz w:val="20"/>
                <w:szCs w:val="20"/>
                <w:color w:val="auto"/>
              </w:rPr>
            </w:pPr>
            <w:r>
              <w:rPr>
                <w:rFonts w:ascii="Arial" w:cs="Arial" w:eastAsia="Arial" w:hAnsi="Arial"/>
                <w:sz w:val="13"/>
                <w:szCs w:val="13"/>
                <w:b w:val="1"/>
                <w:bCs w:val="1"/>
                <w:color w:val="auto"/>
                <w:w w:val="86"/>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Total Equity</w:t>
            </w: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27,607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40,323</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9,268</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89</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44,075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common stock warrants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subsidiary preferred stock (Note 20)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25,371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Adoption of accounting standards (Note 2)</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8,005</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Issuance of subsidiary preferred and common stock (Note 20)</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2,862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42,777</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41"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trucks, crossovers, cars and automobile parts worldwide and are investing in and growing an autonomous ride-sharing vehicle business. We also provide automotive financing services through GM Financial. We analyze the results of our continuing operations through the following segments: GMNA, GMI, GM Cruise and GM Financial. GM Cruise is our global segment responsible for the development and commercialization of autonomous vehicle technology. As a result of the growing importance of our autonomous vehicle operations, we moved these operations from Corporate to GM Cruise and began presenting GM Cruise as a new reportable segment in 2018. All periods presented have been recast to reflect the segment changes. Nonsegment operations and Maven, our ride- and car-sharing business, are classified as Corporate. Corporate includes certain centrally recorded income and costs such as interest, income taxes, corporate expenditures and certain nonsegment specific revenues and expenses.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July 31, 2017 we closed the sale of the Opel/Vauxhall Business to PSA Group. On October 31, 2017 we closed the sale of the Fincos to Banque PSA Finance S.A. and BNP Paribas Personal Finance S.A. The European Business is presented as discontinued operations in our consolidated financial statements for all periods presented. Unless otherwise indicated, information in this report relates to our continuing operations. Refer to Note 22 for additional information on our discontinued operations.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2018 we changed the presentation of our consolidated statements of cash flows to separately classify Depreciation and impairment of Equipment on operating leases, net and Depreciation, amortization and impairment charges on Property, net. We have made corresponding reclassifications to the comparable information for all periods presented.</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are prepared in conformity with U.S. GAAP. All intercompany balances 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eliminated in consolidation. Except for per share amounts or as otherwise specified, amounts presented within tables are stated in millions.</w:t>
      </w:r>
    </w:p>
    <w:p>
      <w:pPr>
        <w:spacing w:after="0" w:line="12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consolidate entities that we control due to ownership of a majority voting interest and we consolidate variable interest 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 Beginning January 1, 2018 we no longer use the cost method of accounting due to the adoption of ASU 2016-01, "Recognition and Measurement of Financial Assets and Financial Liabilities" (ASU 2016-01). Refer to Note 2 for additional information on recently adopted accounting standards.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Use of Estimates in the Preparation of the Financial Statements </w:t>
      </w:r>
      <w:r>
        <w:rPr>
          <w:rFonts w:ascii="Arial" w:cs="Arial" w:eastAsia="Arial" w:hAnsi="Arial"/>
          <w:sz w:val="17"/>
          <w:szCs w:val="17"/>
          <w:color w:val="auto"/>
        </w:rPr>
        <w:t>Accounting estimates are an integral part of the consolidated financial statements. These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include the effect of our tax attributes on GM Financial's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and provision for income taxes,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accounting policies that follow are utilized by our automotive, automotive financing and GM Cruise operations, unless otherwise indicated. The information presented on Revenue Recognition, Equipment on Operating Leases, Marketable Debt Securities, Equity Investments and Derivative Financial Instruments reflects our recently adopted accounting standards on January 1, 2018.</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We adopted ASU 2014-09 on January 1, 2018, which requires us to recognize revenue when a customer obtains control rather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when we have transferred substantially all risks and rewards of a good or service. We adopted ASU 2014-09 by applying the modified retrospective method to all noncompleted contracts as of the date of adoption. See the Recently Adopted Accounting Standards section for additional information pertaining to the adoption of ASU 2014-09. The comparative information has not been restated and continues to be reported under the accounting standards in effect for those periods. The following accounting policies became effective upon the adoption of ASU 2014-09: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Automotive net sales and revenue represents the amount of consideration to which we expect to be entitled in exchange for vehicle, parts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16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9"/>
          <w:szCs w:val="19"/>
          <w:i w:val="1"/>
          <w:iCs w:val="1"/>
          <w:color w:val="auto"/>
        </w:rPr>
        <w:t>e</w:t>
      </w:r>
      <w:r>
        <w:rPr>
          <w:rFonts w:ascii="Arial" w:cs="Arial" w:eastAsia="Arial" w:hAnsi="Arial"/>
          <w:sz w:val="18"/>
          <w:szCs w:val="18"/>
          <w:i w:val="1"/>
          <w:iCs w:val="1"/>
          <w:color w:val="auto"/>
        </w:rPr>
        <w:t xml:space="preserve">hicle, Parts and Accessories </w:t>
      </w:r>
      <w:r>
        <w:rPr>
          <w:rFonts w:ascii="Arial" w:cs="Arial" w:eastAsia="Arial" w:hAnsi="Arial"/>
          <w:sz w:val="18"/>
          <w:szCs w:val="18"/>
          <w:color w:val="auto"/>
        </w:rPr>
        <w:t>For the majority of vehicle and accessories sales our customers obtain control and we recognize revenue when the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dealer, which generally occurs when the vehicle is released to the carrier responsible for transporting it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17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Certain transfers to daily rental companies are accounted for as sales, with revenue recognized at the time of transfer. Such transactions were previously accounted for as operating leases. At the time of transfer, we defer revenue for remarketing obligations, record a residual value guarantee and reflect a deposit liability for amounts expected to be returned once the remarketing services are complete. Deferred revenue is recognized in earnings upon completion of the remarketing service. Transfers that occurred prior to January 1, 2018 and future transfers containing a substantive repurchase obligation continue to be accounted for as operating leases and rental income is recognized over the estimated term of the lease. Our total exposure to vehicle repurchase obligations would be reduced to the extent vehicles are able to be resold to a third party.</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Used Vehicles </w:t>
      </w:r>
      <w:r>
        <w:rPr>
          <w:rFonts w:ascii="Arial" w:cs="Arial" w:eastAsia="Arial" w:hAnsi="Arial"/>
          <w:sz w:val="18"/>
          <w:szCs w:val="18"/>
          <w:color w:val="auto"/>
        </w:rPr>
        <w:t>Proceeds from the auction of vehicles returned from daily rental car companies and vehicles utilized by our employees are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net sales and revenue upon transfer of control of the vehicle to the customer and the related vehicle carrying value is recognized in Automotive and other cost of sales.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Services and Other </w:t>
      </w:r>
      <w:r>
        <w:rPr>
          <w:rFonts w:ascii="Arial" w:cs="Arial" w:eastAsia="Arial" w:hAnsi="Arial"/>
          <w:sz w:val="17"/>
          <w:szCs w:val="17"/>
          <w:color w:val="auto"/>
        </w:rPr>
        <w:t>Services and other revenue primarily consists of revenue from vehicle-related service arrangements and after-sale services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less than three years.</w:t>
      </w:r>
    </w:p>
    <w:p>
      <w:pPr>
        <w:spacing w:after="0" w:line="17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Advertising and Promotion Expenditures </w:t>
      </w:r>
      <w:r>
        <w:rPr>
          <w:rFonts w:ascii="Arial" w:cs="Arial" w:eastAsia="Arial" w:hAnsi="Arial"/>
          <w:sz w:val="17"/>
          <w:szCs w:val="17"/>
          <w:color w:val="auto"/>
        </w:rPr>
        <w:t>Advertising and promotion expenditures, which are expensed as incurred in Automotive and other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and administrative expense, were $4.0 billion, $4.3 billion and $4.6 billion in the years ended December 31, 2018, 2017 and 2016.</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Research and Development Expenditures </w:t>
      </w:r>
      <w:r>
        <w:rPr>
          <w:rFonts w:ascii="Arial" w:cs="Arial" w:eastAsia="Arial" w:hAnsi="Arial"/>
          <w:sz w:val="18"/>
          <w:szCs w:val="18"/>
          <w:color w:val="auto"/>
        </w:rPr>
        <w:t>Research and development expenditures, which are expensed as incurred in Automotive and other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were $7.8 billion, $7.3 billion and $6.6 billion in the years ended December 31, 2018, 2017 and 2016. We enter into cost sharing arrangements with third parties or nonconsolidated affiliates for product-related research, engineering, design and development activities. Cost sharing payments and fees related to these arrangements are presented in Automotive and other cost of sales.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Cash Equivalents and Restricted Cash </w:t>
      </w:r>
      <w:r>
        <w:rPr>
          <w:rFonts w:ascii="Arial" w:cs="Arial" w:eastAsia="Arial" w:hAnsi="Arial"/>
          <w:sz w:val="18"/>
          <w:szCs w:val="18"/>
          <w:color w:val="auto"/>
        </w:rPr>
        <w:t>Cash equivalents are defined as short-term, highly-liquid investments with original maturities of 90 days or less. We</w:t>
      </w: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to post cash as collateral as part of certain agreements that we enter into as part of our operations.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A three-level valuation hierarchy, based upon observable and unobservable inputs, is used for fair value measurements.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guidelines, are considered in determining the classification of securities. Available-for-sale debt securities are recorded at fair value with unrealized gains and losses recorded net of related income taxes in Accumulated other comprehensive loss until realized. Trading debt securities are recorded at fair value with changes in fair value recorded in Interest income and other non-operating income, net. We determine realized gains and losses for all debt securities using the specific identification method.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debt securities are other-than-temporary. Factors considered include the length of time and extent to which the fair value has been below cost, the financial condition and near-term prospects of the issuer and the intent to sell or likelihood to be forced to sell the debt security before any anticipated recovery.</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Accounts and Notes Receivable </w:t>
      </w:r>
      <w:r>
        <w:rPr>
          <w:rFonts w:ascii="Arial" w:cs="Arial" w:eastAsia="Arial" w:hAnsi="Arial"/>
          <w:sz w:val="17"/>
          <w:szCs w:val="17"/>
          <w:color w:val="auto"/>
        </w:rPr>
        <w:t>Accounts and notes receivable primarily consists of amounts that are due and payable from our customers for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vehicles, parts, and accessories. We evaluate the collectability of receivables each reporting period and record an allowance for doubtful accounts representing our estimate of probable losses. Additions to the allowance are charged to bad debt expense reported in Automotive and other selling, general and administrative expense and were insignificant in the years ended December 31, 2018, 2017 and 2016.</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GM Financial Receivables </w:t>
      </w:r>
      <w:r>
        <w:rPr>
          <w:rFonts w:ascii="Arial" w:cs="Arial" w:eastAsia="Arial" w:hAnsi="Arial"/>
          <w:sz w:val="16"/>
          <w:szCs w:val="16"/>
          <w:color w:val="auto"/>
        </w:rPr>
        <w:t>Finance receivables are carried at amortized cost, net of allowance for loan losses. GM Financial uses forecasting models to</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the collective allowance for loan losses based on factors including historical delinquency migration to loss, probability of default and loss given default. The loss confirmation period is a key assumption within the models and represents the average amount of time from when a loss event first occurs to when the receivable is charged off. GM Financial also considers an evaluation of overall portfolio credit quality based on various indicators.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finance receivables that become classified as troubled debt restructurings (TDRs) are separately assessed for impairment. A specific allowance is estimated based on the present value of the expected future cash flows of the receivables discounted at the original weighted average effective interest rate.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finance receivables are generally charged off in the month in which the account becomes 120 days contractually delinquent if GM Financial has not yet recorded a repossession charge-off. A repossession charge-off generally represents the difference between the estimated net sales proceeds and the unpaid balance of the contract, including accrued interest.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Net realizable value is the estimated selling price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Productive material, supplies, work in process and service parts are reviewed to determine if inventory quantities are in excess of forecasted usage or if they have become obsolete.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Equipment on Operating Leases </w:t>
      </w:r>
      <w:r>
        <w:rPr>
          <w:rFonts w:ascii="Arial" w:cs="Arial" w:eastAsia="Arial" w:hAnsi="Arial"/>
          <w:sz w:val="16"/>
          <w:szCs w:val="16"/>
          <w:color w:val="auto"/>
        </w:rPr>
        <w:t>Equipment on operating leases, net consists of vehicle leases to retail customers with lease terms of two to five years and</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sales to rental car companies that are expected to be repurchased in an average of seven 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operations when a vehicle that is accounted for as a lease is returned the asset is reclassified from Equipment on operating leases, net to Inventories at the lower of cost or estimated selling price, less costs to sell. Upon disposition, proceeds are recorded in Automotive net sales and revenue and costs are recorded in Automotive and other cost of sales. In our automotive finance operations when a leased vehicle is returned or repossessed the asset is recorded in Other assets at the lower of amortized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6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Equity Investments </w:t>
      </w:r>
      <w:r>
        <w:rPr>
          <w:rFonts w:ascii="Arial" w:cs="Arial" w:eastAsia="Arial" w:hAnsi="Arial"/>
          <w:sz w:val="16"/>
          <w:szCs w:val="16"/>
          <w:color w:val="auto"/>
        </w:rPr>
        <w:t>When events and circumstances warrant, equity investments accounted for under the equity method of accounting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Property, net </w:t>
      </w:r>
      <w:r>
        <w:rPr>
          <w:rFonts w:ascii="Arial" w:cs="Arial" w:eastAsia="Arial" w:hAnsi="Arial"/>
          <w:sz w:val="17"/>
          <w:szCs w:val="17"/>
          <w:color w:val="auto"/>
        </w:rPr>
        <w:t>Property, plant and equipment, including internal use software, is recorded at cost. Major improvements that extend the useful life or add</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functionality are capitalized. The gross amount of assets under capital leases is included in property, plant and equipment.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Tools </w:t>
      </w:r>
      <w:r>
        <w:rPr>
          <w:rFonts w:ascii="Arial" w:cs="Arial" w:eastAsia="Arial" w:hAnsi="Arial"/>
          <w:sz w:val="18"/>
          <w:szCs w:val="18"/>
          <w:color w:val="auto"/>
        </w:rPr>
        <w:t>Special tools represent product-specific propulsion and non-propulsion related tools, dies, molds and other items used in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is not amortized but rather tested for impairment annually on October 1 or when events occur or circumstances change that would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such a review. The impairment test 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color w:val="auto"/>
        </w:rPr>
        <w:t>Intangible assets, excluding goodwill, primarily include brand names, technology and intellectual property, customer relationships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Valuation of Long-Lived Assets </w:t>
      </w:r>
      <w:r>
        <w:rPr>
          <w:rFonts w:ascii="Arial" w:cs="Arial" w:eastAsia="Arial" w:hAnsi="Arial"/>
          <w:sz w:val="18"/>
          <w:szCs w:val="18"/>
          <w:color w:val="auto"/>
        </w:rPr>
        <w:t>The carrying amount of long-lived assets and finite-lived intangible assets to be held and used in the business is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Attribution, Methods and Assumptions </w:t>
      </w:r>
      <w:r>
        <w:rPr>
          <w:rFonts w:ascii="Arial" w:cs="Arial" w:eastAsia="Arial" w:hAnsi="Arial"/>
          <w:sz w:val="18"/>
          <w:szCs w:val="18"/>
          <w:color w:val="auto"/>
        </w:rPr>
        <w:t>The cost of benefits provided by defined benefit pension plans is recorded in the period employees provide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5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benefit obligation for pension plans in Canada, the U.K. and Germany represents 92% of the non-U.S. pension benefit obligation at December 31, 2018. The discount rates for plans in Canada, the U.K. and Germany are determined using a cash flow matching approach similar to the U.S.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Plan Asset Valuation </w:t>
      </w:r>
      <w:r>
        <w:rPr>
          <w:rFonts w:ascii="Arial" w:cs="Arial" w:eastAsia="Arial" w:hAnsi="Arial"/>
          <w:sz w:val="18"/>
          <w:szCs w:val="18"/>
          <w:color w:val="auto"/>
        </w:rPr>
        <w:t>Due to the lack of timely available market information for certain investments in the asset classes described below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uncertainty of valuation, reported fair values may differ from fair values that would have been used had timely available market information been available.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 xml:space="preserve">Common and Preferred Stock </w:t>
      </w:r>
      <w:r>
        <w:rPr>
          <w:rFonts w:ascii="Arial" w:cs="Arial" w:eastAsia="Arial" w:hAnsi="Arial"/>
          <w:sz w:val="17"/>
          <w:szCs w:val="17"/>
          <w:color w:val="auto"/>
        </w:rPr>
        <w:t>Common and preferred stock for which market prices are readily available at the measurement date are valued at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Valuations for debt securities are based on quotations received from independent pricing services or from dealers who make markets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Investment Funds, Private Equity and Debt Investments and Real Estate Investments </w:t>
      </w:r>
      <w:r>
        <w:rPr>
          <w:rFonts w:ascii="Arial" w:cs="Arial" w:eastAsia="Arial" w:hAnsi="Arial"/>
          <w:sz w:val="18"/>
          <w:szCs w:val="18"/>
          <w:color w:val="auto"/>
        </w:rPr>
        <w:t>Investment funds, private equity and debt investments and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valued based on the Net Asset Value (NAV) per Share (or its equivalent) as a practical expedient to estimate fair value due to the absence of readily available market prices.</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Stock Incentive Plans </w:t>
      </w:r>
      <w:r>
        <w:rPr>
          <w:rFonts w:ascii="Arial" w:cs="Arial" w:eastAsia="Arial" w:hAnsi="Arial"/>
          <w:sz w:val="16"/>
          <w:szCs w:val="16"/>
          <w:color w:val="auto"/>
        </w:rPr>
        <w:t>Our stock incentive plans include RSUs, RSAs, PSUs, stock options and awards that may be settled in our stock, the stock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or in cash. We measure and record compensation expense based on the fair value of GM or GM Cruise's common stock on the date of grant for RSUs, RSAs and PSUs and the grant date fair value, determined utilizing a lattice model or the Black-Scholes formula, for stock options and PSUs. RSUs granted in stock of GM Cruise vest upon satisfaction of both a service condition and a liquidity condition, defined as a change in control transaction or the consummation of an initial public offering. Compensation cost for awards that do not have an established accounting grant date, but for which the service inception date has been established, or are settled in cash is based on the fair value of GM or GM Cruise's common stock at the end of each reporting period. We record compensation cost for service-based RSUs, RSAs, PSUs and service-based stock options on a straight-line basis over the entire vesting period, or for retirement eligible employees over the requisite service period. Compensation costs for RSUs granted in stock of GM Cruise are recorded when the liquidity condition described above is met. We use the graded vesting method to record compensation cost for stock options with market conditions over the lesser of the vesting period or the time period an employee becomes eligible to retain the award at retirement.</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Warranty and Recall Campaigns </w:t>
      </w:r>
      <w:r>
        <w:rPr>
          <w:rFonts w:ascii="Arial" w:cs="Arial" w:eastAsia="Arial" w:hAnsi="Arial"/>
          <w:sz w:val="18"/>
          <w:szCs w:val="18"/>
          <w:color w:val="auto"/>
        </w:rPr>
        <w:t>The estimated costs related to product warranties are accrued at the time products are sold and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18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estimated costs related to recall campaigns are accrued when probable and estimable, which is generally at the time of vehicle sale. In GMNA, we estimate the costs related to recall campaigns by applying a frequency times severity approach that considers the number of historical recall campaigns, the number of vehicles per recall campaign, the estimated number of vehicles to be repaired and the cost per vehicle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liability method is used in accounting for income taxes. Deferred tax assets and liabilities are recorded for temporary differences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basis of assets and liabilities and their reported amounts in the consolidated financial statements using the statutory tax rates in effect for the year in which the differences are expected to reverse. The effect on deferred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tax assets and liabilities of a change in tax laws or rates is recorded in the results of operations in the period that includes the enactment date under the law.</w:t>
      </w:r>
    </w:p>
    <w:p>
      <w:pPr>
        <w:spacing w:after="0" w:line="24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Foreign Currency Transactions and Translation </w:t>
      </w:r>
      <w:r>
        <w:rPr>
          <w:rFonts w:ascii="Arial" w:cs="Arial" w:eastAsia="Arial" w:hAnsi="Arial"/>
          <w:sz w:val="17"/>
          <w:szCs w:val="17"/>
          <w:color w:val="auto"/>
        </w:rPr>
        <w:t>The assets and liabilities of foreign subsidiaries that use the local currency as their functional currency are</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 and remeasurement losses were $168 million, $52 million and $229 million in the years ended December 31, 2018, 2017 and 2016.</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Derivative financial instruments are recognized as either assets or liabilities at fair value. The accounting for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each derivative financial instrument depends on whether it has been designated and qualifies as an accounting hedge, as well as the type of hedging relationship identified. Derivative instruments are not used for trading or speculative purposes.</w:t>
      </w:r>
    </w:p>
    <w:p>
      <w:pPr>
        <w:spacing w:after="0" w:line="1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We utilize options, swaps and forward contracts to manage foreign currency, commodity price and interest rate risks. The change in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and forward contracts not designated as hedges is recorded in Interest income and other non-operating income, net. Cash flows for all derivative financial instruments are classified in cash flows from operating activities.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Certain foreign currency and commodity forward contracts have been designated as cash flow hedges. The risk being hedged is the foreign currency and commodity price risk related to forecasted transactions. If the contract has been designated as a cash flow hedge, the change in the fair value of the cash flow hedge is deferred in Accumulated other comprehensive loss and is recognized in Automotive and other cost of sales along with the earnings effect of the hedged item when the hedged item affects earnings.</w:t>
      </w:r>
    </w:p>
    <w:p>
      <w:pPr>
        <w:spacing w:after="0" w:line="18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 Gains or losses as a result of the change in the fair value of the PSA warrants are recorded in Interest income and other non-operating income, net.</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GM Financial utilizes interest rate derivative instruments to manage interest rate risk and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to manage foreign currency risk. The change in fair value of the derivative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 designated as hedges is recorded in GM Financial interest, operating and other expenses. Cash flows for all derivative financial instruments are classified in cash flows from operating activities.</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15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2018 we adopted ASU 2014-09, as incorporated into Accounting Standards Codification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(ASC) 606, on a modified retrospective basis by recognizing a cumulative effect adjustment to the opening balance of Retained earnings. Under ASU 2014-09 sales incentives are recorded at the time of sale rather than at the later of sale or announcement, thereby resulting in the shifting of incentive amounts to an earlier quarter and fixed fee license arrangements are recognized when access to intellectual property is granted instead of over the contract period. The retiming of quarterly incentive amounts mainly offset for the year ended December 31, 2018. Actual incentive spending is dependent upon future market conditions.</w:t>
      </w:r>
    </w:p>
    <w:p>
      <w:pPr>
        <w:spacing w:after="0" w:line="1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Beginning January 1, 2018 certain transfers to daily rental companies are accounted for as sales when ownership of the vehicle is not expected to transfer back to us. Such transactions were previously accounted for as operating leases. Transfers that occurred prior to January 2018 continue to be accounted for as operating leases because at the original time of transfer an expectation existed that ownership of the vehicle would transfer back to us.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financial statement line items within our consolidated income statement and balance sheet significantly impacted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2014-09: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220" w:type="dxa"/>
            <w:vAlign w:val="bottom"/>
          </w:tcPr>
          <w:p>
            <w:pPr>
              <w:spacing w:after="0"/>
              <w:rPr>
                <w:sz w:val="13"/>
                <w:szCs w:val="13"/>
                <w:color w:val="auto"/>
              </w:rPr>
            </w:pP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Adoption of ASC 606</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net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Automotive and other cost of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120,656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119,635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8,014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42"/>
        </w:trPr>
        <w:tc>
          <w:tcPr>
            <w:tcW w:w="6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220" w:type="dxa"/>
            <w:vAlign w:val="bottom"/>
          </w:tcPr>
          <w:p>
            <w:pPr>
              <w:spacing w:after="0"/>
              <w:rPr>
                <w:sz w:val="13"/>
                <w:szCs w:val="13"/>
                <w:color w:val="auto"/>
              </w:rPr>
            </w:pP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Adoption of ASC 606</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24,082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23,652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12,357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12,792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23,550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Effective January 1, 2018 we adopted ASU 2016-01, on a modified retrospective basis, with a $182 million cumulative effect adjustment recorded to the opening balance of Retained earnings to adjust an investment previously carried at cost to its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2016-01 requires equity investments that are not accounted for under the equity method of accounting to be measured at fair value with changes recognized in Net income.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2018 we adopted ASU 2017-12, "Derivatives and Hedging (Topic 815), Targeted Improvements to Accounting for Hedging Activities" (ASU 2017-12), on a modified retrospective basis and adopted ASU 2018-02, "Income Statement-Reporting Comprehensive Income (Topic 220): Reclassification of Certain Tax Effects from Accumulated Other Comprehensive Income” (ASU 2018-02), on a modified retrospective basis. ASU 2018-02 provides the option to reclassify stranded tax effects related to the Tax Act in accumulated other comprehensive income to retained earnings. The adjustment relates to the change in the U.S. corporate income tax rate. The cumulative effect of the adjustments to the opening balance of Retained earnings for these adopted standards was $108 million.</w:t>
      </w:r>
    </w:p>
    <w:p>
      <w:pPr>
        <w:spacing w:after="0" w:line="19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changes to our consolidated balance sheet for the adoption of ASU 2014-09, ASU 2016-01, ASU 2017-12 and ASU 2018-02:</w:t>
      </w:r>
    </w:p>
    <w:p>
      <w:pPr>
        <w:spacing w:after="0" w:line="96" w:lineRule="exact"/>
        <w:rPr>
          <w:sz w:val="20"/>
          <w:szCs w:val="20"/>
          <w:color w:val="auto"/>
        </w:rPr>
      </w:pPr>
    </w:p>
    <w:tbl>
      <w:tblPr>
        <w:tblLayout w:type="fixed"/>
        <w:tblInd w:w="494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7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Adjustment due to ASU</w:t>
            </w:r>
          </w:p>
        </w:tc>
        <w:tc>
          <w:tcPr>
            <w:tcW w:w="18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Adjustment due to ASU</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780" w:type="dxa"/>
            <w:vAlign w:val="bottom"/>
            <w:vMerge w:val="continue"/>
          </w:tcPr>
          <w:p>
            <w:pPr>
              <w:spacing w:after="0"/>
              <w:rPr>
                <w:sz w:val="12"/>
                <w:szCs w:val="12"/>
                <w:color w:val="auto"/>
              </w:rPr>
            </w:pPr>
          </w:p>
        </w:tc>
        <w:tc>
          <w:tcPr>
            <w:tcW w:w="1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2016-01, ASU 2017-12</w:t>
            </w: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17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2014-09</w:t>
            </w:r>
          </w:p>
        </w:tc>
        <w:tc>
          <w:tcPr>
            <w:tcW w:w="18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and ASU 2018-02</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720344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8"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Deferred income taxes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Other assets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GM Financial short-term debt and current portion of long-term</w:t>
      </w:r>
    </w:p>
    <w:p>
      <w:pPr>
        <w:spacing w:after="0" w:line="35" w:lineRule="exact"/>
        <w:rPr>
          <w:sz w:val="20"/>
          <w:szCs w:val="20"/>
          <w:color w:val="auto"/>
        </w:rPr>
      </w:pPr>
    </w:p>
    <w:p>
      <w:pPr>
        <w:ind w:left="240"/>
        <w:spacing w:after="0"/>
        <w:tabs>
          <w:tab w:leader="none" w:pos="4700" w:val="left"/>
        </w:tabs>
        <w:rPr>
          <w:sz w:val="20"/>
          <w:szCs w:val="20"/>
          <w:color w:val="auto"/>
        </w:rPr>
      </w:pPr>
      <w:r>
        <w:rPr>
          <w:rFonts w:ascii="Arial" w:cs="Arial" w:eastAsia="Arial" w:hAnsi="Arial"/>
          <w:sz w:val="17"/>
          <w:szCs w:val="17"/>
          <w:color w:val="auto"/>
        </w:rPr>
        <w:t>debt</w:t>
      </w:r>
      <w:r>
        <w:rPr>
          <w:sz w:val="20"/>
          <w:szCs w:val="20"/>
          <w:color w:val="auto"/>
        </w:rPr>
        <w:tab/>
      </w:r>
      <w:r>
        <w:rPr>
          <w:rFonts w:ascii="Arial" w:cs="Arial" w:eastAsia="Arial" w:hAnsi="Arial"/>
          <w:sz w:val="17"/>
          <w:szCs w:val="17"/>
          <w:color w:val="auto"/>
        </w:rPr>
        <w:t>$</w:t>
      </w:r>
    </w:p>
    <w:p>
      <w:pPr>
        <w:spacing w:after="0" w:line="60"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Accrued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Other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Retained earnings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18"/>
          <w:szCs w:val="18"/>
          <w:color w:val="auto"/>
        </w:rPr>
        <w:t>Accumulated other comprehensive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23,544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23,925</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4,929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5,366</w:t>
            </w:r>
          </w:p>
        </w:tc>
      </w:tr>
      <w:tr>
        <w:trPr>
          <w:trHeight w:val="486"/>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24,450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24,437</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25,996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2,328</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28,324</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12,394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17,627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16,581</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(8,011)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-977265</wp:posOffset>
            </wp:positionV>
            <wp:extent cx="720344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0861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-496570</wp:posOffset>
            </wp:positionV>
            <wp:extent cx="72034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-153670</wp:posOffset>
            </wp:positionV>
            <wp:extent cx="72034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720"/>
          </w:cols>
          <w:pgMar w:left="240" w:top="341" w:right="239" w:bottom="1440" w:gutter="0" w:footer="0" w:header="0"/>
          <w:type w:val="continuous"/>
        </w:sectPr>
      </w:pPr>
    </w:p>
    <w:p>
      <w:pPr>
        <w:spacing w:after="0" w:line="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Effective January 1, 2018 we adopted ASU 2016-15, "Statement of Cash Flows (Topic 230), Classification of Certain Cash Receipts and Payments" (ASU 2016-15), which clarified guidance on the classification of certain cash receipts and payments in the statement of cash flows. The adoption of ASU 2016-15 did not have a material impact on our consolidated financial statements and prior periods were not restated.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2017-07, "Compensation - Retirement Benefits (Topic 715), Improving the Presentation of Net Periodic Pension Cost and Net Periodic Postretirement Benefit Cost" (ASU 2017-07) on a retrospective basis, which requires that the service cost component of net periodic pension and OPEB (income) expense be presented in the same income statement line item as other employee compensation costs. The remaining components of net periodic pension and OPEB (income) expense are now presented outside operating income. Amounts previously reflected in Operating income were reclassified to Interest income and other non-operating income, net in accordance with the provisions of ASU 2017-07. Refer to Note 15 for amounts that were reclassified.</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Accounting Standards Not Yet Adopted </w:t>
      </w:r>
      <w:r>
        <w:rPr>
          <w:rFonts w:ascii="Arial" w:cs="Arial" w:eastAsia="Arial" w:hAnsi="Arial"/>
          <w:sz w:val="17"/>
          <w:szCs w:val="17"/>
          <w:color w:val="auto"/>
        </w:rPr>
        <w:t>In February 2016 the Financial Accounting Standards Board (FASB) issued ASU 2016-02, "Leases" (ASU 2016-02), which requires us as the lessee to recognize most leases on the balance sheet thereby resulting in the recognition of right of use assets and lease obligations for those leases currently classified as operating leases. The accounting for leases where we are the lessor remains largely unchanged. ASU 2016-02 became effective for us on January 1, 2019 and we elected the optional transition method as well as the package of practical expedients upon adoption. While we are still finalizing our adoption procedures, we estimate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for approximately $1.0 billion.</w:t>
      </w:r>
    </w:p>
    <w:p>
      <w:pPr>
        <w:spacing w:after="0" w:line="176" w:lineRule="exact"/>
        <w:rPr>
          <w:sz w:val="20"/>
          <w:szCs w:val="20"/>
          <w:color w:val="auto"/>
        </w:rPr>
      </w:pPr>
    </w:p>
    <w:p>
      <w:pPr>
        <w:jc w:val="both"/>
        <w:ind w:right="20" w:firstLine="162"/>
        <w:spacing w:after="0" w:line="297"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which requires entities to use a new impairment model based on Current Expected Credit Losses (CECL) rather than incurred losses. We plan to adopt ASU 2016-13 on January 1, 2020 on a modified retrospective basis, which will result in an increase to our allowance for credit losses and a decrease to Retained earnings as of the adoption date. Estimated credit losses under CECL will consider relevant information about past events, current conditions and reasonable and supportable forecasts, resulting in recognition of lifetime expected credit losses upon loan origination. We are currently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evaluating new processes to calculate credit losses in accordance with ASU 2016-13 that, once completed, will determine the impact on our consolidated financial statements at the date of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r>
        <w:rPr>
          <w:rFonts w:ascii="Arial" w:cs="Arial" w:eastAsia="Arial" w:hAnsi="Arial"/>
          <w:sz w:val="19"/>
          <w:szCs w:val="19"/>
          <w:color w:val="auto"/>
        </w:rPr>
        <w: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421"/>
              <w:spacing w:after="0"/>
              <w:rPr>
                <w:sz w:val="20"/>
                <w:szCs w:val="20"/>
                <w:color w:val="auto"/>
              </w:rPr>
            </w:pPr>
            <w:r>
              <w:rPr>
                <w:rFonts w:ascii="Arial" w:cs="Arial" w:eastAsia="Arial" w:hAnsi="Arial"/>
                <w:sz w:val="14"/>
                <w:szCs w:val="14"/>
                <w:b w:val="1"/>
                <w:bCs w:val="1"/>
                <w:color w:val="auto"/>
                <w:w w:val="92"/>
              </w:rPr>
              <w:t>Year Ended December 31, 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125,217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125,155</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2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4,536</w:t>
            </w:r>
          </w:p>
        </w:tc>
        <w:tc>
          <w:tcPr>
            <w:tcW w:w="0" w:type="dxa"/>
            <w:vAlign w:val="bottom"/>
          </w:tcPr>
          <w:p>
            <w:pPr>
              <w:spacing w:after="0"/>
              <w:rPr>
                <w:sz w:val="1"/>
                <w:szCs w:val="1"/>
                <w:color w:val="auto"/>
              </w:rPr>
            </w:pPr>
          </w:p>
        </w:tc>
      </w:tr>
      <w:tr>
        <w:trPr>
          <w:trHeight w:val="217"/>
        </w:trPr>
        <w:tc>
          <w:tcPr>
            <w:tcW w:w="3420" w:type="dxa"/>
            <w:vAlign w:val="bottom"/>
          </w:tcPr>
          <w:p>
            <w:pPr>
              <w:ind w:left="160"/>
              <w:spacing w:after="0"/>
              <w:rPr>
                <w:sz w:val="20"/>
                <w:szCs w:val="20"/>
                <w:color w:val="auto"/>
              </w:rPr>
            </w:pPr>
            <w:r>
              <w:rPr>
                <w:rFonts w:ascii="Arial" w:cs="Arial" w:eastAsia="Arial" w:hAnsi="Arial"/>
                <w:sz w:val="16"/>
                <w:szCs w:val="16"/>
                <w:color w:val="auto"/>
              </w:rPr>
              <w:t>Automotive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113,792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133,143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133,045</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9,963</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7"/>
        </w:trPr>
        <w:tc>
          <w:tcPr>
            <w:tcW w:w="3420" w:type="dxa"/>
            <w:vAlign w:val="bottom"/>
          </w:tcPr>
          <w:p>
            <w:pPr>
              <w:ind w:left="160"/>
              <w:spacing w:after="0"/>
              <w:rPr>
                <w:sz w:val="20"/>
                <w:szCs w:val="20"/>
                <w:color w:val="auto"/>
              </w:rPr>
            </w:pPr>
            <w:r>
              <w:rPr>
                <w:rFonts w:ascii="Arial" w:cs="Arial" w:eastAsia="Arial" w:hAnsi="Arial"/>
                <w:sz w:val="16"/>
                <w:szCs w:val="16"/>
                <w:color w:val="auto"/>
              </w:rPr>
              <w:t>GM Financial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14,016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14,004</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133,143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147,049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Revenue is measured as the amount of consideration we expect to receive in exchange for transferring goods or providing services. Adjustments to sales incentives for previously recognized sales were insignificant during the year ended December 31, 2018.</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Contract liabilities in our Automotive segments consist primarily of maintenance, extended warranty and other service contracts. We recognized revenue of $1.4 billion related to contract liabilities during the year ended December 31, 2018. We expect to recognize revenue of $1.5 billion, $509 million and $626 million in the years ending December 31, 2019, 2020 and thereafter related to contract liabilities as of December 31, 2018.</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and equity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maturities(c)</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$616 million that is designated exclusively to fund capital expenditures in GM Korea at December 31, 2018. Refer to Note 20 for additional information.</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$2.3 billion in GM Cruise at December 31, 2018. Refer to Note 20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mortgage and asset-backed securities.</w:t>
      </w:r>
    </w:p>
    <w:p>
      <w:pPr>
        <w:spacing w:after="0" w:line="3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Proceeds from the sale of investments classified as available-for-sale and sold prior to maturity were $4.3 billion, $5.6 billion and $8.5 billion in the years ended December 31, 2018, 2017 and 2016. Net unrealized gains and losses on available-for-sale debt securities were insignificant in the years ended December 31, 2018, 2017 and 2016. Cumulative unrealized gains and losses on available-for-sale debt securities were insignificant at December 31, 2018 and 2017.</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Investments in equity securities where market quotations are not available that are accounted for at fair value primarily use Level 3 inputs. We recorded an unrealized gain of $142 million in Interest income and other non-operating income, net in the year ended December 31, 2018 to adjust an investment in an equity security to a fair value of $884 million at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23,496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17,848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Note 5. GM Financial Receivables and Transactions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4"/>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44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Finance receivables, collectively evaluated for impairment,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30,486</w:t>
            </w:r>
          </w:p>
        </w:tc>
        <w:tc>
          <w:tcPr>
            <w:tcW w:w="68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4"/>
              </w:rPr>
              <w:t>Finance receivables, individually evaluated for impairment,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net of fees</w:t>
            </w:r>
          </w:p>
        </w:tc>
        <w:tc>
          <w:tcPr>
            <w:tcW w:w="2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39,724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51,933</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31,825</w:t>
            </w: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utilizing Level 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Fair value of GM Financial receivables utilizing Level 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39,430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31,831</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Net of dealer cash management balances of $922 million and $536 million at December 31, 2018 and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$586 million, $611 million and $525 million and a specific allowance of $325 million, $331 million and $280 million at December 31, 2018, 2017 and 2016.</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December 31, 2018 and 2017 25% and 33% of retail finance receivables were from consumers with sub-prime credit scores, which are defined as a FICO score or its equivalent of less than 620 at the time of loan origination.</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purchase retail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4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$888 million and $778 million at December 31, 2018 and 2017.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Retail finance receivables classified as TDRs and individually evaluated for impairment were $2.3 billion and $2.2 billion and the allowance for loan losses included $321 million and $328 million of specific allowances on these receivables at December 31, 2018 and 2017.</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Proprietary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December 31, 2018 and 2017.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53"/>
        </w:trPr>
        <w:tc>
          <w:tcPr>
            <w:tcW w:w="90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77"/>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2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superior financial metrics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1,915</w:t>
            </w:r>
          </w:p>
        </w:tc>
      </w:tr>
      <w:tr>
        <w:trPr>
          <w:trHeight w:val="289"/>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7220" w:type="dxa"/>
            <w:vAlign w:val="bottom"/>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strong financial metrics</w:t>
            </w: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3,465</w:t>
            </w:r>
          </w:p>
        </w:tc>
      </w:tr>
      <w:tr>
        <w:trPr>
          <w:trHeight w:val="306"/>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2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fair financial metrics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r>
      <w:tr>
        <w:trPr>
          <w:trHeight w:val="289"/>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7220" w:type="dxa"/>
            <w:vAlign w:val="bottom"/>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weak financial metrics</w:t>
            </w: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997</w:t>
            </w:r>
          </w:p>
        </w:tc>
      </w:tr>
      <w:tr>
        <w:trPr>
          <w:trHeight w:val="306"/>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22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warranting special mention due to elevated risks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r>
      <w:tr>
        <w:trPr>
          <w:trHeight w:val="291"/>
        </w:trPr>
        <w:tc>
          <w:tcPr>
            <w:tcW w:w="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Group VI</w:t>
            </w:r>
          </w:p>
        </w:tc>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loans classified as substandard, doubtful or impaired</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r>
      <w:tr>
        <w:trPr>
          <w:trHeight w:val="275"/>
        </w:trPr>
        <w:tc>
          <w:tcPr>
            <w:tcW w:w="90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 xml:space="preserve">Transactions with GM Financial </w:t>
      </w:r>
      <w:r>
        <w:rPr>
          <w:rFonts w:ascii="Arial" w:cs="Arial" w:eastAsia="Arial" w:hAnsi="Arial"/>
          <w:sz w:val="17"/>
          <w:szCs w:val="17"/>
          <w:color w:val="auto"/>
        </w:rPr>
        <w:t>The following table shows transactions between our Automotive segments and GM Financial. These amounts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presented in GM Financial's consolidated balance sheets and statements of income. All balance sheet amounts in the table below are eliminated.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53"/>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Direct-financing lease receivables from GM subsidiaries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receivable(a)</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80"/>
        </w:trPr>
        <w:tc>
          <w:tcPr>
            <w:tcW w:w="6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3,274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__________</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Cash paid by Automotive segments to GM Financial for subvention was $3.8 billion, $4.3 billion, and $4.2 billion during 2018, 2017 and 2016.</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Board of Directors declared and paid a dividend of $375 million on its common stock in October 2018; and paid a special dividend of $550 million to GM in November 2017 following the sale of the Fincos.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6,460</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10,663</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of leases to retail customers that are recorded as operating leases and vehicle sales to daily rental car companies with an actual or expected repurchase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43,806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6"/>
                <w:szCs w:val="16"/>
                <w:color w:val="auto"/>
                <w:w w:val="89"/>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$43.6 billion and $42.9 billion of GM Financial Equipment on operating leases, net at December 31, 2018 and 2017.</w:t>
      </w:r>
    </w:p>
    <w:p>
      <w:pPr>
        <w:spacing w:after="0" w:line="20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$7.5 billion, $6.7 billion and $4.7 billion in the years ended December 31, 2018, 2017 and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Minimum rental receipts under operating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6,733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12,606</w:t>
            </w:r>
          </w:p>
        </w:tc>
      </w:tr>
      <w:tr>
        <w:trPr>
          <w:trHeight w:val="27"/>
        </w:trPr>
        <w:tc>
          <w:tcPr>
            <w:tcW w:w="5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2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entities in which an equity ownership interest is maintained and for which the equity method of accounting is used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ectPr>
          <w:pgSz w:w="11900" w:h="16838" w:orient="portrait"/>
          <w:cols w:equalWidth="0" w:num="1">
            <w:col w:w="11420"/>
          </w:cols>
          <w:pgMar w:left="240" w:top="34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41"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920" w:type="dxa"/>
            <w:vAlign w:val="bottom"/>
            <w:tcBorders>
              <w:bottom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1,976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joint ventures equity income</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9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2,132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Investments in Nonconsolidated Affiliates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carrying amount</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investments carrying amount</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carrying amount of our investments in certain joint ventures exceeded our share of the underlying net assets by $4.4 billion and $4.3 billion at December 31, 2018 and 2017 due primarily to goodwill from the application of fresh-start reporting and the purchase of additional interests in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China JVs: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2018</w:t>
            </w:r>
          </w:p>
        </w:tc>
        <w:tc>
          <w:tcPr>
            <w:tcW w:w="190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53"/>
        </w:trPr>
        <w:tc>
          <w:tcPr>
            <w:tcW w:w="7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Automotive China JVs</w:t>
            </w:r>
          </w:p>
        </w:tc>
        <w:tc>
          <w:tcPr>
            <w:tcW w:w="1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4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 (SGM)</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General Motors Sales Co., Ltd.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Wuling Automobile Co., Ltd. (SGMW)</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(Shenyang) Norsom Motors Co., Ltd. (SGM Norsom)</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 GM Dong Yue Motors Co., Ltd. (SGM DY)</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Dong Yue Powertrain Co., Ltd. (SGM DYPT)</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Other joint ventures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SAIC-GMAC</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SAIC-GMF Leasing Co., Ltd.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4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Automotive China</w:t>
            </w: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5"/>
          </w:tcPr>
          <w:p>
            <w:pPr>
              <w:jc w:val="center"/>
              <w:ind w:right="299"/>
              <w:spacing w:after="0" w:line="153" w:lineRule="exact"/>
              <w:rPr>
                <w:sz w:val="20"/>
                <w:szCs w:val="20"/>
                <w:color w:val="auto"/>
              </w:rPr>
            </w:pPr>
            <w:r>
              <w:rPr>
                <w:rFonts w:ascii="Arial" w:cs="Arial" w:eastAsia="Arial" w:hAnsi="Arial"/>
                <w:sz w:val="14"/>
                <w:szCs w:val="14"/>
                <w:b w:val="1"/>
                <w:bCs w:val="1"/>
                <w:color w:val="auto"/>
                <w:w w:val="93"/>
              </w:rPr>
              <w:t>Automotive China</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JVs</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JVs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32,740</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17,370</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30,854</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17,882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17,597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50,622</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48,451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35,559</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22,642</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34,897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16,811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40,074</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38,439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399"/>
        </w:trPr>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50,316</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52,607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49,562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Transactions with Nonconsolidated Affiliates </w:t>
      </w:r>
      <w:r>
        <w:rPr>
          <w:rFonts w:ascii="Arial" w:cs="Arial" w:eastAsia="Arial" w:hAnsi="Arial"/>
          <w:sz w:val="17"/>
          <w:szCs w:val="17"/>
          <w:color w:val="auto"/>
        </w:rPr>
        <w:t>Our nonconsolidated affiliates are involved in various aspects of the development, production and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purchases,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1,155</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803</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received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cash flows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2,512</w:t>
            </w: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6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3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534</w:t>
            </w:r>
          </w:p>
        </w:tc>
      </w:tr>
      <w:tr>
        <w:trPr>
          <w:trHeight w:val="27"/>
        </w:trPr>
        <w:tc>
          <w:tcPr>
            <w:tcW w:w="4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w:t>
            </w:r>
          </w:p>
        </w:tc>
        <w:tc>
          <w:tcPr>
            <w:tcW w:w="3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2,184</w:t>
            </w:r>
          </w:p>
        </w:tc>
      </w:tr>
      <w:tr>
        <w:trPr>
          <w:trHeight w:val="675"/>
        </w:trPr>
        <w:tc>
          <w:tcPr>
            <w:tcW w:w="4060" w:type="dxa"/>
            <w:vAlign w:val="bottom"/>
          </w:tcPr>
          <w:p>
            <w:pPr>
              <w:spacing w:after="0"/>
              <w:rPr>
                <w:sz w:val="24"/>
                <w:szCs w:val="24"/>
                <w:color w:val="auto"/>
              </w:rPr>
            </w:pPr>
          </w:p>
        </w:tc>
        <w:tc>
          <w:tcPr>
            <w:tcW w:w="3780" w:type="dxa"/>
            <w:vAlign w:val="bottom"/>
          </w:tcPr>
          <w:p>
            <w:pPr>
              <w:jc w:val="right"/>
              <w:ind w:right="199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 in</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4"/>
                <w:szCs w:val="14"/>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Special tools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21,113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Total property</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60,334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Total property, net</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38,758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36,253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amount of capitalized software included in Property, net was $1.1 billion and $1.2 billion at December 31, 2018 and 2017. The amount of interest capitalized and excluded from Automotive interest expense related to Property, net was insignificant in the years ended December 31, 2018, 2017 and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4,622</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w:t>
            </w:r>
          </w:p>
        </w:tc>
      </w:tr>
      <w:tr>
        <w:trPr>
          <w:trHeight w:val="220"/>
        </w:trPr>
        <w:tc>
          <w:tcPr>
            <w:tcW w:w="20" w:type="dxa"/>
            <w:vAlign w:val="bottom"/>
          </w:tcPr>
          <w:p>
            <w:pPr>
              <w:spacing w:after="0"/>
              <w:rPr>
                <w:sz w:val="19"/>
                <w:szCs w:val="19"/>
                <w:color w:val="auto"/>
              </w:rPr>
            </w:pPr>
          </w:p>
        </w:tc>
        <w:tc>
          <w:tcPr>
            <w:tcW w:w="7400" w:type="dxa"/>
            <w:vAlign w:val="bottom"/>
          </w:tcPr>
          <w:p>
            <w:pPr>
              <w:jc w:val="right"/>
              <w:ind w:right="6430"/>
              <w:spacing w:after="0"/>
              <w:rPr>
                <w:sz w:val="20"/>
                <w:szCs w:val="20"/>
                <w:color w:val="auto"/>
              </w:rPr>
            </w:pPr>
            <w:r>
              <w:rPr>
                <w:rFonts w:ascii="Arial" w:cs="Arial" w:eastAsia="Arial" w:hAnsi="Arial"/>
                <w:sz w:val="18"/>
                <w:szCs w:val="18"/>
                <w:color w:val="auto"/>
                <w:w w:val="85"/>
              </w:rPr>
              <w:t>__________</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depreciation and amortization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Goodwill of $1.9 billion consisted of $1.4 billion recorded in GM Financial and $504 million and $490 million included in GM Cruise at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Net Carrying</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Net Carrying</w:t>
            </w:r>
          </w:p>
        </w:tc>
      </w:t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2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3,258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customer relationships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3,992</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amortization expense related to intangible assets was $247 million, $278 million, and $325 million in the years ended December 31, 2018, 2017 and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is estimated to be approximately $184 million in each of the next five years.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removed $7.7 billion of fully amortized intangible assets in the year ended December 31, 2018 which are no longer in use and provide no remaining economic benefit.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21"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8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1,740</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30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12,944</w:t>
            </w:r>
          </w:p>
        </w:tc>
      </w:tr>
      <w:tr>
        <w:trPr>
          <w:trHeight w:val="25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21,087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18,972</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20,356</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and Other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26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2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Deposits primarily from rental car companies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25,996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12,394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2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Product Warranty and Related Liabilities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899</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(3,375)</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9,069</w:t>
            </w: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December 31, 2018. Refer to Note 16 for reasonably possible losses 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Automotive and GM Financial Debt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12,579</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719</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13,502</w:t>
            </w:r>
          </w:p>
        </w:tc>
      </w:tr>
      <w:tr>
        <w:trPr>
          <w:trHeight w:val="257"/>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11,693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13,202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1,886</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13,531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15,088</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14,067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range on outstanding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0.0-18.5%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0.0-21.8%</w:t>
            </w:r>
          </w:p>
        </w:tc>
      </w:tr>
      <w:tr>
        <w:trPr>
          <w:trHeight w:val="297"/>
        </w:trPr>
        <w:tc>
          <w:tcPr>
            <w:tcW w:w="20" w:type="dxa"/>
            <w:vAlign w:val="bottom"/>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net discount and debt issuance costs of $499 million at December 31, 2018 and 2017.</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 and the impact of reclassification of $1.5 billion of senior unsecured notes from long-term to short-term in the year ended December 31, 2017.</w:t>
      </w:r>
    </w:p>
    <w:p>
      <w:pPr>
        <w:spacing w:after="0" w:line="15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8"/>
          <w:szCs w:val="18"/>
          <w:color w:val="002060"/>
        </w:rPr>
        <w:t>.</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September 2018 we issued $2.1 billion in aggregate principal amount of senior unsecured notes with an initial weighted average interest rate of 5.03% and maturity dates ranging from 2021 to 2049. The notes are governed by the same indenture that was used in past issuances, which contains terms and covenants customary of these types of securities including limitations on the amount of certain secured debt we may incur. The net proceeds from the issuance of these senior unsecured notes were used to repay $1.5 billion of debt in October 2018 upon maturity, pre-fund $584 million in certain mandatory contributions for our U.K. and Canada pension plans due in 2019 through 2021, and for other general corporate purposes.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41"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January 2019 we entered into a new three-year committed unsecured revolving credit facility with an initial borrowing capacity of $3.0 billion, reducing to $2.0 billion in July 2020. The facility will be used to fund costs related to the transformation activities announced in November 2018 and to provide additional financial flexibility.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48,153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Securitized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2.85% at December 31, 2018. The revolving credit facilities have maturity dates ranging from 2019 to 2024 and securitization notes payable have maturity dates ranging from 2019 to 2026. At the end of the revolving period, if not renewed, the debt of revolving credit facilities will amortize over a defined period. In the year ended December 31, 2018 GM Financial entered into new or renewed credit facilities with a total net additional borrowing capacity of $695 million, which had substantially the same terms as existing debt and GM Financial issued $22.8 billion in aggregate principal amount of securitization notes payable with an initial weighted average interest rate of 3.00% and maturity dates ranging from 2020 to 2026.</w:t>
      </w:r>
    </w:p>
    <w:p>
      <w:pPr>
        <w:spacing w:after="0" w:line="19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December 31, 2018 are due beginning in 2019 through 2028 and have a weighted-average interest rate of 3.40%. In the year ended December 31, 2018 GM Financial issued $8.6 billion in aggregate principal amount of senior notes with an initial weighted average interest rate of 3.36% and maturity dates ranging from 2020 to 2028.</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January 2019 GM Financial issued $2.5 billion in aggregate principal amount of senior notes with an initial weighted average interest rate of 5.03% and maturity dates ranging from 2021 to 2029.</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In January 2019 GM Financial issued €850 million of Euro Medium Term Notes under the Euro Medium Term Note Programme with an interest rate of 2.20% due in 2024.</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During the year ended December 31, 2018, GM Financial launched an unsecured commercial paper notes program in the U.S. At December 31, 2018, the principal amount outstanding of GM Financial's commercial paper in the U.S. was $1.2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terms of advances on credit facilities and other unsecured debt have original maturities of up to four years. The weighted-average interest rate on credit facilities and other unsecured debt was 5.98% at December 31, 2018.</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26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Automotive Financing - GM Financial interest expense</w:t>
            </w:r>
          </w:p>
        </w:tc>
        <w:tc>
          <w:tcPr>
            <w:tcW w:w="2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70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28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Financing(a)</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31,994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23,742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20,763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106,148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2018 future interest payments on automotive capital lease obligations were $565 million. GM Financial had no capital lease obligations at December 31, 2018.</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Compliance with Debt Covenants </w:t>
      </w:r>
      <w:r>
        <w:rPr>
          <w:rFonts w:ascii="Arial" w:cs="Arial" w:eastAsia="Arial" w:hAnsi="Arial"/>
          <w:sz w:val="16"/>
          <w:szCs w:val="16"/>
          <w:color w:val="auto"/>
        </w:rPr>
        <w:t>Several of our loan facilities, including our revolving credit facilities, require compliance with certain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4"/>
                <w:szCs w:val="14"/>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595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2018 and 2017 and the gains/losses included in our consolidated income statements for the years ended December 31, 2018, 2017 and 2016 were insignificant, unless otherwise noted.</w:t>
      </w:r>
    </w:p>
    <w:p>
      <w:pPr>
        <w:ind w:left="34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$827 million and $764 million at December 31, 2018 and 2017. We recorded insignificant amounts in Interest income and other non-operating income, net for the years ended December 31, 2018 and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4"/>
                <w:szCs w:val="14"/>
                <w:color w:val="auto"/>
              </w:rPr>
            </w:pPr>
          </w:p>
        </w:tc>
        <w:tc>
          <w:tcPr>
            <w:tcW w:w="14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hedges(a)(b)</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hedges – interest rate swaps(c)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Fair value hedges – foreign currency swaps(c)</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hedges(a)(b)</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financial instruments(e)</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113,871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617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December 31, 2018 and 2017 and the gains/losses included in our consolidated income statements and statements of comprehensive income for the years ended December 31, 2018, 2017 and 2016 were insignificant, unless otherwise noted.</w:t>
      </w:r>
    </w:p>
    <w:p>
      <w:pPr>
        <w:ind w:left="340" w:right="2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accrued for interest payments in a net receivable position are included in Other assets. Amounts accrued for interest payments in a net payable position are included in Other liabilities.</w:t>
      </w:r>
    </w:p>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$291 million and $290 million at December 31, 2018 and 2017. The fair value of these derivative instruments located in Other assets were insignificant at December 31, 2018 and 2017.</w:t>
      </w:r>
    </w:p>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$372 million and $329 million at December 31, 2018 and 2017. The fair value of these derivative instruments located in Other liabilities was $520 million and $207 million at December 31, 2018 and 2017.</w:t>
      </w: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held insignificant amounts and posted $451 million and $299 million of collateral available for netting at December 31, 2018 and 2017.</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amounts were recorded in the consolidated balance sheet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4"/>
          </w:tcPr>
          <w:p>
            <w:pPr>
              <w:jc w:val="right"/>
              <w:ind w:right="190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Amount of Hedged Items</w:t>
            </w:r>
          </w:p>
        </w:tc>
        <w:tc>
          <w:tcPr>
            <w:tcW w:w="180" w:type="dxa"/>
            <w:vAlign w:val="bottom"/>
          </w:tcPr>
          <w:p>
            <w:pPr>
              <w:spacing w:after="0"/>
              <w:rPr>
                <w:sz w:val="13"/>
                <w:szCs w:val="13"/>
                <w:color w:val="auto"/>
              </w:rPr>
            </w:pPr>
          </w:p>
        </w:tc>
        <w:tc>
          <w:tcPr>
            <w:tcW w:w="23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Hedging Adjustments(a)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900" w:type="dxa"/>
            <w:vAlign w:val="bottom"/>
            <w:gridSpan w:val="5"/>
          </w:tcPr>
          <w:p>
            <w:pPr>
              <w:spacing w:after="0"/>
              <w:rPr>
                <w:sz w:val="20"/>
                <w:szCs w:val="20"/>
                <w:color w:val="auto"/>
              </w:rPr>
            </w:pPr>
            <w:r>
              <w:rPr>
                <w:rFonts w:ascii="Arial" w:cs="Arial" w:eastAsia="Arial" w:hAnsi="Arial"/>
                <w:sz w:val="16"/>
                <w:szCs w:val="16"/>
                <w:color w:val="auto"/>
              </w:rPr>
              <w:t>(a)  Includes $247 million of adjustments remaining on hedged items for which hedge accounting has been discontinued.</w:t>
            </w: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Defined benefit pension plans covering eligible U.S. hourly employees (hired prior to October 2007) and Canadian hourly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covering primarily U.S. executives for service prior to January 1, 2007 and it is based on an “excess plan” for service after that date.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funding policy for qualified defined benefit pension plans is to contribute annually not less than the minimum required by applicable laws and regulations or to directly pay benefit payments where appropriate. In the year ended December 31, 2018 all legal funding requirements were met and we contributed $584 million to pre-fund U.K. and Canada pension plans. In the year ended December 31, 2016 we made a discretionary contribution to our U.S. hourly pension plan of $2.0 billion. The following table summarizes contributions made to the defined benefit pension plans: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50"/>
        </w:trPr>
        <w:tc>
          <w:tcPr>
            <w:tcW w:w="7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1,022</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expect to contribute approximately $70 million to our U.S. non-qualified plans and approximately $600 million to our non-U.S. pension plans in 2019.</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our current assumptions, over the next five years we expect no significant mandatory contributions to our U.S. qualified pension plans and mandatory contributions totaling $310 million to our U.K. and Canada pension plans.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Postretirement Benefit Plans </w:t>
      </w:r>
      <w:r>
        <w:rPr>
          <w:rFonts w:ascii="Arial" w:cs="Arial" w:eastAsia="Arial" w:hAnsi="Arial"/>
          <w:sz w:val="18"/>
          <w:szCs w:val="18"/>
          <w:color w:val="auto"/>
        </w:rPr>
        <w:t>Certain hourly and salaried defined benefit plans provide postretirement medical, dental, legal service and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$325 million, $323 million and $335 million in the years ended December 31, 2018, 2017 and 2016. Plan participants' contributions were insignificant in the years ended December 31, 2018, 2017 and 2016.</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We have defined contribution plans for eligible U.S. salaried and hourly employees that provide discretionary matching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Contributions are also made to certain non-U.S. defined contribution plans. We made contributions to our defined contribution plans of $617 million, $650 million and $589 million in the years ended December 31, 2018, 2017 and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Other Remeasurements </w:t>
      </w:r>
      <w:r>
        <w:rPr>
          <w:rFonts w:ascii="Arial" w:cs="Arial" w:eastAsia="Arial" w:hAnsi="Arial"/>
          <w:sz w:val="16"/>
          <w:szCs w:val="16"/>
          <w:color w:val="auto"/>
        </w:rPr>
        <w:t>The SOA issued mortality improvement tables in the three months ended December 31, 2018. We reviewed our recent mortality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and have updated our base mortality assumptions in the U.S. This change in assumption decreased the December 31, 2018 U.S. pension and OPEB plans' obligations by $264 million. We determined our current mortality improvement assumptions are appropriate to measure our December 31, 2018 U.S. pension and OPEB plans obligations. We incorporated the mortality improvement tables issued by the SOA in the three months ended December 31, 2016 that lowered life expectancies and thereby indicated the amount of estimated aggregate benefit payments to our U.S. pension plans' participants was decreasing. This change in assumption decreased the December 31, 2016 U.S. pension and OPEB plans' obligations by $888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Year Ended December 31, 2017</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Global OPEB</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Non-U.S.</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OPEB Plans</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benefit obligation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68,450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Actuarial (gains) losses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61,190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68,450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62,639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61,622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56,102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13,528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62,639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funded status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0" w:type="dxa"/>
            <w:vAlign w:val="bottom"/>
          </w:tcPr>
          <w:p>
            <w:pPr>
              <w:spacing w:after="0"/>
              <w:rPr>
                <w:sz w:val="1"/>
                <w:szCs w:val="1"/>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amount recorded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recorded in 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(3,983)</w:t>
            </w:r>
          </w:p>
        </w:tc>
        <w:tc>
          <w:tcPr>
            <w:tcW w:w="1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credit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recorded in Accumulated other comprehensive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total accumulated benefit obligations (ABO), the ABO and fair value of plan assets for defined benefit pension plans with ABO in excess of plan assets, and the PBO and fair value of plan assets for defined benefit pension plans with PBO in excess of plan assets: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Non-U.S.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22,650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21,679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56,102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62,639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13,408</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61,190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68,450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21,822</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56,102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62,639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13,411</w:t>
            </w:r>
          </w:p>
        </w:tc>
      </w:tr>
      <w:tr>
        <w:trPr>
          <w:trHeight w:val="27"/>
        </w:trPr>
        <w:tc>
          <w:tcPr>
            <w:tcW w:w="6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41"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 2018</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60"/>
              <w:spacing w:after="0"/>
              <w:rPr>
                <w:sz w:val="20"/>
                <w:szCs w:val="20"/>
                <w:color w:val="auto"/>
              </w:rPr>
            </w:pPr>
            <w:r>
              <w:rPr>
                <w:rFonts w:ascii="Arial" w:cs="Arial" w:eastAsia="Arial" w:hAnsi="Arial"/>
                <w:sz w:val="13"/>
                <w:szCs w:val="13"/>
                <w:b w:val="1"/>
                <w:bCs w:val="1"/>
                <w:color w:val="auto"/>
              </w:rPr>
              <w:t>Year Ended December 31, 2017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 2016</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Global</w:t>
            </w:r>
          </w:p>
        </w:tc>
        <w:tc>
          <w:tcPr>
            <w:tcW w:w="200" w:type="dxa"/>
            <w:vAlign w:val="bottom"/>
          </w:tcPr>
          <w:p>
            <w:pPr>
              <w:spacing w:after="0"/>
              <w:rPr>
                <w:sz w:val="20"/>
                <w:szCs w:val="20"/>
                <w:color w:val="auto"/>
              </w:rPr>
            </w:pPr>
          </w:p>
        </w:tc>
        <w:tc>
          <w:tcPr>
            <w:tcW w:w="166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Global</w:t>
            </w:r>
          </w:p>
        </w:tc>
        <w:tc>
          <w:tcPr>
            <w:tcW w:w="200" w:type="dxa"/>
            <w:vAlign w:val="bottom"/>
          </w:tcPr>
          <w:p>
            <w:pPr>
              <w:spacing w:after="0"/>
              <w:rPr>
                <w:sz w:val="20"/>
                <w:szCs w:val="20"/>
                <w:color w:val="auto"/>
              </w:rPr>
            </w:pPr>
          </w:p>
        </w:tc>
        <w:tc>
          <w:tcPr>
            <w:tcW w:w="1660" w:type="dxa"/>
            <w:vAlign w:val="bottom"/>
            <w:gridSpan w:val="5"/>
          </w:tcPr>
          <w:p>
            <w:pPr>
              <w:ind w:left="240"/>
              <w:spacing w:after="0"/>
              <w:rPr>
                <w:sz w:val="20"/>
                <w:szCs w:val="20"/>
                <w:color w:val="auto"/>
              </w:rPr>
            </w:pPr>
            <w:r>
              <w:rPr>
                <w:rFonts w:ascii="Arial" w:cs="Arial" w:eastAsia="Arial" w:hAnsi="Arial"/>
                <w:sz w:val="13"/>
                <w:szCs w:val="13"/>
                <w:b w:val="1"/>
                <w:bCs w:val="1"/>
                <w:color w:val="auto"/>
              </w:rPr>
              <w:t>Pension Benefits</w:t>
            </w:r>
          </w:p>
        </w:tc>
        <w:tc>
          <w:tcPr>
            <w:tcW w:w="140" w:type="dxa"/>
            <w:vAlign w:val="bottom"/>
          </w:tcPr>
          <w:p>
            <w:pPr>
              <w:spacing w:after="0"/>
              <w:rPr>
                <w:sz w:val="20"/>
                <w:szCs w:val="20"/>
                <w:color w:val="auto"/>
              </w:rPr>
            </w:pPr>
          </w:p>
        </w:tc>
        <w:tc>
          <w:tcPr>
            <w:tcW w:w="560" w:type="dxa"/>
            <w:vAlign w:val="bottom"/>
          </w:tcPr>
          <w:p>
            <w:pPr>
              <w:jc w:val="center"/>
              <w:ind w:right="70"/>
              <w:spacing w:after="0"/>
              <w:rPr>
                <w:sz w:val="20"/>
                <w:szCs w:val="20"/>
                <w:color w:val="auto"/>
              </w:rPr>
            </w:pPr>
            <w:r>
              <w:rPr>
                <w:rFonts w:ascii="Arial" w:cs="Arial" w:eastAsia="Arial" w:hAnsi="Arial"/>
                <w:sz w:val="13"/>
                <w:szCs w:val="13"/>
                <w:b w:val="1"/>
                <w:bCs w:val="1"/>
                <w:color w:val="auto"/>
                <w:w w:val="93"/>
              </w:rPr>
              <w:t>Global</w:t>
            </w:r>
          </w:p>
        </w:tc>
        <w:tc>
          <w:tcPr>
            <w:tcW w:w="0" w:type="dxa"/>
            <w:vAlign w:val="bottom"/>
          </w:tcPr>
          <w:p>
            <w:pPr>
              <w:spacing w:after="0"/>
              <w:rPr>
                <w:sz w:val="1"/>
                <w:szCs w:val="1"/>
                <w:color w:val="auto"/>
              </w:rPr>
            </w:pPr>
          </w:p>
        </w:tc>
      </w:tr>
      <w:tr>
        <w:trPr>
          <w:trHeight w:val="32"/>
        </w:trPr>
        <w:tc>
          <w:tcPr>
            <w:tcW w:w="3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OPEB</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OPEB</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92"/>
              </w:rPr>
              <w:t>OPEB</w:t>
            </w: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Plans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Plans</w:t>
            </w:r>
          </w:p>
        </w:tc>
        <w:tc>
          <w:tcPr>
            <w:tcW w:w="2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Non-U.S.</w:t>
            </w:r>
          </w:p>
        </w:tc>
        <w:tc>
          <w:tcPr>
            <w:tcW w:w="140" w:type="dxa"/>
            <w:vAlign w:val="bottom"/>
          </w:tcPr>
          <w:p>
            <w:pPr>
              <w:spacing w:after="0"/>
              <w:rPr>
                <w:sz w:val="15"/>
                <w:szCs w:val="15"/>
                <w:color w:val="auto"/>
              </w:rPr>
            </w:pPr>
          </w:p>
        </w:tc>
        <w:tc>
          <w:tcPr>
            <w:tcW w:w="560" w:type="dxa"/>
            <w:vAlign w:val="bottom"/>
          </w:tcPr>
          <w:p>
            <w:pPr>
              <w:jc w:val="center"/>
              <w:ind w:right="70"/>
              <w:spacing w:after="0"/>
              <w:rPr>
                <w:sz w:val="20"/>
                <w:szCs w:val="20"/>
                <w:color w:val="auto"/>
              </w:rPr>
            </w:pPr>
            <w:r>
              <w:rPr>
                <w:rFonts w:ascii="Arial" w:cs="Arial" w:eastAsia="Arial" w:hAnsi="Arial"/>
                <w:sz w:val="13"/>
                <w:szCs w:val="13"/>
                <w:b w:val="1"/>
                <w:bCs w:val="1"/>
                <w:color w:val="auto"/>
                <w:w w:val="86"/>
              </w:rPr>
              <w:t>Plans</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b w:val="1"/>
                <w:bCs w:val="1"/>
                <w:color w:val="auto"/>
              </w:rPr>
              <w:t>Components of expense</w:t>
            </w: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2,050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2,145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90"/>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Amortization of net actuarial (gains) losses</w:t>
            </w:r>
          </w:p>
        </w:tc>
        <w:tc>
          <w:tcPr>
            <w:tcW w:w="200" w:type="dxa"/>
            <w:vAlign w:val="bottom"/>
          </w:tcPr>
          <w:p>
            <w:pPr>
              <w:spacing w:after="0"/>
              <w:rPr>
                <w:sz w:val="22"/>
                <w:szCs w:val="22"/>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Curtailments, settlements and other</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periodic pension and OPEB (income) expense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06"/>
        </w:trPr>
        <w:tc>
          <w:tcPr>
            <w:tcW w:w="352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Weighted-average assumptions used to determine</w:t>
            </w: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benefit obligations(a)</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w w:val="96"/>
              </w:rPr>
              <w:t>Weighted-average assumptions used to determine net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expense(a)</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rate of return on plan assets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_________</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rate of compensation increase does not have a significant effect on our U.S. pension and OPEB plans.</w:t>
      </w:r>
    </w:p>
    <w:p>
      <w:pPr>
        <w:spacing w:after="0" w:line="17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non-service cost components of the net periodic pension and OPEB income of $1.7 billion, $1.3 billion and $1.3 billion in the years ended December 31, 2018, 2017 and 2016 are presented in Interest income and other non-operating income, net. Refer to Note 2 for additional details on the adoption of ASU 2017-07.</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U.S. pension plan service cost includes administrative expenses and Pension Benefit Guarantee Corporation premiums which were insignificant in the years ended December 31, 2018, 2017 and 2016. Weighted-average assumptions used to determine net expense are determined at the beginning of the period and updated for remeasurements. Non-U.S. pension plan administrative expenses included in service cost were insignificant in the years ended December 31, 2018, 2017 and 2016.</w:t>
      </w:r>
    </w:p>
    <w:p>
      <w:pPr>
        <w:spacing w:after="0" w:line="18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2019 based on December 31, 2018 plan measurements are $129 million, consisting primarily of amortization of the net actuarial loss in the non-U.S. pension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Investment Strategies and Long-Term Rate of Return </w:t>
      </w:r>
      <w:r>
        <w:rPr>
          <w:rFonts w:ascii="Arial" w:cs="Arial" w:eastAsia="Arial" w:hAnsi="Arial"/>
          <w:sz w:val="16"/>
          <w:szCs w:val="16"/>
          <w:color w:val="auto"/>
        </w:rPr>
        <w:t>Detailed periodic studies are conducted by our internal asset management group as well as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41"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assets equal to or greater than the present value of the liabilities) and mitigating the possibility of a deterioration in funded status.</w:t>
      </w:r>
    </w:p>
    <w:p>
      <w:pPr>
        <w:spacing w:after="0" w:line="23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2018 an investment policy study was completed for the U.S. pension plans. As a result of changes to our capital market assumptions, the weighted-average long-term rate of return on assets decreased from 6.6% at December 31, 2017 to 6.4% at December 31, 2018. The expected long-term rate of return on plan assets used in determining pension expense for non-U.S. plans is determined in a similar manner to the U.S. plans.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Target Allocation Percentages </w:t>
      </w:r>
      <w:r>
        <w:rPr>
          <w:rFonts w:ascii="Arial" w:cs="Arial" w:eastAsia="Arial" w:hAnsi="Arial"/>
          <w:sz w:val="18"/>
          <w:szCs w:val="18"/>
          <w:color w:val="auto"/>
        </w:rPr>
        <w:t>The following table summarizes the target allocations by asset category for U.S. and non-U.S.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w w:val="90"/>
              </w:rPr>
              <w:t>December 31, 2018</w:t>
            </w:r>
          </w:p>
        </w:tc>
        <w:tc>
          <w:tcPr>
            <w:tcW w:w="3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7"/>
              </w:rPr>
              <w:t>U.S.</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3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4710"/>
              <w:spacing w:after="0"/>
              <w:rPr>
                <w:sz w:val="20"/>
                <w:szCs w:val="20"/>
                <w:color w:val="auto"/>
              </w:rPr>
            </w:pPr>
            <w:r>
              <w:rPr>
                <w:rFonts w:ascii="Arial" w:cs="Arial" w:eastAsia="Arial" w:hAnsi="Arial"/>
                <w:sz w:val="18"/>
                <w:szCs w:val="18"/>
                <w:color w:val="auto"/>
                <w:w w:val="87"/>
              </w:rPr>
              <w:t>__________</w:t>
            </w: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Primarily includes private equity, real estate and absolute return strategies which mainly consist of hedge funds.</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Assets and Fair Value Measurements </w:t>
      </w:r>
      <w:r>
        <w:rPr>
          <w:rFonts w:ascii="Arial" w:cs="Arial" w:eastAsia="Arial" w:hAnsi="Arial"/>
          <w:sz w:val="18"/>
          <w:szCs w:val="18"/>
          <w:color w:val="auto"/>
        </w:rPr>
        <w:t>The following tables summarize the fair value of U.S. and non-U.S. defined benefit pension plan assets by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U.S. Pension Plan Assets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4,934</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8,892</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8,911</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12,077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12,077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12,116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12,116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24,645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26,122</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371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801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552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119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1,066</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42,457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9,444</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38,374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48,215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6,465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6,632</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3,021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3,539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3,351</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12,990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13,522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net(b)</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902</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56,102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62,639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Non-U.S. Pension Plan Assets</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578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12"/>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45"/>
              <w:spacing w:after="0"/>
              <w:rPr>
                <w:sz w:val="20"/>
                <w:szCs w:val="20"/>
                <w:color w:val="auto"/>
              </w:rPr>
            </w:pPr>
            <w:r>
              <w:rPr>
                <w:rFonts w:ascii="Arial" w:cs="Arial" w:eastAsia="Arial" w:hAnsi="Arial"/>
                <w:sz w:val="15"/>
                <w:szCs w:val="15"/>
                <w:color w:val="auto"/>
              </w:rPr>
              <w:t>3,640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3,640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45"/>
              <w:spacing w:after="0"/>
              <w:rPr>
                <w:sz w:val="20"/>
                <w:szCs w:val="20"/>
                <w:color w:val="auto"/>
              </w:rPr>
            </w:pPr>
            <w:r>
              <w:rPr>
                <w:rFonts w:ascii="Arial" w:cs="Arial" w:eastAsia="Arial" w:hAnsi="Arial"/>
                <w:sz w:val="15"/>
                <w:szCs w:val="15"/>
                <w:color w:val="auto"/>
              </w:rPr>
              <w:t>3,853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3,853</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2,566</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21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6,358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7,106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6,569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7,614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5,081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5,346</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980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1,097</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4"/>
              <w:spacing w:after="0"/>
              <w:rPr>
                <w:sz w:val="20"/>
                <w:szCs w:val="20"/>
                <w:color w:val="auto"/>
              </w:rPr>
            </w:pPr>
            <w:r>
              <w:rPr>
                <w:rFonts w:ascii="Arial" w:cs="Arial" w:eastAsia="Arial" w:hAnsi="Arial"/>
                <w:sz w:val="15"/>
                <w:szCs w:val="15"/>
                <w:color w:val="auto"/>
              </w:rPr>
              <w:t>6,587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7,013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(liabilities), net(b)</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1"/>
              </w:rPr>
              <w:t>13,528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14,495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2018 and 2017.</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Investment Fund Strategies </w:t>
      </w:r>
      <w:r>
        <w:rPr>
          <w:rFonts w:ascii="Arial" w:cs="Arial" w:eastAsia="Arial" w:hAnsi="Arial"/>
          <w:sz w:val="16"/>
          <w:szCs w:val="16"/>
          <w:color w:val="auto"/>
        </w:rPr>
        <w:t>Investment funds include hedge funds, funds of hedge funds, equity funds and fixed income funds. Hedge funds and funds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16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ectPr>
          <w:pgSz w:w="11900" w:h="16838" w:orient="portrait"/>
          <w:cols w:equalWidth="0" w:num="1">
            <w:col w:w="11420"/>
          </w:cols>
          <w:pgMar w:left="240" w:top="34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41"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Significant Concentrations of Risk </w:t>
      </w:r>
      <w:r>
        <w:rPr>
          <w:rFonts w:ascii="Arial" w:cs="Arial" w:eastAsia="Arial" w:hAnsi="Arial"/>
          <w:sz w:val="16"/>
          <w:szCs w:val="16"/>
          <w:color w:val="auto"/>
        </w:rPr>
        <w:t>The assets of the pension plans include certain investment funds, private equity and debt investments and 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Benefits for most U.S. pension plans and certain non-U.S. pension plans are paid out of plan assets rather than our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following table summarizes net benefit payments expected to be paid in the future, which include assumptions related to estimated future employee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7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U.S. Plans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Non-U.S. Plans</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20,803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2018 and 2017, we had accruals of $1.3 billion and $930 million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pending against GM in U.S. and Canadian courts alleging that consumers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or leased vehicles manufactured by GM or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 The Southern District has dismissed various of these claims, including claims under the Racketeer Influenced and Corrupt Organization Act, claims for recovery for alleged reduction in the value of plaintiffs' vehicles due to damage to GM’s reputation and brand as a result of the ignition switch matter, and claims of certain plaintiffs who purchased a vehicle before GM came into existence in July 2009. The Southern District also dismissed certain state law claims at issue.</w:t>
      </w:r>
    </w:p>
    <w:p>
      <w:pPr>
        <w:spacing w:after="0" w:line="16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successor liability claims of plaintiffs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United States Court of Appeals for the Second Circuit held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order of the Bankruptcy Court approving the sale of substantially all of the assets of MLC to GM free and clear of, among other things, claims asserting successor liability for obligations owed by MLC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us and MLC, GM may be obligated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Shares of our common stock if allowed general unsecured claims against the GUC Trust, as estimated by the Bankruptcy Court, exceed $35.0 billion. The maximum number of Adjustment Shares issuable is 30 million shares (subject to adjustment to take into account stock dividends, stock splits and other transactions), which amounts to approximately $1.2 billion based on the GM share price as of January 25, 2019. The GUC Trust stated in public filings that allowed general unsecured claims were approximately $31.9 billion as of December 31, 2018. In 2016 and 2017 certain personal injury and economic loss plaintiffs filed motions in the Bankruptcy Court seeking authority to file late claims against the GUC Trust. In May 2018, the GUC Trust filed motions seeking the Bankruptcy Court’s approval of a proposed settlement with certain personal injury and economic loss plaintiffs, approval of a notice relating to that proposed settlement and estimation of alleged personal injury and economic loss late claims for the purpose of obtaining an order requiring GM to issue the maximum number of Adjustment Shares. GM vigorously contested each of these motions.</w:t>
      </w:r>
    </w:p>
    <w:p>
      <w:pPr>
        <w:spacing w:after="0" w:line="18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Bankruptcy Court denied without prejudice the GUC Trust's motions described above, finding that the settling parties first need to obtain class certification with respect to the economic loss late claims. In February 2019 the GUC Trust and certain plaintiffs filed a motion with the Bankruptcy Court requesting approval of a new settlement to obtain the maximum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number of Adjustment Shares. We will assert available and appropriate legal objections to this new settlement. We are unable to estimate any reasonably possible loss or range of loss that may result from this matter.</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December 31, 2018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19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 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The Supreme Court has not yet rendered a decision. We estimate our reasonably possible loss in excess of amounts accrued to be approximately $590 million at December 31, 2018. Both the scope of claims asserted and GM Korea's assessment of any or all of the individual claim elements may change if new information becomes available or the legal or regulatory framework change.</w:t>
      </w:r>
    </w:p>
    <w:p>
      <w:pPr>
        <w:spacing w:after="0" w:line="18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$170 million at December 31, 2018. Both the scope of claims asserted and GM Korea's assessment of any or all of the individual claim elements may change if new information becomes available or the legal or regulatory framework change.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December 31, 2018, we recorded an insignificant accrual covering certain asserted claims and claims that we believe are probable of assertion and for which liability is probable. We estimate that the reasonably possible loss in excess of amounts accrued for other current subcontract workers who may assert similar claims to be approximately $150 million at December 31, 2018. We are currently unable to estimate any possible loss or range of loss that may result from additional claims that may be asserted by former subcontract workers.</w:t>
      </w:r>
    </w:p>
    <w:p>
      <w:pPr>
        <w:spacing w:after="0" w:line="18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Brazil Indirect Tax Claim </w:t>
      </w:r>
      <w:r>
        <w:rPr>
          <w:rFonts w:ascii="Arial" w:cs="Arial" w:eastAsia="Arial" w:hAnsi="Arial"/>
          <w:sz w:val="16"/>
          <w:szCs w:val="16"/>
          <w:color w:val="auto"/>
        </w:rPr>
        <w:t>In March 2017, the Supreme Court of Brazil issued a decision concluding that a certain state value added tax should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calculation of federal gross receipts taxes. The decision reduced GM Brazil’s gross receipts tax prospectively and, potentially, retrospectively. The retrospective right to recover is under judicial review, and a decision could be rendered in 2019. If the Judicial Court grants retrospective recovery we estimate potential recoveries of up to $1.3 billion. However, given the remaining uncertainty regarding the judicial resolution of this matter, we are unable to assess the likelihood of any favorable outcome at this time. We have not recorded any amounts relating to the retrospective nature of this matter.</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proceedings are pending against us or our related companies or joint ventures, including matters arising out of alleged product defects; employment-related matters; product and workplace safety, vehicle emissions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 economy regulations; product warranties; financial services; dealer, supplier and other contractual relationships; government regulations relating to competition issues; tax-related matters not subject to the provision of ASC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$200 million to $550 million at December 31, 2018. Some of the matters may involve compensatory, punitive or other treble damage claims, environmental remediation programs or sanctions that, if granted, could require us to pay damages or make other expenditures in amounts that could not be reasonably estimated at December 31, 2018. We believe that appropriate accruals have been established for losses that are probable and can be reasonably estimated. For indirect tax-related matters we estimate our reasonably possible loss in excess of amounts accrued to be up to approximately $900 million at December 31, 2018.</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Through January 25, 2019 we are aware of three putative class actions pending against GM in federal court in the U.S., one putative class action in Mexico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We recorded liabilities of $531 million and $595 million in Accrued liabilities and Other liabilities at December 31, 2018 and 2017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2019 to 2029 or upon the occurrence of specific events or are ongoing. We believe that the related potential costs incurred are adequately covered by our recorded accruals, which are insignificant. The maximum future undiscounted payments mainly based on vehicles sold to date was $2.4 billion and $1.9 billion for these guarantees at December 31, 2018 and 2017, the majority of which relate to the indemnification agreements.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22 for additional information on our indemnification obligations to PSA Group under the Agreement.</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Credit card programs offer rebates that can be applied primarily against the purchase or lease of our vehicles. At December 31, 2018 and 2017</w:t>
      </w:r>
      <w:r>
        <w:rPr>
          <w:rFonts w:ascii="Arial" w:cs="Arial" w:eastAsia="Arial" w:hAnsi="Arial"/>
          <w:sz w:val="18"/>
          <w:szCs w:val="18"/>
          <w:b w:val="1"/>
          <w:bCs w:val="1"/>
          <w:color w:val="auto"/>
        </w:rPr>
        <w:t xml:space="preserve"> </w:t>
      </w:r>
      <w:r>
        <w:rPr>
          <w:rFonts w:ascii="Arial" w:cs="Arial" w:eastAsia="Arial" w:hAnsi="Arial"/>
          <w:sz w:val="18"/>
          <w:szCs w:val="18"/>
          <w:color w:val="auto"/>
        </w:rPr>
        <w:t>our redemption liability was insignificant, our deferred revenue was $247 million and $283 million, and qualified cardholders had rebates available, net of deferred program revenue, of $1.4 billion and $1.5 billion. Our redemption liability and deferred revenue are recorded in Accrued liabilities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Noncancelable Operating Leases </w:t>
      </w:r>
      <w:r>
        <w:rPr>
          <w:rFonts w:ascii="Arial" w:cs="Arial" w:eastAsia="Arial" w:hAnsi="Arial"/>
          <w:sz w:val="18"/>
          <w:szCs w:val="18"/>
          <w:color w:val="auto"/>
        </w:rPr>
        <w:t>The following table summarizes our minimum commitments under noncancelable operating leases having initial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one year, primarily for property: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commitments(a)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commitments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5040" w:type="dxa"/>
            <w:vAlign w:val="bottom"/>
            <w:vMerge w:val="restart"/>
          </w:tcPr>
          <w:p>
            <w:pPr>
              <w:jc w:val="right"/>
              <w:ind w:right="4050"/>
              <w:spacing w:after="0"/>
              <w:rPr>
                <w:sz w:val="20"/>
                <w:szCs w:val="20"/>
                <w:color w:val="auto"/>
              </w:rPr>
            </w:pPr>
            <w:r>
              <w:rPr>
                <w:rFonts w:ascii="Arial" w:cs="Arial" w:eastAsia="Arial" w:hAnsi="Arial"/>
                <w:sz w:val="18"/>
                <w:szCs w:val="18"/>
                <w:color w:val="auto"/>
                <w:w w:val="87"/>
              </w:rPr>
              <w:t>__________</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$300 million, $284 million and $270 million in the years ended December 31, 2018, 2017 and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r>
      <w:tr>
        <w:trPr>
          <w:trHeight w:val="250"/>
        </w:trPr>
        <w:tc>
          <w:tcPr>
            <w:tcW w:w="7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 income (loss)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9,726</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r>
      <w:tr>
        <w:trPr>
          <w:trHeight w:val="250"/>
        </w:trPr>
        <w:tc>
          <w:tcPr>
            <w:tcW w:w="7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1,865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2,228</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11,533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2,739</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$2.9 billion and $2.8 billion at December 31, 2018 and 2017. Additional basis differences related to investments in nonconsolidated China JVs exist of $4.1 billion at December 31, 2018 and 2017 as a result of fresh-start reporting. Quantification of the deferred tax liability, if any, associated with indefinitely reinvested basis differences is not practicable.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spacing w:after="0"/>
              <w:rPr>
                <w:sz w:val="21"/>
                <w:szCs w:val="21"/>
                <w:color w:val="auto"/>
              </w:rPr>
            </w:pPr>
          </w:p>
        </w:tc>
        <w:tc>
          <w:tcPr>
            <w:tcW w:w="2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U.S. federal statutory income tax rate</w:t>
            </w:r>
          </w:p>
        </w:tc>
        <w:tc>
          <w:tcPr>
            <w:tcW w:w="2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State and local tax expense</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Non-U.S. income taxed at other than the U.S. federal statutory tax rate</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U.S. tax impact on Non-U.S. income</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Change in tax laws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business credits and manufacturing incentives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Capital loss expiration</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prior year tax matters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Realization of basis differences in affiliates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 statutory approval of net operating losses</w:t>
            </w:r>
          </w:p>
        </w:tc>
        <w:tc>
          <w:tcPr>
            <w:tcW w:w="2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83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Deferred Income Tax Assets and Liabilities </w:t>
      </w:r>
      <w:r>
        <w:rPr>
          <w:rFonts w:ascii="Arial" w:cs="Arial" w:eastAsia="Arial" w:hAnsi="Arial"/>
          <w:sz w:val="18"/>
          <w:szCs w:val="18"/>
          <w:color w:val="auto"/>
        </w:rPr>
        <w:t>Deferred income tax assets and liabilities at December 31, 2018 and 2017 reflect the effect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U.S. capitalized research expenditures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operating loss and tax credit carryforwards(a)</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Non-U.S. operating loss and tax credit carryforwards(b)</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8"/>
                <w:szCs w:val="18"/>
                <w:color w:val="auto"/>
                <w:w w:val="88"/>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December 31, 2018 U.S. operating loss and tax credit carryforwards of $8.6 billion expire through 2038 if not utilized.</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December 31, 2018 Non-U.S. operating loss and tax credit carryforwards of $1.2 billion expire through 2037 if not utilized and the remaining balance of $5.2 billion may be carried forward indefinitely.</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Valuation Allowances </w:t>
      </w:r>
      <w:r>
        <w:rPr>
          <w:rFonts w:ascii="Arial" w:cs="Arial" w:eastAsia="Arial" w:hAnsi="Arial"/>
          <w:sz w:val="16"/>
          <w:szCs w:val="16"/>
          <w:color w:val="auto"/>
        </w:rPr>
        <w:t>We have $3.3 billion of net operating loss carryforwards in Germany that, as a result of reorganizations that took place in 2008 and</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then existing German Law, were not previously recorded as deferred tax assets. In the three months ended December 31, 2018 a favorable European court decision was statutorily approved in Germany enabling use of those loss carryforwards. As a result, in the three months ended December 31, 2018 deferred tax assets totaling $1.0 billion were established for the loss carryfowards; offsetting valuation allowances were also established as the deferred tax assets are not more likely than not to be realized. During the year ended December 31, 2018 valuation allowances against deferred tax assets of $8.0 billion were comprised of cumulative losses, credits and other timing differences, primarily in Germany, Spain and South Korea.</w:t>
      </w:r>
    </w:p>
    <w:p>
      <w:pPr>
        <w:spacing w:after="0" w:line="16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During the year ended December 31, 2017 there was a $2.3 billion increase in the valuation allowance related to deferred tax assets that are no longer realizable as a result of the sale of the Opel/Vauxhall Business as described in Note 22. At December 31, 2017 valuation allowances against deferred tax assets of $6.7 billion were comprised of cumulative losses, credits and other timing differences, primarily in Germany, Spain and South Korea.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following table summarizes activity of the total amounts of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2018 and 2017 there were $991 million and $390 million of unrecognized tax benefits that if recognized would favorably affect our effective tax rate in the future. In the years ended December 31, 2018, 2017 and 2016 income tax related interest and penalties were insignificant. At December 31, 2018 and 2017 we had liabilities of $116 million and $152 million for income tax related interest and penalties.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2018 it is not possible to reasonably estimate the expected change to the total amount of unrecognized tax benefits in the next twelve months.</w:t>
      </w:r>
    </w:p>
    <w:p>
      <w:pPr>
        <w:spacing w:after="0" w:line="166"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b w:val="1"/>
          <w:bCs w:val="1"/>
          <w:color w:val="auto"/>
        </w:rPr>
        <w:t xml:space="preserve">Other Matters </w:t>
      </w:r>
      <w:r>
        <w:rPr>
          <w:rFonts w:ascii="Arial" w:cs="Arial" w:eastAsia="Arial" w:hAnsi="Arial"/>
          <w:sz w:val="18"/>
          <w:szCs w:val="18"/>
          <w:color w:val="auto"/>
        </w:rPr>
        <w:t>Income tax returns are filed in multiple jurisdictions and are subject to examination by taxing authorities throughout the world.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open tax years from 2008 to 2018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year ended December 31, 2017 and recorded $7.3 billion in tax expense. The tax expense relates primarily to the remeasurement of deferred tax assets to the 21% tax rate. We applied the guidance in SAB 118 when accounting for the enactment-date effects of the Tax Act in 2017 and throughout 2018. At December 31, 2018, we have now completed our accounting for all the enactment-date income tax effects of the Tax Act. We reduced our year ended December 31, 2017 estimated tax expense of $7.3 billion to $7.1 billion, primarily related to the remeasurement of deferred tax assets to the 21% tax rate.</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Tax Act subjects a U.S. shareholder to tax on Global Intangible Low Tax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We have elected to account for GILTI as a current period expense when incurred.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and continue to execute various restructuring and other initiatives and we may execute additional initiatives in the future, if necessary, to streamline manufacturing capacity and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2018 restructuring and other initiatives in GMNA primarily included actions related to the unallocation of products to certain manufacturing facilities in 2019 and other employee separation programs. We recorded charges of $1.2 billion in GMNA in the year ended December 31, 2018 consisting of $941 million in employee separation and other charges, which are reflected in the table above, and $301 million primarily in non-cash accelerated depreciation, not reflected in the table above. We expect to incur additional restructuring and other charges in 2019 that range between $1.5 billion to $2.0 billion, primarily related to accelerated depreciation, supplier-related charges, and employee-related separation charges. We expect cash outflows related to these activities of approximately $1.5 billion by the end of 2020.</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year ended December 31, 2018 restructuring and other initiatives in GMI primarily included the closure of a facility and other restructuring actions in Korea and employee separation programs. We recorded charges of $1.0 billion related to Korea, net of noncontrolling interests. These charges consisted of $537 million in non-cash asset impairments and other charges, not reflected in the table above, and $495 million in employee separation charges, which are reflected in the table above. We incurred $775 million in cash outflows resulting from Korea restructuring actions, primarily for employee separations and statutory pension payments. In GMI we expect to incur between $200 million and $300 million in additional employee separation and other charges in 2019, and we expect cash outflows related to previously announced restructuring activities of approximately $300 million in 2019.</w:t>
      </w:r>
    </w:p>
    <w:p>
      <w:pPr>
        <w:spacing w:after="0" w:line="16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the year ended December 31, 2017 restructuring and other initiatives primarily included restructuring actions announced in the three months ended June 30, 2017 in GMI. These actions related primarily to the withdrawal of Chevrolet from the Indian and South African markets at the end of 2017 and the transition of our South Africa manufacturing operations to Isuzu Motors. We continue to manufacture vehicles in India for sale to certain export markets. We recorded charges of $460 million in GMI primarily consisting of $297 million of asset impairments, sales incentives, inventory provisions and other charges, not reflected in the table above, and $163 million of dealer restructurings, employee separations and other contract cancellation costs, which are reflected in the table above. We completed these programs in GMI in 2017. Other GMI restructuring programs reflected in the table above include separation and other programs in Australia, Korea and India and the withdrawal of the Chevrolet brand from Europe. Collectively, these programs had a total cost of $892 million since inception in 2013 through the completion of the programs in the year ended December 31, 2017.</w:t>
      </w:r>
    </w:p>
    <w:p>
      <w:pPr>
        <w:spacing w:after="0" w:line="17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2016 restructuring and other initiatives related primarily to charges of $240 million in the three months ended March 31, 2016 in GMNA related to the cash severance incentive program to qualified U.S. hourly employees under our 2015 labor agreement with the UAW and insignificant costs for separation and other programs in Australia, Korea and India and the withdrawal of Chevrolet brand from Europe.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Interest Income and Other Non-Operating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and OPEB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Licensing agreements income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Revaluation of investments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interest income and other non-operating income,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1,603</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 and Noncontrolling Interests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Preferred and Common Stock </w:t>
      </w:r>
      <w:r>
        <w:rPr>
          <w:rFonts w:ascii="Arial" w:cs="Arial" w:eastAsia="Arial" w:hAnsi="Arial"/>
          <w:sz w:val="18"/>
          <w:szCs w:val="18"/>
          <w:color w:val="auto"/>
        </w:rPr>
        <w:t>We have 2.0 billion shares of preferred stock and 5.0 billion shares of common stock authorized for issuance.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 and 2017 we had 1.4 billion shares of common stock issued and outstanding.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were $1.52 and our total dividends paid on common stock were $2.1 billion, $2.2 billion and $2.3 billion for the years ended December 31, 2018, 2017 and 2016.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years ended December 31, 2018, 2017 and 2016 we purchased three million, 120 million and 77 million shares of our outstanding common stock for $100 million, $4.5 billion and $2.5 billion as part of the common stock repurchase program announced in March 2015, which our Board of Directors increased and extended in January 2016 and January 2017.</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2017 we had 22 million warrants outstanding that we issued in July 2009. The warrants are exercisable at any time prior to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2019 at an exercise price of $18.33 per share. We had 15 million warrants outstanding at December 31, 2018.</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 Financial Preferred Stock </w:t>
      </w:r>
      <w:r>
        <w:rPr>
          <w:rFonts w:ascii="Arial" w:cs="Arial" w:eastAsia="Arial" w:hAnsi="Arial"/>
          <w:sz w:val="17"/>
          <w:szCs w:val="17"/>
          <w:color w:val="auto"/>
        </w:rPr>
        <w:t>In September 2018 GM Financial issued $500 million of Fixed-to-Floating Rate Cumulative Perpetual Preferred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B, $0.01 par value, with a liquidation preference of $1,000 per share. The preferred stock is classified as noncontrolling interests in our consolidated financial statements. Dividends will be paid semi-annually when declared starting March 30, 2019 at a fixed rate of 6.50%.</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2017 GM Financial issued $1.0 billion of Fixed-to-Floating Rate Cumulative Perpetual Preferred Stock, Series A, $0.01 par value, with a liquidation preference of $1,000 per share. The preferred stock is classified as noncontrolling interests in our consolidated financial statements. Dividends are paid semi-annually when declared, which started March 30, 2018 at a fixed rate of 5.75%.</w:t>
      </w:r>
    </w:p>
    <w:p>
      <w:pPr>
        <w:spacing w:after="0" w:line="181"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GM Cruise Preferred Shares </w:t>
      </w:r>
      <w:r>
        <w:rPr>
          <w:rFonts w:ascii="Arial" w:cs="Arial" w:eastAsia="Arial" w:hAnsi="Arial"/>
          <w:sz w:val="16"/>
          <w:szCs w:val="16"/>
          <w:color w:val="auto"/>
        </w:rPr>
        <w:t>On May 31, 2018, we entered into a Purchase Agreement with The Vision Fund. The Vision Fund subsequently assigned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and obligations under the Purchase Agreement to SoftBank. In June 2018, at the closing of the transactions contemplated by the Purchase Agreement, GM Cruise Holdings, our subsidiary, issued $900 million of GM Cruise Preferred Shares to SoftBank, representing 10.9% of GM Cruise Holdings' equity at closing. Immediately prior to the issuance of the GM Cruise Preferred Shares, we invested $1.1 billion in GM Cruise Holdings. When GM Cruise's autonomous vehicles are ready for commercial deployment, SoftBank is obligated to purchase additional GM Cruise Preferred Shares for $1.35 billion, subject to regulatory approval, after which the GM Cruise Preferred Shares will represent 18.6% of GM Cruise Holdings’ equity. All proceeds are designated exclusively for working capital and general corporate purposes of GM Cruise. Dividends are cumulative and accrue at an annual rate of 7% and are payable quarterly in cash or in-kind, at GM Cruise's discretion. The GM Cruise Preferred Shares are also entitled to participate in GM Cruise dividends above a defined threshold. Prior to an initial public offering, SoftBank is restricted from transferring the GM Cruise Preferred Shares until June 28,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The GM Cruise Preferred Shares are convertible into common stock of GM Cruise Holdings, at specified exchange ratios, at the option of SoftBank or upon occurrence of an initial public offering. The GM Cruise Preferred Shares are entitled to receive the greater of their carrying value or a pro-rata share of any proceeds or distributions upon the occurrence of a merger, sale, liquidation, or dissolution of GM Cruise Holdings. Beginning on June 28, 2025, SoftBank has the option to convert all of the GM Cruise Preferred Shares into our common stock at a conversion ratio that is indexed to the fair value of GM Cruise Holdings at the time of conversion. We have the option to settle the conversion feature with our common shares or cash, and in certain situations with nonredeemable, nonconvertible preferred shares. Beginning on June 28, 2025, we can call all, but not less than all of the GM Cruise Preferred Shares held by SoftBank at an amount equal to the greater of the original investment amount plus accrued distributions paid in-kind and the fair value of GM Cruise Holdings at the time of conversion. The GM Cruise Preferred Shares are classified as noncontrolling interests in our consolidated financial statements.</w:t>
      </w:r>
    </w:p>
    <w:p>
      <w:pPr>
        <w:spacing w:after="0" w:line="166"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GM Cruise Common Shares </w:t>
      </w:r>
      <w:r>
        <w:rPr>
          <w:rFonts w:ascii="Arial" w:cs="Arial" w:eastAsia="Arial" w:hAnsi="Arial"/>
          <w:sz w:val="16"/>
          <w:szCs w:val="16"/>
          <w:color w:val="auto"/>
        </w:rPr>
        <w:t>In October 2018, GM Cruise Holdings entered into a Purchase Agreement with Honda, pursuant to which Honda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$750 million in GM Cruise Holdings in exchange for Class E Common Shares, representing 5.7% of the fully diluted equity of GM Cruise Holdings at closing. In addition, Honda agreed to contribute approximately $2.0 billion primarily in the form of a long-term annual fee to GM Cruise Holdings for certain rights to use GM Cruise Holdings' trade names and trademarks and the exclusive right to partner with GM Cruise Holdings to develop, deploy, and maintain a foreign market. The remaining contribution or funding will come in the form of shared development costs for a SAV that Honda, General Motors Holdings LLC and GM Cruise Holdings will jointly develop for deployment onto GM Cruise's autonomous vehicle network. All proceeds are designated exclusively for working capital and general corporate purposes of GM Cruise. At the later of October 3, 2025 or the termination of the commercial agreements between GM Cruise Holdings and Honda, GM Cruise Holdings can call all, but not less than all of the Class E Common Shares at an amount equal to the then fair value of GM Cruise Holdings. The Class E Common Shares are classified as noncontrolling interests in our consolidated financial statements.</w:t>
      </w:r>
    </w:p>
    <w:p>
      <w:pPr>
        <w:spacing w:after="0" w:line="16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Korea Preferred Shares </w:t>
      </w:r>
      <w:r>
        <w:rPr>
          <w:rFonts w:ascii="Arial" w:cs="Arial" w:eastAsia="Arial" w:hAnsi="Arial"/>
          <w:sz w:val="16"/>
          <w:szCs w:val="16"/>
          <w:color w:val="auto"/>
        </w:rPr>
        <w:t>In the year ended December 31, 2018 KDB purchased $720 million of GM Korea Preferred Shares. Dividends on the GM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Korea Preferred Shares are cumulative and accrue at an annual rate of 1%. GM Korea can call the preferred shares at their original issue price six years from the date of issuance and once called, the preferred shares can be converted into common shares of GM Korea at the option of the holder. The GM Korea Preferred Shares are classified as noncontrolling interests in our consolidated financial statements. The KDB investment proceeds can only be used for purposes of funding capital expenditures in GM Korea. In conjunction with the GM Korea Preferred Share issuance we agreed to provide GM Korea future funding, if needed, not to exceed $2.8 billion through December 31, 2027, inclusive of $2.0 billion of planned capital expenditures through 2027.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w w:val="93"/>
              </w:rPr>
              <w:t>Other comprehensive income (loss) and noncontrolling interests before reclassification adjustment, net of</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7"/>
                <w:szCs w:val="17"/>
                <w:color w:val="auto"/>
              </w:rPr>
              <w:t>tax and impact of adoption of accounting standards(a)(b)(c)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tax(a)</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Defined Benefit Plans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w w:val="92"/>
              </w:rPr>
              <w:t>Other comprehensive loss and noncontrolling interests before reclassification adjustment, net of impact of</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7"/>
                <w:szCs w:val="17"/>
                <w:color w:val="auto"/>
              </w:rPr>
              <w:t>adoption of accounting standards(b)(c)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ind w:left="20"/>
              <w:spacing w:after="0" w:line="192" w:lineRule="exact"/>
              <w:rPr>
                <w:sz w:val="20"/>
                <w:szCs w:val="20"/>
                <w:color w:val="auto"/>
              </w:rPr>
            </w:pPr>
            <w:r>
              <w:rPr>
                <w:rFonts w:ascii="Arial" w:cs="Arial" w:eastAsia="Arial" w:hAnsi="Arial"/>
                <w:sz w:val="17"/>
                <w:szCs w:val="17"/>
                <w:color w:val="auto"/>
                <w:w w:val="94"/>
              </w:rPr>
              <w:t>Other comprehensive loss and noncontrolling interests before reclassification adjustment, net of tax and</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7"/>
                <w:szCs w:val="17"/>
                <w:color w:val="auto"/>
              </w:rPr>
              <w:t>impact of adoption of accounting standards(b)(c)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570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period(e)</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6435"/>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2018, 2017 and 2016.</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noncontrolling interests are insignificant in the years ended December 31, 2018, 2017 and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Refer to Note 2 for additional information on adoption of accounting standards in 2018.</w:t>
      </w:r>
    </w:p>
    <w:p>
      <w:pPr>
        <w:spacing w:after="0" w:line="5" w:lineRule="exact"/>
        <w:rPr>
          <w:sz w:val="20"/>
          <w:szCs w:val="20"/>
          <w:color w:val="auto"/>
        </w:rPr>
      </w:pPr>
    </w:p>
    <w:p>
      <w:pPr>
        <w:jc w:val="both"/>
        <w:ind w:left="340" w:right="20" w:hanging="323"/>
        <w:spacing w:after="0" w:line="246" w:lineRule="auto"/>
        <w:tabs>
          <w:tab w:leader="none" w:pos="320" w:val="left"/>
        </w:tabs>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$1.2 billion is included in the loss on sale of the Opel/Vauxhall Business in the year ended December 31, 2017. An insignificant amount is included in the computation of periodic pension and OPEB (income) expense in the years ended December 31, 2018, 2017 and 2016.</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4"/>
          <w:szCs w:val="14"/>
          <w:color w:val="auto"/>
        </w:rPr>
        <w:t>Consists primarily of unamortized actuarial loss on our defined benefit plans. Refer to the critical accounting estimates section of our MD&amp;A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Basic and diluted earnings (loss) per share are computed by dividing Net income (loss) attributable to common stockholders by the weighted-average common shares outstanding in the period. Diluted earnings (loss) per share is computed by giving effect to all potentially dilutive securities that are outstanding.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r>
      <w:tr>
        <w:trPr>
          <w:trHeight w:val="270"/>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 – diluted(a)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9,427</w:t>
            </w:r>
          </w:p>
        </w:tc>
      </w:tr>
      <w:tr>
        <w:trPr>
          <w:trHeight w:val="270"/>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122"/>
        </w:trPr>
        <w:tc>
          <w:tcPr>
            <w:tcW w:w="7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Potentially dilutive securities(b)</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0"/>
        </w:trPr>
        <w:tc>
          <w:tcPr>
            <w:tcW w:w="744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of Net loss attributable to noncontrolling interests.</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RSUs were excluded from the computation of diluted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12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March 5, 2017 we entered into the Master Agreement to sell our European Business to PSA Group. On July 31, 2017 we closed the sale of our Opel/Vauxhall Business to PSA Group and on October 31, 2017 we closed the sale of the Fincos to Banque PSA Finance S.A. and BNP Paribas Personal Finance S.A. The net consideration paid at closing for the European Business was $2.5 billion, consisting of (1) $2.2 billion in cash; and (2) $808 million in warrants in PSA Group; partially offset by (3) a $455 million de-risking premium payment made to PSA Group for assuming certain underfunded pension liabilities. The warrants are not exercisable for five years from closing.</w:t>
      </w:r>
    </w:p>
    <w:p>
      <w:pPr>
        <w:spacing w:after="0" w:line="1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total charge from the sale of the European Business during the year ended December 31, 2017 was $6.2 billion, net of tax, of which $3.9 billion was recorded in Loss from discontinued operations, net of tax, and $2.3 billion was recorded in Income tax expense. The charge related to: (1) $4.3 billion of deferred tax assets that will no longer be realizable or that transferred to PSA Group; (2) $1.5 billion related to previously deferred pension losses and payment of the de-risking premium to PSA Group for its assumption of certain underfunded pension liabilities; (3) a pre-tax disposal loss of $525 million as a result of the sale of the Fincos, which included the recognition of $197 million of foreign currency translation losses; (4) a pre-tax charge of $421 million for the cancellation of production programs resulting from the convergence of vehicle platforms between our European Business and PSA Group; and (5) other insignificant costs to support the separation of operations provided for a period of time following closing; partially offset by proceeds.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41"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retained net underfunded pension liabilities of $6.8 billion owed primarily to current pensioners and former employees of the European Business with vested pension rights. PSA Group assumed, pursuant to the Agreement, approximately $3.1 billion of net underfunded pension liabilities primarily with respect to active employees of the Opel/Vauxhall Business, and during the year ended December 31, 2017 our wholly owned subsidiary (the Seller) made payments to PSA Group, or one or more pension funding vehicles, of $3.4 billion in respect of these assumed liabilities, which included pension funding payments for active employees and the de-risking premium payment of $455 million discussed above.</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the sale reduced our new vehicle presence in Europe, we may still be impacted by actions taken by regulators related to vehicles sold before the sale. In Germany, the Kraftfahrt-Bundesamt (KBA) issued an order in October 2018 converting Opel’s existing voluntary recall of certain vehicles into a mandatory recall for allegedly failing to comply with certain emissions regulations. In addition, at the KBA's request, the German authorities recently re-opened a separate criminal investigation that had previously been closed with no action. Opel is challenging the mandatory recall order of the KBA in court on the grounds that the emission control systems contained in the subject vehicles, have at all times complied with the regulations in place when the vehicles were manufactured, tested, approved and sold.</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Opel voluntarily recalled and serviced many of these vehicles between 2017 and 2018 at its own expense, and this expense should not be transferred to the Seller because it was undertaken voluntarily by Opel and accounted for at the time of the sale. However, the Seller may be obligated to indemnify PSA Group for certain additional expenses resulting from any mandatory recall that is actually implemented, including potential litigation costs, settlements, judgments and potential fines. We are unable to estimate any reasonably possible loss or range of loss that may result from this matter.</w:t>
      </w:r>
    </w:p>
    <w:p>
      <w:pPr>
        <w:spacing w:after="0" w:line="18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purchase from and supply to PSA Group certain vehicles for a period of time following closing. Total net sales and revenue of $1.9 billion and $853 million and purchases and expenses of $1.4 billion and $218 million related to transactions with the Opel/Vauxhall Business were included in continuing operations during the years ended December 31, 2018 and 2017. Cash payments of $1.8 billion and $242 million and cash receipts of $2.3 billion and $1.2 billion were recorded in Net cash provided by (used in) operating activities - continuing operations related to transactions with the Opel/Vauxhall Business during the years ended December 31, 2018 and 2017.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net sales and revenue</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c>
          <w:tcPr>
            <w:tcW w:w="5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19,704</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GM Financial net sales and revenue</w:t>
            </w:r>
          </w:p>
        </w:tc>
        <w:tc>
          <w:tcPr>
            <w:tcW w:w="8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20,256</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Automotive and other cost of sales</w:t>
            </w:r>
          </w:p>
        </w:tc>
        <w:tc>
          <w:tcPr>
            <w:tcW w:w="8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18,894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interest, operating and other expenses</w:t>
            </w: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Automotive and other selling, general, and administrative expense</w:t>
            </w:r>
          </w:p>
        </w:tc>
        <w:tc>
          <w:tcPr>
            <w:tcW w:w="88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items</w:t>
            </w: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Loss from discontinued operations before taxes</w:t>
            </w: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discontinued operations before taxes(a)(b)</w:t>
            </w: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78"/>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Total loss from discontinued operations before taxes</w:t>
            </w: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78"/>
              </w:rPr>
              <w:t>70</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(benefit)(b)(c)</w:t>
            </w: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78"/>
              </w:rPr>
              <w:t>70</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4,212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contract cancellation charges associated with the disposal for the year ended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loss on sale of discontinued operations, net of tax was $3.9 billion for the year ended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$2.0 billion of deferred tax assets that transferred to PSA Group in the year ended December 31, 2017.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Stock Incentive Awards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grant to certain employees RSUs, RSAs, PSUs and stock options (collectively, stock incentive awards) under our 2016 Equity Incentive Plan and 2017 Long-Term Incentive Plan (LTIP) and prior to the 2017 LTIP, under our 2014 LTIP. The 2017 LTIP was approved by stockholders in June 2017 and replaced the 2014 LTIP. Shares awarded under the plans are subject to forfeiture if the participant leaves the company for reasons other than those permitted under the plans such as retirement, death or disability.</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19 months to three years.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connection with our acquisition of Cruise Automation, Inc. in May 2016, RSAs and PSUs in common shares of GM were granted to employees of GM Cruise Holdings. The RSAs vest ratably, generally over a three-year service period. The PSUs are contingent upon achievement of specific technology and commercialization milestones.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January 1, 2018</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13.7</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outstanding at December 31, 2018(a)</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48.1</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target amount of PSUs.</w:t>
      </w:r>
    </w:p>
    <w:p>
      <w:pPr>
        <w:spacing w:after="0" w:line="20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weighted-average assumptions used to value our stock options are a dividend yield of 3.69% and 4.43%, expected volatility of 28.0% and 25.0%, a risk-free interest rate of 2.73% and 1.97%, and an expected option life of 5.98 and 5.84 years for options issued during the years ended December 31, 2018 and 2017. There were no stock options issued during the year ended December 31, 2016.</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Total compensation expense related to the above awards was $316 million, $585 million and $627 million in the years ended December 31, 2018, 2017 and 2016.</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2018 the total unrecognized compensation expense for nonvested equity awards granted was $208 million. This expense is expected to be recorded over a weighted-average period of 1.3 years. The total fair value of stock incentive awards vested was $317 million, $421 million and $325 million in the years ended December 31, 2018, 2017 and 2016.</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Cruise Stock Incentive Awards</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addition to the awards noted above, stock options and RSUs were granted to GM Cruise employees in common shares of GM Cruise Holdings in the year ended December 31, 2018. These awards were granted under the 2018 Employee Incentive Plan approved by GM Cruise Holdings' Board of Directors in August 2018. Shares awarded under the plan are subject to forfeiture if the participant leaves the company for reasons other than those permitted under the plan. There were no awards granted in GM Cruise common shares for the years ended December 31, 2017 and December 31, 2016. Stock options vest ratably over four to 10 years, as defined in the terms of each award. Stock options expire 10 years from the grant date. RSU awards granted vest upon the satisfaction of both a service condition and a liquidity condition. The service condition for the majority of these awards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4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satisfied over four years. The liquidity condition is satisfied upon the earlier of the date of a change in control transaction or the consummation of an initial public offering.</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Total compensation expense related to GM Cruise Holdings’ share-based awards was insignificant for the year ended December 31, 2018. As of December 31, 2018, no share-based compensation expense had been recognized for the RSUs because the liquidity condition described above was not met. Total unrecognized compensation expense for GM Cruise Holdings’ nonvested equity awards granted was $392 million at December 31, 2018, which included the RSUs for which the liquidity condition had not been met. The expense related to stock options is expected to be recorded over a weighted-average period of 8.5 years. The timing of the expense related to RSUs will depend upon the date of the satisfaction of the liquidity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38,399</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Automotive and other gross margin(a)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2,935</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Basic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Diluted earnings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79"/>
        </w:trPr>
        <w:tc>
          <w:tcPr>
            <w:tcW w:w="20" w:type="dxa"/>
            <w:vAlign w:val="bottom"/>
          </w:tcPr>
          <w:p>
            <w:pPr>
              <w:spacing w:after="0"/>
              <w:rPr>
                <w:sz w:val="15"/>
                <w:szCs w:val="15"/>
                <w:color w:val="auto"/>
              </w:rPr>
            </w:pPr>
          </w:p>
        </w:tc>
        <w:tc>
          <w:tcPr>
            <w:tcW w:w="650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6"/>
        </w:trPr>
        <w:tc>
          <w:tcPr>
            <w:tcW w:w="6520" w:type="dxa"/>
            <w:vAlign w:val="bottom"/>
            <w:gridSpan w:val="2"/>
          </w:tcPr>
          <w:p>
            <w:pPr>
              <w:spacing w:after="0"/>
              <w:rPr>
                <w:sz w:val="20"/>
                <w:szCs w:val="20"/>
                <w:color w:val="auto"/>
              </w:rPr>
            </w:pPr>
            <w:r>
              <w:rPr>
                <w:rFonts w:ascii="Arial" w:cs="Arial" w:eastAsia="Arial" w:hAnsi="Arial"/>
                <w:sz w:val="16"/>
                <w:szCs w:val="16"/>
                <w:color w:val="auto"/>
              </w:rPr>
              <w:t>(a)  Includes our GM Cruise segment.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6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2018 and June 30, 2018, we collectively recorded charges of $1.1 billion related to the closure of a facility and other restructuring actions in Korea. In the three months ended September 30, 2018 we recorded charges of $440 million for ignition switch related legal matters. In the three months ended December 31, 2018 we recorded charges of $1.3 billion related to transformation activities including employee separation, accelerated depreciation and other charges; and a non-recurring tax benefit of $1.0 billion related to foreign earnings.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37,715</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Automotive and other gross margin(a)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4,385</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277</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Basic earnings (loss)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Diluted earnings (loss) per common share –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common share –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179"/>
        </w:trPr>
        <w:tc>
          <w:tcPr>
            <w:tcW w:w="20" w:type="dxa"/>
            <w:vAlign w:val="bottom"/>
          </w:tcPr>
          <w:p>
            <w:pPr>
              <w:spacing w:after="0"/>
              <w:rPr>
                <w:sz w:val="15"/>
                <w:szCs w:val="15"/>
                <w:color w:val="auto"/>
              </w:rPr>
            </w:pPr>
          </w:p>
        </w:tc>
        <w:tc>
          <w:tcPr>
            <w:tcW w:w="650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6"/>
        </w:trPr>
        <w:tc>
          <w:tcPr>
            <w:tcW w:w="6520" w:type="dxa"/>
            <w:vAlign w:val="bottom"/>
            <w:gridSpan w:val="2"/>
          </w:tcPr>
          <w:p>
            <w:pPr>
              <w:spacing w:after="0"/>
              <w:rPr>
                <w:sz w:val="20"/>
                <w:szCs w:val="20"/>
                <w:color w:val="auto"/>
              </w:rPr>
            </w:pPr>
            <w:r>
              <w:rPr>
                <w:rFonts w:ascii="Arial" w:cs="Arial" w:eastAsia="Arial" w:hAnsi="Arial"/>
                <w:sz w:val="16"/>
                <w:szCs w:val="16"/>
                <w:color w:val="auto"/>
              </w:rPr>
              <w:t>(a)  Includes our GM Cruise segment.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9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June 30, 2017, September 30, 2017 and December 31, 2017, we collectively recorded a total charge of $6.2 billion as a result of the sale of the European Business, of which $3.9 billion is recorded in Loss from discontinued</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41"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net of tax, and $2.3 billion is related to Income tax expense. In the three months ended December 31, 2017, we recorded a $7.3 billion tax expense related to the U.S. tax reform legislation.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report segment information consistent with the way the chief operating decision maker evaluates the operating results and performance of the Company. As a result of the growing importance of our autonomous vehicle operations, we moved these operations from Corporate to GM Cruise and began presenting GM Cruise as a new reportable segment in the year ended December 31, 2018. Our GMNA, GMI and GM Financial segments were not significantly impacted. All periods presented have been recast to reflect the changes.</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We analyze the results of our business through the following segments: GMNA, GMI, GM Cruise and GM Financial. As discussed in Note 1,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and GM Cruise through EBIT-adjusted,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GM Cruise is our global segment responsible for the development and commercialization of autonomous vehicle technology, and includes autonomous vehicle-related engineering and other costs.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automotive operations' interest income and interest expense, Maven, legacy costs from the Opel/Vauxhall Business (primarily pension costs), corporate expenditures and certain nonsegment specific revenues and expenses are recorded centrally in Corporate. Corporate assets consist primarily of cash and cash equivalents, marketable securities, our investment in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b w:val="1"/>
                <w:bCs w:val="1"/>
                <w:color w:val="auto"/>
                <w:w w:val="91"/>
              </w:rPr>
              <w:t>At and For the Year Ended December 31, 2018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2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GMNA</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Total</w:t>
            </w:r>
          </w:p>
        </w:tc>
      </w:tr>
      <w:tr>
        <w:trPr>
          <w:trHeight w:val="27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113,792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19,148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133,143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14,016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147,049</w:t>
            </w:r>
          </w:p>
        </w:tc>
      </w:tr>
      <w:tr>
        <w:trPr>
          <w:trHeight w:val="148"/>
        </w:trPr>
        <w:tc>
          <w:tcPr>
            <w:tcW w:w="2380" w:type="dxa"/>
            <w:vAlign w:val="bottom"/>
          </w:tcPr>
          <w:p>
            <w:pPr>
              <w:ind w:left="20"/>
              <w:spacing w:after="0" w:line="148" w:lineRule="exact"/>
              <w:rPr>
                <w:sz w:val="20"/>
                <w:szCs w:val="20"/>
                <w:color w:val="auto"/>
              </w:rPr>
            </w:pPr>
            <w:r>
              <w:rPr>
                <w:rFonts w:ascii="Arial" w:cs="Arial" w:eastAsia="Arial" w:hAnsi="Arial"/>
                <w:sz w:val="13"/>
                <w:szCs w:val="13"/>
                <w:color w:val="auto"/>
                <w:w w:val="98"/>
              </w:rPr>
              <w:t>Earnings (loss) before interest and taxes-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238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10,769</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1,893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11,783</w:t>
            </w:r>
          </w:p>
        </w:tc>
      </w:tr>
      <w:tr>
        <w:trPr>
          <w:trHeight w:val="278"/>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(2,905)</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335</w:t>
            </w:r>
          </w:p>
        </w:tc>
      </w:tr>
      <w:tr>
        <w:trPr>
          <w:trHeight w:val="278"/>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(655)</w:t>
            </w:r>
          </w:p>
        </w:tc>
      </w:tr>
      <w:tr>
        <w:trPr>
          <w:trHeight w:val="148"/>
        </w:trPr>
        <w:tc>
          <w:tcPr>
            <w:tcW w:w="2380" w:type="dxa"/>
            <w:vAlign w:val="bottom"/>
          </w:tcPr>
          <w:p>
            <w:pPr>
              <w:ind w:left="20"/>
              <w:spacing w:after="0" w:line="148" w:lineRule="exact"/>
              <w:rPr>
                <w:sz w:val="20"/>
                <w:szCs w:val="20"/>
                <w:color w:val="auto"/>
              </w:rPr>
            </w:pPr>
            <w:r>
              <w:rPr>
                <w:rFonts w:ascii="Arial" w:cs="Arial" w:eastAsia="Arial" w:hAnsi="Arial"/>
                <w:sz w:val="13"/>
                <w:szCs w:val="13"/>
                <w:color w:val="auto"/>
              </w:rPr>
              <w:t>Net (loss) attributable to noncontrolling</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257"/>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8,549</w:t>
            </w:r>
          </w:p>
        </w:tc>
      </w:tr>
      <w:tr>
        <w:trPr>
          <w:trHeight w:val="264"/>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(474)</w:t>
            </w:r>
          </w:p>
        </w:tc>
      </w:tr>
      <w:tr>
        <w:trPr>
          <w:trHeight w:val="257"/>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8,075</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w w:val="90"/>
              </w:rPr>
              <w:t>Loss from discontinued operations, net of tax</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(70)</w:t>
            </w:r>
          </w:p>
        </w:tc>
      </w:tr>
      <w:tr>
        <w:trPr>
          <w:trHeight w:val="15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2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r>
      <w:tr>
        <w:trPr>
          <w:trHeight w:val="282"/>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8,014</w:t>
            </w:r>
          </w:p>
        </w:tc>
      </w:tr>
      <w:tr>
        <w:trPr>
          <w:trHeight w:val="103"/>
        </w:trPr>
        <w:tc>
          <w:tcPr>
            <w:tcW w:w="238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76"/>
        </w:trPr>
        <w:tc>
          <w:tcPr>
            <w:tcW w:w="2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9,215</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2,623</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3,552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5,579</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109,763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115,678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109,953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227,339</w:t>
            </w:r>
          </w:p>
        </w:tc>
      </w:tr>
      <w:tr>
        <w:trPr>
          <w:trHeight w:val="208"/>
        </w:trPr>
        <w:tc>
          <w:tcPr>
            <w:tcW w:w="238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7,784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8,686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8,761</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13,142</w:t>
            </w:r>
          </w:p>
        </w:tc>
      </w:tr>
      <w:tr>
        <w:trPr>
          <w:trHeight w:val="200"/>
        </w:trPr>
        <w:tc>
          <w:tcPr>
            <w:tcW w:w="238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527</w:t>
            </w:r>
          </w:p>
        </w:tc>
      </w:tr>
      <w:tr>
        <w:trPr>
          <w:trHeight w:val="216"/>
        </w:trPr>
        <w:tc>
          <w:tcPr>
            <w:tcW w:w="238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1,972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-126365</wp:posOffset>
            </wp:positionV>
            <wp:extent cx="71862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1371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line="239"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$1.2 billion in GMNA; charges of $1.2 billion related to restructuring actions in Korea and other countries in GMI; and charges of $440 million for ignition switch related legal matters and other insignificant charges in Corporate.</w:t>
      </w: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b w:val="1"/>
                <w:bCs w:val="1"/>
                <w:color w:val="auto"/>
                <w:w w:val="91"/>
              </w:rPr>
              <w:t>At and For the Year Ended December 31, 2017</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2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GMNA</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Total</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111,345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21,920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145,588</w:t>
            </w:r>
          </w:p>
        </w:tc>
      </w:tr>
      <w:tr>
        <w:trPr>
          <w:trHeight w:val="148"/>
        </w:trPr>
        <w:tc>
          <w:tcPr>
            <w:tcW w:w="2380" w:type="dxa"/>
            <w:vAlign w:val="bottom"/>
          </w:tcPr>
          <w:p>
            <w:pPr>
              <w:ind w:left="20"/>
              <w:spacing w:after="0" w:line="148" w:lineRule="exact"/>
              <w:rPr>
                <w:sz w:val="20"/>
                <w:szCs w:val="20"/>
                <w:color w:val="auto"/>
              </w:rPr>
            </w:pPr>
            <w:r>
              <w:rPr>
                <w:rFonts w:ascii="Arial" w:cs="Arial" w:eastAsia="Arial" w:hAnsi="Arial"/>
                <w:sz w:val="13"/>
                <w:szCs w:val="13"/>
                <w:color w:val="auto"/>
                <w:w w:val="98"/>
              </w:rPr>
              <w:t>Earnings (loss) before interest and taxes-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238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11,889</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1,300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12,268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1,196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12,844</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(654)</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266</w:t>
            </w:r>
          </w:p>
        </w:tc>
      </w:tr>
      <w:tr>
        <w:trPr>
          <w:trHeight w:val="278"/>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(575)</w:t>
            </w:r>
          </w:p>
        </w:tc>
      </w:tr>
      <w:tr>
        <w:trPr>
          <w:trHeight w:val="148"/>
        </w:trPr>
        <w:tc>
          <w:tcPr>
            <w:tcW w:w="2380" w:type="dxa"/>
            <w:vAlign w:val="bottom"/>
          </w:tcPr>
          <w:p>
            <w:pPr>
              <w:ind w:left="20"/>
              <w:spacing w:after="0" w:line="148" w:lineRule="exact"/>
              <w:rPr>
                <w:sz w:val="20"/>
                <w:szCs w:val="20"/>
                <w:color w:val="auto"/>
              </w:rPr>
            </w:pPr>
            <w:r>
              <w:rPr>
                <w:rFonts w:ascii="Arial" w:cs="Arial" w:eastAsia="Arial" w:hAnsi="Arial"/>
                <w:sz w:val="13"/>
                <w:szCs w:val="13"/>
                <w:color w:val="auto"/>
              </w:rPr>
              <w:t>Net (loss) attributable to noncontrolling</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0"/>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r>
      <w:tr>
        <w:trPr>
          <w:trHeight w:val="257"/>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11,863</w:t>
            </w:r>
          </w:p>
        </w:tc>
      </w:tr>
      <w:tr>
        <w:trPr>
          <w:trHeight w:val="264"/>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(11,533)</w:t>
            </w:r>
          </w:p>
        </w:tc>
      </w:tr>
      <w:tr>
        <w:trPr>
          <w:trHeight w:val="257"/>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330</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w w:val="90"/>
              </w:rPr>
              <w:t>Loss from discontinued operations, net of tax</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(4,212)</w:t>
            </w:r>
          </w:p>
        </w:tc>
      </w:tr>
      <w:tr>
        <w:trPr>
          <w:trHeight w:val="15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2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r>
      <w:tr>
        <w:trPr>
          <w:trHeight w:val="282"/>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stockholders</w:t>
            </w: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(3,864)</w:t>
            </w:r>
          </w:p>
        </w:tc>
      </w:tr>
      <w:tr>
        <w:trPr>
          <w:trHeight w:val="103"/>
        </w:trPr>
        <w:tc>
          <w:tcPr>
            <w:tcW w:w="238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76"/>
        </w:trPr>
        <w:tc>
          <w:tcPr>
            <w:tcW w:w="2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w:t>
            </w:r>
          </w:p>
        </w:tc>
      </w:tr>
      <w:tr>
        <w:trPr>
          <w:trHeight w:val="262"/>
        </w:trPr>
        <w:tc>
          <w:tcPr>
            <w:tcW w:w="238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2,819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973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3,803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5,849</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99,874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27,712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(42,750)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115,409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97,251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212,482</w:t>
            </w:r>
          </w:p>
        </w:tc>
      </w:tr>
      <w:tr>
        <w:trPr>
          <w:trHeight w:val="208"/>
        </w:trPr>
        <w:tc>
          <w:tcPr>
            <w:tcW w:w="238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7,704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607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8,453</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11,967</w:t>
            </w:r>
          </w:p>
        </w:tc>
      </w:tr>
      <w:tr>
        <w:trPr>
          <w:trHeight w:val="200"/>
        </w:trPr>
        <w:tc>
          <w:tcPr>
            <w:tcW w:w="238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294</w:t>
            </w:r>
          </w:p>
        </w:tc>
      </w:tr>
      <w:tr>
        <w:trPr>
          <w:trHeight w:val="216"/>
        </w:trPr>
        <w:tc>
          <w:tcPr>
            <w:tcW w:w="238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1,951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-126365</wp:posOffset>
            </wp:positionV>
            <wp:extent cx="71862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1371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right="20" w:hanging="332"/>
        <w:spacing w:after="0" w:line="239"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ignition switch related legal matters in Corporate.</w:t>
      </w:r>
    </w:p>
    <w:p>
      <w:pPr>
        <w:sectPr>
          <w:pgSz w:w="11900" w:h="16838" w:orient="portrait"/>
          <w:cols w:equalWidth="0" w:num="1">
            <w:col w:w="11420"/>
          </w:cols>
          <w:pgMar w:left="240" w:top="341"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341"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w w:val="91"/>
              </w:rPr>
              <w:t>At and For the Year Ended December 31, 2016</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4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Total</w:t>
            </w:r>
          </w:p>
        </w:tc>
      </w:tr>
      <w:tr>
        <w:trPr>
          <w:trHeight w:val="216"/>
        </w:trPr>
        <w:tc>
          <w:tcPr>
            <w:tcW w:w="40" w:type="dxa"/>
            <w:vAlign w:val="bottom"/>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119,113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149,184</w:t>
            </w:r>
          </w:p>
        </w:tc>
      </w:tr>
      <w:tr>
        <w:trPr>
          <w:trHeight w:val="148"/>
        </w:trPr>
        <w:tc>
          <w:tcPr>
            <w:tcW w:w="4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12,388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767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12,253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12,848</w:t>
            </w:r>
          </w:p>
        </w:tc>
      </w:tr>
      <w:tr>
        <w:trPr>
          <w:trHeight w:val="224"/>
        </w:trPr>
        <w:tc>
          <w:tcPr>
            <w:tcW w:w="4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w:t>
            </w:r>
          </w:p>
        </w:tc>
      </w:tr>
      <w:tr>
        <w:trPr>
          <w:trHeight w:val="262"/>
        </w:trPr>
        <w:tc>
          <w:tcPr>
            <w:tcW w:w="4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182</w:t>
            </w:r>
          </w:p>
        </w:tc>
      </w:tr>
      <w:tr>
        <w:trPr>
          <w:trHeight w:val="278"/>
        </w:trPr>
        <w:tc>
          <w:tcPr>
            <w:tcW w:w="40" w:type="dxa"/>
            <w:vAlign w:val="bottom"/>
          </w:tcPr>
          <w:p>
            <w:pPr>
              <w:spacing w:after="0"/>
              <w:rPr>
                <w:sz w:val="24"/>
                <w:szCs w:val="2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(563)</w:t>
            </w:r>
          </w:p>
        </w:tc>
      </w:tr>
      <w:tr>
        <w:trPr>
          <w:trHeight w:val="148"/>
        </w:trPr>
        <w:tc>
          <w:tcPr>
            <w:tcW w:w="40" w:type="dxa"/>
            <w:vAlign w:val="bottom"/>
          </w:tcPr>
          <w:p>
            <w:pPr>
              <w:spacing w:after="0"/>
              <w:rPr>
                <w:sz w:val="12"/>
                <w:szCs w:val="12"/>
                <w:color w:val="auto"/>
              </w:rPr>
            </w:pPr>
          </w:p>
        </w:tc>
        <w:tc>
          <w:tcPr>
            <w:tcW w:w="2400" w:type="dxa"/>
            <w:vAlign w:val="bottom"/>
          </w:tcPr>
          <w:p>
            <w:pPr>
              <w:ind w:left="20"/>
              <w:spacing w:after="0" w:line="148" w:lineRule="exact"/>
              <w:rPr>
                <w:sz w:val="20"/>
                <w:szCs w:val="20"/>
                <w:color w:val="auto"/>
              </w:rPr>
            </w:pPr>
            <w:r>
              <w:rPr>
                <w:rFonts w:ascii="Arial" w:cs="Arial" w:eastAsia="Arial" w:hAnsi="Arial"/>
                <w:sz w:val="13"/>
                <w:szCs w:val="13"/>
                <w:color w:val="auto"/>
              </w:rPr>
              <w:t>Net (loss) attributable to 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0"/>
        </w:trPr>
        <w:tc>
          <w:tcPr>
            <w:tcW w:w="40" w:type="dxa"/>
            <w:vAlign w:val="bottom"/>
          </w:tcPr>
          <w:p>
            <w:pPr>
              <w:spacing w:after="0"/>
              <w:rPr>
                <w:sz w:val="14"/>
                <w:szCs w:val="14"/>
                <w:color w:val="auto"/>
              </w:rPr>
            </w:pPr>
          </w:p>
        </w:tc>
        <w:tc>
          <w:tcPr>
            <w:tcW w:w="2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(159)</w:t>
            </w:r>
          </w:p>
        </w:tc>
      </w:tr>
      <w:tr>
        <w:trPr>
          <w:trHeight w:val="257"/>
        </w:trPr>
        <w:tc>
          <w:tcPr>
            <w:tcW w:w="40" w:type="dxa"/>
            <w:vAlign w:val="bottom"/>
          </w:tcPr>
          <w:p>
            <w:pPr>
              <w:spacing w:after="0"/>
              <w:rPr>
                <w:sz w:val="22"/>
                <w:szCs w:val="2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12,008</w:t>
            </w:r>
          </w:p>
        </w:tc>
      </w:tr>
      <w:tr>
        <w:trPr>
          <w:trHeight w:val="264"/>
        </w:trPr>
        <w:tc>
          <w:tcPr>
            <w:tcW w:w="40" w:type="dxa"/>
            <w:vAlign w:val="bottom"/>
          </w:tcPr>
          <w:p>
            <w:pPr>
              <w:spacing w:after="0"/>
              <w:rPr>
                <w:sz w:val="22"/>
                <w:szCs w:val="22"/>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(2,739)</w:t>
            </w:r>
          </w:p>
        </w:tc>
      </w:tr>
      <w:tr>
        <w:trPr>
          <w:trHeight w:val="257"/>
        </w:trPr>
        <w:tc>
          <w:tcPr>
            <w:tcW w:w="40" w:type="dxa"/>
            <w:vAlign w:val="bottom"/>
          </w:tcPr>
          <w:p>
            <w:pPr>
              <w:spacing w:after="0"/>
              <w:rPr>
                <w:sz w:val="22"/>
                <w:szCs w:val="2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9,269</w:t>
            </w:r>
          </w:p>
        </w:tc>
      </w:tr>
      <w:tr>
        <w:trPr>
          <w:trHeight w:val="262"/>
        </w:trPr>
        <w:tc>
          <w:tcPr>
            <w:tcW w:w="4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w w:val="91"/>
              </w:rPr>
              <w:t>Loss from discontinued operations, net of tax</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156"/>
        </w:trPr>
        <w:tc>
          <w:tcPr>
            <w:tcW w:w="40" w:type="dxa"/>
            <w:vAlign w:val="bottom"/>
          </w:tcPr>
          <w:p>
            <w:pPr>
              <w:spacing w:after="0"/>
              <w:rPr>
                <w:sz w:val="13"/>
                <w:szCs w:val="1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40" w:type="dxa"/>
            <w:vAlign w:val="bottom"/>
          </w:tcPr>
          <w:p>
            <w:pPr>
              <w:spacing w:after="0"/>
              <w:rPr>
                <w:sz w:val="14"/>
                <w:szCs w:val="14"/>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159</w:t>
            </w:r>
          </w:p>
        </w:tc>
      </w:tr>
      <w:tr>
        <w:trPr>
          <w:trHeight w:val="282"/>
        </w:trPr>
        <w:tc>
          <w:tcPr>
            <w:tcW w:w="40" w:type="dxa"/>
            <w:vAlign w:val="bottom"/>
          </w:tcPr>
          <w:p>
            <w:pPr>
              <w:spacing w:after="0"/>
              <w:rPr>
                <w:sz w:val="24"/>
                <w:szCs w:val="24"/>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9,427</w:t>
            </w:r>
          </w:p>
        </w:tc>
      </w:tr>
      <w:tr>
        <w:trPr>
          <w:trHeight w:val="103"/>
        </w:trPr>
        <w:tc>
          <w:tcPr>
            <w:tcW w:w="40" w:type="dxa"/>
            <w:vAlign w:val="bottom"/>
          </w:tcPr>
          <w:p>
            <w:pPr>
              <w:spacing w:after="0"/>
              <w:rPr>
                <w:sz w:val="8"/>
                <w:szCs w:val="8"/>
                <w:color w:val="auto"/>
              </w:rPr>
            </w:pPr>
          </w:p>
        </w:tc>
        <w:tc>
          <w:tcPr>
            <w:tcW w:w="240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Equity in net assets of nonconsolidated</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76"/>
        </w:trPr>
        <w:tc>
          <w:tcPr>
            <w:tcW w:w="4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8,996</w:t>
            </w:r>
          </w:p>
        </w:tc>
      </w:tr>
      <w:tr>
        <w:trPr>
          <w:trHeight w:val="262"/>
        </w:trPr>
        <w:tc>
          <w:tcPr>
            <w:tcW w:w="4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3,128</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6,149</w:t>
            </w:r>
          </w:p>
        </w:tc>
      </w:tr>
      <w:tr>
        <w:trPr>
          <w:trHeight w:val="224"/>
        </w:trPr>
        <w:tc>
          <w:tcPr>
            <w:tcW w:w="4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103,908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134,507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221,690</w:t>
            </w:r>
          </w:p>
        </w:tc>
      </w:tr>
      <w:tr>
        <w:trPr>
          <w:trHeight w:val="208"/>
        </w:trPr>
        <w:tc>
          <w:tcPr>
            <w:tcW w:w="4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7,338</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943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8,384</w:t>
            </w:r>
          </w:p>
        </w:tc>
      </w:tr>
      <w:tr>
        <w:trPr>
          <w:trHeight w:val="224"/>
        </w:trPr>
        <w:tc>
          <w:tcPr>
            <w:tcW w:w="4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9,686</w:t>
            </w:r>
          </w:p>
        </w:tc>
      </w:tr>
      <w:tr>
        <w:trPr>
          <w:trHeight w:val="208"/>
        </w:trPr>
        <w:tc>
          <w:tcPr>
            <w:tcW w:w="4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133</w:t>
            </w:r>
          </w:p>
        </w:tc>
      </w:tr>
      <w:tr>
        <w:trPr>
          <w:trHeight w:val="224"/>
        </w:trPr>
        <w:tc>
          <w:tcPr>
            <w:tcW w:w="4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2,282</w:t>
            </w:r>
          </w:p>
        </w:tc>
      </w:tr>
      <w:tr>
        <w:trPr>
          <w:trHeight w:val="144"/>
        </w:trPr>
        <w:tc>
          <w:tcPr>
            <w:tcW w:w="40" w:type="dxa"/>
            <w:vAlign w:val="bottom"/>
          </w:tcPr>
          <w:p>
            <w:pPr>
              <w:spacing w:after="0"/>
              <w:rPr>
                <w:sz w:val="12"/>
                <w:szCs w:val="12"/>
                <w:color w:val="auto"/>
              </w:rPr>
            </w:pPr>
          </w:p>
        </w:tc>
        <w:tc>
          <w:tcPr>
            <w:tcW w:w="240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ind w:left="340" w:hanging="332"/>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a net charge of $300 million for ignition switch related legal matters.</w:t>
      </w:r>
    </w:p>
    <w:p>
      <w:pPr>
        <w:ind w:left="340" w:hanging="332"/>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Assets in Corporate and GM Financial include assets classified as held for sale.</w:t>
      </w:r>
    </w:p>
    <w:p>
      <w:pPr>
        <w:spacing w:after="0" w:line="13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At and For the Years Ended December 31,</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60" w:type="dxa"/>
            <w:vAlign w:val="bottom"/>
          </w:tcPr>
          <w:p>
            <w:pPr>
              <w:spacing w:after="0"/>
              <w:rPr>
                <w:sz w:val="13"/>
                <w:szCs w:val="13"/>
                <w:color w:val="auto"/>
              </w:rPr>
            </w:pPr>
          </w:p>
        </w:tc>
        <w:tc>
          <w:tcPr>
            <w:tcW w:w="10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3"/>
              </w:rPr>
              <w:t>Net Sales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104,413</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100,674</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110,661</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32,506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147,049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80,329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149,184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68,055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Supplemental Information for the Consolidated Statements of Cash Flows</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Change in other operating assets and liabilities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Wholesale receivables funded by GM Financial,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3,195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1,209</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income taxes,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1,761</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4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December 31, 2018.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December 31, 2018.</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72"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2018,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2018. Based on management's assessment, we have concluded that our internal control over financial reporting was effective at December 31, 2018.</w:t>
      </w:r>
    </w:p>
    <w:p>
      <w:pPr>
        <w:spacing w:after="0" w:line="171"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an independent registered public accounting firm, as stated in its report which is included herein.</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December 31, 2018 that have materially affected, or are reasonably likely to materially affect, our internal control over financial reporting.</w:t>
      </w:r>
    </w:p>
    <w:p>
      <w:pPr>
        <w:spacing w:after="0" w:line="12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2019, we are enhancing our close, consolidation, planning and reporting processes through the implementation of a suite of new systems and system architectures. This new suite of systems will allow for increased agility, efficiency, and integration of data across the organization. We are using a phased implementation approach in which the first phase, implemented as of January 1, 2019, impacts our forecast and planning processes, inclusive of our year-over-year operating result changes discussed in the MD&amp;A. The second phase, planned for implementation later in 2019, will impact our close, consolidation, financial reporting processes and related internal controls. For additional information refer to Item 1A. Risk Factors.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DHIVYA SURYADEVARA</w:t>
            </w:r>
          </w:p>
        </w:tc>
      </w:tr>
      <w:tr>
        <w:trPr>
          <w:trHeight w:val="27"/>
        </w:trPr>
        <w:tc>
          <w:tcPr>
            <w:tcW w:w="34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44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Dhivya Suryadevara</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6, 2019</w:t>
            </w:r>
          </w:p>
        </w:tc>
        <w:tc>
          <w:tcPr>
            <w:tcW w:w="30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6, 2019</w:t>
            </w:r>
          </w:p>
        </w:tc>
      </w:tr>
      <w:tr>
        <w:trPr>
          <w:trHeight w:val="459"/>
        </w:trPr>
        <w:tc>
          <w:tcPr>
            <w:tcW w:w="3440" w:type="dxa"/>
            <w:vAlign w:val="bottom"/>
          </w:tcPr>
          <w:p>
            <w:pPr>
              <w:spacing w:after="0"/>
              <w:rPr>
                <w:sz w:val="24"/>
                <w:szCs w:val="24"/>
                <w:color w:val="auto"/>
              </w:rPr>
            </w:pP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r>
        <w:trPr>
          <w:trHeight w:val="891"/>
        </w:trPr>
        <w:tc>
          <w:tcPr>
            <w:tcW w:w="3440" w:type="dxa"/>
            <w:vAlign w:val="bottom"/>
          </w:tcPr>
          <w:p>
            <w:pPr>
              <w:spacing w:after="0"/>
              <w:rPr>
                <w:sz w:val="24"/>
                <w:szCs w:val="24"/>
                <w:color w:val="auto"/>
              </w:rPr>
            </w:pPr>
          </w:p>
        </w:tc>
        <w:tc>
          <w:tcPr>
            <w:tcW w:w="3080" w:type="dxa"/>
            <w:vAlign w:val="bottom"/>
          </w:tcPr>
          <w:p>
            <w:pPr>
              <w:jc w:val="right"/>
              <w:ind w:right="630"/>
              <w:spacing w:after="0"/>
              <w:rPr>
                <w:sz w:val="20"/>
                <w:szCs w:val="20"/>
                <w:color w:val="auto"/>
              </w:rPr>
            </w:pPr>
            <w:r>
              <w:rPr>
                <w:rFonts w:ascii="Arial" w:cs="Arial" w:eastAsia="Arial" w:hAnsi="Arial"/>
                <w:sz w:val="18"/>
                <w:szCs w:val="18"/>
                <w:color w:val="auto"/>
              </w:rPr>
              <w:t>98</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02" w:name="page103"/>
    <w:bookmarkEnd w:id="10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As was previously announced by GM on November 29, 2018, effective January 1, 2019, Dan Ammann transitioned from President of GM to Chief Executive Officer of GM Cruise Holdings.</w:t>
      </w:r>
    </w:p>
    <w:p>
      <w:pPr>
        <w:spacing w:after="0" w:line="116"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color w:val="auto"/>
        </w:rPr>
        <w:t>While Mr. Ammann is an employee of GM Cruise Holdings, all awards granted under GM's 2014 LTIP and 2017 LTIP (the Plans) will continue to vest per the terms of the award agreements. In the event of Mr. Ammann's involuntary termination of employment for reasons other than "Cause" (as defined in the Plans), following such transfer, all awards shall continue to vest under the normal conditions as outlined in the award agreements. For any other termination other than disability, death or full career status, all awards will be forfeited per the terms of the Plans. Also, other than an award for service in 2018 as President of GM, while Mr. Ammann is an employee of GM Cruise Holdings, he will not receive an annual award under the 2017 Short-Term Incentive Plan, GM's annual cash incentive plan, the terms of which have been previously disclosed and filed by GM. He will receive a base salary at a level consistent with his seniority and scope of responsibility as CEO of GM Cruise Holdings.</w:t>
      </w:r>
    </w:p>
    <w:p>
      <w:pPr>
        <w:spacing w:after="0" w:line="124" w:lineRule="exact"/>
        <w:rPr>
          <w:sz w:val="20"/>
          <w:szCs w:val="20"/>
          <w:color w:val="auto"/>
        </w:rPr>
      </w:pPr>
    </w:p>
    <w:p>
      <w:pPr>
        <w:jc w:val="both"/>
        <w:ind w:right="20" w:firstLine="216"/>
        <w:spacing w:after="0" w:line="342" w:lineRule="auto"/>
        <w:rPr>
          <w:sz w:val="20"/>
          <w:szCs w:val="20"/>
          <w:color w:val="auto"/>
        </w:rPr>
      </w:pPr>
      <w:r>
        <w:rPr>
          <w:rFonts w:ascii="Arial" w:cs="Arial" w:eastAsia="Arial" w:hAnsi="Arial"/>
          <w:sz w:val="16"/>
          <w:szCs w:val="16"/>
          <w:color w:val="auto"/>
        </w:rPr>
        <w:t>On February 4, 2019, the Compensation Committee of the Board of Directors (Cruise Board) of GM Cruise Holdings granted RSUs for 16,914 GM Cruise Common Shares and stock options for 101,485 GM Cruise Common Shares to Dan Ammann under the GM Cruise Holdings 2018 Employee Incentive Plan.</w:t>
      </w:r>
    </w:p>
    <w:p>
      <w:pPr>
        <w:spacing w:after="0" w:line="70"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Vesting of the RSUs is conditioned on satisfaction of a time and service-based requirement (Time-Vesting Condition) and a liquidity event requirement (Performance-Vesting Condition). The Time-Vesting Condition will be satisfied with respect to: (1) 10.0% of the GM Cruise Common Shares on January 15, 2020; (2) 2.5% of the GM Cruise Common Shares on the 15th day of each calendar quarter thereafter; and (3) the final 5.0% vesting on October 15, 2028, provided Mr. Ammann remains a service provider of GM Cruise Holdings on each applicable vesting date. The Time-Vesting Condition will be satisfied as to 100% of the RSUs if the fair market value of the GM Cruise Common Shares meets a certain threshold, as determined by the Cruise Board. The Performance-Vesting Condition will be satisfied upon the earlier to occur of a change in control of GM Cruise Holdings and consummation of an initial public offering of GM Cruise Holdings. The RSUs will not vest unless a change of control or initial public offering occurs before the 10th anniversary of the date of grant of the RSUs. In the event of Mr. Ammann's involuntary termination for reasons other than "Cause" (as defined in his RSU award agreement), the RSUs shall be subject to accelerated vesting in the amount of RSUs that would have become vested had Mr. Ammann remained employed by GM Cruise Holdings for an additional 12 months following the date of termination.</w:t>
      </w:r>
    </w:p>
    <w:p>
      <w:pPr>
        <w:spacing w:after="0" w:line="1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stock options will vest and become exercisable with respect to: (1) 10.0% of the aggregate GM Cruise Common Shares on January 15, 2020; (2) 2.5% of the aggregate GM Cruise Common Shares on the 15th day of each calendar quarter thereafter; and (3) the final 5.0% vesting on October 15, 2028, provided Mr. Ammann remains a service provider of GM Cruise Holdings on each applicable vesting date. In the event Mr. Ammann's involuntary termination for reasons other than "Cause" (as defined in his stock options award agreement), Mr. Ammann shall be eligible to receive the following: (1) continued payment of his base salary for 12 months following the date of termination; and (2) the stock options shall accelerate and become eligible for immediate exercisability in an amount equal to the number of stock options that would have vested had Mr. Ammann remained employed by GM Cruise Holdings for an additional 12 months following the date of termination.</w:t>
      </w:r>
    </w:p>
    <w:p>
      <w:pPr>
        <w:spacing w:after="0" w:line="135"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RSUs and stock options are subject to the following restrictive covenants: (1) nonsolicitation and noninterference with business relationships; (2) nonsolicitation and noninterference with covered persons; (3) false statements of fact; and (4) confidential information. The RSUs and stock options are also subject to the other terms and conditions of the Employee Incentive Plan.</w:t>
      </w:r>
    </w:p>
    <w:p>
      <w:pPr>
        <w:spacing w:after="0" w:line="12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foregoing description of the RSUs and the stock options does not purport to be complete and is subject, and qualified in its entirety by reference, to the award agreements and Employee Incentive Plan filed herewith as Exhibits 10.20 - 10.22.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Information required by Items 10, 11, 12, 13 and 14 of this Form 10-K is incorporated by reference from our definitive Proxy Statement for our 2019 Annual Meeting of Stockholders, which will be filed with the SEC, pursuant to Regulation 14A, not later than 120 days after the end of the 2018 fiscal year, all of which information is hereby incorporated by reference in, and made part of, this Form 10-K, except disclosure of our executive officers, which is included in Item 1 of this report.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1" w:right="239" w:bottom="1440" w:gutter="0" w:footer="0" w:header="0"/>
        </w:sectPr>
      </w:pPr>
    </w:p>
    <w:bookmarkStart w:id="104" w:name="page105"/>
    <w:bookmarkEnd w:id="10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ind w:left="840" w:hanging="184"/>
        <w:spacing w:after="0"/>
        <w:tabs>
          <w:tab w:leader="none" w:pos="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60" w:type="dxa"/>
            <w:vAlign w:val="bottom"/>
            <w:gridSpan w:val="29"/>
            <w:vMerge w:val="restart"/>
          </w:tcPr>
          <w:p>
            <w:pPr>
              <w:ind w:left="98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60" w:type="dxa"/>
            <w:vAlign w:val="bottom"/>
            <w:gridSpan w:val="29"/>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140" w:type="dxa"/>
            <w:vAlign w:val="bottom"/>
            <w:tcBorders>
              <w:top w:val="single" w:sz="8" w:color="auto"/>
              <w:bottom w:val="single" w:sz="8" w:color="0000FF"/>
            </w:tcBorders>
            <w:gridSpan w:val="21"/>
            <w:shd w:val="clear" w:color="auto" w:fill="CCEEFF"/>
          </w:tcPr>
          <w:p>
            <w:pPr>
              <w:spacing w:after="0"/>
              <w:rPr>
                <w:rFonts w:ascii="Arial" w:cs="Arial" w:eastAsia="Arial" w:hAnsi="Arial"/>
                <w:sz w:val="16"/>
                <w:szCs w:val="16"/>
                <w:color w:val="0000FF"/>
                <w:w w:val="92"/>
              </w:rPr>
            </w:pPr>
            <w:hyperlink r:id="rId30">
              <w:r>
                <w:rPr>
                  <w:rFonts w:ascii="Arial" w:cs="Arial" w:eastAsia="Arial" w:hAnsi="Arial"/>
                  <w:sz w:val="16"/>
                  <w:szCs w:val="16"/>
                  <w:color w:val="0000FF"/>
                  <w:w w:val="92"/>
                </w:rPr>
                <w:t>Underwriting Agreement, dated February 27, 2018, by and among General Motors Company, UAW Retiree Medical Benefits</w:t>
              </w:r>
            </w:hyperlink>
          </w:p>
        </w:tc>
        <w:tc>
          <w:tcPr>
            <w:tcW w:w="340" w:type="dxa"/>
            <w:vAlign w:val="bottom"/>
            <w:tcBorders>
              <w:top w:val="single" w:sz="8" w:color="auto"/>
              <w:bottom w:val="single" w:sz="8" w:color="CCEEFF"/>
            </w:tcBorders>
            <w:gridSpan w:val="12"/>
            <w:shd w:val="clear" w:color="auto" w:fill="CCEEFF"/>
          </w:tcPr>
          <w:p>
            <w:pPr>
              <w:spacing w:after="0"/>
              <w:rPr>
                <w:sz w:val="16"/>
                <w:szCs w:val="16"/>
                <w:color w:val="auto"/>
              </w:rPr>
            </w:pPr>
          </w:p>
        </w:tc>
        <w:tc>
          <w:tcPr>
            <w:tcW w:w="1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33"/>
            <w:shd w:val="clear" w:color="auto" w:fill="CCEEFF"/>
          </w:tcPr>
          <w:p>
            <w:pPr>
              <w:spacing w:after="0" w:line="183" w:lineRule="exact"/>
              <w:rPr>
                <w:rFonts w:ascii="Arial" w:cs="Arial" w:eastAsia="Arial" w:hAnsi="Arial"/>
                <w:sz w:val="16"/>
                <w:szCs w:val="16"/>
                <w:color w:val="0000FF"/>
                <w:w w:val="94"/>
              </w:rPr>
            </w:pPr>
            <w:hyperlink r:id="rId30">
              <w:r>
                <w:rPr>
                  <w:rFonts w:ascii="Arial" w:cs="Arial" w:eastAsia="Arial" w:hAnsi="Arial"/>
                  <w:sz w:val="16"/>
                  <w:szCs w:val="16"/>
                  <w:color w:val="0000FF"/>
                  <w:w w:val="94"/>
                </w:rPr>
                <w:t>Trust and Citigroup Global Markets Inc. and Barclays Capital Inc., incorporated herein by reference to Exhibit 1.1 to the Current</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560" w:type="dxa"/>
            <w:vAlign w:val="bottom"/>
            <w:tcBorders>
              <w:top w:val="single" w:sz="8" w:color="0000FF"/>
              <w:bottom w:val="single" w:sz="8" w:color="0000FF"/>
            </w:tcBorders>
            <w:gridSpan w:val="5"/>
            <w:shd w:val="clear" w:color="auto" w:fill="CCEEFF"/>
          </w:tcPr>
          <w:p>
            <w:pPr>
              <w:spacing w:after="0" w:line="183" w:lineRule="exact"/>
              <w:rPr>
                <w:rFonts w:ascii="Arial" w:cs="Arial" w:eastAsia="Arial" w:hAnsi="Arial"/>
                <w:sz w:val="16"/>
                <w:szCs w:val="16"/>
                <w:color w:val="0000FF"/>
                <w:w w:val="93"/>
              </w:rPr>
            </w:pPr>
            <w:hyperlink r:id="rId30">
              <w:r>
                <w:rPr>
                  <w:rFonts w:ascii="Arial" w:cs="Arial" w:eastAsia="Arial" w:hAnsi="Arial"/>
                  <w:sz w:val="16"/>
                  <w:szCs w:val="16"/>
                  <w:color w:val="0000FF"/>
                  <w:w w:val="93"/>
                </w:rPr>
                <w:t>Report on Form 8-K of General Motors Company filed March 2, 2018</w:t>
              </w:r>
            </w:hyperlink>
          </w:p>
        </w:tc>
        <w:tc>
          <w:tcPr>
            <w:tcW w:w="3780" w:type="dxa"/>
            <w:vAlign w:val="bottom"/>
            <w:tcBorders>
              <w:top w:val="single" w:sz="8" w:color="0000FF"/>
              <w:bottom w:val="single" w:sz="8" w:color="CCEEFF"/>
            </w:tcBorders>
            <w:gridSpan w:val="22"/>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6"/>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40" w:type="dxa"/>
            <w:vAlign w:val="bottom"/>
            <w:tcBorders>
              <w:bottom w:val="single" w:sz="8" w:color="0000FF"/>
            </w:tcBorders>
            <w:gridSpan w:val="31"/>
          </w:tcPr>
          <w:p>
            <w:pPr>
              <w:spacing w:after="0"/>
              <w:rPr>
                <w:rFonts w:ascii="Arial" w:cs="Arial" w:eastAsia="Arial" w:hAnsi="Arial"/>
                <w:sz w:val="16"/>
                <w:szCs w:val="16"/>
                <w:color w:val="0000FF"/>
                <w:w w:val="91"/>
              </w:rPr>
            </w:pPr>
            <w:hyperlink r:id="rId31">
              <w:r>
                <w:rPr>
                  <w:rFonts w:ascii="Arial" w:cs="Arial" w:eastAsia="Arial" w:hAnsi="Arial"/>
                  <w:sz w:val="16"/>
                  <w:szCs w:val="16"/>
                  <w:color w:val="0000FF"/>
                  <w:w w:val="91"/>
                </w:rPr>
                <w:t>Underwriting Agreement, dated September 5, 2018, by and among General Motors Company, as issuer, and Barclays Capital Inc.,</w:t>
              </w:r>
            </w:hyperlink>
          </w:p>
        </w:tc>
        <w:tc>
          <w:tcPr>
            <w:tcW w:w="40" w:type="dxa"/>
            <w:vAlign w:val="bottom"/>
            <w:gridSpan w:val="2"/>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Deutsche Bank Securities Inc. and SG Americas Securities, LLC, for themselves and as representatives of the several</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Borders>
              <w:bottom w:val="single" w:sz="8" w:color="0000FF"/>
            </w:tcBorders>
            <w:gridSpan w:val="32"/>
          </w:tcPr>
          <w:p>
            <w:pPr>
              <w:spacing w:after="0" w:line="183" w:lineRule="exact"/>
              <w:rPr>
                <w:rFonts w:ascii="Arial" w:cs="Arial" w:eastAsia="Arial" w:hAnsi="Arial"/>
                <w:sz w:val="16"/>
                <w:szCs w:val="16"/>
                <w:color w:val="0000FF"/>
                <w:w w:val="92"/>
              </w:rPr>
            </w:pPr>
            <w:hyperlink r:id="rId31">
              <w:r>
                <w:rPr>
                  <w:rFonts w:ascii="Arial" w:cs="Arial" w:eastAsia="Arial" w:hAnsi="Arial"/>
                  <w:sz w:val="16"/>
                  <w:szCs w:val="16"/>
                  <w:color w:val="0000FF"/>
                  <w:w w:val="92"/>
                </w:rPr>
                <w:t>underwriters named therein, incorporated herein by reference to Exhibit 1.1 to the Current Report on Form 8-K of General Motors</w:t>
              </w:r>
            </w:hyperlink>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Company filed on September 10, 2018</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2.1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00" w:type="dxa"/>
            <w:vAlign w:val="bottom"/>
            <w:tcBorders>
              <w:bottom w:val="single" w:sz="8" w:color="0000FF"/>
            </w:tcBorders>
            <w:gridSpan w:val="29"/>
            <w:shd w:val="clear" w:color="auto" w:fill="CCEEFF"/>
          </w:tcPr>
          <w:p>
            <w:pPr>
              <w:spacing w:after="0"/>
              <w:rPr>
                <w:rFonts w:ascii="Arial" w:cs="Arial" w:eastAsia="Arial" w:hAnsi="Arial"/>
                <w:sz w:val="16"/>
                <w:szCs w:val="16"/>
                <w:color w:val="0000FF"/>
                <w:w w:val="91"/>
              </w:rPr>
            </w:pPr>
            <w:hyperlink r:id="rId32">
              <w:r>
                <w:rPr>
                  <w:rFonts w:ascii="Arial" w:cs="Arial" w:eastAsia="Arial" w:hAnsi="Arial"/>
                  <w:sz w:val="16"/>
                  <w:szCs w:val="16"/>
                  <w:color w:val="0000FF"/>
                  <w:w w:val="91"/>
                </w:rPr>
                <w:t>Master Agreement, dated as of March 5, 2017, between General Motors Holdings, LLC and Peugeot S.A., incorporated herein by</w:t>
              </w:r>
            </w:hyperlink>
          </w:p>
        </w:tc>
        <w:tc>
          <w:tcPr>
            <w:tcW w:w="80" w:type="dxa"/>
            <w:vAlign w:val="bottom"/>
            <w:tcBorders>
              <w:bottom w:val="single" w:sz="8" w:color="CCEEFF"/>
            </w:tcBorders>
            <w:gridSpan w:val="4"/>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30"/>
        </w:trPr>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0000FF"/>
            </w:tcBorders>
            <w:gridSpan w:val="13"/>
            <w:shd w:val="clear" w:color="auto" w:fill="CCEEFF"/>
          </w:tcPr>
          <w:p>
            <w:pPr>
              <w:spacing w:after="0" w:line="183" w:lineRule="exact"/>
              <w:rPr>
                <w:rFonts w:ascii="Arial" w:cs="Arial" w:eastAsia="Arial" w:hAnsi="Arial"/>
                <w:sz w:val="16"/>
                <w:szCs w:val="16"/>
                <w:color w:val="0000FF"/>
                <w:w w:val="93"/>
              </w:rPr>
            </w:pPr>
            <w:hyperlink r:id="rId32">
              <w:r>
                <w:rPr>
                  <w:rFonts w:ascii="Arial" w:cs="Arial" w:eastAsia="Arial" w:hAnsi="Arial"/>
                  <w:sz w:val="16"/>
                  <w:szCs w:val="16"/>
                  <w:color w:val="0000FF"/>
                  <w:w w:val="93"/>
                </w:rPr>
                <w:t>reference to Exhibit 2.1 to the Quarterly Report on Form 10-Q of General Motors Company filed April 28, 2017**</w:t>
              </w:r>
            </w:hyperlink>
          </w:p>
        </w:tc>
        <w:tc>
          <w:tcPr>
            <w:tcW w:w="1040" w:type="dxa"/>
            <w:vAlign w:val="bottom"/>
            <w:tcBorders>
              <w:bottom w:val="single" w:sz="8" w:color="CCEEFF"/>
            </w:tcBorders>
            <w:gridSpan w:val="20"/>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00" w:type="dxa"/>
            <w:vAlign w:val="bottom"/>
            <w:tcBorders>
              <w:bottom w:val="single" w:sz="8" w:color="0000FF"/>
            </w:tcBorders>
            <w:gridSpan w:val="26"/>
          </w:tcPr>
          <w:p>
            <w:pPr>
              <w:spacing w:after="0"/>
              <w:rPr>
                <w:rFonts w:ascii="Arial" w:cs="Arial" w:eastAsia="Arial" w:hAnsi="Arial"/>
                <w:sz w:val="16"/>
                <w:szCs w:val="16"/>
                <w:color w:val="0000FF"/>
                <w:w w:val="93"/>
              </w:rPr>
            </w:pPr>
            <w:hyperlink r:id="rId33">
              <w:r>
                <w:rPr>
                  <w:rFonts w:ascii="Arial" w:cs="Arial" w:eastAsia="Arial" w:hAnsi="Arial"/>
                  <w:sz w:val="16"/>
                  <w:szCs w:val="16"/>
                  <w:color w:val="0000FF"/>
                  <w:w w:val="93"/>
                </w:rPr>
                <w:t>Purchase Agreement by and among General Motors Holdings LLC, GM Cruise Holdings LLC, and Softbank Vision Fund (AIV</w:t>
              </w:r>
            </w:hyperlink>
          </w:p>
        </w:tc>
        <w:tc>
          <w:tcPr>
            <w:tcW w:w="180" w:type="dxa"/>
            <w:vAlign w:val="bottom"/>
            <w:gridSpan w:val="7"/>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w w:val="94"/>
              </w:rPr>
            </w:pPr>
            <w:hyperlink r:id="rId33">
              <w:r>
                <w:rPr>
                  <w:rFonts w:ascii="Arial" w:cs="Arial" w:eastAsia="Arial" w:hAnsi="Arial"/>
                  <w:sz w:val="16"/>
                  <w:szCs w:val="16"/>
                  <w:color w:val="0000FF"/>
                  <w:w w:val="94"/>
                </w:rPr>
                <w:t>M1)</w:t>
              </w:r>
              <w:r>
                <w:rPr>
                  <w:rFonts w:ascii="Arial" w:cs="Arial" w:eastAsia="Arial" w:hAnsi="Arial"/>
                  <w:sz w:val="16"/>
                  <w:szCs w:val="16"/>
                  <w:u w:val="single" w:color="auto"/>
                  <w:color w:val="0000FF"/>
                  <w:w w:val="94"/>
                </w:rPr>
                <w:t>,</w:t>
              </w:r>
              <w:r>
                <w:rPr>
                  <w:rFonts w:ascii="Arial" w:cs="Arial" w:eastAsia="Arial" w:hAnsi="Arial"/>
                  <w:sz w:val="16"/>
                  <w:szCs w:val="16"/>
                  <w:color w:val="0000FF"/>
                  <w:w w:val="94"/>
                </w:rPr>
                <w:t xml:space="preserve"> L.P. dated May 31, 2018, incorporated herein by reference to Exhibit 2.1 to the Quarterly Report on Form 10-Q of General</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0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33">
              <w:r>
                <w:rPr>
                  <w:rFonts w:ascii="Arial" w:cs="Arial" w:eastAsia="Arial" w:hAnsi="Arial"/>
                  <w:sz w:val="16"/>
                  <w:szCs w:val="16"/>
                  <w:color w:val="0000FF"/>
                </w:rPr>
                <w:t>Motors Company filed July 25, 2018**</w:t>
              </w:r>
            </w:hyperlink>
          </w:p>
        </w:tc>
        <w:tc>
          <w:tcPr>
            <w:tcW w:w="180" w:type="dxa"/>
            <w:vAlign w:val="bottom"/>
            <w:gridSpan w:val="7"/>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98"/>
              </w:rPr>
              <w:t>2.3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80" w:type="dxa"/>
            <w:vAlign w:val="bottom"/>
            <w:gridSpan w:val="33"/>
            <w:shd w:val="clear" w:color="auto" w:fill="CCEEFF"/>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Purchase Agreement by and between GM Cruise Holdings LLC and Honda Motor Co., LTD., dated October 3, 2018**</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19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74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96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80" w:type="dxa"/>
            <w:vAlign w:val="bottom"/>
            <w:tcBorders>
              <w:bottom w:val="single" w:sz="8" w:color="0000FF"/>
            </w:tcBorders>
            <w:gridSpan w:val="25"/>
          </w:tcPr>
          <w:p>
            <w:pPr>
              <w:spacing w:after="0"/>
              <w:rPr>
                <w:rFonts w:ascii="Arial" w:cs="Arial" w:eastAsia="Arial" w:hAnsi="Arial"/>
                <w:sz w:val="16"/>
                <w:szCs w:val="16"/>
                <w:color w:val="0000FF"/>
                <w:w w:val="91"/>
              </w:rPr>
            </w:pPr>
            <w:hyperlink r:id="rId34">
              <w:r>
                <w:rPr>
                  <w:rFonts w:ascii="Arial" w:cs="Arial" w:eastAsia="Arial" w:hAnsi="Arial"/>
                  <w:sz w:val="16"/>
                  <w:szCs w:val="16"/>
                  <w:color w:val="0000FF"/>
                  <w:w w:val="91"/>
                </w:rPr>
                <w:t>Restated Certificate of Incorporation of General Motors Company dated December 7, 2010, incorporated herein by reference to</w:t>
              </w:r>
            </w:hyperlink>
          </w:p>
        </w:tc>
        <w:tc>
          <w:tcPr>
            <w:tcW w:w="200" w:type="dxa"/>
            <w:vAlign w:val="bottom"/>
            <w:gridSpan w:val="8"/>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Exhibit 3.2 to the Current Report on Form 8-K of General Motors Company filed December 13, 2010</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98"/>
              </w:rPr>
              <w:t>3.2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80" w:type="dxa"/>
            <w:vAlign w:val="bottom"/>
            <w:gridSpan w:val="33"/>
            <w:shd w:val="clear" w:color="auto" w:fill="CCEEFF"/>
          </w:tcPr>
          <w:p>
            <w:pPr>
              <w:spacing w:after="0"/>
              <w:rPr>
                <w:rFonts w:ascii="Arial" w:cs="Arial" w:eastAsia="Arial" w:hAnsi="Arial"/>
                <w:sz w:val="16"/>
                <w:szCs w:val="16"/>
                <w:color w:val="0000FF"/>
                <w:w w:val="92"/>
              </w:rPr>
            </w:pPr>
            <w:hyperlink r:id="rId35">
              <w:r>
                <w:rPr>
                  <w:rFonts w:ascii="Arial" w:cs="Arial" w:eastAsia="Arial" w:hAnsi="Arial"/>
                  <w:sz w:val="16"/>
                  <w:szCs w:val="16"/>
                  <w:color w:val="0000FF"/>
                  <w:w w:val="92"/>
                </w:rPr>
                <w:t>General Motors Company Amended and Restated Bylaws, as amended August 14, 2018, incorporated by reference to Exhibit 3.1</w:t>
              </w:r>
            </w:hyperlink>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380" w:type="dxa"/>
            <w:vAlign w:val="bottom"/>
            <w:tcBorders>
              <w:top w:val="single" w:sz="8" w:color="0000FF"/>
            </w:tcBorders>
            <w:gridSpan w:val="28"/>
            <w:shd w:val="clear" w:color="auto" w:fill="CCEEFF"/>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to the Current Report on Form 8-K of General Motors Company filed August 20, 2018</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bottom w:val="single" w:sz="8" w:color="0000FF"/>
            </w:tcBorders>
            <w:gridSpan w:val="20"/>
          </w:tcPr>
          <w:p>
            <w:pPr>
              <w:spacing w:after="0"/>
              <w:rPr>
                <w:rFonts w:ascii="Arial" w:cs="Arial" w:eastAsia="Arial" w:hAnsi="Arial"/>
                <w:sz w:val="16"/>
                <w:szCs w:val="16"/>
                <w:color w:val="0000FF"/>
                <w:w w:val="91"/>
              </w:rPr>
            </w:pPr>
            <w:hyperlink r:id="rId36">
              <w:r>
                <w:rPr>
                  <w:rFonts w:ascii="Arial" w:cs="Arial" w:eastAsia="Arial" w:hAnsi="Arial"/>
                  <w:sz w:val="16"/>
                  <w:szCs w:val="16"/>
                  <w:color w:val="0000FF"/>
                  <w:w w:val="91"/>
                </w:rPr>
                <w:t>Indenture dated as of September 27, 2013, between General Motors Company and the Bank of New York Mellon, as Trustee,</w:t>
              </w:r>
            </w:hyperlink>
          </w:p>
        </w:tc>
        <w:tc>
          <w:tcPr>
            <w:tcW w:w="360" w:type="dxa"/>
            <w:vAlign w:val="bottom"/>
            <w:gridSpan w:val="13"/>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Borders>
              <w:bottom w:val="single" w:sz="8" w:color="0000FF"/>
            </w:tcBorders>
            <w:gridSpan w:val="32"/>
          </w:tcPr>
          <w:p>
            <w:pPr>
              <w:spacing w:after="0" w:line="183" w:lineRule="exact"/>
              <w:rPr>
                <w:rFonts w:ascii="Arial" w:cs="Arial" w:eastAsia="Arial" w:hAnsi="Arial"/>
                <w:sz w:val="16"/>
                <w:szCs w:val="16"/>
                <w:color w:val="0000FF"/>
                <w:w w:val="92"/>
              </w:rPr>
            </w:pPr>
            <w:hyperlink r:id="rId36">
              <w:r>
                <w:rPr>
                  <w:rFonts w:ascii="Arial" w:cs="Arial" w:eastAsia="Arial" w:hAnsi="Arial"/>
                  <w:sz w:val="16"/>
                  <w:szCs w:val="16"/>
                  <w:color w:val="0000FF"/>
                  <w:w w:val="92"/>
                </w:rPr>
                <w:t>incorporated herein by reference to Exhibit 4.2 to the Registration Statement on Form S-3 of General Motors Company filed April</w:t>
              </w:r>
            </w:hyperlink>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40"/>
              <w:spacing w:after="0" w:line="183" w:lineRule="exact"/>
              <w:rPr>
                <w:rFonts w:ascii="Arial" w:cs="Arial" w:eastAsia="Arial" w:hAnsi="Arial"/>
                <w:sz w:val="16"/>
                <w:szCs w:val="16"/>
                <w:color w:val="0000FF"/>
                <w:w w:val="86"/>
              </w:rPr>
            </w:pPr>
            <w:hyperlink r:id="rId36">
              <w:r>
                <w:rPr>
                  <w:rFonts w:ascii="Arial" w:cs="Arial" w:eastAsia="Arial" w:hAnsi="Arial"/>
                  <w:sz w:val="16"/>
                  <w:szCs w:val="16"/>
                  <w:color w:val="0000FF"/>
                  <w:w w:val="86"/>
                </w:rPr>
                <w:t>30, 2014</w:t>
              </w:r>
            </w:hyperlink>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9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4.2</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60" w:type="dxa"/>
            <w:vAlign w:val="bottom"/>
            <w:tcBorders>
              <w:bottom w:val="single" w:sz="8" w:color="0000FF"/>
            </w:tcBorders>
            <w:gridSpan w:val="24"/>
            <w:shd w:val="clear" w:color="auto" w:fill="CCEEFF"/>
          </w:tcPr>
          <w:p>
            <w:pPr>
              <w:spacing w:after="0"/>
              <w:rPr>
                <w:rFonts w:ascii="Arial" w:cs="Arial" w:eastAsia="Arial" w:hAnsi="Arial"/>
                <w:sz w:val="16"/>
                <w:szCs w:val="16"/>
                <w:color w:val="0000FF"/>
                <w:w w:val="90"/>
              </w:rPr>
            </w:pPr>
            <w:hyperlink r:id="rId37">
              <w:r>
                <w:rPr>
                  <w:rFonts w:ascii="Arial" w:cs="Arial" w:eastAsia="Arial" w:hAnsi="Arial"/>
                  <w:sz w:val="16"/>
                  <w:szCs w:val="16"/>
                  <w:color w:val="0000FF"/>
                  <w:w w:val="90"/>
                </w:rPr>
                <w:t>First Supplemental Indenture dated as of September 27, 2013 to the Indenture dated as of September 27, 2013 between General</w:t>
              </w:r>
            </w:hyperlink>
          </w:p>
        </w:tc>
        <w:tc>
          <w:tcPr>
            <w:tcW w:w="220" w:type="dxa"/>
            <w:vAlign w:val="bottom"/>
            <w:tcBorders>
              <w:bottom w:val="single" w:sz="8" w:color="CCEEFF"/>
            </w:tcBorders>
            <w:gridSpan w:val="9"/>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680" w:type="dxa"/>
            <w:vAlign w:val="bottom"/>
            <w:tcBorders>
              <w:bottom w:val="single" w:sz="8" w:color="0000FF"/>
            </w:tcBorders>
            <w:gridSpan w:val="15"/>
            <w:shd w:val="clear" w:color="auto" w:fill="CCEEFF"/>
          </w:tcPr>
          <w:p>
            <w:pPr>
              <w:spacing w:after="0" w:line="183" w:lineRule="exact"/>
              <w:rPr>
                <w:rFonts w:ascii="Arial" w:cs="Arial" w:eastAsia="Arial" w:hAnsi="Arial"/>
                <w:sz w:val="16"/>
                <w:szCs w:val="16"/>
                <w:color w:val="0000FF"/>
                <w:w w:val="92"/>
              </w:rPr>
            </w:pPr>
            <w:hyperlink r:id="rId37">
              <w:r>
                <w:rPr>
                  <w:rFonts w:ascii="Arial" w:cs="Arial" w:eastAsia="Arial" w:hAnsi="Arial"/>
                  <w:sz w:val="16"/>
                  <w:szCs w:val="16"/>
                  <w:color w:val="0000FF"/>
                  <w:w w:val="92"/>
                </w:rPr>
                <w:t>Motors Company and the Bank of New York Mellon, as Trustee, incorporated herein by reference to Exhibit 4.3 to the</w:t>
              </w:r>
            </w:hyperlink>
          </w:p>
        </w:tc>
        <w:tc>
          <w:tcPr>
            <w:tcW w:w="800" w:type="dxa"/>
            <w:vAlign w:val="bottom"/>
            <w:tcBorders>
              <w:bottom w:val="single" w:sz="8" w:color="CCEEFF"/>
            </w:tcBorders>
            <w:gridSpan w:val="18"/>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33"/>
            <w:shd w:val="clear" w:color="auto" w:fill="CCEEFF"/>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Registration Statement on Form S-4 of General Motors Company filed May 22, 2014</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0000FF"/>
            </w:tcBorders>
            <w:shd w:val="clear" w:color="auto" w:fill="CCEEFF"/>
          </w:tcPr>
          <w:p>
            <w:pPr>
              <w:spacing w:after="0"/>
              <w:rPr>
                <w:sz w:val="21"/>
                <w:szCs w:val="21"/>
                <w:color w:val="auto"/>
              </w:rPr>
            </w:pPr>
          </w:p>
        </w:tc>
        <w:tc>
          <w:tcPr>
            <w:tcW w:w="194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1740" w:type="dxa"/>
            <w:vAlign w:val="bottom"/>
            <w:tcBorders>
              <w:top w:val="single" w:sz="8" w:color="0000FF"/>
            </w:tcBorders>
            <w:shd w:val="clear" w:color="auto" w:fill="CCEEFF"/>
          </w:tcPr>
          <w:p>
            <w:pPr>
              <w:spacing w:after="0"/>
              <w:rPr>
                <w:sz w:val="21"/>
                <w:szCs w:val="21"/>
                <w:color w:val="auto"/>
              </w:rPr>
            </w:pPr>
          </w:p>
        </w:tc>
        <w:tc>
          <w:tcPr>
            <w:tcW w:w="3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gridSpan w:val="33"/>
          </w:tcPr>
          <w:p>
            <w:pPr>
              <w:spacing w:after="0"/>
              <w:rPr>
                <w:rFonts w:ascii="Arial" w:cs="Arial" w:eastAsia="Arial" w:hAnsi="Arial"/>
                <w:sz w:val="16"/>
                <w:szCs w:val="16"/>
                <w:color w:val="0000FF"/>
                <w:w w:val="90"/>
              </w:rPr>
            </w:pPr>
            <w:hyperlink r:id="rId38">
              <w:r>
                <w:rPr>
                  <w:rFonts w:ascii="Arial" w:cs="Arial" w:eastAsia="Arial" w:hAnsi="Arial"/>
                  <w:sz w:val="16"/>
                  <w:szCs w:val="16"/>
                  <w:color w:val="0000FF"/>
                  <w:w w:val="90"/>
                </w:rPr>
                <w:t>Second Supplemental Indenture dated as of November 12, 2014 to the Indenture dated as of September 27, 2013 between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20" w:type="dxa"/>
            <w:vAlign w:val="bottom"/>
            <w:tcBorders>
              <w:top w:val="single" w:sz="8" w:color="0000FF"/>
              <w:bottom w:val="single" w:sz="8" w:color="0000FF"/>
            </w:tcBorders>
            <w:gridSpan w:val="22"/>
          </w:tcPr>
          <w:p>
            <w:pPr>
              <w:spacing w:after="0" w:line="183" w:lineRule="exact"/>
              <w:rPr>
                <w:rFonts w:ascii="Arial" w:cs="Arial" w:eastAsia="Arial" w:hAnsi="Arial"/>
                <w:sz w:val="16"/>
                <w:szCs w:val="16"/>
                <w:color w:val="0000FF"/>
                <w:w w:val="92"/>
              </w:rPr>
            </w:pPr>
            <w:hyperlink r:id="rId38">
              <w:r>
                <w:rPr>
                  <w:rFonts w:ascii="Arial" w:cs="Arial" w:eastAsia="Arial" w:hAnsi="Arial"/>
                  <w:sz w:val="16"/>
                  <w:szCs w:val="16"/>
                  <w:color w:val="0000FF"/>
                  <w:w w:val="92"/>
                </w:rPr>
                <w:t>Motors Company and the Bank of New York Mellon, as Trustee, incorporated herein by reference to Exhibit 4.4 to the Current</w:t>
              </w:r>
            </w:hyperlink>
          </w:p>
        </w:tc>
        <w:tc>
          <w:tcPr>
            <w:tcW w:w="200" w:type="dxa"/>
            <w:vAlign w:val="bottom"/>
            <w:tcBorders>
              <w:top w:val="single" w:sz="8" w:color="0000FF"/>
            </w:tcBorders>
            <w:gridSpan w:val="8"/>
          </w:tcPr>
          <w:p>
            <w:pPr>
              <w:spacing w:after="0"/>
              <w:rPr>
                <w:sz w:val="15"/>
                <w:szCs w:val="15"/>
                <w:color w:val="auto"/>
              </w:rPr>
            </w:pPr>
          </w:p>
        </w:tc>
        <w:tc>
          <w:tcPr>
            <w:tcW w:w="60" w:type="dxa"/>
            <w:vAlign w:val="bottom"/>
            <w:gridSpan w:val="3"/>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Report on Form 8-K of General Motors Company filed November 12, 2014</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4.4</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380" w:type="dxa"/>
            <w:vAlign w:val="bottom"/>
            <w:tcBorders>
              <w:bottom w:val="single" w:sz="8" w:color="0000FF"/>
            </w:tcBorders>
            <w:gridSpan w:val="28"/>
            <w:shd w:val="clear" w:color="auto" w:fill="CCEEFF"/>
          </w:tcPr>
          <w:p>
            <w:pPr>
              <w:spacing w:after="0"/>
              <w:rPr>
                <w:rFonts w:ascii="Arial" w:cs="Arial" w:eastAsia="Arial" w:hAnsi="Arial"/>
                <w:sz w:val="16"/>
                <w:szCs w:val="16"/>
                <w:color w:val="0000FF"/>
                <w:w w:val="90"/>
              </w:rPr>
            </w:pPr>
            <w:hyperlink r:id="rId39">
              <w:r>
                <w:rPr>
                  <w:rFonts w:ascii="Arial" w:cs="Arial" w:eastAsia="Arial" w:hAnsi="Arial"/>
                  <w:sz w:val="16"/>
                  <w:szCs w:val="16"/>
                  <w:color w:val="0000FF"/>
                  <w:w w:val="90"/>
                </w:rPr>
                <w:t>Third Supplemental Indenture, dated as of February 23, 2016, to the Indenture, dated as of September 27, 2013, between General</w:t>
              </w:r>
            </w:hyperlink>
          </w:p>
        </w:tc>
        <w:tc>
          <w:tcPr>
            <w:tcW w:w="100" w:type="dxa"/>
            <w:vAlign w:val="bottom"/>
            <w:tcBorders>
              <w:bottom w:val="single" w:sz="8" w:color="CCEEFF"/>
            </w:tcBorders>
            <w:gridSpan w:val="5"/>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33"/>
            <w:shd w:val="clear" w:color="auto" w:fill="CCEEFF"/>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380" w:type="dxa"/>
            <w:vAlign w:val="bottom"/>
            <w:tcBorders>
              <w:top w:val="single" w:sz="8" w:color="0000FF"/>
            </w:tcBorders>
            <w:gridSpan w:val="28"/>
            <w:shd w:val="clear" w:color="auto" w:fill="CCEEFF"/>
          </w:tcPr>
          <w:p>
            <w:pPr>
              <w:spacing w:after="0" w:line="183" w:lineRule="exact"/>
              <w:rPr>
                <w:rFonts w:ascii="Arial" w:cs="Arial" w:eastAsia="Arial" w:hAnsi="Arial"/>
                <w:sz w:val="16"/>
                <w:szCs w:val="16"/>
                <w:color w:val="0000FF"/>
              </w:rPr>
            </w:pPr>
            <w:hyperlink r:id="rId39">
              <w:r>
                <w:rPr>
                  <w:rFonts w:ascii="Arial" w:cs="Arial" w:eastAsia="Arial" w:hAnsi="Arial"/>
                  <w:sz w:val="16"/>
                  <w:szCs w:val="16"/>
                  <w:color w:val="0000FF"/>
                </w:rPr>
                <w:t>Current Report on Form 8-K of General Motors Company filed February 23, 2016</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0000FF"/>
            </w:tcBorders>
            <w:shd w:val="clear" w:color="auto" w:fill="CCEEFF"/>
          </w:tcPr>
          <w:p>
            <w:pPr>
              <w:spacing w:after="0"/>
              <w:rPr>
                <w:sz w:val="21"/>
                <w:szCs w:val="21"/>
                <w:color w:val="auto"/>
              </w:rPr>
            </w:pPr>
          </w:p>
        </w:tc>
        <w:tc>
          <w:tcPr>
            <w:tcW w:w="194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1740" w:type="dxa"/>
            <w:vAlign w:val="bottom"/>
            <w:tcBorders>
              <w:top w:val="single" w:sz="8" w:color="0000FF"/>
            </w:tcBorders>
            <w:shd w:val="clear" w:color="auto" w:fill="CCEEFF"/>
          </w:tcPr>
          <w:p>
            <w:pPr>
              <w:spacing w:after="0"/>
              <w:rPr>
                <w:sz w:val="21"/>
                <w:szCs w:val="21"/>
                <w:color w:val="auto"/>
              </w:rPr>
            </w:pPr>
          </w:p>
        </w:tc>
        <w:tc>
          <w:tcPr>
            <w:tcW w:w="3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gridSpan w:val="33"/>
          </w:tcPr>
          <w:p>
            <w:pPr>
              <w:spacing w:after="0"/>
              <w:rPr>
                <w:rFonts w:ascii="Arial" w:cs="Arial" w:eastAsia="Arial" w:hAnsi="Arial"/>
                <w:sz w:val="16"/>
                <w:szCs w:val="16"/>
                <w:color w:val="0000FF"/>
                <w:w w:val="92"/>
              </w:rPr>
            </w:pPr>
            <w:hyperlink r:id="rId40">
              <w:r>
                <w:rPr>
                  <w:rFonts w:ascii="Arial" w:cs="Arial" w:eastAsia="Arial" w:hAnsi="Arial"/>
                  <w:sz w:val="16"/>
                  <w:szCs w:val="16"/>
                  <w:color w:val="0000FF"/>
                  <w:w w:val="92"/>
                </w:rPr>
                <w:t>Fourth Supplemental Indenture, dated as of August 7, 2017, to the Indenture, dated as of September 27, 2013, between General</w:t>
              </w:r>
            </w:hyperlink>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w w:val="92"/>
              </w:rPr>
            </w:pPr>
            <w:hyperlink r:id="rId40">
              <w:r>
                <w:rPr>
                  <w:rFonts w:ascii="Arial" w:cs="Arial" w:eastAsia="Arial" w:hAnsi="Arial"/>
                  <w:sz w:val="16"/>
                  <w:szCs w:val="16"/>
                  <w:color w:val="0000FF"/>
                  <w:w w:val="92"/>
                </w:rPr>
                <w:t>Motors Company, as issuer, and The Bank of New York Mellon, as Trustee, incorporated herein by reference to Exhibit 4.1 to the</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380" w:type="dxa"/>
            <w:vAlign w:val="bottom"/>
            <w:tcBorders>
              <w:top w:val="single" w:sz="8" w:color="0000FF"/>
            </w:tcBorders>
            <w:gridSpan w:val="28"/>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Current Report on Form 8-K of General Motors Company filed August 8, 2017</w:t>
              </w:r>
            </w:hyperlink>
          </w:p>
        </w:tc>
        <w:tc>
          <w:tcPr>
            <w:tcW w:w="100" w:type="dxa"/>
            <w:vAlign w:val="bottom"/>
            <w:gridSpan w:val="5"/>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9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7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4.6</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40" w:type="dxa"/>
            <w:vAlign w:val="bottom"/>
            <w:tcBorders>
              <w:bottom w:val="single" w:sz="8" w:color="0000FF"/>
            </w:tcBorders>
            <w:gridSpan w:val="31"/>
            <w:shd w:val="clear" w:color="auto" w:fill="CCEEFF"/>
          </w:tcPr>
          <w:p>
            <w:pPr>
              <w:spacing w:after="0"/>
              <w:rPr>
                <w:rFonts w:ascii="Arial" w:cs="Arial" w:eastAsia="Arial" w:hAnsi="Arial"/>
                <w:sz w:val="16"/>
                <w:szCs w:val="16"/>
                <w:color w:val="0000FF"/>
                <w:w w:val="90"/>
              </w:rPr>
            </w:pPr>
            <w:hyperlink r:id="rId41">
              <w:r>
                <w:rPr>
                  <w:rFonts w:ascii="Arial" w:cs="Arial" w:eastAsia="Arial" w:hAnsi="Arial"/>
                  <w:sz w:val="16"/>
                  <w:szCs w:val="16"/>
                  <w:color w:val="0000FF"/>
                  <w:w w:val="90"/>
                </w:rPr>
                <w:t>Fifth Supplemental Indenture, dated as of September 10, 2018, to the Indenture, dated as of September 27, 2013, between General</w:t>
              </w:r>
            </w:hyperlink>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33"/>
            <w:shd w:val="clear" w:color="auto" w:fill="CCEEFF"/>
          </w:tcPr>
          <w:p>
            <w:pPr>
              <w:spacing w:after="0" w:line="183" w:lineRule="exact"/>
              <w:rPr>
                <w:rFonts w:ascii="Arial" w:cs="Arial" w:eastAsia="Arial" w:hAnsi="Arial"/>
                <w:sz w:val="16"/>
                <w:szCs w:val="16"/>
                <w:color w:val="0000FF"/>
                <w:w w:val="97"/>
              </w:rPr>
            </w:pPr>
            <w:hyperlink r:id="rId41">
              <w:r>
                <w:rPr>
                  <w:rFonts w:ascii="Arial" w:cs="Arial" w:eastAsia="Arial" w:hAnsi="Arial"/>
                  <w:sz w:val="16"/>
                  <w:szCs w:val="16"/>
                  <w:color w:val="0000FF"/>
                  <w:w w:val="97"/>
                </w:rPr>
                <w:t>Motors Company, as issuer, and The Bank of New York Mellon, as Trustee, incorporated by reference to Exhibit 4.2 to the</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940" w:type="dxa"/>
            <w:vAlign w:val="bottom"/>
            <w:tcBorders>
              <w:top w:val="single" w:sz="8" w:color="0000FF"/>
            </w:tcBorders>
            <w:gridSpan w:val="17"/>
            <w:shd w:val="clear" w:color="auto" w:fill="CCEEFF"/>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Current Report on Form 8-K of General Motors Company filed September 10, 2018</w:t>
              </w:r>
            </w:hyperlink>
          </w:p>
        </w:tc>
        <w:tc>
          <w:tcPr>
            <w:tcW w:w="540" w:type="dxa"/>
            <w:vAlign w:val="bottom"/>
            <w:tcBorders>
              <w:top w:val="single" w:sz="8" w:color="CCEEFF"/>
            </w:tcBorders>
            <w:gridSpan w:val="16"/>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right"/>
              <w:ind w:right="580"/>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tcBorders>
              <w:bottom w:val="single" w:sz="8" w:color="0000FF"/>
            </w:tcBorders>
            <w:gridSpan w:val="18"/>
          </w:tcPr>
          <w:p>
            <w:pPr>
              <w:spacing w:after="0"/>
              <w:rPr>
                <w:rFonts w:ascii="Arial" w:cs="Arial" w:eastAsia="Arial" w:hAnsi="Arial"/>
                <w:sz w:val="16"/>
                <w:szCs w:val="16"/>
                <w:color w:val="0000FF"/>
                <w:w w:val="92"/>
              </w:rPr>
            </w:pPr>
            <w:hyperlink r:id="rId42">
              <w:r>
                <w:rPr>
                  <w:rFonts w:ascii="Arial" w:cs="Arial" w:eastAsia="Arial" w:hAnsi="Arial"/>
                  <w:sz w:val="16"/>
                  <w:szCs w:val="16"/>
                  <w:color w:val="0000FF"/>
                  <w:w w:val="92"/>
                </w:rPr>
                <w:t>Calculation Agency Agreement, dated as of August 7, 2017 between General Motors Company and the Bank of New York</w:t>
              </w:r>
            </w:hyperlink>
          </w:p>
        </w:tc>
        <w:tc>
          <w:tcPr>
            <w:tcW w:w="520" w:type="dxa"/>
            <w:vAlign w:val="bottom"/>
            <w:gridSpan w:val="15"/>
          </w:tcPr>
          <w:p>
            <w:pPr>
              <w:spacing w:after="0"/>
              <w:rPr>
                <w:sz w:val="16"/>
                <w:szCs w:val="16"/>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980" w:type="dxa"/>
            <w:vAlign w:val="bottom"/>
            <w:tcBorders>
              <w:bottom w:val="single" w:sz="8" w:color="0000FF"/>
            </w:tcBorders>
            <w:gridSpan w:val="19"/>
          </w:tcPr>
          <w:p>
            <w:pPr>
              <w:spacing w:after="0" w:line="183" w:lineRule="exact"/>
              <w:rPr>
                <w:rFonts w:ascii="Arial" w:cs="Arial" w:eastAsia="Arial" w:hAnsi="Arial"/>
                <w:sz w:val="16"/>
                <w:szCs w:val="16"/>
                <w:color w:val="0000FF"/>
                <w:w w:val="92"/>
              </w:rPr>
            </w:pPr>
            <w:hyperlink r:id="rId42">
              <w:r>
                <w:rPr>
                  <w:rFonts w:ascii="Arial" w:cs="Arial" w:eastAsia="Arial" w:hAnsi="Arial"/>
                  <w:sz w:val="16"/>
                  <w:szCs w:val="16"/>
                  <w:color w:val="0000FF"/>
                  <w:w w:val="92"/>
                </w:rPr>
                <w:t>Mellon, as calculation agent, incorporated herein by reference to Exhibit 4.2 to the Current Report on Form 8-K of General</w:t>
              </w:r>
            </w:hyperlink>
          </w:p>
        </w:tc>
        <w:tc>
          <w:tcPr>
            <w:tcW w:w="500" w:type="dxa"/>
            <w:vAlign w:val="bottom"/>
            <w:gridSpan w:val="14"/>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80" w:type="dxa"/>
            <w:vAlign w:val="bottom"/>
            <w:gridSpan w:val="33"/>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Motors Company filed August 8, 2017</w:t>
              </w:r>
            </w:hyperlink>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9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98"/>
              </w:rPr>
              <w:t>4.8</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60" w:type="dxa"/>
            <w:vAlign w:val="bottom"/>
            <w:tcBorders>
              <w:bottom w:val="single" w:sz="8" w:color="0000FF"/>
            </w:tcBorders>
            <w:gridSpan w:val="24"/>
            <w:shd w:val="clear" w:color="auto" w:fill="CCEEFF"/>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Calculation Agency Agreement, dated as of September 10, 2018 between General Motors Company and the Bank of New York</w:t>
              </w:r>
            </w:hyperlink>
          </w:p>
        </w:tc>
        <w:tc>
          <w:tcPr>
            <w:tcW w:w="220" w:type="dxa"/>
            <w:vAlign w:val="bottom"/>
            <w:tcBorders>
              <w:bottom w:val="single" w:sz="8" w:color="CCEEFF"/>
            </w:tcBorders>
            <w:gridSpan w:val="9"/>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183"/>
        </w:trPr>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980" w:type="dxa"/>
            <w:vAlign w:val="bottom"/>
            <w:tcBorders>
              <w:bottom w:val="single" w:sz="8" w:color="0000FF"/>
            </w:tcBorders>
            <w:gridSpan w:val="19"/>
            <w:shd w:val="clear" w:color="auto" w:fill="CCEEFF"/>
          </w:tcPr>
          <w:p>
            <w:pPr>
              <w:spacing w:after="0" w:line="183" w:lineRule="exact"/>
              <w:rPr>
                <w:rFonts w:ascii="Arial" w:cs="Arial" w:eastAsia="Arial" w:hAnsi="Arial"/>
                <w:sz w:val="16"/>
                <w:szCs w:val="16"/>
                <w:color w:val="0000FF"/>
                <w:w w:val="92"/>
              </w:rPr>
            </w:pPr>
            <w:hyperlink r:id="rId43">
              <w:r>
                <w:rPr>
                  <w:rFonts w:ascii="Arial" w:cs="Arial" w:eastAsia="Arial" w:hAnsi="Arial"/>
                  <w:sz w:val="16"/>
                  <w:szCs w:val="16"/>
                  <w:color w:val="0000FF"/>
                  <w:w w:val="92"/>
                </w:rPr>
                <w:t>Mellon, as calculation agent, incorporated herein by reference to Exhibit 4.3 to the Current Report on Form 8-K of General</w:t>
              </w:r>
            </w:hyperlink>
          </w:p>
        </w:tc>
        <w:tc>
          <w:tcPr>
            <w:tcW w:w="500" w:type="dxa"/>
            <w:vAlign w:val="bottom"/>
            <w:tcBorders>
              <w:bottom w:val="single" w:sz="8" w:color="CCEEFF"/>
            </w:tcBorders>
            <w:gridSpan w:val="14"/>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80" w:type="dxa"/>
            <w:vAlign w:val="bottom"/>
            <w:gridSpan w:val="33"/>
            <w:shd w:val="clear" w:color="auto" w:fill="CCEEFF"/>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Motors Company filed September 10, 2018</w:t>
              </w:r>
            </w:hyperlink>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41"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440" w:gutter="0" w:footer="0" w:header="0"/>
        </w:sect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9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Borders>
              <w:top w:val="single" w:sz="8" w:color="auto"/>
            </w:tcBorders>
          </w:tcPr>
          <w:p>
            <w:pPr>
              <w:jc w:val="right"/>
              <w:ind w:right="525"/>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280" w:type="dxa"/>
            <w:vAlign w:val="bottom"/>
            <w:tcBorders>
              <w:top w:val="single" w:sz="8" w:color="auto"/>
              <w:bottom w:val="single" w:sz="8" w:color="0000FF"/>
            </w:tcBorders>
            <w:gridSpan w:val="3"/>
          </w:tcPr>
          <w:p>
            <w:pPr>
              <w:spacing w:after="0"/>
              <w:rPr>
                <w:rFonts w:ascii="Arial" w:cs="Arial" w:eastAsia="Arial" w:hAnsi="Arial"/>
                <w:sz w:val="16"/>
                <w:szCs w:val="16"/>
                <w:color w:val="0000FF"/>
                <w:w w:val="90"/>
              </w:rPr>
            </w:pPr>
            <w:hyperlink r:id="rId44">
              <w:r>
                <w:rPr>
                  <w:rFonts w:ascii="Arial" w:cs="Arial" w:eastAsia="Arial" w:hAnsi="Arial"/>
                  <w:sz w:val="16"/>
                  <w:szCs w:val="16"/>
                  <w:color w:val="0000FF"/>
                  <w:w w:val="90"/>
                </w:rPr>
                <w:t>Stockholders Agreement, dated as of October 15, 2009 between General Motors Company, the United States Department of the</w:t>
              </w:r>
            </w:hyperlink>
          </w:p>
        </w:tc>
        <w:tc>
          <w:tcPr>
            <w:tcW w:w="480" w:type="dxa"/>
            <w:vAlign w:val="bottom"/>
            <w:tcBorders>
              <w:top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8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44">
              <w:r>
                <w:rPr>
                  <w:rFonts w:ascii="Arial" w:cs="Arial" w:eastAsia="Arial" w:hAnsi="Arial"/>
                  <w:sz w:val="16"/>
                  <w:szCs w:val="16"/>
                  <w:color w:val="0000FF"/>
                  <w:w w:val="92"/>
                </w:rPr>
                <w:t>Treasury, Canada GEN Investment Corporation (fka 7176384 Canada Inc.), the UAW Retiree Medical Benefits Trust, and, for limited</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6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44">
              <w:r>
                <w:rPr>
                  <w:rFonts w:ascii="Arial" w:cs="Arial" w:eastAsia="Arial" w:hAnsi="Arial"/>
                  <w:sz w:val="16"/>
                  <w:szCs w:val="16"/>
                  <w:color w:val="0000FF"/>
                  <w:w w:val="92"/>
                </w:rPr>
                <w:t>purposes, General Motors LLC, incorporated herein by reference to Exhibit 10.8 to the Current Report on Form 8-K of General</w:t>
              </w:r>
            </w:hyperlink>
          </w:p>
        </w:tc>
        <w:tc>
          <w:tcPr>
            <w:tcW w:w="5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760" w:type="dxa"/>
            <w:vAlign w:val="bottom"/>
            <w:gridSpan w:val="5"/>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Motors Company filed November 16, 2009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Incorporated by Reference</w:t>
      </w:r>
    </w:p>
    <w:p>
      <w:pPr>
        <w:spacing w:after="0" w:line="411" w:lineRule="exact"/>
        <w:rPr>
          <w:sz w:val="20"/>
          <w:szCs w:val="20"/>
          <w:color w:val="auto"/>
        </w:rPr>
      </w:pPr>
    </w:p>
    <w:p>
      <w:pPr>
        <w:sectPr>
          <w:pgSz w:w="11900" w:h="16838" w:orient="portrait"/>
          <w:cols w:equalWidth="0" w:num="2">
            <w:col w:w="9840" w:space="140"/>
            <w:col w:w="144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w:t>
            </w:r>
          </w:p>
        </w:tc>
        <w:tc>
          <w:tcPr>
            <w:tcW w:w="8800" w:type="dxa"/>
            <w:vAlign w:val="bottom"/>
            <w:gridSpan w:val="28"/>
            <w:shd w:val="clear" w:color="auto" w:fill="CCEEFF"/>
          </w:tcPr>
          <w:p>
            <w:pPr>
              <w:spacing w:after="0"/>
              <w:rPr>
                <w:rFonts w:ascii="Arial" w:cs="Arial" w:eastAsia="Arial" w:hAnsi="Arial"/>
                <w:sz w:val="16"/>
                <w:szCs w:val="16"/>
                <w:color w:val="0000FF"/>
              </w:rPr>
            </w:pPr>
            <w:hyperlink r:id="rId45">
              <w:r>
                <w:rPr>
                  <w:rFonts w:ascii="Arial" w:cs="Arial" w:eastAsia="Arial" w:hAnsi="Arial"/>
                  <w:sz w:val="16"/>
                  <w:szCs w:val="16"/>
                  <w:color w:val="0000FF"/>
                </w:rPr>
                <w:t>Equity Registration Rights Agreement, dated as of October 15, 2009, between General Motors Company, the United States</w:t>
              </w:r>
            </w:hyperlink>
          </w:p>
        </w:tc>
        <w:tc>
          <w:tcPr>
            <w:tcW w:w="1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w w:val="94"/>
              </w:rPr>
            </w:pPr>
            <w:hyperlink r:id="rId45">
              <w:r>
                <w:rPr>
                  <w:rFonts w:ascii="Arial" w:cs="Arial" w:eastAsia="Arial" w:hAnsi="Arial"/>
                  <w:sz w:val="16"/>
                  <w:szCs w:val="16"/>
                  <w:color w:val="0000FF"/>
                  <w:w w:val="94"/>
                </w:rPr>
                <w:t>Department of Treasury, Canada GEN Investment Corporation (fka 7176384 Canada Inc.), the UAW Retiree Medical Benefits Trust,</w:t>
              </w:r>
            </w:hyperlink>
          </w:p>
        </w:tc>
        <w:tc>
          <w:tcPr>
            <w:tcW w:w="154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CCEEFF"/>
            </w:tcBorders>
            <w:shd w:val="clear" w:color="auto" w:fill="CCEEFF"/>
          </w:tcPr>
          <w:p>
            <w:pPr>
              <w:spacing w:after="0"/>
              <w:rPr>
                <w:sz w:val="15"/>
                <w:szCs w:val="15"/>
                <w:color w:val="auto"/>
              </w:rPr>
            </w:pPr>
          </w:p>
        </w:tc>
        <w:tc>
          <w:tcPr>
            <w:tcW w:w="8700" w:type="dxa"/>
            <w:vAlign w:val="bottom"/>
            <w:tcBorders>
              <w:bottom w:val="single" w:sz="8" w:color="0000FF"/>
              <w:right w:val="single" w:sz="8" w:color="CCEEFF"/>
            </w:tcBorders>
            <w:gridSpan w:val="27"/>
            <w:shd w:val="clear" w:color="auto" w:fill="CCEEFF"/>
          </w:tcPr>
          <w:p>
            <w:pPr>
              <w:spacing w:after="0" w:line="183" w:lineRule="exact"/>
              <w:rPr>
                <w:rFonts w:ascii="Arial" w:cs="Arial" w:eastAsia="Arial" w:hAnsi="Arial"/>
                <w:sz w:val="16"/>
                <w:szCs w:val="16"/>
                <w:color w:val="0000FF"/>
                <w:w w:val="93"/>
              </w:rPr>
            </w:pPr>
            <w:hyperlink r:id="rId45">
              <w:r>
                <w:rPr>
                  <w:rFonts w:ascii="Arial" w:cs="Arial" w:eastAsia="Arial" w:hAnsi="Arial"/>
                  <w:sz w:val="16"/>
                  <w:szCs w:val="16"/>
                  <w:color w:val="0000FF"/>
                  <w:w w:val="93"/>
                </w:rPr>
                <w:t>Motors Liquidation Company, and, for limited purposes, General Motors LLC, incorporated herein by reference to Exhibit 10.1 to the</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0000FF"/>
            </w:tcBorders>
            <w:gridSpan w:val="12"/>
            <w:shd w:val="clear" w:color="auto" w:fill="CCEEFF"/>
          </w:tcPr>
          <w:p>
            <w:pPr>
              <w:spacing w:after="0" w:line="183" w:lineRule="exact"/>
              <w:rPr>
                <w:rFonts w:ascii="Arial" w:cs="Arial" w:eastAsia="Arial" w:hAnsi="Arial"/>
                <w:sz w:val="16"/>
                <w:szCs w:val="16"/>
                <w:color w:val="0000FF"/>
                <w:w w:val="93"/>
              </w:rPr>
            </w:pPr>
            <w:hyperlink r:id="rId45">
              <w:r>
                <w:rPr>
                  <w:rFonts w:ascii="Arial" w:cs="Arial" w:eastAsia="Arial" w:hAnsi="Arial"/>
                  <w:sz w:val="16"/>
                  <w:szCs w:val="16"/>
                  <w:color w:val="0000FF"/>
                  <w:w w:val="93"/>
                </w:rPr>
                <w:t>Current Report on Form 8-K of Motors Liquidation Company filed October 21, 2009</w:t>
              </w:r>
            </w:hyperlink>
          </w:p>
        </w:tc>
        <w:tc>
          <w:tcPr>
            <w:tcW w:w="3280" w:type="dxa"/>
            <w:vAlign w:val="bottom"/>
            <w:tcBorders>
              <w:bottom w:val="single" w:sz="8" w:color="CCEEFF"/>
            </w:tcBorders>
            <w:gridSpan w:val="16"/>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10.3</w:t>
            </w:r>
          </w:p>
        </w:tc>
        <w:tc>
          <w:tcPr>
            <w:tcW w:w="8480" w:type="dxa"/>
            <w:vAlign w:val="bottom"/>
            <w:tcBorders>
              <w:bottom w:val="single" w:sz="8" w:color="0000FF"/>
            </w:tcBorders>
            <w:gridSpan w:val="23"/>
          </w:tcPr>
          <w:p>
            <w:pPr>
              <w:spacing w:after="0"/>
              <w:rPr>
                <w:rFonts w:ascii="Arial" w:cs="Arial" w:eastAsia="Arial" w:hAnsi="Arial"/>
                <w:sz w:val="16"/>
                <w:szCs w:val="16"/>
                <w:color w:val="0000FF"/>
                <w:w w:val="91"/>
              </w:rPr>
            </w:pPr>
            <w:hyperlink r:id="rId46">
              <w:r>
                <w:rPr>
                  <w:rFonts w:ascii="Arial" w:cs="Arial" w:eastAsia="Arial" w:hAnsi="Arial"/>
                  <w:sz w:val="16"/>
                  <w:szCs w:val="16"/>
                  <w:color w:val="0000FF"/>
                  <w:w w:val="91"/>
                </w:rPr>
                <w:t>Letter Agreement regarding Equity Registration Rights Agreement, dated October 21, 2010, among General Motors Company, the</w:t>
              </w:r>
            </w:hyperlink>
          </w:p>
        </w:tc>
        <w:tc>
          <w:tcPr>
            <w:tcW w:w="320" w:type="dxa"/>
            <w:vAlign w:val="bottom"/>
            <w:gridSpan w:val="5"/>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w w:val="95"/>
              </w:rPr>
            </w:pPr>
            <w:hyperlink r:id="rId46">
              <w:r>
                <w:rPr>
                  <w:rFonts w:ascii="Arial" w:cs="Arial" w:eastAsia="Arial" w:hAnsi="Arial"/>
                  <w:sz w:val="16"/>
                  <w:szCs w:val="16"/>
                  <w:color w:val="0000FF"/>
                  <w:w w:val="95"/>
                </w:rPr>
                <w:t>United States Department of Treasury, Canada GEN Investment Corporation, the UAW Retiree Medical Benefits Trust and Motors</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w w:val="94"/>
              </w:rPr>
            </w:pPr>
            <w:hyperlink r:id="rId46">
              <w:r>
                <w:rPr>
                  <w:rFonts w:ascii="Arial" w:cs="Arial" w:eastAsia="Arial" w:hAnsi="Arial"/>
                  <w:sz w:val="16"/>
                  <w:szCs w:val="16"/>
                  <w:color w:val="0000FF"/>
                  <w:w w:val="94"/>
                </w:rPr>
                <w:t>Liquidation Company, incorporated herein by reference to Exhibit 10.43 to Amendment No. 5 to the Registration Statement on Form</w:t>
              </w:r>
            </w:hyperlink>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70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46">
              <w:r>
                <w:rPr>
                  <w:rFonts w:ascii="Arial" w:cs="Arial" w:eastAsia="Arial" w:hAnsi="Arial"/>
                  <w:sz w:val="16"/>
                  <w:szCs w:val="16"/>
                  <w:color w:val="0000FF"/>
                </w:rPr>
                <w:t>S-1 (File No. 333-168919) of General Motors Company filed November 3, 2010</w:t>
              </w:r>
            </w:hyperlink>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8800" w:type="dxa"/>
            <w:vAlign w:val="bottom"/>
            <w:gridSpan w:val="28"/>
            <w:shd w:val="clear" w:color="auto" w:fill="CCEEFF"/>
          </w:tcPr>
          <w:p>
            <w:pPr>
              <w:spacing w:after="0"/>
              <w:rPr>
                <w:rFonts w:ascii="Arial" w:cs="Arial" w:eastAsia="Arial" w:hAnsi="Arial"/>
                <w:sz w:val="16"/>
                <w:szCs w:val="16"/>
                <w:color w:val="0000FF"/>
                <w:w w:val="94"/>
              </w:rPr>
            </w:pPr>
            <w:hyperlink r:id="rId47">
              <w:r>
                <w:rPr>
                  <w:rFonts w:ascii="Arial" w:cs="Arial" w:eastAsia="Arial" w:hAnsi="Arial"/>
                  <w:sz w:val="16"/>
                  <w:szCs w:val="16"/>
                  <w:color w:val="0000FF"/>
                  <w:w w:val="94"/>
                </w:rPr>
                <w:t>Form of Compensation Statement, incorporated herein by reference to Exhibit 10.14 to the Annual Report on Form 10-K of General</w:t>
              </w:r>
            </w:hyperlink>
          </w:p>
        </w:tc>
        <w:tc>
          <w:tcPr>
            <w:tcW w:w="1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8560" w:type="dxa"/>
            <w:vAlign w:val="bottom"/>
            <w:tcBorders>
              <w:top w:val="single" w:sz="8" w:color="0000FF"/>
            </w:tcBorders>
            <w:gridSpan w:val="26"/>
            <w:shd w:val="clear" w:color="auto" w:fill="CCEEFF"/>
          </w:tcPr>
          <w:p>
            <w:pPr>
              <w:spacing w:after="0" w:line="183" w:lineRule="exact"/>
              <w:rPr>
                <w:rFonts w:ascii="Arial" w:cs="Arial" w:eastAsia="Arial" w:hAnsi="Arial"/>
                <w:sz w:val="16"/>
                <w:szCs w:val="16"/>
                <w:color w:val="0000FF"/>
              </w:rPr>
            </w:pPr>
            <w:hyperlink r:id="rId47">
              <w:r>
                <w:rPr>
                  <w:rFonts w:ascii="Arial" w:cs="Arial" w:eastAsia="Arial" w:hAnsi="Arial"/>
                  <w:sz w:val="16"/>
                  <w:szCs w:val="16"/>
                  <w:color w:val="0000FF"/>
                </w:rPr>
                <w:t>Motors Company filed April 7, 2010</w:t>
              </w:r>
            </w:hyperlink>
          </w:p>
        </w:tc>
        <w:tc>
          <w:tcPr>
            <w:tcW w:w="240" w:type="dxa"/>
            <w:vAlign w:val="bottom"/>
            <w:tcBorders>
              <w:top w:val="single" w:sz="8" w:color="CCEEFF"/>
            </w:tcBorders>
            <w:gridSpan w:val="2"/>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10.5*</w:t>
            </w:r>
          </w:p>
        </w:tc>
        <w:tc>
          <w:tcPr>
            <w:tcW w:w="8700" w:type="dxa"/>
            <w:vAlign w:val="bottom"/>
            <w:tcBorders>
              <w:bottom w:val="single" w:sz="8" w:color="0000FF"/>
            </w:tcBorders>
            <w:gridSpan w:val="27"/>
          </w:tcPr>
          <w:p>
            <w:pPr>
              <w:spacing w:after="0"/>
              <w:rPr>
                <w:rFonts w:ascii="Arial" w:cs="Arial" w:eastAsia="Arial" w:hAnsi="Arial"/>
                <w:sz w:val="16"/>
                <w:szCs w:val="16"/>
                <w:color w:val="0000FF"/>
                <w:w w:val="92"/>
              </w:rPr>
            </w:pPr>
            <w:hyperlink r:id="rId48">
              <w:r>
                <w:rPr>
                  <w:rFonts w:ascii="Arial" w:cs="Arial" w:eastAsia="Arial" w:hAnsi="Arial"/>
                  <w:sz w:val="16"/>
                  <w:szCs w:val="16"/>
                  <w:color w:val="0000FF"/>
                  <w:w w:val="92"/>
                </w:rPr>
                <w:t>The General Motors Company Deferred Compensation Plan for Non-Employee Directors, incorporated herein by reference to Exhibit</w:t>
              </w:r>
            </w:hyperlink>
          </w:p>
        </w:tc>
        <w:tc>
          <w:tcPr>
            <w:tcW w:w="10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rPr>
            </w:pPr>
            <w:hyperlink r:id="rId48">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Quarterly Report on Form 10-Q of General Motors Company filed May 6, 2011</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10.6*</w:t>
            </w:r>
          </w:p>
        </w:tc>
        <w:tc>
          <w:tcPr>
            <w:tcW w:w="8700" w:type="dxa"/>
            <w:vAlign w:val="bottom"/>
            <w:tcBorders>
              <w:bottom w:val="single" w:sz="8" w:color="0000FF"/>
              <w:right w:val="single" w:sz="8" w:color="CCEEFF"/>
            </w:tcBorders>
            <w:gridSpan w:val="27"/>
            <w:shd w:val="clear" w:color="auto" w:fill="CCEEFF"/>
          </w:tcPr>
          <w:p>
            <w:pPr>
              <w:spacing w:after="0"/>
              <w:rPr>
                <w:rFonts w:ascii="Arial" w:cs="Arial" w:eastAsia="Arial" w:hAnsi="Arial"/>
                <w:sz w:val="16"/>
                <w:szCs w:val="16"/>
                <w:color w:val="0000FF"/>
                <w:w w:val="92"/>
              </w:rPr>
            </w:pPr>
            <w:hyperlink r:id="rId49">
              <w:r>
                <w:rPr>
                  <w:rFonts w:ascii="Arial" w:cs="Arial" w:eastAsia="Arial" w:hAnsi="Arial"/>
                  <w:sz w:val="16"/>
                  <w:szCs w:val="16"/>
                  <w:color w:val="0000FF"/>
                  <w:w w:val="92"/>
                </w:rPr>
                <w:t>General Motors Company Executive Retirement Plan, with modifications through October 10, 2012, incorporated herein by reference</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6900" w:type="dxa"/>
            <w:vAlign w:val="bottom"/>
            <w:tcBorders>
              <w:bottom w:val="single" w:sz="8" w:color="0000FF"/>
            </w:tcBorders>
            <w:gridSpan w:val="16"/>
            <w:shd w:val="clear" w:color="auto" w:fill="CCEEFF"/>
          </w:tcPr>
          <w:p>
            <w:pPr>
              <w:spacing w:after="0" w:line="183" w:lineRule="exact"/>
              <w:rPr>
                <w:rFonts w:ascii="Arial" w:cs="Arial" w:eastAsia="Arial" w:hAnsi="Arial"/>
                <w:sz w:val="16"/>
                <w:szCs w:val="16"/>
                <w:color w:val="0000FF"/>
                <w:w w:val="93"/>
              </w:rPr>
            </w:pPr>
            <w:hyperlink r:id="rId49">
              <w:r>
                <w:rPr>
                  <w:rFonts w:ascii="Arial" w:cs="Arial" w:eastAsia="Arial" w:hAnsi="Arial"/>
                  <w:sz w:val="16"/>
                  <w:szCs w:val="16"/>
                  <w:color w:val="0000FF"/>
                  <w:w w:val="93"/>
                </w:rPr>
                <w:t>to Exhibit 10.12 to the Annual Report on Form 10-K of General Motors Company filed February 15, 2013</w:t>
              </w:r>
            </w:hyperlink>
          </w:p>
        </w:tc>
        <w:tc>
          <w:tcPr>
            <w:tcW w:w="1900" w:type="dxa"/>
            <w:vAlign w:val="bottom"/>
            <w:tcBorders>
              <w:bottom w:val="single" w:sz="8" w:color="CCEEFF"/>
            </w:tcBorders>
            <w:gridSpan w:val="12"/>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10.7*</w:t>
            </w:r>
          </w:p>
        </w:tc>
        <w:tc>
          <w:tcPr>
            <w:tcW w:w="8000" w:type="dxa"/>
            <w:vAlign w:val="bottom"/>
            <w:tcBorders>
              <w:bottom w:val="single" w:sz="8" w:color="0000FF"/>
            </w:tcBorders>
            <w:gridSpan w:val="19"/>
          </w:tcPr>
          <w:p>
            <w:pPr>
              <w:spacing w:after="0"/>
              <w:rPr>
                <w:rFonts w:ascii="Arial" w:cs="Arial" w:eastAsia="Arial" w:hAnsi="Arial"/>
                <w:sz w:val="16"/>
                <w:szCs w:val="16"/>
                <w:color w:val="0000FF"/>
                <w:w w:val="93"/>
              </w:rPr>
            </w:pPr>
            <w:hyperlink r:id="rId50">
              <w:r>
                <w:rPr>
                  <w:rFonts w:ascii="Arial" w:cs="Arial" w:eastAsia="Arial" w:hAnsi="Arial"/>
                  <w:sz w:val="16"/>
                  <w:szCs w:val="16"/>
                  <w:color w:val="0000FF"/>
                  <w:w w:val="93"/>
                </w:rPr>
                <w:t>Amendment No. 1 to General Motors Company Executive Retirement Plan, with modifications through October 10, 2012,</w:t>
              </w:r>
            </w:hyperlink>
          </w:p>
        </w:tc>
        <w:tc>
          <w:tcPr>
            <w:tcW w:w="800" w:type="dxa"/>
            <w:vAlign w:val="bottom"/>
            <w:gridSpan w:val="9"/>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w w:val="96"/>
              </w:rPr>
            </w:pPr>
            <w:hyperlink r:id="rId50">
              <w:r>
                <w:rPr>
                  <w:rFonts w:ascii="Arial" w:cs="Arial" w:eastAsia="Arial" w:hAnsi="Arial"/>
                  <w:sz w:val="16"/>
                  <w:szCs w:val="16"/>
                  <w:color w:val="0000FF"/>
                  <w:w w:val="96"/>
                </w:rPr>
                <w:t>incorporated herein by reference to Exhibit 10.2 to the Current Report on Form 8-K of General Motors Company filed February 3,</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4"/>
              </w:rPr>
            </w:pPr>
            <w:hyperlink r:id="rId50">
              <w:r>
                <w:rPr>
                  <w:rFonts w:ascii="Arial" w:cs="Arial" w:eastAsia="Arial" w:hAnsi="Arial"/>
                  <w:sz w:val="16"/>
                  <w:szCs w:val="16"/>
                  <w:color w:val="0000FF"/>
                  <w:w w:val="84"/>
                </w:rPr>
                <w:t>2016</w:t>
              </w:r>
            </w:hyperlink>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8700" w:type="dxa"/>
            <w:vAlign w:val="bottom"/>
            <w:tcBorders>
              <w:bottom w:val="single" w:sz="8" w:color="0000FF"/>
              <w:right w:val="single" w:sz="8" w:color="CCEEFF"/>
            </w:tcBorders>
            <w:gridSpan w:val="27"/>
            <w:shd w:val="clear" w:color="auto" w:fill="CCEEFF"/>
          </w:tcPr>
          <w:p>
            <w:pPr>
              <w:spacing w:after="0"/>
              <w:rPr>
                <w:rFonts w:ascii="Arial" w:cs="Arial" w:eastAsia="Arial" w:hAnsi="Arial"/>
                <w:sz w:val="16"/>
                <w:szCs w:val="16"/>
                <w:color w:val="0000FF"/>
                <w:w w:val="92"/>
              </w:rPr>
            </w:pPr>
            <w:hyperlink r:id="rId51">
              <w:r>
                <w:rPr>
                  <w:rFonts w:ascii="Arial" w:cs="Arial" w:eastAsia="Arial" w:hAnsi="Arial"/>
                  <w:sz w:val="16"/>
                  <w:szCs w:val="16"/>
                  <w:color w:val="0000FF"/>
                  <w:w w:val="92"/>
                </w:rPr>
                <w:t>General Motors Company 2014 Long-Term Incentive Plan, incorporated herein by reference to Exhibit 10.1 to the Current Report on</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Form 8-K of General Motors Company filed June 12, 2014</w:t>
              </w:r>
            </w:hyperlink>
          </w:p>
        </w:tc>
        <w:tc>
          <w:tcPr>
            <w:tcW w:w="154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10.9*</w:t>
            </w:r>
          </w:p>
        </w:tc>
        <w:tc>
          <w:tcPr>
            <w:tcW w:w="8800" w:type="dxa"/>
            <w:vAlign w:val="bottom"/>
            <w:gridSpan w:val="28"/>
          </w:tcPr>
          <w:p>
            <w:pPr>
              <w:spacing w:after="0"/>
              <w:rPr>
                <w:rFonts w:ascii="Arial" w:cs="Arial" w:eastAsia="Arial" w:hAnsi="Arial"/>
                <w:sz w:val="16"/>
                <w:szCs w:val="16"/>
                <w:color w:val="0000FF"/>
                <w:w w:val="98"/>
              </w:rPr>
            </w:pPr>
            <w:hyperlink r:id="rId52">
              <w:r>
                <w:rPr>
                  <w:rFonts w:ascii="Arial" w:cs="Arial" w:eastAsia="Arial" w:hAnsi="Arial"/>
                  <w:sz w:val="16"/>
                  <w:szCs w:val="16"/>
                  <w:color w:val="0000FF"/>
                  <w:w w:val="98"/>
                </w:rPr>
                <w:t>Form of Non-Qualified Stock Option Agreement under the 2014 Long-Term Incentive Plan, incorporated herein by reference to</w:t>
              </w:r>
            </w:hyperlink>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28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52">
              <w:r>
                <w:rPr>
                  <w:rFonts w:ascii="Arial" w:cs="Arial" w:eastAsia="Arial" w:hAnsi="Arial"/>
                  <w:sz w:val="16"/>
                  <w:szCs w:val="16"/>
                  <w:color w:val="0000FF"/>
                </w:rPr>
                <w:t>Exhibit 10.1 to the Current Report on Form 8-K of General Motors Company filed July 30, 2015</w:t>
              </w:r>
            </w:hyperlink>
          </w:p>
        </w:tc>
        <w:tc>
          <w:tcPr>
            <w:tcW w:w="520" w:type="dxa"/>
            <w:vAlign w:val="bottom"/>
            <w:gridSpan w:val="7"/>
          </w:tcPr>
          <w:p>
            <w:pPr>
              <w:spacing w:after="0"/>
              <w:rPr>
                <w:sz w:val="15"/>
                <w:szCs w:val="15"/>
                <w:color w:val="auto"/>
              </w:rPr>
            </w:pPr>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10.10*</w:t>
            </w:r>
          </w:p>
        </w:tc>
        <w:tc>
          <w:tcPr>
            <w:tcW w:w="8700" w:type="dxa"/>
            <w:vAlign w:val="bottom"/>
            <w:tcBorders>
              <w:bottom w:val="single" w:sz="8" w:color="0000FF"/>
              <w:right w:val="single" w:sz="8" w:color="CCEEFF"/>
            </w:tcBorders>
            <w:gridSpan w:val="27"/>
            <w:shd w:val="clear" w:color="auto" w:fill="CCEEFF"/>
          </w:tcPr>
          <w:p>
            <w:pPr>
              <w:spacing w:after="0"/>
              <w:rPr>
                <w:rFonts w:ascii="Arial" w:cs="Arial" w:eastAsia="Arial" w:hAnsi="Arial"/>
                <w:sz w:val="16"/>
                <w:szCs w:val="16"/>
                <w:color w:val="0000FF"/>
                <w:w w:val="93"/>
              </w:rPr>
            </w:pPr>
            <w:hyperlink r:id="rId53">
              <w:r>
                <w:rPr>
                  <w:rFonts w:ascii="Arial" w:cs="Arial" w:eastAsia="Arial" w:hAnsi="Arial"/>
                  <w:sz w:val="16"/>
                  <w:szCs w:val="16"/>
                  <w:color w:val="0000FF"/>
                  <w:w w:val="93"/>
                </w:rPr>
                <w:t>Form of General Motors Company Restricted Stock Unit Award Agreement under the 2014 Long-Term Incentive Plan, incorporated</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herein by reference to Exhibit 10.4 to the Quarterly Report on Form 10-Q of General Motors Company filed April 21, 2016</w:t>
              </w:r>
            </w:hyperlink>
          </w:p>
        </w:tc>
        <w:tc>
          <w:tcPr>
            <w:tcW w:w="154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10.11*</w:t>
            </w:r>
          </w:p>
        </w:tc>
        <w:tc>
          <w:tcPr>
            <w:tcW w:w="7900" w:type="dxa"/>
            <w:vAlign w:val="bottom"/>
            <w:tcBorders>
              <w:top w:val="single" w:sz="8" w:color="0000FF"/>
              <w:bottom w:val="single" w:sz="8" w:color="0000FF"/>
            </w:tcBorders>
            <w:gridSpan w:val="18"/>
          </w:tcPr>
          <w:p>
            <w:pPr>
              <w:spacing w:after="0"/>
              <w:rPr>
                <w:rFonts w:ascii="Arial" w:cs="Arial" w:eastAsia="Arial" w:hAnsi="Arial"/>
                <w:sz w:val="16"/>
                <w:szCs w:val="16"/>
                <w:color w:val="0000FF"/>
                <w:w w:val="92"/>
              </w:rPr>
            </w:pPr>
            <w:hyperlink r:id="rId54">
              <w:r>
                <w:rPr>
                  <w:rFonts w:ascii="Arial" w:cs="Arial" w:eastAsia="Arial" w:hAnsi="Arial"/>
                  <w:sz w:val="16"/>
                  <w:szCs w:val="16"/>
                  <w:color w:val="0000FF"/>
                  <w:w w:val="92"/>
                </w:rPr>
                <w:t>Form of General Motors Company Performance Stock Unit Award Agreement under the 2014 Long-Term Incentive Plan,</w:t>
              </w:r>
            </w:hyperlink>
          </w:p>
        </w:tc>
        <w:tc>
          <w:tcPr>
            <w:tcW w:w="100" w:type="dxa"/>
            <w:vAlign w:val="bottom"/>
            <w:tcBorders>
              <w:top w:val="single" w:sz="8" w:color="0000FF"/>
            </w:tcBorders>
          </w:tcPr>
          <w:p>
            <w:pPr>
              <w:spacing w:after="0"/>
              <w:rPr>
                <w:sz w:val="16"/>
                <w:szCs w:val="16"/>
                <w:color w:val="auto"/>
              </w:rPr>
            </w:pPr>
          </w:p>
        </w:tc>
        <w:tc>
          <w:tcPr>
            <w:tcW w:w="800" w:type="dxa"/>
            <w:vAlign w:val="bottom"/>
            <w:tcBorders>
              <w:top w:val="single" w:sz="8" w:color="CCEEFF"/>
            </w:tcBorders>
            <w:gridSpan w:val="9"/>
          </w:tcPr>
          <w:p>
            <w:pPr>
              <w:spacing w:after="0"/>
              <w:rPr>
                <w:sz w:val="16"/>
                <w:szCs w:val="16"/>
                <w:color w:val="auto"/>
              </w:rPr>
            </w:pPr>
          </w:p>
        </w:tc>
        <w:tc>
          <w:tcPr>
            <w:tcW w:w="154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w w:val="96"/>
              </w:rPr>
            </w:pPr>
            <w:hyperlink r:id="rId54">
              <w:r>
                <w:rPr>
                  <w:rFonts w:ascii="Arial" w:cs="Arial" w:eastAsia="Arial" w:hAnsi="Arial"/>
                  <w:sz w:val="16"/>
                  <w:szCs w:val="16"/>
                  <w:color w:val="0000FF"/>
                  <w:w w:val="96"/>
                </w:rPr>
                <w:t>incorporated herein by reference to Exhibit 10.5 to the Quarterly Report on Form 10-Q of General Motors Company filed April 21,</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4"/>
              </w:rPr>
            </w:pPr>
            <w:hyperlink r:id="rId54">
              <w:r>
                <w:rPr>
                  <w:rFonts w:ascii="Arial" w:cs="Arial" w:eastAsia="Arial" w:hAnsi="Arial"/>
                  <w:sz w:val="16"/>
                  <w:szCs w:val="16"/>
                  <w:color w:val="0000FF"/>
                  <w:w w:val="84"/>
                </w:rPr>
                <w:t>2016</w:t>
              </w:r>
            </w:hyperlink>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10.12*</w:t>
            </w:r>
          </w:p>
        </w:tc>
        <w:tc>
          <w:tcPr>
            <w:tcW w:w="8800" w:type="dxa"/>
            <w:vAlign w:val="bottom"/>
            <w:gridSpan w:val="28"/>
            <w:shd w:val="clear" w:color="auto" w:fill="CCEEFF"/>
          </w:tcPr>
          <w:p>
            <w:pPr>
              <w:spacing w:after="0"/>
              <w:rPr>
                <w:rFonts w:ascii="Arial" w:cs="Arial" w:eastAsia="Arial" w:hAnsi="Arial"/>
                <w:sz w:val="16"/>
                <w:szCs w:val="16"/>
                <w:color w:val="0000FF"/>
              </w:rPr>
            </w:pPr>
            <w:hyperlink r:id="rId55">
              <w:r>
                <w:rPr>
                  <w:rFonts w:ascii="Arial" w:cs="Arial" w:eastAsia="Arial" w:hAnsi="Arial"/>
                  <w:sz w:val="16"/>
                  <w:szCs w:val="16"/>
                  <w:color w:val="0000FF"/>
                </w:rPr>
                <w:t>Form of General Motors Company Performance Share Unit Award Agreement under the 2014 Long-Term Incentive Plan,</w:t>
              </w:r>
            </w:hyperlink>
          </w:p>
        </w:tc>
        <w:tc>
          <w:tcPr>
            <w:tcW w:w="1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w w:val="96"/>
              </w:rPr>
            </w:pPr>
            <w:hyperlink r:id="rId55">
              <w:r>
                <w:rPr>
                  <w:rFonts w:ascii="Arial" w:cs="Arial" w:eastAsia="Arial" w:hAnsi="Arial"/>
                  <w:sz w:val="16"/>
                  <w:szCs w:val="16"/>
                  <w:color w:val="0000FF"/>
                  <w:w w:val="96"/>
                </w:rPr>
                <w:t>incorporated herein by reference to Exhibit 10.1 to the Quarterly Report on Form 10-Q of General Motors Company filed April 28,</w:t>
              </w:r>
            </w:hyperlink>
          </w:p>
        </w:tc>
        <w:tc>
          <w:tcPr>
            <w:tcW w:w="1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0000FF"/>
            </w:tcBorders>
            <w:gridSpan w:val="3"/>
            <w:shd w:val="clear" w:color="auto" w:fill="CCEEFF"/>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2017</w:t>
              </w:r>
            </w:hyperlink>
          </w:p>
        </w:tc>
        <w:tc>
          <w:tcPr>
            <w:tcW w:w="1360" w:type="dxa"/>
            <w:vAlign w:val="bottom"/>
            <w:tcBorders>
              <w:top w:val="single" w:sz="8" w:color="0000FF"/>
            </w:tcBorders>
            <w:shd w:val="clear" w:color="auto" w:fill="CCEEFF"/>
          </w:tcPr>
          <w:p>
            <w:pPr>
              <w:spacing w:after="0"/>
              <w:rPr>
                <w:sz w:val="15"/>
                <w:szCs w:val="15"/>
                <w:color w:val="auto"/>
              </w:rPr>
            </w:pPr>
          </w:p>
        </w:tc>
        <w:tc>
          <w:tcPr>
            <w:tcW w:w="13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580" w:type="dxa"/>
            <w:vAlign w:val="bottom"/>
            <w:tcBorders>
              <w:top w:val="single" w:sz="8" w:color="0000FF"/>
            </w:tcBorders>
            <w:shd w:val="clear" w:color="auto" w:fill="CCEEFF"/>
          </w:tcPr>
          <w:p>
            <w:pPr>
              <w:spacing w:after="0"/>
              <w:rPr>
                <w:sz w:val="15"/>
                <w:szCs w:val="15"/>
                <w:color w:val="auto"/>
              </w:rPr>
            </w:pPr>
          </w:p>
        </w:tc>
        <w:tc>
          <w:tcPr>
            <w:tcW w:w="52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940" w:type="dxa"/>
            <w:vAlign w:val="bottom"/>
            <w:tcBorders>
              <w:top w:val="single" w:sz="8" w:color="0000FF"/>
              <w:right w:val="single" w:sz="8" w:color="CCEE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right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68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right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5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10.13*</w:t>
            </w:r>
          </w:p>
        </w:tc>
        <w:tc>
          <w:tcPr>
            <w:tcW w:w="8800" w:type="dxa"/>
            <w:vAlign w:val="bottom"/>
            <w:gridSpan w:val="28"/>
          </w:tcPr>
          <w:p>
            <w:pPr>
              <w:spacing w:after="0"/>
              <w:rPr>
                <w:rFonts w:ascii="Arial" w:cs="Arial" w:eastAsia="Arial" w:hAnsi="Arial"/>
                <w:sz w:val="16"/>
                <w:szCs w:val="16"/>
                <w:color w:val="0000FF"/>
                <w:w w:val="93"/>
              </w:rPr>
            </w:pPr>
            <w:hyperlink r:id="rId56">
              <w:r>
                <w:rPr>
                  <w:rFonts w:ascii="Arial" w:cs="Arial" w:eastAsia="Arial" w:hAnsi="Arial"/>
                  <w:sz w:val="16"/>
                  <w:szCs w:val="16"/>
                  <w:color w:val="0000FF"/>
                  <w:w w:val="93"/>
                </w:rPr>
                <w:t>General Motors Company 2016 Equity Incentive Plan, incorporated herein by reference to Exhibit 99.1 to the Registration Statement</w:t>
              </w:r>
            </w:hyperlink>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70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on Form S-8 of General Motors Company filed May 13, 2016</w:t>
              </w:r>
            </w:hyperlink>
          </w:p>
        </w:tc>
        <w:tc>
          <w:tcPr>
            <w:tcW w:w="100" w:type="dxa"/>
            <w:vAlign w:val="bottom"/>
          </w:tcPr>
          <w:p>
            <w:pPr>
              <w:spacing w:after="0"/>
              <w:rPr>
                <w:sz w:val="15"/>
                <w:szCs w:val="15"/>
                <w:color w:val="auto"/>
              </w:rPr>
            </w:pPr>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10.14*</w:t>
            </w:r>
          </w:p>
        </w:tc>
        <w:tc>
          <w:tcPr>
            <w:tcW w:w="8440" w:type="dxa"/>
            <w:vAlign w:val="bottom"/>
            <w:tcBorders>
              <w:bottom w:val="single" w:sz="8" w:color="0000FF"/>
            </w:tcBorders>
            <w:gridSpan w:val="22"/>
            <w:shd w:val="clear" w:color="auto" w:fill="CCEEFF"/>
          </w:tcPr>
          <w:p>
            <w:pPr>
              <w:spacing w:after="0"/>
              <w:rPr>
                <w:rFonts w:ascii="Arial" w:cs="Arial" w:eastAsia="Arial" w:hAnsi="Arial"/>
                <w:sz w:val="16"/>
                <w:szCs w:val="16"/>
                <w:color w:val="0000FF"/>
                <w:w w:val="91"/>
              </w:rPr>
            </w:pPr>
            <w:hyperlink r:id="rId57">
              <w:r>
                <w:rPr>
                  <w:rFonts w:ascii="Arial" w:cs="Arial" w:eastAsia="Arial" w:hAnsi="Arial"/>
                  <w:sz w:val="16"/>
                  <w:szCs w:val="16"/>
                  <w:color w:val="0000FF"/>
                  <w:w w:val="91"/>
                </w:rPr>
                <w:t>General Motors Company Vehicle Operations - Senior Management Vehicle Program (SMVP) Supplement, revised December 15,</w:t>
              </w:r>
            </w:hyperlink>
          </w:p>
        </w:tc>
        <w:tc>
          <w:tcPr>
            <w:tcW w:w="360" w:type="dxa"/>
            <w:vAlign w:val="bottom"/>
            <w:tcBorders>
              <w:bottom w:val="single" w:sz="8" w:color="CCEEFF"/>
            </w:tcBorders>
            <w:gridSpan w:val="6"/>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w w:val="97"/>
              </w:rPr>
            </w:pPr>
            <w:hyperlink r:id="rId57">
              <w:r>
                <w:rPr>
                  <w:rFonts w:ascii="Arial" w:cs="Arial" w:eastAsia="Arial" w:hAnsi="Arial"/>
                  <w:sz w:val="16"/>
                  <w:szCs w:val="16"/>
                  <w:color w:val="0000FF"/>
                  <w:w w:val="97"/>
                </w:rPr>
                <w:t>2005, incorporated herein by reference to Exhibit 10(g) to the Annual Report on Form 10-K of Motors Liquidation Company filed</w:t>
              </w:r>
            </w:hyperlink>
          </w:p>
        </w:tc>
        <w:tc>
          <w:tcPr>
            <w:tcW w:w="154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3"/>
        </w:trPr>
        <w:tc>
          <w:tcPr>
            <w:tcW w:w="1080" w:type="dxa"/>
            <w:vAlign w:val="bottom"/>
            <w:tcBorders>
              <w:top w:val="single" w:sz="8" w:color="CCEEFF"/>
            </w:tcBorders>
            <w:shd w:val="clear" w:color="auto" w:fill="CCEEFF"/>
          </w:tcPr>
          <w:p>
            <w:pPr>
              <w:spacing w:after="0"/>
              <w:rPr>
                <w:sz w:val="15"/>
                <w:szCs w:val="15"/>
                <w:color w:val="auto"/>
              </w:rPr>
            </w:pPr>
          </w:p>
        </w:tc>
        <w:tc>
          <w:tcPr>
            <w:tcW w:w="8440" w:type="dxa"/>
            <w:vAlign w:val="bottom"/>
            <w:tcBorders>
              <w:top w:val="single" w:sz="8" w:color="0000FF"/>
            </w:tcBorders>
            <w:gridSpan w:val="22"/>
            <w:shd w:val="clear" w:color="auto" w:fill="CCEEFF"/>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March 28, 2006</w:t>
              </w:r>
            </w:hyperlink>
          </w:p>
        </w:tc>
        <w:tc>
          <w:tcPr>
            <w:tcW w:w="360" w:type="dxa"/>
            <w:vAlign w:val="bottom"/>
            <w:tcBorders>
              <w:top w:val="single" w:sz="8" w:color="CCEEFF"/>
            </w:tcBorders>
            <w:gridSpan w:val="6"/>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10.15*</w:t>
            </w:r>
          </w:p>
        </w:tc>
        <w:tc>
          <w:tcPr>
            <w:tcW w:w="8800" w:type="dxa"/>
            <w:vAlign w:val="bottom"/>
            <w:gridSpan w:val="28"/>
          </w:tcPr>
          <w:p>
            <w:pPr>
              <w:spacing w:after="0"/>
              <w:rPr>
                <w:rFonts w:ascii="Arial" w:cs="Arial" w:eastAsia="Arial" w:hAnsi="Arial"/>
                <w:sz w:val="16"/>
                <w:szCs w:val="16"/>
                <w:color w:val="0000FF"/>
                <w:w w:val="94"/>
              </w:rPr>
            </w:pPr>
            <w:hyperlink r:id="rId58">
              <w:r>
                <w:rPr>
                  <w:rFonts w:ascii="Arial" w:cs="Arial" w:eastAsia="Arial" w:hAnsi="Arial"/>
                  <w:sz w:val="16"/>
                  <w:szCs w:val="16"/>
                  <w:color w:val="0000FF"/>
                  <w:w w:val="94"/>
                </w:rPr>
                <w:t>Form of Director and Officer Indemnification Agreement, incorporated herein by reference to Exhibit 10.6 to the Quarterly Report on</w:t>
              </w:r>
            </w:hyperlink>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70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Form 10-Q of General Motors Company filed April 21, 2016</w:t>
              </w:r>
            </w:hyperlink>
          </w:p>
        </w:tc>
        <w:tc>
          <w:tcPr>
            <w:tcW w:w="100" w:type="dxa"/>
            <w:vAlign w:val="bottom"/>
          </w:tcPr>
          <w:p>
            <w:pPr>
              <w:spacing w:after="0"/>
              <w:rPr>
                <w:sz w:val="15"/>
                <w:szCs w:val="15"/>
                <w:color w:val="auto"/>
              </w:rPr>
            </w:pPr>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10.16*</w:t>
            </w:r>
          </w:p>
        </w:tc>
        <w:tc>
          <w:tcPr>
            <w:tcW w:w="8700" w:type="dxa"/>
            <w:vAlign w:val="bottom"/>
            <w:tcBorders>
              <w:bottom w:val="single" w:sz="8" w:color="0000FF"/>
              <w:right w:val="single" w:sz="8" w:color="CCEEFF"/>
            </w:tcBorders>
            <w:gridSpan w:val="27"/>
            <w:shd w:val="clear" w:color="auto" w:fill="CCEEFF"/>
          </w:tcPr>
          <w:p>
            <w:pPr>
              <w:spacing w:after="0"/>
              <w:rPr>
                <w:rFonts w:ascii="Arial" w:cs="Arial" w:eastAsia="Arial" w:hAnsi="Arial"/>
                <w:sz w:val="16"/>
                <w:szCs w:val="16"/>
                <w:color w:val="0000FF"/>
                <w:w w:val="91"/>
              </w:rPr>
            </w:pPr>
            <w:hyperlink r:id="rId59">
              <w:r>
                <w:rPr>
                  <w:rFonts w:ascii="Arial" w:cs="Arial" w:eastAsia="Arial" w:hAnsi="Arial"/>
                  <w:sz w:val="16"/>
                  <w:szCs w:val="16"/>
                  <w:color w:val="0000FF"/>
                  <w:w w:val="91"/>
                </w:rPr>
                <w:t>General Motors Company 2017 Short-Term Incentive Plan, incorporated herein by reference to Exhibit 10.25 to the Annual Report on</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0000FF"/>
            </w:tcBorders>
            <w:gridSpan w:val="9"/>
            <w:shd w:val="clear" w:color="auto" w:fill="CCEEFF"/>
          </w:tcPr>
          <w:p>
            <w:pPr>
              <w:spacing w:after="0" w:line="183" w:lineRule="exact"/>
              <w:rPr>
                <w:rFonts w:ascii="Arial" w:cs="Arial" w:eastAsia="Arial" w:hAnsi="Arial"/>
                <w:sz w:val="16"/>
                <w:szCs w:val="16"/>
                <w:color w:val="0000FF"/>
                <w:w w:val="92"/>
              </w:rPr>
            </w:pPr>
            <w:hyperlink r:id="rId59">
              <w:r>
                <w:rPr>
                  <w:rFonts w:ascii="Arial" w:cs="Arial" w:eastAsia="Arial" w:hAnsi="Arial"/>
                  <w:sz w:val="16"/>
                  <w:szCs w:val="16"/>
                  <w:color w:val="0000FF"/>
                  <w:w w:val="92"/>
                </w:rPr>
                <w:t>Form 10-K of General Motors Company filed February 6, 2018</w:t>
              </w:r>
            </w:hyperlink>
          </w:p>
        </w:tc>
        <w:tc>
          <w:tcPr>
            <w:tcW w:w="4680" w:type="dxa"/>
            <w:vAlign w:val="bottom"/>
            <w:tcBorders>
              <w:bottom w:val="single" w:sz="8" w:color="CCEEFF"/>
            </w:tcBorders>
            <w:gridSpan w:val="19"/>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10.17*</w:t>
            </w:r>
          </w:p>
        </w:tc>
        <w:tc>
          <w:tcPr>
            <w:tcW w:w="8160" w:type="dxa"/>
            <w:vAlign w:val="bottom"/>
            <w:tcBorders>
              <w:bottom w:val="single" w:sz="8" w:color="0000FF"/>
            </w:tcBorders>
            <w:gridSpan w:val="20"/>
          </w:tcPr>
          <w:p>
            <w:pPr>
              <w:spacing w:after="0"/>
              <w:rPr>
                <w:rFonts w:ascii="Arial" w:cs="Arial" w:eastAsia="Arial" w:hAnsi="Arial"/>
                <w:sz w:val="16"/>
                <w:szCs w:val="16"/>
                <w:color w:val="0000FF"/>
                <w:w w:val="92"/>
              </w:rPr>
            </w:pPr>
            <w:hyperlink r:id="rId60">
              <w:r>
                <w:rPr>
                  <w:rFonts w:ascii="Arial" w:cs="Arial" w:eastAsia="Arial" w:hAnsi="Arial"/>
                  <w:sz w:val="16"/>
                  <w:szCs w:val="16"/>
                  <w:color w:val="0000FF"/>
                  <w:w w:val="92"/>
                </w:rPr>
                <w:t>General Motors Company 2017 Long-Term Incentive Plan, incorporated herein by reference to Exhibit 4.1 to the Registration</w:t>
              </w:r>
            </w:hyperlink>
          </w:p>
        </w:tc>
        <w:tc>
          <w:tcPr>
            <w:tcW w:w="640" w:type="dxa"/>
            <w:vAlign w:val="bottom"/>
            <w:gridSpan w:val="8"/>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Statement on Form S-8 of General Motors Company filed June 16, 2017</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10.18*</w:t>
            </w:r>
          </w:p>
        </w:tc>
        <w:tc>
          <w:tcPr>
            <w:tcW w:w="8800" w:type="dxa"/>
            <w:vAlign w:val="bottom"/>
            <w:gridSpan w:val="28"/>
            <w:shd w:val="clear" w:color="auto" w:fill="CCEEFF"/>
          </w:tcPr>
          <w:p>
            <w:pPr>
              <w:spacing w:after="0"/>
              <w:rPr>
                <w:rFonts w:ascii="Arial" w:cs="Arial" w:eastAsia="Arial" w:hAnsi="Arial"/>
                <w:sz w:val="16"/>
                <w:szCs w:val="16"/>
                <w:color w:val="0000FF"/>
              </w:rPr>
            </w:pPr>
            <w:hyperlink r:id="rId61">
              <w:r>
                <w:rPr>
                  <w:rFonts w:ascii="Arial" w:cs="Arial" w:eastAsia="Arial" w:hAnsi="Arial"/>
                  <w:sz w:val="16"/>
                  <w:szCs w:val="16"/>
                  <w:color w:val="0000FF"/>
                </w:rPr>
                <w:t>Form of Performance Share Unit Award Agreement under the General Motors Company 2017 Long-Term Incentive Plan,</w:t>
              </w:r>
            </w:hyperlink>
          </w:p>
        </w:tc>
        <w:tc>
          <w:tcPr>
            <w:tcW w:w="1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CCEEFF"/>
            </w:tcBorders>
            <w:shd w:val="clear" w:color="auto" w:fill="0000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640" w:type="dxa"/>
            <w:vAlign w:val="bottom"/>
            <w:gridSpan w:val="8"/>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8800" w:type="dxa"/>
            <w:vAlign w:val="bottom"/>
            <w:gridSpan w:val="28"/>
            <w:shd w:val="clear" w:color="auto" w:fill="CCEEFF"/>
          </w:tcPr>
          <w:p>
            <w:pPr>
              <w:spacing w:after="0" w:line="183" w:lineRule="exact"/>
              <w:rPr>
                <w:rFonts w:ascii="Arial" w:cs="Arial" w:eastAsia="Arial" w:hAnsi="Arial"/>
                <w:sz w:val="16"/>
                <w:szCs w:val="16"/>
                <w:color w:val="0000FF"/>
                <w:w w:val="96"/>
              </w:rPr>
            </w:pPr>
            <w:hyperlink r:id="rId61">
              <w:r>
                <w:rPr>
                  <w:rFonts w:ascii="Arial" w:cs="Arial" w:eastAsia="Arial" w:hAnsi="Arial"/>
                  <w:sz w:val="16"/>
                  <w:szCs w:val="16"/>
                  <w:color w:val="0000FF"/>
                  <w:w w:val="96"/>
                </w:rPr>
                <w:t>incorporated herein by reference to Exhibit 10.1 to the Quarterly Report on Form 10-Q of General Motors Company filed April 26,</w:t>
              </w:r>
            </w:hyperlink>
          </w:p>
        </w:tc>
        <w:tc>
          <w:tcPr>
            <w:tcW w:w="154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235"/>
        </w:trPr>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0000FF"/>
            </w:tcBorders>
            <w:shd w:val="clear" w:color="auto" w:fill="CCEEFF"/>
          </w:tcPr>
          <w:p>
            <w:pPr>
              <w:spacing w:after="0" w:line="183" w:lineRule="exact"/>
              <w:rPr>
                <w:rFonts w:ascii="Arial" w:cs="Arial" w:eastAsia="Arial" w:hAnsi="Arial"/>
                <w:sz w:val="16"/>
                <w:szCs w:val="16"/>
                <w:color w:val="0000FF"/>
                <w:w w:val="84"/>
              </w:rPr>
            </w:pPr>
            <w:hyperlink r:id="rId61">
              <w:r>
                <w:rPr>
                  <w:rFonts w:ascii="Arial" w:cs="Arial" w:eastAsia="Arial" w:hAnsi="Arial"/>
                  <w:sz w:val="16"/>
                  <w:szCs w:val="16"/>
                  <w:color w:val="0000FF"/>
                  <w:w w:val="84"/>
                </w:rPr>
                <w:t>2018</w:t>
              </w:r>
            </w:hyperlink>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680" w:type="dxa"/>
            <w:vAlign w:val="bottom"/>
            <w:tcBorders>
              <w:top w:val="single" w:sz="8" w:color="0000FF"/>
              <w:bottom w:val="single" w:sz="8" w:color="CCEEFF"/>
            </w:tcBorders>
            <w:shd w:val="clear" w:color="auto" w:fill="CCEEFF"/>
          </w:tcPr>
          <w:p>
            <w:pPr>
              <w:spacing w:after="0"/>
              <w:rPr>
                <w:sz w:val="20"/>
                <w:szCs w:val="20"/>
                <w:color w:val="auto"/>
              </w:rPr>
            </w:pPr>
          </w:p>
        </w:tc>
        <w:tc>
          <w:tcPr>
            <w:tcW w:w="1360" w:type="dxa"/>
            <w:vAlign w:val="bottom"/>
            <w:tcBorders>
              <w:top w:val="single" w:sz="8" w:color="0000FF"/>
              <w:bottom w:val="single" w:sz="8" w:color="CCEEFF"/>
            </w:tcBorders>
            <w:shd w:val="clear" w:color="auto" w:fill="CCEEFF"/>
          </w:tcPr>
          <w:p>
            <w:pPr>
              <w:spacing w:after="0"/>
              <w:rPr>
                <w:sz w:val="20"/>
                <w:szCs w:val="20"/>
                <w:color w:val="auto"/>
              </w:rPr>
            </w:pPr>
          </w:p>
        </w:tc>
        <w:tc>
          <w:tcPr>
            <w:tcW w:w="136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580" w:type="dxa"/>
            <w:vAlign w:val="bottom"/>
            <w:tcBorders>
              <w:top w:val="single" w:sz="8" w:color="0000FF"/>
              <w:bottom w:val="single" w:sz="8" w:color="CCEEFF"/>
            </w:tcBorders>
            <w:shd w:val="clear" w:color="auto" w:fill="CCEEFF"/>
          </w:tcPr>
          <w:p>
            <w:pPr>
              <w:spacing w:after="0"/>
              <w:rPr>
                <w:sz w:val="20"/>
                <w:szCs w:val="20"/>
                <w:color w:val="auto"/>
              </w:rPr>
            </w:pPr>
          </w:p>
        </w:tc>
        <w:tc>
          <w:tcPr>
            <w:tcW w:w="52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94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10.19*</w:t>
            </w:r>
          </w:p>
        </w:tc>
        <w:tc>
          <w:tcPr>
            <w:tcW w:w="8800" w:type="dxa"/>
            <w:vAlign w:val="bottom"/>
            <w:tcBorders>
              <w:top w:val="single" w:sz="8" w:color="CCEEFF"/>
            </w:tcBorders>
            <w:gridSpan w:val="28"/>
          </w:tcPr>
          <w:p>
            <w:pPr>
              <w:spacing w:after="0"/>
              <w:rPr>
                <w:rFonts w:ascii="Arial" w:cs="Arial" w:eastAsia="Arial" w:hAnsi="Arial"/>
                <w:sz w:val="16"/>
                <w:szCs w:val="16"/>
                <w:color w:val="0000FF"/>
              </w:rPr>
            </w:pPr>
            <w:hyperlink r:id="rId62">
              <w:r>
                <w:rPr>
                  <w:rFonts w:ascii="Arial" w:cs="Arial" w:eastAsia="Arial" w:hAnsi="Arial"/>
                  <w:sz w:val="16"/>
                  <w:szCs w:val="16"/>
                  <w:color w:val="0000FF"/>
                </w:rPr>
                <w:t>Form of Non-Qualified Stock Option Award Agreement under the General Motors Company 2017 Long-Term Incentive Plan,</w:t>
              </w:r>
            </w:hyperlink>
          </w:p>
        </w:tc>
        <w:tc>
          <w:tcPr>
            <w:tcW w:w="154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Incorporated by</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8800" w:type="dxa"/>
            <w:vAlign w:val="bottom"/>
            <w:gridSpan w:val="28"/>
          </w:tcPr>
          <w:p>
            <w:pPr>
              <w:spacing w:after="0" w:line="183" w:lineRule="exact"/>
              <w:rPr>
                <w:rFonts w:ascii="Arial" w:cs="Arial" w:eastAsia="Arial" w:hAnsi="Arial"/>
                <w:sz w:val="16"/>
                <w:szCs w:val="16"/>
                <w:color w:val="0000FF"/>
                <w:w w:val="96"/>
              </w:rPr>
            </w:pPr>
            <w:hyperlink r:id="rId62">
              <w:r>
                <w:rPr>
                  <w:rFonts w:ascii="Arial" w:cs="Arial" w:eastAsia="Arial" w:hAnsi="Arial"/>
                  <w:sz w:val="16"/>
                  <w:szCs w:val="16"/>
                  <w:color w:val="0000FF"/>
                  <w:w w:val="96"/>
                </w:rPr>
                <w:t>incorporated herein by reference to Exhibit 10.2 to the Quarterly Report on Form 10-Q of General Motors Company filed April 26,</w:t>
              </w:r>
            </w:hyperlink>
          </w:p>
        </w:tc>
        <w:tc>
          <w:tcPr>
            <w:tcW w:w="1540" w:type="dxa"/>
            <w:vAlign w:val="bottom"/>
          </w:tcPr>
          <w:p>
            <w:pPr>
              <w:ind w:left="100"/>
              <w:spacing w:after="0" w:line="183" w:lineRule="exact"/>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4"/>
              </w:rPr>
            </w:pPr>
            <w:hyperlink r:id="rId62">
              <w:r>
                <w:rPr>
                  <w:rFonts w:ascii="Arial" w:cs="Arial" w:eastAsia="Arial" w:hAnsi="Arial"/>
                  <w:sz w:val="16"/>
                  <w:szCs w:val="16"/>
                  <w:color w:val="0000FF"/>
                  <w:w w:val="84"/>
                </w:rPr>
                <w:t>2018</w:t>
              </w:r>
            </w:hyperlink>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10.20*</w:t>
            </w:r>
          </w:p>
        </w:tc>
        <w:tc>
          <w:tcPr>
            <w:tcW w:w="3740" w:type="dxa"/>
            <w:vAlign w:val="bottom"/>
            <w:tcBorders>
              <w:bottom w:val="single" w:sz="8" w:color="0000FF"/>
            </w:tcBorders>
            <w:gridSpan w:val="5"/>
            <w:shd w:val="clear" w:color="auto" w:fill="CCEEFF"/>
          </w:tcPr>
          <w:p>
            <w:pPr>
              <w:spacing w:after="0"/>
              <w:rPr>
                <w:rFonts w:ascii="Arial" w:cs="Arial" w:eastAsia="Arial" w:hAnsi="Arial"/>
                <w:sz w:val="16"/>
                <w:szCs w:val="16"/>
                <w:color w:val="0000FF"/>
                <w:w w:val="93"/>
              </w:rPr>
            </w:pPr>
            <w:hyperlink w:anchor="page158">
              <w:r>
                <w:rPr>
                  <w:rFonts w:ascii="Arial" w:cs="Arial" w:eastAsia="Arial" w:hAnsi="Arial"/>
                  <w:sz w:val="16"/>
                  <w:szCs w:val="16"/>
                  <w:color w:val="0000FF"/>
                  <w:w w:val="93"/>
                </w:rPr>
                <w:t>GM Cruise Holdings LLC 2018 Employee Incentive Plan</w:t>
              </w:r>
            </w:hyperlink>
          </w:p>
        </w:tc>
        <w:tc>
          <w:tcPr>
            <w:tcW w:w="5060" w:type="dxa"/>
            <w:vAlign w:val="bottom"/>
            <w:tcBorders>
              <w:bottom w:val="single" w:sz="8" w:color="CCEEFF"/>
            </w:tcBorders>
            <w:gridSpan w:val="23"/>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10.21*</w:t>
            </w:r>
          </w:p>
        </w:tc>
        <w:tc>
          <w:tcPr>
            <w:tcW w:w="8800" w:type="dxa"/>
            <w:vAlign w:val="bottom"/>
            <w:gridSpan w:val="28"/>
          </w:tcPr>
          <w:p>
            <w:pPr>
              <w:spacing w:after="0"/>
              <w:rPr>
                <w:rFonts w:ascii="Arial" w:cs="Arial" w:eastAsia="Arial" w:hAnsi="Arial"/>
                <w:sz w:val="16"/>
                <w:szCs w:val="16"/>
                <w:color w:val="0000FF"/>
              </w:rPr>
            </w:pPr>
            <w:hyperlink w:anchor="page182">
              <w:r>
                <w:rPr>
                  <w:rFonts w:ascii="Arial" w:cs="Arial" w:eastAsia="Arial" w:hAnsi="Arial"/>
                  <w:sz w:val="16"/>
                  <w:szCs w:val="16"/>
                  <w:color w:val="0000FF"/>
                </w:rPr>
                <w:t>Form of GM Cruise Holdings LLC 2018 Employee Incentive Plan Restricted Stock Unit Award Agreement</w:t>
              </w:r>
            </w:hyperlink>
          </w:p>
        </w:tc>
        <w:tc>
          <w:tcPr>
            <w:tcW w:w="154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10.22*</w:t>
            </w:r>
          </w:p>
        </w:tc>
        <w:tc>
          <w:tcPr>
            <w:tcW w:w="8800" w:type="dxa"/>
            <w:vAlign w:val="bottom"/>
            <w:gridSpan w:val="28"/>
            <w:shd w:val="clear" w:color="auto" w:fill="CCEEFF"/>
          </w:tcPr>
          <w:p>
            <w:pPr>
              <w:spacing w:after="0"/>
              <w:rPr>
                <w:rFonts w:ascii="Arial" w:cs="Arial" w:eastAsia="Arial" w:hAnsi="Arial"/>
                <w:sz w:val="16"/>
                <w:szCs w:val="16"/>
                <w:color w:val="0000FF"/>
              </w:rPr>
            </w:pPr>
            <w:hyperlink w:anchor="page190">
              <w:r>
                <w:rPr>
                  <w:rFonts w:ascii="Arial" w:cs="Arial" w:eastAsia="Arial" w:hAnsi="Arial"/>
                  <w:sz w:val="16"/>
                  <w:szCs w:val="16"/>
                  <w:color w:val="0000FF"/>
                </w:rPr>
                <w:t>Form of GM Cruise Holdings LLC 2018 Employee Incentive Plan Stock Option Award Agreement</w:t>
              </w:r>
            </w:hyperlink>
          </w:p>
        </w:tc>
        <w:tc>
          <w:tcPr>
            <w:tcW w:w="1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10.23*</w:t>
            </w:r>
          </w:p>
        </w:tc>
        <w:tc>
          <w:tcPr>
            <w:tcW w:w="6420" w:type="dxa"/>
            <w:vAlign w:val="bottom"/>
            <w:tcBorders>
              <w:top w:val="single" w:sz="8" w:color="0000FF"/>
            </w:tcBorders>
            <w:gridSpan w:val="15"/>
          </w:tcPr>
          <w:p>
            <w:pPr>
              <w:spacing w:after="0"/>
              <w:rPr>
                <w:rFonts w:ascii="Arial" w:cs="Arial" w:eastAsia="Arial" w:hAnsi="Arial"/>
                <w:sz w:val="16"/>
                <w:szCs w:val="16"/>
                <w:color w:val="0000FF"/>
              </w:rPr>
            </w:pPr>
            <w:hyperlink w:anchor="page201">
              <w:r>
                <w:rPr>
                  <w:rFonts w:ascii="Arial" w:cs="Arial" w:eastAsia="Arial" w:hAnsi="Arial"/>
                  <w:sz w:val="16"/>
                  <w:szCs w:val="16"/>
                  <w:color w:val="0000FF"/>
                </w:rPr>
                <w:t>Amended and Restated General Motors LLC U.S. Executive Severance Program</w:t>
              </w:r>
            </w:hyperlink>
          </w:p>
        </w:tc>
        <w:tc>
          <w:tcPr>
            <w:tcW w:w="2380" w:type="dxa"/>
            <w:vAlign w:val="bottom"/>
            <w:tcBorders>
              <w:top w:val="single" w:sz="8" w:color="CCEEFF"/>
            </w:tcBorders>
            <w:gridSpan w:val="13"/>
          </w:tcPr>
          <w:p>
            <w:pPr>
              <w:spacing w:after="0"/>
              <w:rPr>
                <w:sz w:val="17"/>
                <w:szCs w:val="17"/>
                <w:color w:val="auto"/>
              </w:rPr>
            </w:pPr>
          </w:p>
        </w:tc>
        <w:tc>
          <w:tcPr>
            <w:tcW w:w="154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34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00"/>
          </w:cols>
          <w:pgMar w:left="240" w:top="341" w:right="259" w:bottom="1440" w:gutter="0" w:footer="0" w:header="0"/>
        </w:sect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380" w:type="dxa"/>
            <w:vAlign w:val="bottom"/>
            <w:gridSpan w:val="12"/>
            <w:vMerge w:val="restart"/>
          </w:tcPr>
          <w:p>
            <w:pPr>
              <w:ind w:left="2700"/>
              <w:spacing w:after="0"/>
              <w:rPr>
                <w:sz w:val="20"/>
                <w:szCs w:val="20"/>
                <w:color w:val="auto"/>
              </w:rPr>
            </w:pPr>
            <w:r>
              <w:rPr>
                <w:rFonts w:ascii="Arial" w:cs="Arial" w:eastAsia="Arial" w:hAnsi="Arial"/>
                <w:sz w:val="14"/>
                <w:szCs w:val="14"/>
                <w:b w:val="1"/>
                <w:bCs w:val="1"/>
                <w:color w:val="auto"/>
              </w:rPr>
              <w:t>Exhibit Name</w:t>
            </w:r>
          </w:p>
        </w:tc>
        <w:tc>
          <w:tcPr>
            <w:tcW w:w="0" w:type="dxa"/>
            <w:vAlign w:val="bottom"/>
          </w:tcPr>
          <w:p>
            <w:pPr>
              <w:spacing w:after="0"/>
              <w:rPr>
                <w:sz w:val="1"/>
                <w:szCs w:val="1"/>
                <w:color w:val="auto"/>
              </w:rPr>
            </w:pPr>
          </w:p>
        </w:tc>
      </w:tr>
      <w:tr>
        <w:trPr>
          <w:trHeight w:val="192"/>
        </w:trPr>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460" w:type="dxa"/>
            <w:vAlign w:val="bottom"/>
            <w:tcBorders>
              <w:top w:val="single" w:sz="8" w:color="auto"/>
            </w:tcBorders>
            <w:gridSpan w:val="15"/>
          </w:tcPr>
          <w:p>
            <w:pPr>
              <w:spacing w:after="0"/>
              <w:rPr>
                <w:rFonts w:ascii="Arial" w:cs="Arial" w:eastAsia="Arial" w:hAnsi="Arial"/>
                <w:sz w:val="16"/>
                <w:szCs w:val="16"/>
                <w:color w:val="0000FF"/>
                <w:w w:val="94"/>
              </w:rPr>
            </w:pPr>
            <w:hyperlink r:id="rId63">
              <w:r>
                <w:rPr>
                  <w:rFonts w:ascii="Arial" w:cs="Arial" w:eastAsia="Arial" w:hAnsi="Arial"/>
                  <w:sz w:val="16"/>
                  <w:szCs w:val="16"/>
                  <w:color w:val="0000FF"/>
                  <w:w w:val="94"/>
                </w:rPr>
                <w:t>Amended and Restated Warrant Agreement, dated as of October 16, 2009, between General Motors Company and U.S. Bank</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80" w:type="dxa"/>
            <w:vAlign w:val="bottom"/>
            <w:tcBorders>
              <w:top w:val="single" w:sz="8" w:color="0000FF"/>
            </w:tcBorders>
            <w:gridSpan w:val="8"/>
          </w:tcPr>
          <w:p>
            <w:pPr>
              <w:spacing w:after="0" w:line="183" w:lineRule="exact"/>
              <w:rPr>
                <w:rFonts w:ascii="Arial" w:cs="Arial" w:eastAsia="Arial" w:hAnsi="Arial"/>
                <w:sz w:val="16"/>
                <w:szCs w:val="16"/>
                <w:color w:val="0000FF"/>
                <w:w w:val="94"/>
              </w:rPr>
            </w:pPr>
            <w:hyperlink r:id="rId63">
              <w:r>
                <w:rPr>
                  <w:rFonts w:ascii="Arial" w:cs="Arial" w:eastAsia="Arial" w:hAnsi="Arial"/>
                  <w:sz w:val="16"/>
                  <w:szCs w:val="16"/>
                  <w:color w:val="0000FF"/>
                  <w:w w:val="94"/>
                </w:rPr>
                <w:t>National Association, as Warrant Agent, including a Form of Warrant Certificate attached as Exhibit D thereto, relating to</w:t>
              </w:r>
            </w:hyperlink>
          </w:p>
        </w:tc>
        <w:tc>
          <w:tcPr>
            <w:tcW w:w="3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40" w:type="dxa"/>
            <w:vAlign w:val="bottom"/>
            <w:tcBorders>
              <w:bottom w:val="single" w:sz="8" w:color="0000FF"/>
            </w:tcBorders>
            <w:gridSpan w:val="10"/>
          </w:tcPr>
          <w:p>
            <w:pPr>
              <w:spacing w:after="0" w:line="183" w:lineRule="exact"/>
              <w:rPr>
                <w:rFonts w:ascii="Arial" w:cs="Arial" w:eastAsia="Arial" w:hAnsi="Arial"/>
                <w:sz w:val="16"/>
                <w:szCs w:val="16"/>
                <w:color w:val="0000FF"/>
                <w:w w:val="91"/>
              </w:rPr>
            </w:pPr>
            <w:hyperlink r:id="rId63">
              <w:r>
                <w:rPr>
                  <w:rFonts w:ascii="Arial" w:cs="Arial" w:eastAsia="Arial" w:hAnsi="Arial"/>
                  <w:sz w:val="16"/>
                  <w:szCs w:val="16"/>
                  <w:color w:val="0000FF"/>
                  <w:w w:val="91"/>
                </w:rPr>
                <w:t xml:space="preserve">warrants with a </w:t>
              </w:r>
              <w:r>
                <w:rPr>
                  <w:rFonts w:ascii="Arial" w:cs="Arial" w:eastAsia="Arial" w:hAnsi="Arial"/>
                  <w:sz w:val="16"/>
                  <w:szCs w:val="16"/>
                  <w:u w:val="single" w:color="auto"/>
                  <w:color w:val="0000FF"/>
                  <w:w w:val="91"/>
                </w:rPr>
                <w:t>$</w:t>
              </w:r>
              <w:r>
                <w:rPr>
                  <w:rFonts w:ascii="Arial" w:cs="Arial" w:eastAsia="Arial" w:hAnsi="Arial"/>
                  <w:sz w:val="16"/>
                  <w:szCs w:val="16"/>
                  <w:color w:val="0000FF"/>
                  <w:w w:val="91"/>
                </w:rPr>
                <w:t xml:space="preserve">55 original </w:t>
              </w:r>
              <w:r>
                <w:rPr>
                  <w:rFonts w:ascii="Arial" w:cs="Arial" w:eastAsia="Arial" w:hAnsi="Arial"/>
                  <w:sz w:val="16"/>
                  <w:szCs w:val="16"/>
                  <w:u w:val="single" w:color="auto"/>
                  <w:color w:val="0000FF"/>
                  <w:w w:val="91"/>
                </w:rPr>
                <w:t>($</w:t>
              </w:r>
              <w:r>
                <w:rPr>
                  <w:rFonts w:ascii="Arial" w:cs="Arial" w:eastAsia="Arial" w:hAnsi="Arial"/>
                  <w:sz w:val="16"/>
                  <w:szCs w:val="16"/>
                  <w:color w:val="0000FF"/>
                  <w:w w:val="91"/>
                </w:rPr>
                <w:t>18.33 after stock split) exercise price and a July 10, 2019 expiration date, incorporated herein by</w:t>
              </w:r>
            </w:hyperlink>
          </w:p>
        </w:tc>
        <w:tc>
          <w:tcPr>
            <w:tcW w:w="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0" w:type="dxa"/>
            <w:vAlign w:val="bottom"/>
            <w:tcBorders>
              <w:bottom w:val="single" w:sz="8" w:color="0000FF"/>
            </w:tcBorders>
            <w:gridSpan w:val="4"/>
          </w:tcPr>
          <w:p>
            <w:pPr>
              <w:spacing w:after="0" w:line="183" w:lineRule="exact"/>
              <w:rPr>
                <w:rFonts w:ascii="Arial" w:cs="Arial" w:eastAsia="Arial" w:hAnsi="Arial"/>
                <w:sz w:val="16"/>
                <w:szCs w:val="16"/>
                <w:color w:val="0000FF"/>
                <w:w w:val="93"/>
              </w:rPr>
            </w:pPr>
            <w:hyperlink r:id="rId63">
              <w:r>
                <w:rPr>
                  <w:rFonts w:ascii="Arial" w:cs="Arial" w:eastAsia="Arial" w:hAnsi="Arial"/>
                  <w:sz w:val="16"/>
                  <w:szCs w:val="16"/>
                  <w:color w:val="0000FF"/>
                  <w:w w:val="93"/>
                </w:rPr>
                <w:t>reference to Exhibit 10.30 to the Annual Report on Form 10-K of General Motors Company filed April 7, 2010</w:t>
              </w:r>
            </w:hyperlink>
          </w:p>
        </w:tc>
        <w:tc>
          <w:tcPr>
            <w:tcW w:w="12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00" w:type="dxa"/>
            <w:vAlign w:val="bottom"/>
          </w:tcPr>
          <w:p>
            <w:pPr>
              <w:ind w:left="40"/>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380" w:type="dxa"/>
            <w:vAlign w:val="bottom"/>
            <w:tcBorders>
              <w:bottom w:val="single" w:sz="8" w:color="0000FF"/>
            </w:tcBorders>
            <w:gridSpan w:val="12"/>
          </w:tcPr>
          <w:p>
            <w:pPr>
              <w:spacing w:after="0"/>
              <w:rPr>
                <w:rFonts w:ascii="Arial" w:cs="Arial" w:eastAsia="Arial" w:hAnsi="Arial"/>
                <w:sz w:val="16"/>
                <w:szCs w:val="16"/>
                <w:color w:val="0000FF"/>
                <w:w w:val="91"/>
              </w:rPr>
            </w:pPr>
            <w:hyperlink r:id="rId64">
              <w:r>
                <w:rPr>
                  <w:rFonts w:ascii="Arial" w:cs="Arial" w:eastAsia="Arial" w:hAnsi="Arial"/>
                  <w:sz w:val="16"/>
                  <w:szCs w:val="16"/>
                  <w:color w:val="0000FF"/>
                  <w:w w:val="91"/>
                </w:rPr>
                <w:t>Amendment to Warrant Agreements between General Motors Company and U.S. Bank National Association, incorporated herein</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60" w:type="dxa"/>
            <w:vAlign w:val="bottom"/>
            <w:gridSpan w:val="15"/>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by reference to Exhibit 10.1 to the Quarterly Report on Form 10-Q of General Motors Company filed April 24, 2014</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10.26†</w:t>
            </w:r>
          </w:p>
        </w:tc>
        <w:tc>
          <w:tcPr>
            <w:tcW w:w="60" w:type="dxa"/>
            <w:vAlign w:val="bottom"/>
          </w:tcPr>
          <w:p>
            <w:pPr>
              <w:spacing w:after="0"/>
              <w:rPr>
                <w:sz w:val="20"/>
                <w:szCs w:val="20"/>
                <w:color w:val="auto"/>
              </w:rPr>
            </w:pPr>
          </w:p>
        </w:tc>
        <w:tc>
          <w:tcPr>
            <w:tcW w:w="8460" w:type="dxa"/>
            <w:vAlign w:val="bottom"/>
            <w:gridSpan w:val="15"/>
          </w:tcPr>
          <w:p>
            <w:pPr>
              <w:spacing w:after="0"/>
              <w:rPr>
                <w:rFonts w:ascii="Arial" w:cs="Arial" w:eastAsia="Arial" w:hAnsi="Arial"/>
                <w:sz w:val="16"/>
                <w:szCs w:val="16"/>
                <w:color w:val="0000FF"/>
                <w:w w:val="92"/>
              </w:rPr>
            </w:pPr>
            <w:hyperlink r:id="rId65">
              <w:r>
                <w:rPr>
                  <w:rFonts w:ascii="Arial" w:cs="Arial" w:eastAsia="Arial" w:hAnsi="Arial"/>
                  <w:sz w:val="16"/>
                  <w:szCs w:val="16"/>
                  <w:color w:val="0000FF"/>
                  <w:w w:val="92"/>
                </w:rPr>
                <w:t>Amended and Restated Master Agreement, dated as of December 19, 2012, between General Motors Holdings LLC and Peugeot</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20" w:type="dxa"/>
            <w:vAlign w:val="bottom"/>
            <w:tcBorders>
              <w:top w:val="single" w:sz="8" w:color="0000FF"/>
            </w:tcBorders>
            <w:gridSpan w:val="11"/>
          </w:tcPr>
          <w:p>
            <w:pPr>
              <w:spacing w:after="0" w:line="183" w:lineRule="exact"/>
              <w:rPr>
                <w:rFonts w:ascii="Arial" w:cs="Arial" w:eastAsia="Arial" w:hAnsi="Arial"/>
                <w:sz w:val="16"/>
                <w:szCs w:val="16"/>
                <w:color w:val="0000FF"/>
                <w:w w:val="94"/>
              </w:rPr>
            </w:pPr>
            <w:hyperlink r:id="rId65">
              <w:r>
                <w:rPr>
                  <w:rFonts w:ascii="Arial" w:cs="Arial" w:eastAsia="Arial" w:hAnsi="Arial"/>
                  <w:sz w:val="16"/>
                  <w:szCs w:val="16"/>
                  <w:color w:val="0000FF"/>
                  <w:w w:val="94"/>
                </w:rPr>
                <w:t>S.A., incorporated herein by reference to Exhibit 10.24 to the Annual Report on Form 10-K of General Motors Company filed</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16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65">
              <w:r>
                <w:rPr>
                  <w:rFonts w:ascii="Arial" w:cs="Arial" w:eastAsia="Arial" w:hAnsi="Arial"/>
                  <w:sz w:val="16"/>
                  <w:szCs w:val="16"/>
                  <w:color w:val="0000FF"/>
                </w:rPr>
                <w:t>February 6, 2014</w:t>
              </w:r>
            </w:hyperlink>
          </w:p>
        </w:tc>
        <w:tc>
          <w:tcPr>
            <w:tcW w:w="3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40"/>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20" w:type="dxa"/>
            <w:vAlign w:val="bottom"/>
            <w:tcBorders>
              <w:bottom w:val="single" w:sz="8" w:color="0000FF"/>
            </w:tcBorders>
            <w:gridSpan w:val="6"/>
          </w:tcPr>
          <w:p>
            <w:pPr>
              <w:spacing w:after="0"/>
              <w:rPr>
                <w:rFonts w:ascii="Arial" w:cs="Arial" w:eastAsia="Arial" w:hAnsi="Arial"/>
                <w:sz w:val="16"/>
                <w:szCs w:val="16"/>
                <w:color w:val="0000FF"/>
                <w:w w:val="91"/>
              </w:rPr>
            </w:pPr>
            <w:hyperlink r:id="rId66">
              <w:r>
                <w:rPr>
                  <w:rFonts w:ascii="Arial" w:cs="Arial" w:eastAsia="Arial" w:hAnsi="Arial"/>
                  <w:sz w:val="16"/>
                  <w:szCs w:val="16"/>
                  <w:color w:val="0000FF"/>
                  <w:w w:val="91"/>
                </w:rPr>
                <w:t>Amendment, dated May 2, 2017 to the Master Agreement between General Motors Holdings, LLC and Peugeot S.A.,</w:t>
              </w:r>
            </w:hyperlink>
          </w:p>
        </w:tc>
        <w:tc>
          <w:tcPr>
            <w:tcW w:w="8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60" w:type="dxa"/>
            <w:vAlign w:val="bottom"/>
            <w:gridSpan w:val="15"/>
          </w:tcPr>
          <w:p>
            <w:pPr>
              <w:spacing w:after="0" w:line="183" w:lineRule="exact"/>
              <w:rPr>
                <w:rFonts w:ascii="Arial" w:cs="Arial" w:eastAsia="Arial" w:hAnsi="Arial"/>
                <w:sz w:val="16"/>
                <w:szCs w:val="16"/>
                <w:color w:val="0000FF"/>
                <w:w w:val="93"/>
              </w:rPr>
            </w:pPr>
            <w:hyperlink r:id="rId66">
              <w:r>
                <w:rPr>
                  <w:rFonts w:ascii="Arial" w:cs="Arial" w:eastAsia="Arial" w:hAnsi="Arial"/>
                  <w:sz w:val="16"/>
                  <w:szCs w:val="16"/>
                  <w:color w:val="0000FF"/>
                  <w:w w:val="93"/>
                </w:rPr>
                <w:t>incorporated herein by reference to Exhibit 10.4 to the Quarterly Report on Form 10-Q of General Motors Company filed July 25,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40"/>
              <w:spacing w:after="0" w:line="183" w:lineRule="exact"/>
              <w:rPr>
                <w:rFonts w:ascii="Arial" w:cs="Arial" w:eastAsia="Arial" w:hAnsi="Arial"/>
                <w:sz w:val="16"/>
                <w:szCs w:val="16"/>
                <w:color w:val="0000FF"/>
                <w:w w:val="89"/>
              </w:rPr>
            </w:pPr>
            <w:hyperlink r:id="rId66">
              <w:r>
                <w:rPr>
                  <w:rFonts w:ascii="Arial" w:cs="Arial" w:eastAsia="Arial" w:hAnsi="Arial"/>
                  <w:sz w:val="16"/>
                  <w:szCs w:val="16"/>
                  <w:color w:val="0000FF"/>
                  <w:w w:val="89"/>
                </w:rPr>
                <w:t>2017</w:t>
              </w:r>
            </w:hyperlink>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4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gridSpan w:val="15"/>
          </w:tcPr>
          <w:p>
            <w:pPr>
              <w:spacing w:after="0"/>
              <w:rPr>
                <w:rFonts w:ascii="Arial" w:cs="Arial" w:eastAsia="Arial" w:hAnsi="Arial"/>
                <w:sz w:val="16"/>
                <w:szCs w:val="16"/>
                <w:color w:val="0000FF"/>
                <w:w w:val="92"/>
              </w:rPr>
            </w:pPr>
            <w:hyperlink r:id="rId67">
              <w:r>
                <w:rPr>
                  <w:rFonts w:ascii="Arial" w:cs="Arial" w:eastAsia="Arial" w:hAnsi="Arial"/>
                  <w:sz w:val="16"/>
                  <w:szCs w:val="16"/>
                  <w:color w:val="0000FF"/>
                  <w:w w:val="92"/>
                </w:rPr>
                <w:t>Amendment Number 2, dated July 30, 2017, to the Master Agreement between General Motors Holdings, LLC and Peugeot S.A.,</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4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4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67">
              <w:r>
                <w:rPr>
                  <w:rFonts w:ascii="Arial" w:cs="Arial" w:eastAsia="Arial" w:hAnsi="Arial"/>
                  <w:sz w:val="16"/>
                  <w:szCs w:val="16"/>
                  <w:color w:val="0000FF"/>
                  <w:w w:val="92"/>
                </w:rPr>
                <w:t>incorporated herein by reference to Exhibit 10.1 to the Quarterly Report on Form 10-Q of General Motors Company filed October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ind w:left="40"/>
              <w:spacing w:after="0" w:line="183" w:lineRule="exact"/>
              <w:rPr>
                <w:rFonts w:ascii="Arial" w:cs="Arial" w:eastAsia="Arial" w:hAnsi="Arial"/>
                <w:sz w:val="16"/>
                <w:szCs w:val="16"/>
                <w:color w:val="0000FF"/>
                <w:w w:val="89"/>
              </w:rPr>
            </w:pPr>
            <w:hyperlink r:id="rId67">
              <w:r>
                <w:rPr>
                  <w:rFonts w:ascii="Arial" w:cs="Arial" w:eastAsia="Arial" w:hAnsi="Arial"/>
                  <w:sz w:val="16"/>
                  <w:szCs w:val="16"/>
                  <w:color w:val="0000FF"/>
                  <w:w w:val="89"/>
                </w:rPr>
                <w:t>24, 2017</w:t>
              </w:r>
            </w:hyperlink>
          </w:p>
        </w:tc>
        <w:tc>
          <w:tcPr>
            <w:tcW w:w="5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-2100580</wp:posOffset>
            </wp:positionV>
            <wp:extent cx="724662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643" w:lineRule="exact"/>
        <w:rPr>
          <w:sz w:val="20"/>
          <w:szCs w:val="20"/>
          <w:color w:val="auto"/>
        </w:rPr>
      </w:pPr>
    </w:p>
    <w:p>
      <w:pPr>
        <w:sectPr>
          <w:pgSz w:w="11900" w:h="16838" w:orient="portrait"/>
          <w:cols w:equalWidth="0" w:num="2">
            <w:col w:w="9520" w:space="140"/>
            <w:col w:w="1740"/>
          </w:cols>
          <w:pgMar w:left="240" w:top="341" w:right="259" w:bottom="1440" w:gutter="0" w:footer="0" w:header="0"/>
          <w:type w:val="continuous"/>
        </w:sectPr>
      </w:pP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Arial" w:cs="Arial" w:eastAsia="Arial" w:hAnsi="Arial"/>
                <w:sz w:val="16"/>
                <w:szCs w:val="16"/>
                <w:color w:val="auto"/>
              </w:rPr>
              <w:t>10.29</w:t>
            </w:r>
          </w:p>
        </w:tc>
        <w:tc>
          <w:tcPr>
            <w:tcW w:w="8420" w:type="dxa"/>
            <w:vAlign w:val="bottom"/>
            <w:gridSpan w:val="14"/>
          </w:tcPr>
          <w:p>
            <w:pPr>
              <w:spacing w:after="0"/>
              <w:rPr>
                <w:rFonts w:ascii="Arial" w:cs="Arial" w:eastAsia="Arial" w:hAnsi="Arial"/>
                <w:sz w:val="16"/>
                <w:szCs w:val="16"/>
                <w:color w:val="0000FF"/>
                <w:w w:val="93"/>
              </w:rPr>
            </w:pPr>
            <w:hyperlink r:id="rId71">
              <w:r>
                <w:rPr>
                  <w:rFonts w:ascii="Arial" w:cs="Arial" w:eastAsia="Arial" w:hAnsi="Arial"/>
                  <w:sz w:val="16"/>
                  <w:szCs w:val="16"/>
                  <w:color w:val="0000FF"/>
                  <w:w w:val="93"/>
                </w:rPr>
                <w:t>Amendment Number 3, dated October 30, 2017, to the Master Agreement between General Motors Holdings, LLC and Peugeot</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20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3"/>
              </w:rPr>
            </w:pPr>
            <w:hyperlink r:id="rId71">
              <w:r>
                <w:rPr>
                  <w:rFonts w:ascii="Arial" w:cs="Arial" w:eastAsia="Arial" w:hAnsi="Arial"/>
                  <w:sz w:val="16"/>
                  <w:szCs w:val="16"/>
                  <w:color w:val="0000FF"/>
                  <w:w w:val="93"/>
                </w:rPr>
                <w:t>S.A., incorporated herein by reference to Exhibit 10.31 to the Annual Report on Form 10-K of General Motors Company filed</w:t>
              </w:r>
            </w:hyperlink>
          </w:p>
        </w:tc>
        <w:tc>
          <w:tcPr>
            <w:tcW w:w="100" w:type="dxa"/>
            <w:vAlign w:val="bottom"/>
            <w:tcBorders>
              <w:top w:val="single" w:sz="8" w:color="0000FF"/>
            </w:tcBorders>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12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71">
              <w:r>
                <w:rPr>
                  <w:rFonts w:ascii="Arial" w:cs="Arial" w:eastAsia="Arial" w:hAnsi="Arial"/>
                  <w:sz w:val="16"/>
                  <w:szCs w:val="16"/>
                  <w:color w:val="0000FF"/>
                  <w:w w:val="90"/>
                </w:rPr>
                <w:t>February 6, 2018</w:t>
              </w:r>
            </w:hyperlink>
          </w:p>
        </w:tc>
        <w:tc>
          <w:tcPr>
            <w:tcW w:w="73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10.30†</w:t>
            </w:r>
          </w:p>
        </w:tc>
        <w:tc>
          <w:tcPr>
            <w:tcW w:w="8380" w:type="dxa"/>
            <w:vAlign w:val="bottom"/>
            <w:tcBorders>
              <w:bottom w:val="single" w:sz="8" w:color="0000FF"/>
            </w:tcBorders>
            <w:gridSpan w:val="13"/>
          </w:tcPr>
          <w:p>
            <w:pPr>
              <w:spacing w:after="0"/>
              <w:rPr>
                <w:rFonts w:ascii="Arial" w:cs="Arial" w:eastAsia="Arial" w:hAnsi="Arial"/>
                <w:sz w:val="16"/>
                <w:szCs w:val="16"/>
                <w:color w:val="0000FF"/>
                <w:w w:val="92"/>
              </w:rPr>
            </w:pPr>
            <w:hyperlink r:id="rId72">
              <w:r>
                <w:rPr>
                  <w:rFonts w:ascii="Arial" w:cs="Arial" w:eastAsia="Arial" w:hAnsi="Arial"/>
                  <w:sz w:val="16"/>
                  <w:szCs w:val="16"/>
                  <w:color w:val="0000FF"/>
                  <w:w w:val="92"/>
                </w:rPr>
                <w:t>Third Amended and Restated 3-Year Revolving Credit Agreement, dated as of April 18, 2018, among General Motors Company,</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gridSpan w:val="14"/>
          </w:tcPr>
          <w:p>
            <w:pPr>
              <w:spacing w:after="0" w:line="183" w:lineRule="exact"/>
              <w:rPr>
                <w:rFonts w:ascii="Arial" w:cs="Arial" w:eastAsia="Arial" w:hAnsi="Arial"/>
                <w:sz w:val="16"/>
                <w:szCs w:val="16"/>
                <w:color w:val="0000FF"/>
                <w:w w:val="93"/>
              </w:rPr>
            </w:pPr>
            <w:hyperlink r:id="rId72">
              <w:r>
                <w:rPr>
                  <w:rFonts w:ascii="Arial" w:cs="Arial" w:eastAsia="Arial" w:hAnsi="Arial"/>
                  <w:sz w:val="16"/>
                  <w:szCs w:val="16"/>
                  <w:color w:val="0000FF"/>
                  <w:w w:val="93"/>
                </w:rPr>
                <w:t>General Motors Financial Company, Inc., GM Global Treasury Centre, General Motors do Brasil Ltda., the subsidiary borrowers</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1"/>
              </w:rPr>
            </w:pPr>
            <w:hyperlink r:id="rId72">
              <w:r>
                <w:rPr>
                  <w:rFonts w:ascii="Arial" w:cs="Arial" w:eastAsia="Arial" w:hAnsi="Arial"/>
                  <w:sz w:val="16"/>
                  <w:szCs w:val="16"/>
                  <w:color w:val="0000FF"/>
                  <w:w w:val="91"/>
                </w:rPr>
                <w:t>from time to time parties thereto, the several lenders from time to time party thereto, JPMorgan Chase Bank, N.A., as</w:t>
              </w:r>
            </w:hyperlink>
          </w:p>
        </w:tc>
        <w:tc>
          <w:tcPr>
            <w:tcW w:w="740" w:type="dxa"/>
            <w:vAlign w:val="bottom"/>
            <w:tcBorders>
              <w:top w:val="single" w:sz="8" w:color="0000FF"/>
            </w:tcBorders>
            <w:gridSpan w:val="8"/>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72">
              <w:r>
                <w:rPr>
                  <w:rFonts w:ascii="Arial" w:cs="Arial" w:eastAsia="Arial" w:hAnsi="Arial"/>
                  <w:sz w:val="16"/>
                  <w:szCs w:val="16"/>
                  <w:color w:val="0000FF"/>
                  <w:w w:val="92"/>
                </w:rPr>
                <w:t>administrative agent, and Citibank, N.A., as syndication agent, incorporated by reference to Exhibit 10.1 to the Current Report on</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gridSpan w:val="14"/>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Form 8-K of General Motors Company filed April 20, 2018</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6"/>
                <w:szCs w:val="16"/>
                <w:color w:val="auto"/>
              </w:rPr>
              <w:t>10.31†</w:t>
            </w:r>
          </w:p>
        </w:tc>
        <w:tc>
          <w:tcPr>
            <w:tcW w:w="3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vMerge w:val="continue"/>
          </w:tcPr>
          <w:p>
            <w:pPr>
              <w:spacing w:after="0"/>
              <w:rPr>
                <w:sz w:val="22"/>
                <w:szCs w:val="22"/>
                <w:color w:val="auto"/>
              </w:rPr>
            </w:pPr>
          </w:p>
        </w:tc>
        <w:tc>
          <w:tcPr>
            <w:tcW w:w="8380" w:type="dxa"/>
            <w:vAlign w:val="bottom"/>
            <w:tcBorders>
              <w:bottom w:val="single" w:sz="8" w:color="0000FF"/>
            </w:tcBorders>
            <w:gridSpan w:val="13"/>
          </w:tcPr>
          <w:p>
            <w:pPr>
              <w:spacing w:after="0"/>
              <w:rPr>
                <w:rFonts w:ascii="Arial" w:cs="Arial" w:eastAsia="Arial" w:hAnsi="Arial"/>
                <w:sz w:val="16"/>
                <w:szCs w:val="16"/>
                <w:color w:val="0000FF"/>
                <w:w w:val="92"/>
              </w:rPr>
            </w:pPr>
            <w:hyperlink r:id="rId73">
              <w:r>
                <w:rPr>
                  <w:rFonts w:ascii="Arial" w:cs="Arial" w:eastAsia="Arial" w:hAnsi="Arial"/>
                  <w:sz w:val="16"/>
                  <w:szCs w:val="16"/>
                  <w:color w:val="0000FF"/>
                  <w:w w:val="92"/>
                </w:rPr>
                <w:t>Third Amended and Restated 5-Year Revolving Credit Agreement, dated as of April 18, 2018, among General Motors Company,</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gridSpan w:val="14"/>
          </w:tcPr>
          <w:p>
            <w:pPr>
              <w:spacing w:after="0" w:line="183" w:lineRule="exact"/>
              <w:rPr>
                <w:rFonts w:ascii="Arial" w:cs="Arial" w:eastAsia="Arial" w:hAnsi="Arial"/>
                <w:sz w:val="16"/>
                <w:szCs w:val="16"/>
                <w:color w:val="0000FF"/>
                <w:w w:val="93"/>
              </w:rPr>
            </w:pPr>
            <w:hyperlink r:id="rId73">
              <w:r>
                <w:rPr>
                  <w:rFonts w:ascii="Arial" w:cs="Arial" w:eastAsia="Arial" w:hAnsi="Arial"/>
                  <w:sz w:val="16"/>
                  <w:szCs w:val="16"/>
                  <w:color w:val="0000FF"/>
                  <w:w w:val="93"/>
                </w:rPr>
                <w:t>General Motors Financial Company, Inc., GM Global Treasury Centre, General Motors do Brasil Ltda., the subsidiary borrowers</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1"/>
              </w:rPr>
            </w:pPr>
            <w:hyperlink r:id="rId73">
              <w:r>
                <w:rPr>
                  <w:rFonts w:ascii="Arial" w:cs="Arial" w:eastAsia="Arial" w:hAnsi="Arial"/>
                  <w:sz w:val="16"/>
                  <w:szCs w:val="16"/>
                  <w:color w:val="0000FF"/>
                  <w:w w:val="91"/>
                </w:rPr>
                <w:t>from time to time parties thereto, the several lenders from time to time party thereto, JPMorgan Chase Bank, N.A., as</w:t>
              </w:r>
            </w:hyperlink>
          </w:p>
        </w:tc>
        <w:tc>
          <w:tcPr>
            <w:tcW w:w="740" w:type="dxa"/>
            <w:vAlign w:val="bottom"/>
            <w:tcBorders>
              <w:top w:val="single" w:sz="8" w:color="0000FF"/>
            </w:tcBorders>
            <w:gridSpan w:val="8"/>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73">
              <w:r>
                <w:rPr>
                  <w:rFonts w:ascii="Arial" w:cs="Arial" w:eastAsia="Arial" w:hAnsi="Arial"/>
                  <w:sz w:val="16"/>
                  <w:szCs w:val="16"/>
                  <w:color w:val="0000FF"/>
                  <w:w w:val="92"/>
                </w:rPr>
                <w:t>administrative agent, and Citibank, N.A., as syndication agent, incorporated by reference to Exhibit 10.2 to the Current Report on</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gridSpan w:val="14"/>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Form 8-K of General Motors Company filed April 20, 2018</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6"/>
                <w:szCs w:val="16"/>
                <w:color w:val="auto"/>
              </w:rPr>
              <w:t>10.32†</w:t>
            </w:r>
          </w:p>
        </w:tc>
        <w:tc>
          <w:tcPr>
            <w:tcW w:w="3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vMerge w:val="continue"/>
          </w:tcPr>
          <w:p>
            <w:pPr>
              <w:spacing w:after="0"/>
              <w:rPr>
                <w:sz w:val="22"/>
                <w:szCs w:val="22"/>
                <w:color w:val="auto"/>
              </w:rPr>
            </w:pPr>
          </w:p>
        </w:tc>
        <w:tc>
          <w:tcPr>
            <w:tcW w:w="8420" w:type="dxa"/>
            <w:vAlign w:val="bottom"/>
            <w:gridSpan w:val="14"/>
          </w:tcPr>
          <w:p>
            <w:pPr>
              <w:spacing w:after="0"/>
              <w:rPr>
                <w:rFonts w:ascii="Arial" w:cs="Arial" w:eastAsia="Arial" w:hAnsi="Arial"/>
                <w:sz w:val="16"/>
                <w:szCs w:val="16"/>
                <w:color w:val="0000FF"/>
                <w:w w:val="94"/>
              </w:rPr>
            </w:pPr>
            <w:hyperlink r:id="rId74">
              <w:r>
                <w:rPr>
                  <w:rFonts w:ascii="Arial" w:cs="Arial" w:eastAsia="Arial" w:hAnsi="Arial"/>
                  <w:sz w:val="16"/>
                  <w:szCs w:val="16"/>
                  <w:color w:val="0000FF"/>
                  <w:w w:val="94"/>
                </w:rPr>
                <w:t>364-Day Revolving Credit Agreement, dated as of April 18, 2018, among General Motors Company, General Motors Financial</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8340" w:type="dxa"/>
            <w:vAlign w:val="bottom"/>
            <w:tcBorders>
              <w:bottom w:val="single" w:sz="8" w:color="0000FF"/>
            </w:tcBorders>
            <w:gridSpan w:val="11"/>
          </w:tcPr>
          <w:p>
            <w:pPr>
              <w:spacing w:after="0" w:line="183" w:lineRule="exact"/>
              <w:rPr>
                <w:rFonts w:ascii="Arial" w:cs="Arial" w:eastAsia="Arial" w:hAnsi="Arial"/>
                <w:sz w:val="16"/>
                <w:szCs w:val="16"/>
                <w:color w:val="0000FF"/>
                <w:w w:val="92"/>
              </w:rPr>
            </w:pPr>
            <w:hyperlink r:id="rId74">
              <w:r>
                <w:rPr>
                  <w:rFonts w:ascii="Arial" w:cs="Arial" w:eastAsia="Arial" w:hAnsi="Arial"/>
                  <w:sz w:val="16"/>
                  <w:szCs w:val="16"/>
                  <w:color w:val="0000FF"/>
                  <w:w w:val="92"/>
                </w:rPr>
                <w:t>Company, Inc., GM Global Treasury Centre, the subsidiary borrowers from time to time parties thereto, the several lenders from</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7940" w:type="dxa"/>
            <w:vAlign w:val="bottom"/>
            <w:tcBorders>
              <w:bottom w:val="single" w:sz="8" w:color="0000FF"/>
            </w:tcBorders>
            <w:gridSpan w:val="5"/>
          </w:tcPr>
          <w:p>
            <w:pPr>
              <w:spacing w:after="0" w:line="183" w:lineRule="exact"/>
              <w:rPr>
                <w:rFonts w:ascii="Arial" w:cs="Arial" w:eastAsia="Arial" w:hAnsi="Arial"/>
                <w:sz w:val="16"/>
                <w:szCs w:val="16"/>
                <w:color w:val="0000FF"/>
                <w:w w:val="91"/>
              </w:rPr>
            </w:pPr>
            <w:hyperlink r:id="rId74">
              <w:r>
                <w:rPr>
                  <w:rFonts w:ascii="Arial" w:cs="Arial" w:eastAsia="Arial" w:hAnsi="Arial"/>
                  <w:sz w:val="16"/>
                  <w:szCs w:val="16"/>
                  <w:color w:val="0000FF"/>
                  <w:w w:val="91"/>
                </w:rPr>
                <w:t>time to time party thereto, JPMorgan Chase Bank, N.A., as administrative agent, and Citibank, N.A., as syndication agent,</w:t>
              </w:r>
            </w:hyperlink>
          </w:p>
        </w:tc>
        <w:tc>
          <w:tcPr>
            <w:tcW w:w="4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20" w:type="dxa"/>
            <w:vAlign w:val="bottom"/>
            <w:gridSpan w:val="14"/>
          </w:tcPr>
          <w:p>
            <w:pPr>
              <w:spacing w:after="0" w:line="183" w:lineRule="exact"/>
              <w:rPr>
                <w:rFonts w:ascii="Arial" w:cs="Arial" w:eastAsia="Arial" w:hAnsi="Arial"/>
                <w:sz w:val="16"/>
                <w:szCs w:val="16"/>
                <w:color w:val="0000FF"/>
                <w:w w:val="95"/>
              </w:rPr>
            </w:pPr>
            <w:hyperlink r:id="rId74">
              <w:r>
                <w:rPr>
                  <w:rFonts w:ascii="Arial" w:cs="Arial" w:eastAsia="Arial" w:hAnsi="Arial"/>
                  <w:sz w:val="16"/>
                  <w:szCs w:val="16"/>
                  <w:color w:val="0000FF"/>
                  <w:w w:val="95"/>
                </w:rPr>
                <w:t>incorporated by reference to Exhibit 10.3 to the Current Report on Form 8-K of General Motors Company filed April 20, 2018</w:t>
              </w:r>
            </w:hyperlink>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10.33</w:t>
            </w:r>
          </w:p>
        </w:tc>
        <w:tc>
          <w:tcPr>
            <w:tcW w:w="8260" w:type="dxa"/>
            <w:vAlign w:val="bottom"/>
            <w:tcBorders>
              <w:top w:val="single" w:sz="8" w:color="0000FF"/>
            </w:tcBorders>
            <w:gridSpan w:val="9"/>
          </w:tcPr>
          <w:p>
            <w:pPr>
              <w:spacing w:after="0"/>
              <w:rPr>
                <w:rFonts w:ascii="Arial" w:cs="Arial" w:eastAsia="Arial" w:hAnsi="Arial"/>
                <w:sz w:val="16"/>
                <w:szCs w:val="16"/>
                <w:color w:val="0000FF"/>
                <w:w w:val="95"/>
              </w:rPr>
            </w:pPr>
            <w:hyperlink w:anchor="page217">
              <w:r>
                <w:rPr>
                  <w:rFonts w:ascii="Arial" w:cs="Arial" w:eastAsia="Arial" w:hAnsi="Arial"/>
                  <w:sz w:val="16"/>
                  <w:szCs w:val="16"/>
                  <w:color w:val="0000FF"/>
                  <w:w w:val="95"/>
                </w:rPr>
                <w:t>Second Amended and Restated Limited Liability Company Agreement of GM Cruise Holdings LLC, dated October 3, 2018</w:t>
              </w:r>
            </w:hyperlink>
          </w:p>
        </w:tc>
        <w:tc>
          <w:tcPr>
            <w:tcW w:w="1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6"/>
                <w:szCs w:val="16"/>
                <w:color w:val="auto"/>
              </w:rPr>
              <w:t>16.1</w:t>
            </w:r>
          </w:p>
        </w:tc>
        <w:tc>
          <w:tcPr>
            <w:tcW w:w="8140" w:type="dxa"/>
            <w:vAlign w:val="bottom"/>
            <w:tcBorders>
              <w:bottom w:val="single" w:sz="8" w:color="0000FF"/>
            </w:tcBorders>
            <w:gridSpan w:val="7"/>
          </w:tcPr>
          <w:p>
            <w:pPr>
              <w:spacing w:after="0"/>
              <w:rPr>
                <w:rFonts w:ascii="Arial" w:cs="Arial" w:eastAsia="Arial" w:hAnsi="Arial"/>
                <w:sz w:val="16"/>
                <w:szCs w:val="16"/>
                <w:color w:val="0000FF"/>
                <w:w w:val="93"/>
              </w:rPr>
            </w:pPr>
            <w:hyperlink r:id="rId75">
              <w:r>
                <w:rPr>
                  <w:rFonts w:ascii="Arial" w:cs="Arial" w:eastAsia="Arial" w:hAnsi="Arial"/>
                  <w:sz w:val="16"/>
                  <w:szCs w:val="16"/>
                  <w:color w:val="0000FF"/>
                  <w:w w:val="93"/>
                </w:rPr>
                <w:t>Letter from Deloitte &amp; Touche LLP, incorporated herein by reference to Exhibit 16.1 to the Current Report on Form 8-K/A of</w:t>
              </w:r>
            </w:hyperlink>
          </w:p>
        </w:tc>
        <w:tc>
          <w:tcPr>
            <w:tcW w:w="2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3260" w:type="dxa"/>
            <w:vAlign w:val="bottom"/>
            <w:tcBorders>
              <w:bottom w:val="single" w:sz="8" w:color="0000FF"/>
            </w:tcBorders>
            <w:gridSpan w:val="2"/>
          </w:tcPr>
          <w:p>
            <w:pPr>
              <w:spacing w:after="0" w:line="183" w:lineRule="exact"/>
              <w:rPr>
                <w:rFonts w:ascii="Arial" w:cs="Arial" w:eastAsia="Arial" w:hAnsi="Arial"/>
                <w:sz w:val="16"/>
                <w:szCs w:val="16"/>
                <w:color w:val="0000FF"/>
                <w:w w:val="91"/>
              </w:rPr>
            </w:pPr>
            <w:hyperlink r:id="rId75">
              <w:r>
                <w:rPr>
                  <w:rFonts w:ascii="Arial" w:cs="Arial" w:eastAsia="Arial" w:hAnsi="Arial"/>
                  <w:sz w:val="16"/>
                  <w:szCs w:val="16"/>
                  <w:color w:val="0000FF"/>
                  <w:w w:val="91"/>
                </w:rPr>
                <w:t>General Motors Company filed February 12, 2018</w:t>
              </w:r>
            </w:hyperlink>
          </w:p>
        </w:tc>
        <w:tc>
          <w:tcPr>
            <w:tcW w:w="51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-2383155</wp:posOffset>
            </wp:positionV>
            <wp:extent cx="7246620" cy="69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7246620" cy="6946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5" w:lineRule="exact"/>
        <w:rPr>
          <w:sz w:val="20"/>
          <w:szCs w:val="20"/>
          <w:color w:val="auto"/>
        </w:rPr>
      </w:pPr>
    </w:p>
    <w:p>
      <w:pPr>
        <w:ind w:left="1040" w:hanging="1005"/>
        <w:spacing w:after="0"/>
        <w:tabs>
          <w:tab w:leader="none" w:pos="1040" w:val="left"/>
        </w:tabs>
        <w:numPr>
          <w:ilvl w:val="0"/>
          <w:numId w:val="34"/>
        </w:numPr>
        <w:rPr>
          <w:rFonts w:ascii="Arial" w:cs="Arial" w:eastAsia="Arial" w:hAnsi="Arial"/>
          <w:sz w:val="16"/>
          <w:szCs w:val="16"/>
          <w:u w:val="single" w:color="auto"/>
          <w:color w:val="0000FF"/>
        </w:rPr>
      </w:pPr>
      <w:hyperlink w:anchor="page318">
        <w:r>
          <w:rPr>
            <w:rFonts w:ascii="Arial" w:cs="Arial" w:eastAsia="Arial" w:hAnsi="Arial"/>
            <w:sz w:val="16"/>
            <w:szCs w:val="16"/>
            <w:u w:val="single" w:color="auto"/>
            <w:color w:val="0000FF"/>
          </w:rPr>
          <w:t>Subsidiaries and Joint Ventures of the Registrant as of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00" w:type="dxa"/>
            <w:vAlign w:val="bottom"/>
          </w:tcPr>
          <w:p>
            <w:pPr>
              <w:jc w:val="right"/>
              <w:ind w:right="639"/>
              <w:spacing w:after="0"/>
              <w:rPr>
                <w:sz w:val="20"/>
                <w:szCs w:val="20"/>
                <w:color w:val="auto"/>
              </w:rPr>
            </w:pPr>
            <w:r>
              <w:rPr>
                <w:rFonts w:ascii="Arial" w:cs="Arial" w:eastAsia="Arial" w:hAnsi="Arial"/>
                <w:sz w:val="16"/>
                <w:szCs w:val="16"/>
                <w:color w:val="auto"/>
                <w:w w:val="83"/>
              </w:rPr>
              <w:t>23.1</w:t>
            </w:r>
          </w:p>
        </w:tc>
        <w:tc>
          <w:tcPr>
            <w:tcW w:w="2280" w:type="dxa"/>
            <w:vAlign w:val="bottom"/>
            <w:gridSpan w:val="2"/>
          </w:tcPr>
          <w:p>
            <w:pPr>
              <w:spacing w:after="0"/>
              <w:rPr>
                <w:rFonts w:ascii="Arial" w:cs="Arial" w:eastAsia="Arial" w:hAnsi="Arial"/>
                <w:sz w:val="16"/>
                <w:szCs w:val="16"/>
                <w:color w:val="0000FF"/>
              </w:rPr>
            </w:pPr>
            <w:hyperlink w:anchor="page323">
              <w:r>
                <w:rPr>
                  <w:rFonts w:ascii="Arial" w:cs="Arial" w:eastAsia="Arial" w:hAnsi="Arial"/>
                  <w:sz w:val="16"/>
                  <w:szCs w:val="16"/>
                  <w:color w:val="0000FF"/>
                </w:rPr>
                <w:t>Consent of Ernst &amp; Young LLP</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right"/>
              <w:ind w:right="639"/>
              <w:spacing w:after="0"/>
              <w:rPr>
                <w:sz w:val="20"/>
                <w:szCs w:val="20"/>
                <w:color w:val="auto"/>
              </w:rPr>
            </w:pPr>
            <w:r>
              <w:rPr>
                <w:rFonts w:ascii="Arial" w:cs="Arial" w:eastAsia="Arial" w:hAnsi="Arial"/>
                <w:sz w:val="16"/>
                <w:szCs w:val="16"/>
                <w:color w:val="auto"/>
                <w:w w:val="83"/>
              </w:rPr>
              <w:t>23.2</w:t>
            </w:r>
          </w:p>
        </w:tc>
        <w:tc>
          <w:tcPr>
            <w:tcW w:w="20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vMerge w:val="continue"/>
          </w:tcPr>
          <w:p>
            <w:pPr>
              <w:spacing w:after="0"/>
              <w:rPr>
                <w:sz w:val="21"/>
                <w:szCs w:val="21"/>
                <w:color w:val="auto"/>
              </w:rPr>
            </w:pPr>
          </w:p>
        </w:tc>
        <w:tc>
          <w:tcPr>
            <w:tcW w:w="228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324">
              <w:r>
                <w:rPr>
                  <w:rFonts w:ascii="Arial" w:cs="Arial" w:eastAsia="Arial" w:hAnsi="Arial"/>
                  <w:sz w:val="16"/>
                  <w:szCs w:val="16"/>
                  <w:color w:val="0000FF"/>
                  <w:w w:val="93"/>
                </w:rPr>
                <w:t>Consent of Deloitte &amp; Touche LLP</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1040" w:hanging="1005"/>
        <w:spacing w:after="0"/>
        <w:tabs>
          <w:tab w:leader="none" w:pos="1040" w:val="left"/>
        </w:tabs>
        <w:numPr>
          <w:ilvl w:val="0"/>
          <w:numId w:val="35"/>
        </w:numPr>
        <w:rPr>
          <w:rFonts w:ascii="Arial" w:cs="Arial" w:eastAsia="Arial" w:hAnsi="Arial"/>
          <w:sz w:val="16"/>
          <w:szCs w:val="16"/>
          <w:u w:val="single" w:color="auto"/>
          <w:color w:val="0000FF"/>
        </w:rPr>
      </w:pPr>
      <w:hyperlink w:anchor="page325">
        <w:r>
          <w:rPr>
            <w:rFonts w:ascii="Arial" w:cs="Arial" w:eastAsia="Arial" w:hAnsi="Arial"/>
            <w:sz w:val="16"/>
            <w:szCs w:val="16"/>
            <w:u w:val="single" w:color="auto"/>
            <w:color w:val="0000FF"/>
          </w:rPr>
          <w:t>Power of Attorney for Directors of General Motors Company</w:t>
        </w:r>
      </w:hyperlink>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364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336">
              <w:r>
                <w:rPr>
                  <w:rFonts w:ascii="Arial" w:cs="Arial" w:eastAsia="Arial" w:hAnsi="Arial"/>
                  <w:sz w:val="16"/>
                  <w:szCs w:val="16"/>
                  <w:color w:val="0000FF"/>
                  <w:w w:val="93"/>
                </w:rPr>
                <w:t>Section 302 Certification of the Chief Executive Officer</w:t>
              </w:r>
            </w:hyperlink>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7900" w:type="dxa"/>
            <w:vAlign w:val="bottom"/>
            <w:gridSpan w:val="3"/>
          </w:tcPr>
          <w:p>
            <w:pPr>
              <w:spacing w:after="0"/>
              <w:rPr>
                <w:rFonts w:ascii="Arial" w:cs="Arial" w:eastAsia="Arial" w:hAnsi="Arial"/>
                <w:sz w:val="16"/>
                <w:szCs w:val="16"/>
                <w:color w:val="0000FF"/>
              </w:rPr>
            </w:pPr>
            <w:hyperlink w:anchor="page337">
              <w:r>
                <w:rPr>
                  <w:rFonts w:ascii="Arial" w:cs="Arial" w:eastAsia="Arial" w:hAnsi="Arial"/>
                  <w:sz w:val="16"/>
                  <w:szCs w:val="16"/>
                  <w:color w:val="0000FF"/>
                </w:rPr>
                <w:t>Section 302 Certification of the Chief Financial Officer</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6"/>
                <w:szCs w:val="16"/>
                <w:color w:val="auto"/>
              </w:rPr>
              <w:t>32</w:t>
            </w:r>
          </w:p>
        </w:tc>
        <w:tc>
          <w:tcPr>
            <w:tcW w:w="3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00" w:type="dxa"/>
            <w:vAlign w:val="bottom"/>
            <w:vMerge w:val="continue"/>
          </w:tcPr>
          <w:p>
            <w:pPr>
              <w:spacing w:after="0"/>
              <w:rPr>
                <w:sz w:val="23"/>
                <w:szCs w:val="23"/>
                <w:color w:val="auto"/>
              </w:rPr>
            </w:pPr>
          </w:p>
        </w:tc>
        <w:tc>
          <w:tcPr>
            <w:tcW w:w="7900" w:type="dxa"/>
            <w:vAlign w:val="bottom"/>
            <w:gridSpan w:val="3"/>
            <w:vMerge w:val="restart"/>
          </w:tcPr>
          <w:p>
            <w:pPr>
              <w:spacing w:after="0"/>
              <w:rPr>
                <w:rFonts w:ascii="Arial" w:cs="Arial" w:eastAsia="Arial" w:hAnsi="Arial"/>
                <w:sz w:val="16"/>
                <w:szCs w:val="16"/>
                <w:color w:val="0000FF"/>
                <w:w w:val="91"/>
              </w:rPr>
            </w:pPr>
            <w:hyperlink w:anchor="page338">
              <w:r>
                <w:rPr>
                  <w:rFonts w:ascii="Arial" w:cs="Arial" w:eastAsia="Arial" w:hAnsi="Arial"/>
                  <w:sz w:val="16"/>
                  <w:szCs w:val="16"/>
                  <w:color w:val="0000FF"/>
                  <w:w w:val="91"/>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4"/>
                <w:szCs w:val="14"/>
                <w:color w:val="auto"/>
              </w:rPr>
            </w:pPr>
          </w:p>
        </w:tc>
        <w:tc>
          <w:tcPr>
            <w:tcW w:w="7900" w:type="dxa"/>
            <w:vAlign w:val="bottom"/>
            <w:tcBorders>
              <w:bottom w:val="single" w:sz="8" w:color="0000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1000" w:type="dxa"/>
            <w:vAlign w:val="bottom"/>
          </w:tcPr>
          <w:p>
            <w:pPr>
              <w:spacing w:after="0"/>
              <w:rPr>
                <w:sz w:val="20"/>
                <w:szCs w:val="20"/>
                <w:color w:val="auto"/>
              </w:rPr>
            </w:pPr>
            <w:r>
              <w:rPr>
                <w:rFonts w:ascii="Arial" w:cs="Arial" w:eastAsia="Arial" w:hAnsi="Arial"/>
                <w:sz w:val="16"/>
                <w:szCs w:val="16"/>
                <w:color w:val="auto"/>
              </w:rPr>
              <w:t>101.INS</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101.SCH</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101.CAL</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101.DEF</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101.LAB</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6"/>
                <w:szCs w:val="16"/>
                <w:color w:val="auto"/>
              </w:rPr>
              <w:t>101.PRE</w:t>
            </w:r>
          </w:p>
        </w:tc>
        <w:tc>
          <w:tcPr>
            <w:tcW w:w="79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-1470660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-1007745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-664210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470" w:lineRule="auto"/>
        <w:rPr>
          <w:sz w:val="20"/>
          <w:szCs w:val="20"/>
          <w:color w:val="auto"/>
        </w:rPr>
      </w:pPr>
      <w:r>
        <w:rPr>
          <w:rFonts w:ascii="Arial" w:cs="Arial" w:eastAsia="Arial" w:hAnsi="Arial"/>
          <w:sz w:val="14"/>
          <w:szCs w:val="14"/>
          <w:color w:val="auto"/>
        </w:rPr>
        <w:t>Filed Herewith Incorporated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Furnished with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Report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5" w:lineRule="exact"/>
        <w:rPr>
          <w:sz w:val="20"/>
          <w:szCs w:val="20"/>
          <w:color w:val="auto"/>
        </w:rPr>
      </w:pPr>
    </w:p>
    <w:p>
      <w:pPr>
        <w:sectPr>
          <w:pgSz w:w="11900" w:h="16838" w:orient="portrait"/>
          <w:cols w:equalWidth="0" w:num="2">
            <w:col w:w="9460" w:space="200"/>
            <w:col w:w="1740"/>
          </w:cols>
          <w:pgMar w:left="240" w:top="341" w:right="25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341" w:right="259" w:bottom="1440" w:gutter="0" w:footer="0" w:header="0"/>
          <w:type w:val="continuous"/>
        </w:sectPr>
      </w:pPr>
    </w:p>
    <w:bookmarkStart w:id="107" w:name="page108"/>
    <w:bookmarkEnd w:id="10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6" w:lineRule="exact"/>
        <w:rPr>
          <w:sz w:val="20"/>
          <w:szCs w:val="20"/>
          <w:color w:val="auto"/>
        </w:rPr>
      </w:pPr>
    </w:p>
    <w:p>
      <w:pPr>
        <w:ind w:left="840" w:hanging="805"/>
        <w:spacing w:after="0"/>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Certain confidential portions have been omitted pursuant to a granted request for confidential treatment, which has been separately filed with the SEC.</w:t>
      </w:r>
    </w:p>
    <w:p>
      <w:pPr>
        <w:spacing w:after="0" w:line="96" w:lineRule="exact"/>
        <w:rPr>
          <w:sz w:val="20"/>
          <w:szCs w:val="20"/>
          <w:color w:val="auto"/>
        </w:rPr>
      </w:pPr>
    </w:p>
    <w:p>
      <w:pPr>
        <w:ind w:left="840" w:hanging="805"/>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15(b) of this Report.</w:t>
      </w:r>
    </w:p>
    <w:p>
      <w:pPr>
        <w:spacing w:after="0" w:line="275" w:lineRule="exact"/>
        <w:rPr>
          <w:sz w:val="20"/>
          <w:szCs w:val="20"/>
          <w:color w:val="auto"/>
        </w:rPr>
      </w:pPr>
    </w:p>
    <w:p>
      <w:pPr>
        <w:ind w:left="840" w:hanging="805"/>
        <w:spacing w:after="0"/>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agrees to furnish supplementally a copy of any omitted exhibit or schedule to the SEC upon request.</w:t>
      </w:r>
    </w:p>
    <w:p>
      <w:pPr>
        <w:spacing w:after="0" w:line="2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 * * * * * *</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600"/>
          </w:cols>
          <w:pgMar w:left="240" w:top="341" w:right="1059" w:bottom="1440" w:gutter="0" w:footer="0" w:header="0"/>
        </w:sectPr>
      </w:pPr>
    </w:p>
    <w:bookmarkStart w:id="108" w:name="page109"/>
    <w:bookmarkEnd w:id="10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GENERAL MOTORS COMPANY (Registrant)</w:t>
      </w:r>
    </w:p>
    <w:p>
      <w:pPr>
        <w:spacing w:after="0" w:line="27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341" w:right="259" w:bottom="1440" w:gutter="0" w:footer="0" w:header="0"/>
        </w:sectPr>
      </w:pPr>
    </w:p>
    <w:bookmarkStart w:id="109" w:name="page110"/>
    <w:bookmarkEnd w:id="10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6th day of February 2019 by the following persons on behalf of the registrant and in the capacities indicated, including a majority of the directors.</w:t>
      </w:r>
    </w:p>
    <w:p>
      <w:pPr>
        <w:spacing w:after="0" w:line="112" w:lineRule="exact"/>
        <w:rPr>
          <w:sz w:val="20"/>
          <w:szCs w:val="20"/>
          <w:color w:val="auto"/>
        </w:rPr>
      </w:pPr>
    </w:p>
    <w:p>
      <w:pPr>
        <w:ind w:left="2200"/>
        <w:spacing w:after="0"/>
        <w:tabs>
          <w:tab w:leader="none" w:pos="83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T. Barra</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Dhivya Suryadevara</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T. Hatto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Theodore M. Solso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Linda R. Gooden</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Jimenez</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Jane L. Mendillo</w:t>
      </w:r>
    </w:p>
    <w:p>
      <w:pPr>
        <w:spacing w:after="0" w:line="252" w:lineRule="exact"/>
        <w:rPr>
          <w:sz w:val="20"/>
          <w:szCs w:val="20"/>
          <w:color w:val="auto"/>
        </w:rPr>
      </w:pPr>
    </w:p>
    <w:p>
      <w:pPr>
        <w:ind w:left="40" w:right="1120"/>
        <w:spacing w:after="0" w:line="356" w:lineRule="auto"/>
        <w:rPr>
          <w:sz w:val="20"/>
          <w:szCs w:val="20"/>
          <w:color w:val="auto"/>
        </w:rPr>
      </w:pPr>
      <w:r>
        <w:rPr>
          <w:rFonts w:ascii="Arial" w:cs="Arial" w:eastAsia="Arial" w:hAnsi="Arial"/>
          <w:sz w:val="18"/>
          <w:szCs w:val="18"/>
          <w:color w:val="auto"/>
        </w:rPr>
        <w:t>/s/ ADMIRAL MICHAEL G. MULLEN, USN (ret.)*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32670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Judith A. Miscik</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J. Mulva</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F. Russo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Schoewe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Carol M. Stephenson</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Devin N. Wenig</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36"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Controller and Chief Accounting Officer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Lead 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83"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*By: /s/ RICK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39370</wp:posOffset>
            </wp:positionV>
            <wp:extent cx="2830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Rick Hansen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341"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PURCHASE AGREEMENT</w:t>
      </w:r>
    </w:p>
    <w:p>
      <w:pPr>
        <w:spacing w:after="0" w:line="200" w:lineRule="exact"/>
        <w:rPr>
          <w:sz w:val="20"/>
          <w:szCs w:val="20"/>
          <w:color w:val="auto"/>
        </w:rPr>
      </w:pPr>
    </w:p>
    <w:p>
      <w:pPr>
        <w:spacing w:after="0" w:line="23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36"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GM CRUISE HOLDINGS LLC</w:t>
      </w: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HONDA MOTOR CO., LTD.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Dated as of October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576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440" w:type="dxa"/>
            <w:vAlign w:val="bottom"/>
          </w:tcPr>
          <w:p>
            <w:pPr>
              <w:spacing w:after="0"/>
              <w:rPr>
                <w:sz w:val="21"/>
                <w:szCs w:val="21"/>
                <w:color w:val="auto"/>
              </w:rPr>
            </w:pPr>
          </w:p>
        </w:tc>
      </w:tr>
      <w:tr>
        <w:trPr>
          <w:trHeight w:val="601"/>
        </w:trPr>
        <w:tc>
          <w:tcPr>
            <w:tcW w:w="1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r>
      <w:tr>
        <w:trPr>
          <w:trHeight w:val="544"/>
        </w:trPr>
        <w:tc>
          <w:tcPr>
            <w:tcW w:w="10620" w:type="dxa"/>
            <w:vAlign w:val="bottom"/>
            <w:gridSpan w:val="4"/>
          </w:tcPr>
          <w:p>
            <w:pPr>
              <w:spacing w:after="0"/>
              <w:rPr>
                <w:sz w:val="20"/>
                <w:szCs w:val="20"/>
                <w:color w:val="auto"/>
              </w:rPr>
            </w:pPr>
            <w:r>
              <w:rPr>
                <w:rFonts w:ascii="Arial" w:cs="Arial" w:eastAsia="Arial" w:hAnsi="Arial"/>
                <w:sz w:val="22"/>
                <w:szCs w:val="22"/>
                <w:b w:val="1"/>
                <w:bCs w:val="1"/>
                <w:color w:val="auto"/>
              </w:rPr>
              <w:t>ARTICLE I ISSUANCE AND DELIVERY OF SHARES</w:t>
            </w:r>
          </w:p>
        </w:tc>
        <w:tc>
          <w:tcPr>
            <w:tcW w:w="44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513"/>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1.1  Issuance on the Closing Date</w:t>
            </w:r>
          </w:p>
        </w:tc>
        <w:tc>
          <w:tcPr>
            <w:tcW w:w="440" w:type="dxa"/>
            <w:vAlign w:val="bottom"/>
          </w:tcPr>
          <w:p>
            <w:pPr>
              <w:spacing w:after="0"/>
              <w:rPr>
                <w:sz w:val="20"/>
                <w:szCs w:val="20"/>
                <w:color w:val="auto"/>
              </w:rPr>
            </w:pPr>
            <w:r>
              <w:rPr>
                <w:rFonts w:ascii="Arial" w:cs="Arial" w:eastAsia="Arial" w:hAnsi="Arial"/>
                <w:sz w:val="22"/>
                <w:szCs w:val="22"/>
                <w:color w:val="auto"/>
              </w:rPr>
              <w:t>1</w:t>
            </w:r>
          </w:p>
        </w:tc>
      </w:tr>
      <w:tr>
        <w:trPr>
          <w:trHeight w:val="513"/>
        </w:trPr>
        <w:tc>
          <w:tcPr>
            <w:tcW w:w="10620" w:type="dxa"/>
            <w:vAlign w:val="bottom"/>
            <w:gridSpan w:val="4"/>
          </w:tcPr>
          <w:p>
            <w:pPr>
              <w:spacing w:after="0"/>
              <w:rPr>
                <w:sz w:val="20"/>
                <w:szCs w:val="20"/>
                <w:color w:val="auto"/>
              </w:rPr>
            </w:pPr>
            <w:r>
              <w:rPr>
                <w:rFonts w:ascii="Arial" w:cs="Arial" w:eastAsia="Arial" w:hAnsi="Arial"/>
                <w:sz w:val="22"/>
                <w:szCs w:val="22"/>
                <w:b w:val="1"/>
                <w:bCs w:val="1"/>
                <w:color w:val="auto"/>
              </w:rPr>
              <w:t>ARTICLE II CLOSING</w:t>
            </w:r>
          </w:p>
        </w:tc>
        <w:tc>
          <w:tcPr>
            <w:tcW w:w="440" w:type="dxa"/>
            <w:vAlign w:val="bottom"/>
          </w:tcPr>
          <w:p>
            <w:pPr>
              <w:spacing w:after="0"/>
              <w:rPr>
                <w:sz w:val="20"/>
                <w:szCs w:val="20"/>
                <w:color w:val="auto"/>
              </w:rPr>
            </w:pPr>
            <w:r>
              <w:rPr>
                <w:rFonts w:ascii="Arial" w:cs="Arial" w:eastAsia="Arial" w:hAnsi="Arial"/>
                <w:sz w:val="22"/>
                <w:szCs w:val="22"/>
                <w:b w:val="1"/>
                <w:bCs w:val="1"/>
                <w:color w:val="auto"/>
              </w:rPr>
              <w:t>2</w:t>
            </w:r>
          </w:p>
        </w:tc>
      </w:tr>
      <w:tr>
        <w:trPr>
          <w:trHeight w:val="513"/>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2.1  Closing; Closing Date</w:t>
            </w:r>
          </w:p>
        </w:tc>
        <w:tc>
          <w:tcPr>
            <w:tcW w:w="440" w:type="dxa"/>
            <w:vAlign w:val="bottom"/>
          </w:tcPr>
          <w:p>
            <w:pPr>
              <w:spacing w:after="0"/>
              <w:rPr>
                <w:sz w:val="20"/>
                <w:szCs w:val="20"/>
                <w:color w:val="auto"/>
              </w:rPr>
            </w:pPr>
            <w:r>
              <w:rPr>
                <w:rFonts w:ascii="Arial" w:cs="Arial" w:eastAsia="Arial" w:hAnsi="Arial"/>
                <w:sz w:val="22"/>
                <w:szCs w:val="22"/>
                <w:color w:val="auto"/>
              </w:rPr>
              <w:t>2</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2.2  Deliveries by Buyer at the Closing</w:t>
            </w:r>
          </w:p>
        </w:tc>
        <w:tc>
          <w:tcPr>
            <w:tcW w:w="440" w:type="dxa"/>
            <w:vAlign w:val="bottom"/>
          </w:tcPr>
          <w:p>
            <w:pPr>
              <w:spacing w:after="0"/>
              <w:rPr>
                <w:sz w:val="20"/>
                <w:szCs w:val="20"/>
                <w:color w:val="auto"/>
              </w:rPr>
            </w:pPr>
            <w:r>
              <w:rPr>
                <w:rFonts w:ascii="Arial" w:cs="Arial" w:eastAsia="Arial" w:hAnsi="Arial"/>
                <w:sz w:val="22"/>
                <w:szCs w:val="22"/>
                <w:color w:val="auto"/>
              </w:rPr>
              <w:t>2</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2.3  Deliveries by the Company at the Closing</w:t>
            </w:r>
          </w:p>
        </w:tc>
        <w:tc>
          <w:tcPr>
            <w:tcW w:w="440" w:type="dxa"/>
            <w:vAlign w:val="bottom"/>
          </w:tcPr>
          <w:p>
            <w:pPr>
              <w:spacing w:after="0"/>
              <w:rPr>
                <w:sz w:val="20"/>
                <w:szCs w:val="20"/>
                <w:color w:val="auto"/>
              </w:rPr>
            </w:pPr>
            <w:r>
              <w:rPr>
                <w:rFonts w:ascii="Arial" w:cs="Arial" w:eastAsia="Arial" w:hAnsi="Arial"/>
                <w:sz w:val="22"/>
                <w:szCs w:val="22"/>
                <w:color w:val="auto"/>
              </w:rPr>
              <w:t>2</w:t>
            </w:r>
          </w:p>
        </w:tc>
      </w:tr>
      <w:tr>
        <w:trPr>
          <w:trHeight w:val="513"/>
        </w:trPr>
        <w:tc>
          <w:tcPr>
            <w:tcW w:w="10620" w:type="dxa"/>
            <w:vAlign w:val="bottom"/>
            <w:gridSpan w:val="4"/>
          </w:tcPr>
          <w:p>
            <w:pPr>
              <w:spacing w:after="0"/>
              <w:rPr>
                <w:sz w:val="20"/>
                <w:szCs w:val="20"/>
                <w:color w:val="auto"/>
              </w:rPr>
            </w:pPr>
            <w:r>
              <w:rPr>
                <w:rFonts w:ascii="Arial" w:cs="Arial" w:eastAsia="Arial" w:hAnsi="Arial"/>
                <w:sz w:val="22"/>
                <w:szCs w:val="22"/>
                <w:b w:val="1"/>
                <w:bCs w:val="1"/>
                <w:color w:val="auto"/>
              </w:rPr>
              <w:t>ARTICLE III REPRESENTATIONS AND WARRANTIES OF THE COMPANY</w:t>
            </w:r>
          </w:p>
        </w:tc>
        <w:tc>
          <w:tcPr>
            <w:tcW w:w="440" w:type="dxa"/>
            <w:vAlign w:val="bottom"/>
          </w:tcPr>
          <w:p>
            <w:pPr>
              <w:spacing w:after="0"/>
              <w:rPr>
                <w:sz w:val="20"/>
                <w:szCs w:val="20"/>
                <w:color w:val="auto"/>
              </w:rPr>
            </w:pPr>
            <w:r>
              <w:rPr>
                <w:rFonts w:ascii="Arial" w:cs="Arial" w:eastAsia="Arial" w:hAnsi="Arial"/>
                <w:sz w:val="22"/>
                <w:szCs w:val="22"/>
                <w:b w:val="1"/>
                <w:bCs w:val="1"/>
                <w:color w:val="auto"/>
              </w:rPr>
              <w:t>3</w:t>
            </w:r>
          </w:p>
        </w:tc>
      </w:tr>
      <w:tr>
        <w:trPr>
          <w:trHeight w:val="513"/>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  Corporate Organization; Subsidiaries</w:t>
            </w:r>
          </w:p>
        </w:tc>
        <w:tc>
          <w:tcPr>
            <w:tcW w:w="440" w:type="dxa"/>
            <w:vAlign w:val="bottom"/>
          </w:tcPr>
          <w:p>
            <w:pPr>
              <w:spacing w:after="0"/>
              <w:rPr>
                <w:sz w:val="20"/>
                <w:szCs w:val="20"/>
                <w:color w:val="auto"/>
              </w:rPr>
            </w:pPr>
            <w:r>
              <w:rPr>
                <w:rFonts w:ascii="Arial" w:cs="Arial" w:eastAsia="Arial" w:hAnsi="Arial"/>
                <w:sz w:val="22"/>
                <w:szCs w:val="22"/>
                <w:color w:val="auto"/>
              </w:rPr>
              <w:t>3</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3.2  Authority and Validity</w:t>
            </w:r>
          </w:p>
        </w:tc>
        <w:tc>
          <w:tcPr>
            <w:tcW w:w="440" w:type="dxa"/>
            <w:vAlign w:val="bottom"/>
          </w:tcPr>
          <w:p>
            <w:pPr>
              <w:spacing w:after="0"/>
              <w:rPr>
                <w:sz w:val="20"/>
                <w:szCs w:val="20"/>
                <w:color w:val="auto"/>
              </w:rPr>
            </w:pPr>
            <w:r>
              <w:rPr>
                <w:rFonts w:ascii="Arial" w:cs="Arial" w:eastAsia="Arial" w:hAnsi="Arial"/>
                <w:sz w:val="22"/>
                <w:szCs w:val="22"/>
                <w:color w:val="auto"/>
              </w:rPr>
              <w:t>4</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3.3</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Non-Contravention</w:t>
            </w:r>
          </w:p>
        </w:tc>
        <w:tc>
          <w:tcPr>
            <w:tcW w:w="440" w:type="dxa"/>
            <w:vAlign w:val="bottom"/>
          </w:tcPr>
          <w:p>
            <w:pPr>
              <w:spacing w:after="0"/>
              <w:rPr>
                <w:sz w:val="20"/>
                <w:szCs w:val="20"/>
                <w:color w:val="auto"/>
              </w:rPr>
            </w:pPr>
            <w:r>
              <w:rPr>
                <w:rFonts w:ascii="Arial" w:cs="Arial" w:eastAsia="Arial" w:hAnsi="Arial"/>
                <w:sz w:val="22"/>
                <w:szCs w:val="22"/>
                <w:color w:val="auto"/>
              </w:rPr>
              <w:t>4</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3.4  Consents and Approvals</w:t>
            </w:r>
          </w:p>
        </w:tc>
        <w:tc>
          <w:tcPr>
            <w:tcW w:w="440" w:type="dxa"/>
            <w:vAlign w:val="bottom"/>
          </w:tcPr>
          <w:p>
            <w:pPr>
              <w:spacing w:after="0"/>
              <w:rPr>
                <w:sz w:val="20"/>
                <w:szCs w:val="20"/>
                <w:color w:val="auto"/>
              </w:rPr>
            </w:pPr>
            <w:r>
              <w:rPr>
                <w:rFonts w:ascii="Arial" w:cs="Arial" w:eastAsia="Arial" w:hAnsi="Arial"/>
                <w:sz w:val="22"/>
                <w:szCs w:val="22"/>
                <w:color w:val="auto"/>
              </w:rPr>
              <w:t>4</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3.5</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Capitalization</w:t>
            </w:r>
          </w:p>
        </w:tc>
        <w:tc>
          <w:tcPr>
            <w:tcW w:w="440" w:type="dxa"/>
            <w:vAlign w:val="bottom"/>
          </w:tcPr>
          <w:p>
            <w:pPr>
              <w:spacing w:after="0"/>
              <w:rPr>
                <w:sz w:val="20"/>
                <w:szCs w:val="20"/>
                <w:color w:val="auto"/>
              </w:rPr>
            </w:pPr>
            <w:r>
              <w:rPr>
                <w:rFonts w:ascii="Arial" w:cs="Arial" w:eastAsia="Arial" w:hAnsi="Arial"/>
                <w:sz w:val="22"/>
                <w:szCs w:val="22"/>
                <w:color w:val="auto"/>
              </w:rPr>
              <w:t>5</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3.6</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Legal Proceedings</w:t>
            </w:r>
          </w:p>
        </w:tc>
        <w:tc>
          <w:tcPr>
            <w:tcW w:w="440" w:type="dxa"/>
            <w:vAlign w:val="bottom"/>
          </w:tcPr>
          <w:p>
            <w:pPr>
              <w:spacing w:after="0"/>
              <w:rPr>
                <w:sz w:val="20"/>
                <w:szCs w:val="20"/>
                <w:color w:val="auto"/>
              </w:rPr>
            </w:pPr>
            <w:r>
              <w:rPr>
                <w:rFonts w:ascii="Arial" w:cs="Arial" w:eastAsia="Arial" w:hAnsi="Arial"/>
                <w:sz w:val="22"/>
                <w:szCs w:val="22"/>
                <w:color w:val="auto"/>
              </w:rPr>
              <w:t>6</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3.7  Taxes and Tax Returns</w:t>
            </w:r>
          </w:p>
        </w:tc>
        <w:tc>
          <w:tcPr>
            <w:tcW w:w="440" w:type="dxa"/>
            <w:vAlign w:val="bottom"/>
          </w:tcPr>
          <w:p>
            <w:pPr>
              <w:spacing w:after="0"/>
              <w:rPr>
                <w:sz w:val="20"/>
                <w:szCs w:val="20"/>
                <w:color w:val="auto"/>
              </w:rPr>
            </w:pPr>
            <w:r>
              <w:rPr>
                <w:rFonts w:ascii="Arial" w:cs="Arial" w:eastAsia="Arial" w:hAnsi="Arial"/>
                <w:sz w:val="22"/>
                <w:szCs w:val="22"/>
                <w:color w:val="auto"/>
              </w:rPr>
              <w:t>6</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3.8  Labor and Employment Matters</w:t>
            </w:r>
          </w:p>
        </w:tc>
        <w:tc>
          <w:tcPr>
            <w:tcW w:w="440" w:type="dxa"/>
            <w:vAlign w:val="bottom"/>
          </w:tcPr>
          <w:p>
            <w:pPr>
              <w:spacing w:after="0"/>
              <w:rPr>
                <w:sz w:val="20"/>
                <w:szCs w:val="20"/>
                <w:color w:val="auto"/>
              </w:rPr>
            </w:pPr>
            <w:r>
              <w:rPr>
                <w:rFonts w:ascii="Arial" w:cs="Arial" w:eastAsia="Arial" w:hAnsi="Arial"/>
                <w:sz w:val="22"/>
                <w:szCs w:val="22"/>
                <w:color w:val="auto"/>
              </w:rPr>
              <w:t>8</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3.9</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Material Contracts</w:t>
            </w:r>
          </w:p>
        </w:tc>
        <w:tc>
          <w:tcPr>
            <w:tcW w:w="440" w:type="dxa"/>
            <w:vAlign w:val="bottom"/>
          </w:tcPr>
          <w:p>
            <w:pPr>
              <w:spacing w:after="0"/>
              <w:rPr>
                <w:sz w:val="20"/>
                <w:szCs w:val="20"/>
                <w:color w:val="auto"/>
              </w:rPr>
            </w:pPr>
            <w:r>
              <w:rPr>
                <w:rFonts w:ascii="Arial" w:cs="Arial" w:eastAsia="Arial" w:hAnsi="Arial"/>
                <w:sz w:val="22"/>
                <w:szCs w:val="22"/>
                <w:color w:val="auto"/>
              </w:rPr>
              <w:t>9</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3.10  Compliance with Applicable Laws; Permits</w:t>
            </w:r>
          </w:p>
        </w:tc>
        <w:tc>
          <w:tcPr>
            <w:tcW w:w="440" w:type="dxa"/>
            <w:vAlign w:val="bottom"/>
          </w:tcPr>
          <w:p>
            <w:pPr>
              <w:spacing w:after="0"/>
              <w:rPr>
                <w:sz w:val="20"/>
                <w:szCs w:val="20"/>
                <w:color w:val="auto"/>
              </w:rPr>
            </w:pPr>
            <w:r>
              <w:rPr>
                <w:rFonts w:ascii="Arial" w:cs="Arial" w:eastAsia="Arial" w:hAnsi="Arial"/>
                <w:sz w:val="22"/>
                <w:szCs w:val="22"/>
                <w:color w:val="auto"/>
              </w:rPr>
              <w:t>10</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3.11</w:t>
            </w:r>
          </w:p>
        </w:tc>
        <w:tc>
          <w:tcPr>
            <w:tcW w:w="8860" w:type="dxa"/>
            <w:vAlign w:val="bottom"/>
            <w:gridSpan w:val="3"/>
          </w:tcPr>
          <w:p>
            <w:pPr>
              <w:ind w:left="140"/>
              <w:spacing w:after="0"/>
              <w:rPr>
                <w:sz w:val="20"/>
                <w:szCs w:val="20"/>
                <w:color w:val="auto"/>
              </w:rPr>
            </w:pPr>
            <w:r>
              <w:rPr>
                <w:rFonts w:ascii="Arial" w:cs="Arial" w:eastAsia="Arial" w:hAnsi="Arial"/>
                <w:sz w:val="22"/>
                <w:szCs w:val="22"/>
                <w:color w:val="auto"/>
              </w:rPr>
              <w:t>Intellectual Property</w:t>
            </w:r>
          </w:p>
        </w:tc>
        <w:tc>
          <w:tcPr>
            <w:tcW w:w="440" w:type="dxa"/>
            <w:vAlign w:val="bottom"/>
          </w:tcPr>
          <w:p>
            <w:pPr>
              <w:spacing w:after="0"/>
              <w:rPr>
                <w:sz w:val="20"/>
                <w:szCs w:val="20"/>
                <w:color w:val="auto"/>
              </w:rPr>
            </w:pPr>
            <w:r>
              <w:rPr>
                <w:rFonts w:ascii="Arial" w:cs="Arial" w:eastAsia="Arial" w:hAnsi="Arial"/>
                <w:sz w:val="22"/>
                <w:szCs w:val="22"/>
                <w:color w:val="auto"/>
              </w:rPr>
              <w:t>11</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3.12  Privacy and Data Security</w:t>
            </w:r>
          </w:p>
        </w:tc>
        <w:tc>
          <w:tcPr>
            <w:tcW w:w="440" w:type="dxa"/>
            <w:vAlign w:val="bottom"/>
          </w:tcPr>
          <w:p>
            <w:pPr>
              <w:spacing w:after="0"/>
              <w:rPr>
                <w:sz w:val="20"/>
                <w:szCs w:val="20"/>
                <w:color w:val="auto"/>
              </w:rPr>
            </w:pPr>
            <w:r>
              <w:rPr>
                <w:rFonts w:ascii="Arial" w:cs="Arial" w:eastAsia="Arial" w:hAnsi="Arial"/>
                <w:sz w:val="22"/>
                <w:szCs w:val="22"/>
                <w:color w:val="auto"/>
              </w:rPr>
              <w:t>13</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3.13</w:t>
            </w:r>
          </w:p>
        </w:tc>
        <w:tc>
          <w:tcPr>
            <w:tcW w:w="8860" w:type="dxa"/>
            <w:vAlign w:val="bottom"/>
            <w:gridSpan w:val="3"/>
          </w:tcPr>
          <w:p>
            <w:pPr>
              <w:ind w:left="140"/>
              <w:spacing w:after="0"/>
              <w:rPr>
                <w:sz w:val="20"/>
                <w:szCs w:val="20"/>
                <w:color w:val="auto"/>
              </w:rPr>
            </w:pPr>
            <w:r>
              <w:rPr>
                <w:rFonts w:ascii="Arial" w:cs="Arial" w:eastAsia="Arial" w:hAnsi="Arial"/>
                <w:sz w:val="22"/>
                <w:szCs w:val="22"/>
                <w:color w:val="auto"/>
              </w:rPr>
              <w:t>Broker’s Fees</w:t>
            </w:r>
          </w:p>
        </w:tc>
        <w:tc>
          <w:tcPr>
            <w:tcW w:w="440" w:type="dxa"/>
            <w:vAlign w:val="bottom"/>
          </w:tcPr>
          <w:p>
            <w:pPr>
              <w:spacing w:after="0"/>
              <w:rPr>
                <w:sz w:val="20"/>
                <w:szCs w:val="20"/>
                <w:color w:val="auto"/>
              </w:rPr>
            </w:pPr>
            <w:r>
              <w:rPr>
                <w:rFonts w:ascii="Arial" w:cs="Arial" w:eastAsia="Arial" w:hAnsi="Arial"/>
                <w:sz w:val="22"/>
                <w:szCs w:val="22"/>
                <w:color w:val="auto"/>
              </w:rPr>
              <w:t>14</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3.14</w:t>
            </w:r>
          </w:p>
        </w:tc>
        <w:tc>
          <w:tcPr>
            <w:tcW w:w="8860" w:type="dxa"/>
            <w:vAlign w:val="bottom"/>
            <w:gridSpan w:val="3"/>
          </w:tcPr>
          <w:p>
            <w:pPr>
              <w:ind w:left="140"/>
              <w:spacing w:after="0"/>
              <w:rPr>
                <w:sz w:val="20"/>
                <w:szCs w:val="20"/>
                <w:color w:val="auto"/>
              </w:rPr>
            </w:pPr>
            <w:r>
              <w:rPr>
                <w:rFonts w:ascii="Arial" w:cs="Arial" w:eastAsia="Arial" w:hAnsi="Arial"/>
                <w:sz w:val="22"/>
                <w:szCs w:val="22"/>
                <w:color w:val="auto"/>
              </w:rPr>
              <w:t>Affiliate Transactions</w:t>
            </w:r>
          </w:p>
        </w:tc>
        <w:tc>
          <w:tcPr>
            <w:tcW w:w="440" w:type="dxa"/>
            <w:vAlign w:val="bottom"/>
          </w:tcPr>
          <w:p>
            <w:pPr>
              <w:spacing w:after="0"/>
              <w:rPr>
                <w:sz w:val="20"/>
                <w:szCs w:val="20"/>
                <w:color w:val="auto"/>
              </w:rPr>
            </w:pPr>
            <w:r>
              <w:rPr>
                <w:rFonts w:ascii="Arial" w:cs="Arial" w:eastAsia="Arial" w:hAnsi="Arial"/>
                <w:sz w:val="22"/>
                <w:szCs w:val="22"/>
                <w:color w:val="auto"/>
              </w:rPr>
              <w:t>14</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3.15  Financial Statements; Undisclosed Liabilities</w:t>
            </w:r>
          </w:p>
        </w:tc>
        <w:tc>
          <w:tcPr>
            <w:tcW w:w="440" w:type="dxa"/>
            <w:vAlign w:val="bottom"/>
          </w:tcPr>
          <w:p>
            <w:pPr>
              <w:spacing w:after="0"/>
              <w:rPr>
                <w:sz w:val="20"/>
                <w:szCs w:val="20"/>
                <w:color w:val="auto"/>
              </w:rPr>
            </w:pPr>
            <w:r>
              <w:rPr>
                <w:rFonts w:ascii="Arial" w:cs="Arial" w:eastAsia="Arial" w:hAnsi="Arial"/>
                <w:sz w:val="22"/>
                <w:szCs w:val="22"/>
                <w:color w:val="auto"/>
              </w:rPr>
              <w:t>14</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3.16  Absence of Certain Changes</w:t>
            </w:r>
          </w:p>
        </w:tc>
        <w:tc>
          <w:tcPr>
            <w:tcW w:w="440" w:type="dxa"/>
            <w:vAlign w:val="bottom"/>
          </w:tcPr>
          <w:p>
            <w:pPr>
              <w:spacing w:after="0"/>
              <w:rPr>
                <w:sz w:val="20"/>
                <w:szCs w:val="20"/>
                <w:color w:val="auto"/>
              </w:rPr>
            </w:pPr>
            <w:r>
              <w:rPr>
                <w:rFonts w:ascii="Arial" w:cs="Arial" w:eastAsia="Arial" w:hAnsi="Arial"/>
                <w:sz w:val="22"/>
                <w:szCs w:val="22"/>
                <w:color w:val="auto"/>
              </w:rPr>
              <w:t>16</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3.17</w:t>
            </w:r>
          </w:p>
        </w:tc>
        <w:tc>
          <w:tcPr>
            <w:tcW w:w="8860" w:type="dxa"/>
            <w:vAlign w:val="bottom"/>
            <w:gridSpan w:val="3"/>
          </w:tcPr>
          <w:p>
            <w:pPr>
              <w:ind w:left="140"/>
              <w:spacing w:after="0"/>
              <w:rPr>
                <w:sz w:val="20"/>
                <w:szCs w:val="20"/>
                <w:color w:val="auto"/>
              </w:rPr>
            </w:pPr>
            <w:r>
              <w:rPr>
                <w:rFonts w:ascii="Arial" w:cs="Arial" w:eastAsia="Arial" w:hAnsi="Arial"/>
                <w:sz w:val="22"/>
                <w:szCs w:val="22"/>
                <w:color w:val="auto"/>
              </w:rPr>
              <w:t>Real Property</w:t>
            </w:r>
          </w:p>
        </w:tc>
        <w:tc>
          <w:tcPr>
            <w:tcW w:w="440" w:type="dxa"/>
            <w:vAlign w:val="bottom"/>
          </w:tcPr>
          <w:p>
            <w:pPr>
              <w:spacing w:after="0"/>
              <w:rPr>
                <w:sz w:val="20"/>
                <w:szCs w:val="20"/>
                <w:color w:val="auto"/>
              </w:rPr>
            </w:pPr>
            <w:r>
              <w:rPr>
                <w:rFonts w:ascii="Arial" w:cs="Arial" w:eastAsia="Arial" w:hAnsi="Arial"/>
                <w:sz w:val="22"/>
                <w:szCs w:val="22"/>
                <w:color w:val="auto"/>
              </w:rPr>
              <w:t>16</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3.18  Tangible Personal Property</w:t>
            </w:r>
          </w:p>
        </w:tc>
        <w:tc>
          <w:tcPr>
            <w:tcW w:w="440" w:type="dxa"/>
            <w:vAlign w:val="bottom"/>
          </w:tcPr>
          <w:p>
            <w:pPr>
              <w:spacing w:after="0"/>
              <w:rPr>
                <w:sz w:val="20"/>
                <w:szCs w:val="20"/>
                <w:color w:val="auto"/>
              </w:rPr>
            </w:pPr>
            <w:r>
              <w:rPr>
                <w:rFonts w:ascii="Arial" w:cs="Arial" w:eastAsia="Arial" w:hAnsi="Arial"/>
                <w:sz w:val="22"/>
                <w:szCs w:val="22"/>
                <w:color w:val="auto"/>
              </w:rPr>
              <w:t>16</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3.19  Applicable ABAC/AML/Trade Laws</w:t>
            </w:r>
          </w:p>
        </w:tc>
        <w:tc>
          <w:tcPr>
            <w:tcW w:w="440" w:type="dxa"/>
            <w:vAlign w:val="bottom"/>
          </w:tcPr>
          <w:p>
            <w:pPr>
              <w:spacing w:after="0"/>
              <w:rPr>
                <w:sz w:val="20"/>
                <w:szCs w:val="20"/>
                <w:color w:val="auto"/>
              </w:rPr>
            </w:pPr>
            <w:r>
              <w:rPr>
                <w:rFonts w:ascii="Arial" w:cs="Arial" w:eastAsia="Arial" w:hAnsi="Arial"/>
                <w:sz w:val="22"/>
                <w:szCs w:val="22"/>
                <w:color w:val="auto"/>
              </w:rPr>
              <w:t>16</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3.20</w:t>
            </w:r>
          </w:p>
        </w:tc>
        <w:tc>
          <w:tcPr>
            <w:tcW w:w="8860" w:type="dxa"/>
            <w:vAlign w:val="bottom"/>
            <w:gridSpan w:val="3"/>
          </w:tcPr>
          <w:p>
            <w:pPr>
              <w:ind w:left="140"/>
              <w:spacing w:after="0"/>
              <w:rPr>
                <w:sz w:val="20"/>
                <w:szCs w:val="20"/>
                <w:color w:val="auto"/>
              </w:rPr>
            </w:pPr>
            <w:r>
              <w:rPr>
                <w:rFonts w:ascii="Arial" w:cs="Arial" w:eastAsia="Arial" w:hAnsi="Arial"/>
                <w:sz w:val="22"/>
                <w:szCs w:val="22"/>
                <w:color w:val="auto"/>
              </w:rPr>
              <w:t>Insurance</w:t>
            </w:r>
          </w:p>
        </w:tc>
        <w:tc>
          <w:tcPr>
            <w:tcW w:w="440" w:type="dxa"/>
            <w:vAlign w:val="bottom"/>
          </w:tcPr>
          <w:p>
            <w:pPr>
              <w:spacing w:after="0"/>
              <w:rPr>
                <w:sz w:val="20"/>
                <w:szCs w:val="20"/>
                <w:color w:val="auto"/>
              </w:rPr>
            </w:pPr>
            <w:r>
              <w:rPr>
                <w:rFonts w:ascii="Arial" w:cs="Arial" w:eastAsia="Arial" w:hAnsi="Arial"/>
                <w:sz w:val="22"/>
                <w:szCs w:val="22"/>
                <w:color w:val="auto"/>
              </w:rPr>
              <w:t>17</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3.21  No Other Representations and Warranties</w:t>
            </w:r>
          </w:p>
        </w:tc>
        <w:tc>
          <w:tcPr>
            <w:tcW w:w="440" w:type="dxa"/>
            <w:vAlign w:val="bottom"/>
          </w:tcPr>
          <w:p>
            <w:pPr>
              <w:spacing w:after="0"/>
              <w:rPr>
                <w:sz w:val="20"/>
                <w:szCs w:val="20"/>
                <w:color w:val="auto"/>
              </w:rPr>
            </w:pPr>
            <w:r>
              <w:rPr>
                <w:rFonts w:ascii="Arial" w:cs="Arial" w:eastAsia="Arial" w:hAnsi="Arial"/>
                <w:sz w:val="22"/>
                <w:szCs w:val="22"/>
                <w:color w:val="auto"/>
              </w:rPr>
              <w:t>17</w:t>
            </w:r>
          </w:p>
        </w:tc>
      </w:tr>
      <w:tr>
        <w:trPr>
          <w:trHeight w:val="513"/>
        </w:trPr>
        <w:tc>
          <w:tcPr>
            <w:tcW w:w="10620" w:type="dxa"/>
            <w:vAlign w:val="bottom"/>
            <w:gridSpan w:val="4"/>
          </w:tcPr>
          <w:p>
            <w:pPr>
              <w:spacing w:after="0"/>
              <w:rPr>
                <w:sz w:val="20"/>
                <w:szCs w:val="20"/>
                <w:color w:val="auto"/>
              </w:rPr>
            </w:pPr>
            <w:r>
              <w:rPr>
                <w:rFonts w:ascii="Arial" w:cs="Arial" w:eastAsia="Arial" w:hAnsi="Arial"/>
                <w:sz w:val="22"/>
                <w:szCs w:val="22"/>
                <w:b w:val="1"/>
                <w:bCs w:val="1"/>
                <w:color w:val="auto"/>
              </w:rPr>
              <w:t>ARTICLE IV REPRESENTATIONS AND WARRANTIES OF BUYER</w:t>
            </w:r>
          </w:p>
        </w:tc>
        <w:tc>
          <w:tcPr>
            <w:tcW w:w="440" w:type="dxa"/>
            <w:vAlign w:val="bottom"/>
          </w:tcPr>
          <w:p>
            <w:pPr>
              <w:spacing w:after="0"/>
              <w:rPr>
                <w:sz w:val="20"/>
                <w:szCs w:val="20"/>
                <w:color w:val="auto"/>
              </w:rPr>
            </w:pPr>
            <w:r>
              <w:rPr>
                <w:rFonts w:ascii="Arial" w:cs="Arial" w:eastAsia="Arial" w:hAnsi="Arial"/>
                <w:sz w:val="22"/>
                <w:szCs w:val="22"/>
                <w:b w:val="1"/>
                <w:bCs w:val="1"/>
                <w:color w:val="auto"/>
              </w:rPr>
              <w:t>17</w:t>
            </w:r>
          </w:p>
        </w:tc>
      </w:tr>
      <w:tr>
        <w:trPr>
          <w:trHeight w:val="513"/>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4.1</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Corporate Organization</w:t>
            </w:r>
          </w:p>
        </w:tc>
        <w:tc>
          <w:tcPr>
            <w:tcW w:w="440" w:type="dxa"/>
            <w:vAlign w:val="bottom"/>
          </w:tcPr>
          <w:p>
            <w:pPr>
              <w:spacing w:after="0"/>
              <w:rPr>
                <w:sz w:val="20"/>
                <w:szCs w:val="20"/>
                <w:color w:val="auto"/>
              </w:rPr>
            </w:pPr>
            <w:r>
              <w:rPr>
                <w:rFonts w:ascii="Arial" w:cs="Arial" w:eastAsia="Arial" w:hAnsi="Arial"/>
                <w:sz w:val="22"/>
                <w:szCs w:val="22"/>
                <w:color w:val="auto"/>
              </w:rPr>
              <w:t>17</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4.2  Authority and Validity</w:t>
            </w:r>
          </w:p>
        </w:tc>
        <w:tc>
          <w:tcPr>
            <w:tcW w:w="440" w:type="dxa"/>
            <w:vAlign w:val="bottom"/>
          </w:tcPr>
          <w:p>
            <w:pPr>
              <w:spacing w:after="0"/>
              <w:rPr>
                <w:sz w:val="20"/>
                <w:szCs w:val="20"/>
                <w:color w:val="auto"/>
              </w:rPr>
            </w:pPr>
            <w:r>
              <w:rPr>
                <w:rFonts w:ascii="Arial" w:cs="Arial" w:eastAsia="Arial" w:hAnsi="Arial"/>
                <w:sz w:val="22"/>
                <w:szCs w:val="22"/>
                <w:color w:val="auto"/>
              </w:rPr>
              <w:t>17</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4.3</w:t>
            </w:r>
          </w:p>
        </w:tc>
        <w:tc>
          <w:tcPr>
            <w:tcW w:w="8860" w:type="dxa"/>
            <w:vAlign w:val="bottom"/>
            <w:gridSpan w:val="3"/>
          </w:tcPr>
          <w:p>
            <w:pPr>
              <w:ind w:left="40"/>
              <w:spacing w:after="0"/>
              <w:rPr>
                <w:sz w:val="20"/>
                <w:szCs w:val="20"/>
                <w:color w:val="auto"/>
              </w:rPr>
            </w:pPr>
            <w:r>
              <w:rPr>
                <w:rFonts w:ascii="Arial" w:cs="Arial" w:eastAsia="Arial" w:hAnsi="Arial"/>
                <w:sz w:val="22"/>
                <w:szCs w:val="22"/>
                <w:color w:val="auto"/>
              </w:rPr>
              <w:t>Non-Contravention</w:t>
            </w:r>
          </w:p>
        </w:tc>
        <w:tc>
          <w:tcPr>
            <w:tcW w:w="440" w:type="dxa"/>
            <w:vAlign w:val="bottom"/>
          </w:tcPr>
          <w:p>
            <w:pPr>
              <w:spacing w:after="0"/>
              <w:rPr>
                <w:sz w:val="20"/>
                <w:szCs w:val="20"/>
                <w:color w:val="auto"/>
              </w:rPr>
            </w:pPr>
            <w:r>
              <w:rPr>
                <w:rFonts w:ascii="Arial" w:cs="Arial" w:eastAsia="Arial" w:hAnsi="Arial"/>
                <w:sz w:val="22"/>
                <w:szCs w:val="22"/>
                <w:color w:val="auto"/>
              </w:rPr>
              <w:t>18</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4.4  Consents and Approvals</w:t>
            </w:r>
          </w:p>
        </w:tc>
        <w:tc>
          <w:tcPr>
            <w:tcW w:w="440" w:type="dxa"/>
            <w:vAlign w:val="bottom"/>
          </w:tcPr>
          <w:p>
            <w:pPr>
              <w:spacing w:after="0"/>
              <w:rPr>
                <w:sz w:val="20"/>
                <w:szCs w:val="20"/>
                <w:color w:val="auto"/>
              </w:rPr>
            </w:pPr>
            <w:r>
              <w:rPr>
                <w:rFonts w:ascii="Arial" w:cs="Arial" w:eastAsia="Arial" w:hAnsi="Arial"/>
                <w:sz w:val="22"/>
                <w:szCs w:val="22"/>
                <w:color w:val="auto"/>
              </w:rPr>
              <w:t>18</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4.5  Accredited Investor Status</w:t>
            </w:r>
          </w:p>
        </w:tc>
        <w:tc>
          <w:tcPr>
            <w:tcW w:w="440" w:type="dxa"/>
            <w:vAlign w:val="bottom"/>
          </w:tcPr>
          <w:p>
            <w:pPr>
              <w:spacing w:after="0"/>
              <w:rPr>
                <w:sz w:val="20"/>
                <w:szCs w:val="20"/>
                <w:color w:val="auto"/>
              </w:rPr>
            </w:pPr>
            <w:r>
              <w:rPr>
                <w:rFonts w:ascii="Arial" w:cs="Arial" w:eastAsia="Arial" w:hAnsi="Arial"/>
                <w:sz w:val="22"/>
                <w:szCs w:val="22"/>
                <w:color w:val="auto"/>
              </w:rPr>
              <w:t>18</w:t>
            </w:r>
          </w:p>
        </w:tc>
      </w:tr>
      <w:tr>
        <w:trPr>
          <w:trHeight w:val="297"/>
        </w:trPr>
        <w:tc>
          <w:tcPr>
            <w:tcW w:w="10620" w:type="dxa"/>
            <w:vAlign w:val="bottom"/>
            <w:gridSpan w:val="4"/>
          </w:tcPr>
          <w:p>
            <w:pPr>
              <w:ind w:left="640"/>
              <w:spacing w:after="0"/>
              <w:rPr>
                <w:sz w:val="20"/>
                <w:szCs w:val="20"/>
                <w:color w:val="auto"/>
              </w:rPr>
            </w:pPr>
            <w:r>
              <w:rPr>
                <w:rFonts w:ascii="Arial" w:cs="Arial" w:eastAsia="Arial" w:hAnsi="Arial"/>
                <w:sz w:val="22"/>
                <w:szCs w:val="22"/>
                <w:color w:val="auto"/>
              </w:rPr>
              <w:t>Section 4.6  Investment Intention; Sale or Transfer</w:t>
            </w:r>
          </w:p>
        </w:tc>
        <w:tc>
          <w:tcPr>
            <w:tcW w:w="440" w:type="dxa"/>
            <w:vAlign w:val="bottom"/>
          </w:tcPr>
          <w:p>
            <w:pPr>
              <w:spacing w:after="0"/>
              <w:rPr>
                <w:sz w:val="20"/>
                <w:szCs w:val="20"/>
                <w:color w:val="auto"/>
              </w:rPr>
            </w:pPr>
            <w:r>
              <w:rPr>
                <w:rFonts w:ascii="Arial" w:cs="Arial" w:eastAsia="Arial" w:hAnsi="Arial"/>
                <w:sz w:val="22"/>
                <w:szCs w:val="22"/>
                <w:color w:val="auto"/>
              </w:rPr>
              <w:t>19</w:t>
            </w:r>
          </w:p>
        </w:tc>
      </w:tr>
    </w:tbl>
    <w:p>
      <w:pPr>
        <w:sectPr>
          <w:pgSz w:w="11900" w:h="16838" w:orient="portrait"/>
          <w:cols w:equalWidth="0" w:num="1">
            <w:col w:w="11060"/>
          </w:cols>
          <w:pgMar w:left="280" w:top="346" w:right="559" w:bottom="1440" w:gutter="0" w:footer="0" w:header="0"/>
        </w:sectPr>
      </w:pPr>
    </w:p>
    <w:bookmarkStart w:id="112" w:name="page113"/>
    <w:bookmarkEnd w:id="11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4.7</w:t>
            </w:r>
          </w:p>
        </w:tc>
        <w:tc>
          <w:tcPr>
            <w:tcW w:w="7920" w:type="dxa"/>
            <w:vAlign w:val="bottom"/>
          </w:tcPr>
          <w:p>
            <w:pPr>
              <w:ind w:left="40"/>
              <w:spacing w:after="0"/>
              <w:rPr>
                <w:sz w:val="20"/>
                <w:szCs w:val="20"/>
                <w:color w:val="auto"/>
              </w:rPr>
            </w:pPr>
            <w:r>
              <w:rPr>
                <w:rFonts w:ascii="Arial" w:cs="Arial" w:eastAsia="Arial" w:hAnsi="Arial"/>
                <w:sz w:val="22"/>
                <w:szCs w:val="22"/>
                <w:color w:val="auto"/>
              </w:rPr>
              <w:t>Broker’s Fees</w:t>
            </w:r>
          </w:p>
        </w:tc>
        <w:tc>
          <w:tcPr>
            <w:tcW w:w="11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4.8</w:t>
            </w:r>
          </w:p>
        </w:tc>
        <w:tc>
          <w:tcPr>
            <w:tcW w:w="7920" w:type="dxa"/>
            <w:vAlign w:val="bottom"/>
          </w:tcPr>
          <w:p>
            <w:pPr>
              <w:ind w:left="40"/>
              <w:spacing w:after="0"/>
              <w:rPr>
                <w:sz w:val="20"/>
                <w:szCs w:val="20"/>
                <w:color w:val="auto"/>
              </w:rPr>
            </w:pPr>
            <w:r>
              <w:rPr>
                <w:rFonts w:ascii="Arial" w:cs="Arial" w:eastAsia="Arial" w:hAnsi="Arial"/>
                <w:sz w:val="22"/>
                <w:szCs w:val="22"/>
                <w:color w:val="auto"/>
              </w:rPr>
              <w:t>Legal Proceedings</w:t>
            </w:r>
          </w:p>
        </w:tc>
        <w:tc>
          <w:tcPr>
            <w:tcW w:w="11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w w:val="98"/>
              </w:rPr>
              <w:t>Section 4.9  No Other Representations and Warranties; Non-Reliance on Company Estimates</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13"/>
        </w:trPr>
        <w:tc>
          <w:tcPr>
            <w:tcW w:w="9680" w:type="dxa"/>
            <w:vAlign w:val="bottom"/>
            <w:gridSpan w:val="2"/>
          </w:tcPr>
          <w:p>
            <w:pPr>
              <w:spacing w:after="0"/>
              <w:rPr>
                <w:sz w:val="20"/>
                <w:szCs w:val="20"/>
                <w:color w:val="auto"/>
              </w:rPr>
            </w:pPr>
            <w:r>
              <w:rPr>
                <w:rFonts w:ascii="Arial" w:cs="Arial" w:eastAsia="Arial" w:hAnsi="Arial"/>
                <w:sz w:val="22"/>
                <w:szCs w:val="22"/>
                <w:b w:val="1"/>
                <w:bCs w:val="1"/>
                <w:color w:val="auto"/>
              </w:rPr>
              <w:t>ARTICLE V ADDITIONAL COVENANTS AND AGREEMENTS</w:t>
            </w:r>
          </w:p>
        </w:tc>
        <w:tc>
          <w:tcPr>
            <w:tcW w:w="114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513"/>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5.1</w:t>
            </w:r>
          </w:p>
        </w:tc>
        <w:tc>
          <w:tcPr>
            <w:tcW w:w="7920" w:type="dxa"/>
            <w:vAlign w:val="bottom"/>
          </w:tcPr>
          <w:p>
            <w:pPr>
              <w:ind w:left="40"/>
              <w:spacing w:after="0"/>
              <w:rPr>
                <w:sz w:val="20"/>
                <w:szCs w:val="20"/>
                <w:color w:val="auto"/>
              </w:rPr>
            </w:pPr>
            <w:r>
              <w:rPr>
                <w:rFonts w:ascii="Arial" w:cs="Arial" w:eastAsia="Arial" w:hAnsi="Arial"/>
                <w:sz w:val="22"/>
                <w:szCs w:val="22"/>
                <w:color w:val="auto"/>
              </w:rPr>
              <w:t>CFIUS</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5.2</w:t>
            </w:r>
          </w:p>
        </w:tc>
        <w:tc>
          <w:tcPr>
            <w:tcW w:w="7920" w:type="dxa"/>
            <w:vAlign w:val="bottom"/>
          </w:tcPr>
          <w:p>
            <w:pPr>
              <w:ind w:left="40"/>
              <w:spacing w:after="0"/>
              <w:rPr>
                <w:sz w:val="20"/>
                <w:szCs w:val="20"/>
                <w:color w:val="auto"/>
              </w:rPr>
            </w:pPr>
            <w:r>
              <w:rPr>
                <w:rFonts w:ascii="Arial" w:cs="Arial" w:eastAsia="Arial" w:hAnsi="Arial"/>
                <w:sz w:val="22"/>
                <w:szCs w:val="22"/>
                <w:color w:val="auto"/>
              </w:rPr>
              <w:t>Cooperation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5.3</w:t>
            </w:r>
          </w:p>
        </w:tc>
        <w:tc>
          <w:tcPr>
            <w:tcW w:w="7920" w:type="dxa"/>
            <w:vAlign w:val="bottom"/>
          </w:tcPr>
          <w:p>
            <w:pPr>
              <w:ind w:left="40"/>
              <w:spacing w:after="0"/>
              <w:rPr>
                <w:sz w:val="20"/>
                <w:szCs w:val="20"/>
                <w:color w:val="auto"/>
              </w:rPr>
            </w:pPr>
            <w:r>
              <w:rPr>
                <w:rFonts w:ascii="Arial" w:cs="Arial" w:eastAsia="Arial" w:hAnsi="Arial"/>
                <w:sz w:val="22"/>
                <w:szCs w:val="22"/>
                <w:color w:val="auto"/>
              </w:rPr>
              <w:t>Publicity</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5.4</w:t>
            </w:r>
          </w:p>
        </w:tc>
        <w:tc>
          <w:tcPr>
            <w:tcW w:w="7920" w:type="dxa"/>
            <w:vAlign w:val="bottom"/>
          </w:tcPr>
          <w:p>
            <w:pPr>
              <w:ind w:left="40"/>
              <w:spacing w:after="0"/>
              <w:rPr>
                <w:sz w:val="20"/>
                <w:szCs w:val="20"/>
                <w:color w:val="auto"/>
              </w:rPr>
            </w:pPr>
            <w:r>
              <w:rPr>
                <w:rFonts w:ascii="Arial" w:cs="Arial" w:eastAsia="Arial" w:hAnsi="Arial"/>
                <w:sz w:val="22"/>
                <w:szCs w:val="22"/>
                <w:color w:val="auto"/>
              </w:rPr>
              <w:t>Transfer Taxes</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13"/>
        </w:trPr>
        <w:tc>
          <w:tcPr>
            <w:tcW w:w="9680" w:type="dxa"/>
            <w:vAlign w:val="bottom"/>
            <w:gridSpan w:val="2"/>
          </w:tcPr>
          <w:p>
            <w:pPr>
              <w:spacing w:after="0"/>
              <w:rPr>
                <w:sz w:val="20"/>
                <w:szCs w:val="20"/>
                <w:color w:val="auto"/>
              </w:rPr>
            </w:pPr>
            <w:r>
              <w:rPr>
                <w:rFonts w:ascii="Arial" w:cs="Arial" w:eastAsia="Arial" w:hAnsi="Arial"/>
                <w:sz w:val="22"/>
                <w:szCs w:val="22"/>
                <w:b w:val="1"/>
                <w:bCs w:val="1"/>
                <w:color w:val="auto"/>
              </w:rPr>
              <w:t>ARTICLE VI INDEMNIFICATION; CERTAIN REMEDIES</w:t>
            </w:r>
          </w:p>
        </w:tc>
        <w:tc>
          <w:tcPr>
            <w:tcW w:w="1140" w:type="dxa"/>
            <w:vAlign w:val="bottom"/>
          </w:tcPr>
          <w:p>
            <w:pPr>
              <w:jc w:val="right"/>
              <w:spacing w:after="0"/>
              <w:rPr>
                <w:sz w:val="20"/>
                <w:szCs w:val="20"/>
                <w:color w:val="auto"/>
              </w:rPr>
            </w:pPr>
            <w:r>
              <w:rPr>
                <w:rFonts w:ascii="Arial" w:cs="Arial" w:eastAsia="Arial" w:hAnsi="Arial"/>
                <w:sz w:val="22"/>
                <w:szCs w:val="22"/>
                <w:b w:val="1"/>
                <w:bCs w:val="1"/>
                <w:color w:val="auto"/>
              </w:rPr>
              <w:t>21</w:t>
            </w:r>
          </w:p>
        </w:tc>
      </w:tr>
      <w:tr>
        <w:trPr>
          <w:trHeight w:val="513"/>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6.1</w:t>
            </w:r>
          </w:p>
        </w:tc>
        <w:tc>
          <w:tcPr>
            <w:tcW w:w="7920" w:type="dxa"/>
            <w:vAlign w:val="bottom"/>
          </w:tcPr>
          <w:p>
            <w:pPr>
              <w:ind w:left="40"/>
              <w:spacing w:after="0"/>
              <w:rPr>
                <w:sz w:val="20"/>
                <w:szCs w:val="20"/>
                <w:color w:val="auto"/>
              </w:rPr>
            </w:pPr>
            <w:r>
              <w:rPr>
                <w:rFonts w:ascii="Arial" w:cs="Arial" w:eastAsia="Arial" w:hAnsi="Arial"/>
                <w:sz w:val="22"/>
                <w:szCs w:val="22"/>
                <w:color w:val="auto"/>
              </w:rPr>
              <w:t>Survival</w:t>
            </w:r>
          </w:p>
        </w:tc>
        <w:tc>
          <w:tcPr>
            <w:tcW w:w="1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6.2  Indemnification by the Company</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6.3  Indemnification by Buyer</w:t>
            </w:r>
          </w:p>
        </w:tc>
        <w:tc>
          <w:tcPr>
            <w:tcW w:w="1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6.4</w:t>
            </w:r>
          </w:p>
        </w:tc>
        <w:tc>
          <w:tcPr>
            <w:tcW w:w="7920" w:type="dxa"/>
            <w:vAlign w:val="bottom"/>
          </w:tcPr>
          <w:p>
            <w:pPr>
              <w:ind w:left="40"/>
              <w:spacing w:after="0"/>
              <w:rPr>
                <w:sz w:val="20"/>
                <w:szCs w:val="20"/>
                <w:color w:val="auto"/>
              </w:rPr>
            </w:pPr>
            <w:r>
              <w:rPr>
                <w:rFonts w:ascii="Arial" w:cs="Arial" w:eastAsia="Arial" w:hAnsi="Arial"/>
                <w:sz w:val="22"/>
                <w:szCs w:val="22"/>
                <w:color w:val="auto"/>
              </w:rPr>
              <w:t>Indemnification Procedures</w:t>
            </w:r>
          </w:p>
        </w:tc>
        <w:tc>
          <w:tcPr>
            <w:tcW w:w="11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6.5  Limitations on Indemnification for Breaches of Representations and Warranties</w:t>
            </w:r>
          </w:p>
        </w:tc>
        <w:tc>
          <w:tcPr>
            <w:tcW w:w="11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6.6  Adjustments to Losses; Limitations on Remedies; Calculation of Losses</w:t>
            </w:r>
          </w:p>
        </w:tc>
        <w:tc>
          <w:tcPr>
            <w:tcW w:w="11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6.7</w:t>
            </w:r>
          </w:p>
        </w:tc>
        <w:tc>
          <w:tcPr>
            <w:tcW w:w="7920" w:type="dxa"/>
            <w:vAlign w:val="bottom"/>
          </w:tcPr>
          <w:p>
            <w:pPr>
              <w:ind w:left="40"/>
              <w:spacing w:after="0"/>
              <w:rPr>
                <w:sz w:val="20"/>
                <w:szCs w:val="20"/>
                <w:color w:val="auto"/>
              </w:rPr>
            </w:pPr>
            <w:r>
              <w:rPr>
                <w:rFonts w:ascii="Arial" w:cs="Arial" w:eastAsia="Arial" w:hAnsi="Arial"/>
                <w:sz w:val="22"/>
                <w:szCs w:val="22"/>
                <w:color w:val="auto"/>
              </w:rPr>
              <w:t>Payments</w:t>
            </w:r>
          </w:p>
        </w:tc>
        <w:tc>
          <w:tcPr>
            <w:tcW w:w="1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6.8</w:t>
            </w:r>
          </w:p>
        </w:tc>
        <w:tc>
          <w:tcPr>
            <w:tcW w:w="7920" w:type="dxa"/>
            <w:vAlign w:val="bottom"/>
          </w:tcPr>
          <w:p>
            <w:pPr>
              <w:ind w:left="40"/>
              <w:spacing w:after="0"/>
              <w:rPr>
                <w:sz w:val="20"/>
                <w:szCs w:val="20"/>
                <w:color w:val="auto"/>
              </w:rPr>
            </w:pPr>
            <w:r>
              <w:rPr>
                <w:rFonts w:ascii="Arial" w:cs="Arial" w:eastAsia="Arial" w:hAnsi="Arial"/>
                <w:sz w:val="22"/>
                <w:szCs w:val="22"/>
                <w:color w:val="auto"/>
              </w:rPr>
              <w:t>Mitigation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6.9</w:t>
            </w:r>
          </w:p>
        </w:tc>
        <w:tc>
          <w:tcPr>
            <w:tcW w:w="7920" w:type="dxa"/>
            <w:vAlign w:val="bottom"/>
          </w:tcPr>
          <w:p>
            <w:pPr>
              <w:ind w:left="40"/>
              <w:spacing w:after="0"/>
              <w:rPr>
                <w:sz w:val="20"/>
                <w:szCs w:val="20"/>
                <w:color w:val="auto"/>
              </w:rPr>
            </w:pPr>
            <w:r>
              <w:rPr>
                <w:rFonts w:ascii="Arial" w:cs="Arial" w:eastAsia="Arial" w:hAnsi="Arial"/>
                <w:sz w:val="22"/>
                <w:szCs w:val="22"/>
                <w:color w:val="auto"/>
              </w:rPr>
              <w:t>Exclusive Remedy</w:t>
            </w:r>
          </w:p>
        </w:tc>
        <w:tc>
          <w:tcPr>
            <w:tcW w:w="1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6.10  Treatment of Indemnity Payments</w:t>
            </w:r>
          </w:p>
        </w:tc>
        <w:tc>
          <w:tcPr>
            <w:tcW w:w="1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513"/>
        </w:trPr>
        <w:tc>
          <w:tcPr>
            <w:tcW w:w="9680" w:type="dxa"/>
            <w:vAlign w:val="bottom"/>
            <w:gridSpan w:val="2"/>
          </w:tcPr>
          <w:p>
            <w:pPr>
              <w:spacing w:after="0"/>
              <w:rPr>
                <w:sz w:val="20"/>
                <w:szCs w:val="20"/>
                <w:color w:val="auto"/>
              </w:rPr>
            </w:pPr>
            <w:r>
              <w:rPr>
                <w:rFonts w:ascii="Arial" w:cs="Arial" w:eastAsia="Arial" w:hAnsi="Arial"/>
                <w:sz w:val="22"/>
                <w:szCs w:val="22"/>
                <w:b w:val="1"/>
                <w:bCs w:val="1"/>
                <w:color w:val="auto"/>
              </w:rPr>
              <w:t>ARTICLE VII GENERAL PROVISIONS</w:t>
            </w:r>
          </w:p>
        </w:tc>
        <w:tc>
          <w:tcPr>
            <w:tcW w:w="1140" w:type="dxa"/>
            <w:vAlign w:val="bottom"/>
          </w:tcPr>
          <w:p>
            <w:pPr>
              <w:jc w:val="right"/>
              <w:spacing w:after="0"/>
              <w:rPr>
                <w:sz w:val="20"/>
                <w:szCs w:val="20"/>
                <w:color w:val="auto"/>
              </w:rPr>
            </w:pPr>
            <w:r>
              <w:rPr>
                <w:rFonts w:ascii="Arial" w:cs="Arial" w:eastAsia="Arial" w:hAnsi="Arial"/>
                <w:sz w:val="22"/>
                <w:szCs w:val="22"/>
                <w:b w:val="1"/>
                <w:bCs w:val="1"/>
                <w:color w:val="auto"/>
              </w:rPr>
              <w:t>27</w:t>
            </w:r>
          </w:p>
        </w:tc>
      </w:tr>
      <w:tr>
        <w:trPr>
          <w:trHeight w:val="513"/>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7.1</w:t>
            </w:r>
          </w:p>
        </w:tc>
        <w:tc>
          <w:tcPr>
            <w:tcW w:w="7920" w:type="dxa"/>
            <w:vAlign w:val="bottom"/>
          </w:tcPr>
          <w:p>
            <w:pPr>
              <w:ind w:left="40"/>
              <w:spacing w:after="0"/>
              <w:rPr>
                <w:sz w:val="20"/>
                <w:szCs w:val="20"/>
                <w:color w:val="auto"/>
              </w:rPr>
            </w:pPr>
            <w:r>
              <w:rPr>
                <w:rFonts w:ascii="Arial" w:cs="Arial" w:eastAsia="Arial" w:hAnsi="Arial"/>
                <w:sz w:val="22"/>
                <w:szCs w:val="22"/>
                <w:color w:val="auto"/>
              </w:rPr>
              <w:t>Confidentiality</w:t>
            </w:r>
          </w:p>
        </w:tc>
        <w:tc>
          <w:tcPr>
            <w:tcW w:w="1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7.2</w:t>
            </w:r>
          </w:p>
        </w:tc>
        <w:tc>
          <w:tcPr>
            <w:tcW w:w="7920" w:type="dxa"/>
            <w:vAlign w:val="bottom"/>
          </w:tcPr>
          <w:p>
            <w:pPr>
              <w:ind w:left="40"/>
              <w:spacing w:after="0"/>
              <w:rPr>
                <w:sz w:val="20"/>
                <w:szCs w:val="20"/>
                <w:color w:val="auto"/>
              </w:rPr>
            </w:pPr>
            <w:r>
              <w:rPr>
                <w:rFonts w:ascii="Arial" w:cs="Arial" w:eastAsia="Arial" w:hAnsi="Arial"/>
                <w:sz w:val="22"/>
                <w:szCs w:val="22"/>
                <w:color w:val="auto"/>
              </w:rPr>
              <w:t>Expenses</w:t>
            </w:r>
          </w:p>
        </w:tc>
        <w:tc>
          <w:tcPr>
            <w:tcW w:w="1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7.3</w:t>
            </w:r>
          </w:p>
        </w:tc>
        <w:tc>
          <w:tcPr>
            <w:tcW w:w="7920" w:type="dxa"/>
            <w:vAlign w:val="bottom"/>
          </w:tcPr>
          <w:p>
            <w:pPr>
              <w:ind w:left="40"/>
              <w:spacing w:after="0"/>
              <w:rPr>
                <w:sz w:val="20"/>
                <w:szCs w:val="20"/>
                <w:color w:val="auto"/>
              </w:rPr>
            </w:pPr>
            <w:r>
              <w:rPr>
                <w:rFonts w:ascii="Arial" w:cs="Arial" w:eastAsia="Arial" w:hAnsi="Arial"/>
                <w:sz w:val="22"/>
                <w:szCs w:val="22"/>
                <w:color w:val="auto"/>
              </w:rPr>
              <w:t>Notices</w:t>
            </w:r>
          </w:p>
        </w:tc>
        <w:tc>
          <w:tcPr>
            <w:tcW w:w="1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7.4</w:t>
            </w:r>
          </w:p>
        </w:tc>
        <w:tc>
          <w:tcPr>
            <w:tcW w:w="7920" w:type="dxa"/>
            <w:vAlign w:val="bottom"/>
          </w:tcPr>
          <w:p>
            <w:pPr>
              <w:ind w:left="40"/>
              <w:spacing w:after="0"/>
              <w:rPr>
                <w:sz w:val="20"/>
                <w:szCs w:val="20"/>
                <w:color w:val="auto"/>
              </w:rPr>
            </w:pPr>
            <w:r>
              <w:rPr>
                <w:rFonts w:ascii="Arial" w:cs="Arial" w:eastAsia="Arial" w:hAnsi="Arial"/>
                <w:sz w:val="22"/>
                <w:szCs w:val="22"/>
                <w:color w:val="auto"/>
              </w:rPr>
              <w:t>Interpretation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7.5  Entire Agreement; Amendments and Waivers</w:t>
            </w:r>
          </w:p>
        </w:tc>
        <w:tc>
          <w:tcPr>
            <w:tcW w:w="11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7.6</w:t>
            </w:r>
          </w:p>
        </w:tc>
        <w:tc>
          <w:tcPr>
            <w:tcW w:w="7920" w:type="dxa"/>
            <w:vAlign w:val="bottom"/>
          </w:tcPr>
          <w:p>
            <w:pPr>
              <w:ind w:left="40"/>
              <w:spacing w:after="0"/>
              <w:rPr>
                <w:sz w:val="20"/>
                <w:szCs w:val="20"/>
                <w:color w:val="auto"/>
              </w:rPr>
            </w:pPr>
            <w:r>
              <w:rPr>
                <w:rFonts w:ascii="Arial" w:cs="Arial" w:eastAsia="Arial" w:hAnsi="Arial"/>
                <w:sz w:val="22"/>
                <w:szCs w:val="22"/>
                <w:color w:val="auto"/>
              </w:rPr>
              <w:t>Governing Law</w:t>
            </w:r>
          </w:p>
        </w:tc>
        <w:tc>
          <w:tcPr>
            <w:tcW w:w="11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7.7  Submission to Jurisdiction; Consent to Service of Process</w:t>
            </w:r>
          </w:p>
        </w:tc>
        <w:tc>
          <w:tcPr>
            <w:tcW w:w="11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7.8</w:t>
            </w:r>
          </w:p>
        </w:tc>
        <w:tc>
          <w:tcPr>
            <w:tcW w:w="7920" w:type="dxa"/>
            <w:vAlign w:val="bottom"/>
          </w:tcPr>
          <w:p>
            <w:pPr>
              <w:ind w:left="40"/>
              <w:spacing w:after="0"/>
              <w:rPr>
                <w:sz w:val="20"/>
                <w:szCs w:val="20"/>
                <w:color w:val="auto"/>
              </w:rPr>
            </w:pPr>
            <w:r>
              <w:rPr>
                <w:rFonts w:ascii="Arial" w:cs="Arial" w:eastAsia="Arial" w:hAnsi="Arial"/>
                <w:sz w:val="22"/>
                <w:szCs w:val="22"/>
                <w:color w:val="auto"/>
              </w:rPr>
              <w:t>Severability</w:t>
            </w:r>
          </w:p>
        </w:tc>
        <w:tc>
          <w:tcPr>
            <w:tcW w:w="1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99"/>
              </w:rPr>
              <w:t>Section 7.9</w:t>
            </w:r>
          </w:p>
        </w:tc>
        <w:tc>
          <w:tcPr>
            <w:tcW w:w="7920" w:type="dxa"/>
            <w:vAlign w:val="bottom"/>
          </w:tcPr>
          <w:p>
            <w:pPr>
              <w:ind w:left="40"/>
              <w:spacing w:after="0"/>
              <w:rPr>
                <w:sz w:val="20"/>
                <w:szCs w:val="20"/>
                <w:color w:val="auto"/>
              </w:rPr>
            </w:pPr>
            <w:r>
              <w:rPr>
                <w:rFonts w:ascii="Arial" w:cs="Arial" w:eastAsia="Arial" w:hAnsi="Arial"/>
                <w:sz w:val="22"/>
                <w:szCs w:val="22"/>
                <w:color w:val="auto"/>
              </w:rPr>
              <w:t>Assignment</w:t>
            </w:r>
          </w:p>
        </w:tc>
        <w:tc>
          <w:tcPr>
            <w:tcW w:w="1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680" w:type="dxa"/>
            <w:vAlign w:val="bottom"/>
            <w:gridSpan w:val="2"/>
          </w:tcPr>
          <w:p>
            <w:pPr>
              <w:ind w:left="640"/>
              <w:spacing w:after="0"/>
              <w:rPr>
                <w:sz w:val="20"/>
                <w:szCs w:val="20"/>
                <w:color w:val="auto"/>
              </w:rPr>
            </w:pPr>
            <w:r>
              <w:rPr>
                <w:rFonts w:ascii="Arial" w:cs="Arial" w:eastAsia="Arial" w:hAnsi="Arial"/>
                <w:sz w:val="22"/>
                <w:szCs w:val="22"/>
                <w:color w:val="auto"/>
              </w:rPr>
              <w:t>Section 7.10  Binding Effect; No Third Party Beneficiaries</w:t>
            </w:r>
          </w:p>
        </w:tc>
        <w:tc>
          <w:tcPr>
            <w:tcW w:w="1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7.11</w:t>
            </w:r>
          </w:p>
        </w:tc>
        <w:tc>
          <w:tcPr>
            <w:tcW w:w="7920" w:type="dxa"/>
            <w:vAlign w:val="bottom"/>
          </w:tcPr>
          <w:p>
            <w:pPr>
              <w:ind w:left="140"/>
              <w:spacing w:after="0"/>
              <w:rPr>
                <w:sz w:val="20"/>
                <w:szCs w:val="20"/>
                <w:color w:val="auto"/>
              </w:rPr>
            </w:pPr>
            <w:r>
              <w:rPr>
                <w:rFonts w:ascii="Arial" w:cs="Arial" w:eastAsia="Arial" w:hAnsi="Arial"/>
                <w:sz w:val="22"/>
                <w:szCs w:val="22"/>
                <w:color w:val="auto"/>
              </w:rPr>
              <w:t>Specific Performance</w:t>
            </w:r>
          </w:p>
        </w:tc>
        <w:tc>
          <w:tcPr>
            <w:tcW w:w="1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7.12</w:t>
            </w:r>
          </w:p>
        </w:tc>
        <w:tc>
          <w:tcPr>
            <w:tcW w:w="792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1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760" w:type="dxa"/>
            <w:vAlign w:val="bottom"/>
          </w:tcPr>
          <w:p>
            <w:pPr>
              <w:ind w:left="640"/>
              <w:spacing w:after="0"/>
              <w:rPr>
                <w:sz w:val="20"/>
                <w:szCs w:val="20"/>
                <w:color w:val="auto"/>
              </w:rPr>
            </w:pPr>
            <w:r>
              <w:rPr>
                <w:rFonts w:ascii="Arial" w:cs="Arial" w:eastAsia="Arial" w:hAnsi="Arial"/>
                <w:sz w:val="22"/>
                <w:szCs w:val="22"/>
                <w:color w:val="auto"/>
                <w:w w:val="89"/>
              </w:rPr>
              <w:t>Section 7.13</w:t>
            </w:r>
          </w:p>
        </w:tc>
        <w:tc>
          <w:tcPr>
            <w:tcW w:w="7920" w:type="dxa"/>
            <w:vAlign w:val="bottom"/>
          </w:tcPr>
          <w:p>
            <w:pPr>
              <w:ind w:left="140"/>
              <w:spacing w:after="0"/>
              <w:rPr>
                <w:sz w:val="20"/>
                <w:szCs w:val="20"/>
                <w:color w:val="auto"/>
              </w:rPr>
            </w:pPr>
            <w:r>
              <w:rPr>
                <w:rFonts w:ascii="Arial" w:cs="Arial" w:eastAsia="Arial" w:hAnsi="Arial"/>
                <w:sz w:val="22"/>
                <w:szCs w:val="22"/>
                <w:color w:val="auto"/>
              </w:rPr>
              <w:t>Additional Definitions</w:t>
            </w:r>
          </w:p>
        </w:tc>
        <w:tc>
          <w:tcPr>
            <w:tcW w:w="114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w:t>
      </w:r>
    </w:p>
    <w:p>
      <w:pPr>
        <w:spacing w:after="0" w:line="2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SCHEDULE A</w:t>
      </w:r>
      <w:r>
        <w:rPr>
          <w:sz w:val="20"/>
          <w:szCs w:val="20"/>
          <w:color w:val="auto"/>
        </w:rPr>
        <w:tab/>
      </w:r>
      <w:r>
        <w:rPr>
          <w:rFonts w:ascii="Arial" w:cs="Arial" w:eastAsia="Arial" w:hAnsi="Arial"/>
          <w:sz w:val="19"/>
          <w:szCs w:val="19"/>
          <w:color w:val="auto"/>
        </w:rPr>
        <w:t>Disclosure Letter</w:t>
      </w:r>
    </w:p>
    <w:p>
      <w:pPr>
        <w:sectPr>
          <w:pgSz w:w="11900" w:h="16838" w:orient="portrait"/>
          <w:cols w:equalWidth="0" w:num="1">
            <w:col w:w="10860"/>
          </w:cols>
          <w:pgMar w:left="240" w:top="523" w:right="7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3, 2018, by and between GM Cruise Holdings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Honda Motor Co., Ltd., a Japanese company (“</w:t>
      </w:r>
      <w:r>
        <w:rPr>
          <w:rFonts w:ascii="Arial" w:cs="Arial" w:eastAsia="Arial" w:hAnsi="Arial"/>
          <w:sz w:val="22"/>
          <w:szCs w:val="22"/>
          <w:u w:val="single" w:color="auto"/>
          <w:color w:val="auto"/>
        </w:rPr>
        <w:t>Buyer</w:t>
      </w:r>
      <w:r>
        <w:rPr>
          <w:rFonts w:ascii="Arial" w:cs="Arial" w:eastAsia="Arial" w:hAnsi="Arial"/>
          <w:sz w:val="22"/>
          <w:szCs w:val="22"/>
          <w:color w:val="auto"/>
        </w:rPr>
        <w:t xml:space="preserve">”). Certain capitalized terms have the meanings set forth in </w:t>
      </w:r>
      <w:r>
        <w:rPr>
          <w:rFonts w:ascii="Arial" w:cs="Arial" w:eastAsia="Arial" w:hAnsi="Arial"/>
          <w:sz w:val="22"/>
          <w:szCs w:val="22"/>
          <w:u w:val="single" w:color="auto"/>
          <w:color w:val="auto"/>
        </w:rPr>
        <w:t>Section 7.13</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Company was formed by General Motors Holdings LLC (“</w:t>
      </w:r>
      <w:r>
        <w:rPr>
          <w:rFonts w:ascii="Arial" w:cs="Arial" w:eastAsia="Arial" w:hAnsi="Arial"/>
          <w:sz w:val="22"/>
          <w:szCs w:val="22"/>
          <w:u w:val="single" w:color="auto"/>
          <w:color w:val="auto"/>
        </w:rPr>
        <w:t>Parent</w:t>
      </w:r>
      <w:r>
        <w:rPr>
          <w:rFonts w:ascii="Arial" w:cs="Arial" w:eastAsia="Arial" w:hAnsi="Arial"/>
          <w:sz w:val="22"/>
          <w:szCs w:val="22"/>
          <w:color w:val="auto"/>
        </w:rPr>
        <w:t>”) by the filing of a certificate of formation with the Secretary of State of Delaware on May 23, 2018;</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WHEREAS, on June 28, 2018, (i) SB Investment Holdings (UK) Limited (“</w:t>
      </w:r>
      <w:r>
        <w:rPr>
          <w:rFonts w:ascii="Arial" w:cs="Arial" w:eastAsia="Arial" w:hAnsi="Arial"/>
          <w:sz w:val="22"/>
          <w:szCs w:val="22"/>
          <w:u w:val="single" w:color="auto"/>
          <w:color w:val="auto"/>
        </w:rPr>
        <w:t>SoftBank</w:t>
      </w:r>
      <w:r>
        <w:rPr>
          <w:rFonts w:ascii="Arial" w:cs="Arial" w:eastAsia="Arial" w:hAnsi="Arial"/>
          <w:sz w:val="22"/>
          <w:szCs w:val="22"/>
          <w:color w:val="auto"/>
        </w:rPr>
        <w:t>”) purchased 900,000 of the Company’s Class A-1-A Preferred Shares pursuant to that certain purchase agreement, dated as of May 31, 2018, by and among Parent, the Company and SoftBank (the “</w:t>
      </w:r>
      <w:r>
        <w:rPr>
          <w:rFonts w:ascii="Arial" w:cs="Arial" w:eastAsia="Arial" w:hAnsi="Arial"/>
          <w:sz w:val="22"/>
          <w:szCs w:val="22"/>
          <w:u w:val="single" w:color="auto"/>
          <w:color w:val="auto"/>
        </w:rPr>
        <w:t>SoftBank Transaction</w:t>
      </w:r>
      <w:r>
        <w:rPr>
          <w:rFonts w:ascii="Arial" w:cs="Arial" w:eastAsia="Arial" w:hAnsi="Arial"/>
          <w:sz w:val="22"/>
          <w:szCs w:val="22"/>
          <w:color w:val="auto"/>
        </w:rPr>
        <w:t>”) and (ii) in connection with the closing of the SoftBank Transaction, the Company’s original LLC agreement was amended and restated (as so amended and restated, the “</w:t>
      </w:r>
      <w:r>
        <w:rPr>
          <w:rFonts w:ascii="Arial" w:cs="Arial" w:eastAsia="Arial" w:hAnsi="Arial"/>
          <w:sz w:val="22"/>
          <w:szCs w:val="22"/>
          <w:u w:val="single" w:color="auto"/>
          <w:color w:val="auto"/>
        </w:rPr>
        <w:t>Existing LLC</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9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on the terms and subject to the conditions contained herein, at the Closing the Company will issue to Buyer, and Buyer will subscribe for and purchase, the Buyer Shares and the Company will admit Buyer as a member of the Company; and</w:t>
      </w:r>
    </w:p>
    <w:p>
      <w:pPr>
        <w:spacing w:after="0" w:line="18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WHEREAS, in connection with the foregoing, and in accordance with the terms and conditions hereof, as of the date of this Agreement (a) the Existing LLC Agreement is being amended and restated pursuant to a Second Amended and Restated Limited Liability Company Agreement (as amended and restated, the “</w:t>
      </w:r>
      <w:r>
        <w:rPr>
          <w:rFonts w:ascii="Arial" w:cs="Arial" w:eastAsia="Arial" w:hAnsi="Arial"/>
          <w:sz w:val="19"/>
          <w:szCs w:val="19"/>
          <w:u w:val="single" w:color="auto"/>
          <w:color w:val="auto"/>
        </w:rPr>
        <w:t>Second A&amp;R LLC Agreement</w:t>
      </w:r>
      <w:r>
        <w:rPr>
          <w:rFonts w:ascii="Arial" w:cs="Arial" w:eastAsia="Arial" w:hAnsi="Arial"/>
          <w:sz w:val="19"/>
          <w:szCs w:val="19"/>
          <w:color w:val="auto"/>
        </w:rPr>
        <w:t>”), (b) the Company, Parent, GM Global Technology Operations LLC (“</w:t>
      </w:r>
      <w:r>
        <w:rPr>
          <w:rFonts w:ascii="Arial" w:cs="Arial" w:eastAsia="Arial" w:hAnsi="Arial"/>
          <w:sz w:val="19"/>
          <w:szCs w:val="19"/>
          <w:u w:val="single" w:color="auto"/>
          <w:color w:val="auto"/>
        </w:rPr>
        <w:t>GTO</w:t>
      </w:r>
      <w:r>
        <w:rPr>
          <w:rFonts w:ascii="Arial" w:cs="Arial" w:eastAsia="Arial" w:hAnsi="Arial"/>
          <w:sz w:val="19"/>
          <w:szCs w:val="19"/>
          <w:color w:val="auto"/>
        </w:rPr>
        <w:t>”), Buyer and Honda R&amp;D Co., Ltd. (“</w:t>
      </w:r>
      <w:r>
        <w:rPr>
          <w:rFonts w:ascii="Arial" w:cs="Arial" w:eastAsia="Arial" w:hAnsi="Arial"/>
          <w:sz w:val="19"/>
          <w:szCs w:val="19"/>
          <w:u w:val="single" w:color="auto"/>
          <w:color w:val="auto"/>
        </w:rPr>
        <w:t>Honda R&amp;D Co</w:t>
      </w:r>
      <w:r>
        <w:rPr>
          <w:rFonts w:ascii="Arial" w:cs="Arial" w:eastAsia="Arial" w:hAnsi="Arial"/>
          <w:sz w:val="19"/>
          <w:szCs w:val="19"/>
          <w:color w:val="auto"/>
        </w:rPr>
        <w:t>”) are entering into the Shared Autonomous Vehicle Development Agreement, (c) the Company, Parent and Buyer are entering into the Tripartite Side Letter, (d) the Company and Buyer are entering into the Marketing and Network Access Fee Agreement and (e) General Motors LLC (“</w:t>
      </w:r>
      <w:r>
        <w:rPr>
          <w:rFonts w:ascii="Arial" w:cs="Arial" w:eastAsia="Arial" w:hAnsi="Arial"/>
          <w:sz w:val="19"/>
          <w:szCs w:val="19"/>
          <w:u w:val="single" w:color="auto"/>
          <w:color w:val="auto"/>
        </w:rPr>
        <w:t>GM LLC</w:t>
      </w:r>
      <w:r>
        <w:rPr>
          <w:rFonts w:ascii="Arial" w:cs="Arial" w:eastAsia="Arial" w:hAnsi="Arial"/>
          <w:sz w:val="19"/>
          <w:szCs w:val="19"/>
          <w:color w:val="auto"/>
        </w:rPr>
        <w:t>”) and American Honda Motor Co., Inc. (“</w:t>
      </w:r>
      <w:r>
        <w:rPr>
          <w:rFonts w:ascii="Arial" w:cs="Arial" w:eastAsia="Arial" w:hAnsi="Arial"/>
          <w:sz w:val="19"/>
          <w:szCs w:val="19"/>
          <w:u w:val="single" w:color="auto"/>
          <w:color w:val="auto"/>
        </w:rPr>
        <w:t>American Honda</w:t>
      </w:r>
      <w:r>
        <w:rPr>
          <w:rFonts w:ascii="Arial" w:cs="Arial" w:eastAsia="Arial" w:hAnsi="Arial"/>
          <w:sz w:val="19"/>
          <w:szCs w:val="19"/>
          <w:color w:val="auto"/>
        </w:rPr>
        <w:t>”) are entering into the ZEV Credit Agreement.</w:t>
      </w:r>
    </w:p>
    <w:p>
      <w:pPr>
        <w:spacing w:after="0" w:line="15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NOW, THEREFORE, in consideration of the foregoing and the mutual representations, warranties, covenants and agreements contained herein, and for other good and valuable consideration, the receipt and sufficiency of which are hereby acknowledged, and intending to be legally bound hereby, the Parties agree hereby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ISSUANCE AND DELIVERY OF SHARES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Issuance on the Closing Date</w:t>
      </w:r>
      <w:r>
        <w:rPr>
          <w:rFonts w:ascii="Arial" w:cs="Arial" w:eastAsia="Arial" w:hAnsi="Arial"/>
          <w:sz w:val="22"/>
          <w:szCs w:val="22"/>
          <w:color w:val="auto"/>
        </w:rPr>
        <w:t>. On the terms and subject to the conditions contained herein, at the Closing, the Company shall issue, sell and deliver to Buyer, and Buyer shall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95" w:right="239" w:bottom="1440" w:gutter="0" w:footer="0" w:header="0"/>
        </w:sectPr>
      </w:pPr>
    </w:p>
    <w:bookmarkStart w:id="114" w:name="page115"/>
    <w:bookmarkEnd w:id="114"/>
    <w:p>
      <w:pPr>
        <w:jc w:val="both"/>
        <w:spacing w:after="0" w:line="302" w:lineRule="auto"/>
        <w:rPr>
          <w:sz w:val="20"/>
          <w:szCs w:val="20"/>
          <w:color w:val="auto"/>
        </w:rPr>
      </w:pPr>
      <w:r>
        <w:rPr>
          <w:rFonts w:ascii="Arial" w:cs="Arial" w:eastAsia="Arial" w:hAnsi="Arial"/>
          <w:sz w:val="19"/>
          <w:szCs w:val="19"/>
          <w:color w:val="auto"/>
        </w:rPr>
        <w:t>subscribe for, purchase and acquire from the Company 495,000 Class E Common Shares at a per share price of $1,515.15 (the “</w:t>
      </w:r>
      <w:r>
        <w:rPr>
          <w:rFonts w:ascii="Arial" w:cs="Arial" w:eastAsia="Arial" w:hAnsi="Arial"/>
          <w:sz w:val="19"/>
          <w:szCs w:val="19"/>
          <w:u w:val="single" w:color="auto"/>
          <w:color w:val="auto"/>
        </w:rPr>
        <w:t>Buyer Shares</w:t>
      </w:r>
      <w:r>
        <w:rPr>
          <w:rFonts w:ascii="Arial" w:cs="Arial" w:eastAsia="Arial" w:hAnsi="Arial"/>
          <w:sz w:val="19"/>
          <w:szCs w:val="19"/>
          <w:color w:val="auto"/>
        </w:rPr>
        <w:t>”), free and clear of all Liens (other than any Liens under securities Laws or Liens or other transfer restrictions under the Second A&amp;R LLC Agreement), in consideration for payment by Buyer of an amount equal to $750,000,000 in cash (the “</w:t>
      </w:r>
      <w:r>
        <w:rPr>
          <w:rFonts w:ascii="Arial" w:cs="Arial" w:eastAsia="Arial" w:hAnsi="Arial"/>
          <w:sz w:val="19"/>
          <w:szCs w:val="19"/>
          <w:u w:val="single" w:color="auto"/>
          <w:color w:val="auto"/>
        </w:rPr>
        <w:t>Purchase Price</w:t>
      </w:r>
      <w:r>
        <w:rPr>
          <w:rFonts w:ascii="Arial" w:cs="Arial" w:eastAsia="Arial" w:hAnsi="Arial"/>
          <w:sz w:val="19"/>
          <w:szCs w:val="19"/>
          <w:color w:val="auto"/>
        </w:rPr>
        <w:t>”). The subscription and sale of the Buyer Shares is referred to in this Agreement as the “</w:t>
      </w:r>
      <w:r>
        <w:rPr>
          <w:rFonts w:ascii="Arial" w:cs="Arial" w:eastAsia="Arial" w:hAnsi="Arial"/>
          <w:sz w:val="19"/>
          <w:szCs w:val="19"/>
          <w:u w:val="single" w:color="auto"/>
          <w:color w:val="auto"/>
        </w:rPr>
        <w:t>Issuance</w:t>
      </w:r>
      <w:r>
        <w:rPr>
          <w:rFonts w:ascii="Arial" w:cs="Arial" w:eastAsia="Arial" w:hAnsi="Arial"/>
          <w:sz w:val="19"/>
          <w:szCs w:val="19"/>
          <w:color w:val="auto"/>
        </w:rPr>
        <w: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CLOSING</w:t>
      </w:r>
    </w:p>
    <w:p>
      <w:pPr>
        <w:spacing w:after="0" w:line="242"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Closing; Closing Date.</w:t>
      </w:r>
      <w:r>
        <w:rPr>
          <w:rFonts w:ascii="Arial" w:cs="Arial" w:eastAsia="Arial" w:hAnsi="Arial"/>
          <w:sz w:val="22"/>
          <w:szCs w:val="22"/>
          <w:color w:val="auto"/>
        </w:rPr>
        <w:t xml:space="preserve"> The closing of the Issuance (the “</w:t>
      </w:r>
      <w:r>
        <w:rPr>
          <w:rFonts w:ascii="Arial" w:cs="Arial" w:eastAsia="Arial" w:hAnsi="Arial"/>
          <w:sz w:val="22"/>
          <w:szCs w:val="22"/>
          <w:u w:val="single" w:color="auto"/>
          <w:color w:val="auto"/>
        </w:rPr>
        <w:t>Closing</w:t>
      </w:r>
      <w:r>
        <w:rPr>
          <w:rFonts w:ascii="Arial" w:cs="Arial" w:eastAsia="Arial" w:hAnsi="Arial"/>
          <w:sz w:val="22"/>
          <w:szCs w:val="22"/>
          <w:color w:val="auto"/>
        </w:rPr>
        <w:t>”) shall take place simultaneous with the execution and delivery of this Agreement at the offices of Kirkland &amp; Ellis LLP, 601 Lexington Avenue, New York, New York, 10022, or at such other place as the Parties may agree in writing. The date on which the Closing occurs is referred to in this Agreement as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2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Deliveries by Buyer at the Closing.</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Closing, Buyer shall deliver, or cause to be delivered, to the Company the following:</w:t>
      </w:r>
    </w:p>
    <w:p>
      <w:pPr>
        <w:spacing w:after="0" w:line="220" w:lineRule="exact"/>
        <w:rPr>
          <w:sz w:val="20"/>
          <w:szCs w:val="20"/>
          <w:color w:val="auto"/>
        </w:rPr>
      </w:pPr>
    </w:p>
    <w:p>
      <w:pPr>
        <w:ind w:firstLine="1953"/>
        <w:spacing w:after="0" w:line="263" w:lineRule="auto"/>
        <w:tabs>
          <w:tab w:leader="none" w:pos="2833"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Purchase Price, in cash paid by wire transfer of immediately available funds to an account designated by the Company free and clear of any withholding;</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duly executed counterpart of the Second A&amp;R LLC Agreement;</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duly executed counterparts from Buyer and Honda R&amp;D Co of the Shared Autonomous Vehicle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Development Agreement;</w:t>
      </w:r>
    </w:p>
    <w:p>
      <w:pPr>
        <w:spacing w:after="0" w:line="242" w:lineRule="exact"/>
        <w:rPr>
          <w:rFonts w:ascii="Arial" w:cs="Arial" w:eastAsia="Arial" w:hAnsi="Arial"/>
          <w:sz w:val="19"/>
          <w:szCs w:val="19"/>
          <w:color w:val="auto"/>
        </w:rPr>
      </w:pPr>
    </w:p>
    <w:p>
      <w:pPr>
        <w:ind w:left="2860" w:hanging="907"/>
        <w:spacing w:after="0"/>
        <w:tabs>
          <w:tab w:leader="none" w:pos="2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duly executed counterpart from American Honda of the ZEV Credit Agreement;</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duly executed counterpart of the Marketing and Network Access Fee Agreement;</w:t>
      </w:r>
    </w:p>
    <w:p>
      <w:pPr>
        <w:spacing w:after="0" w:line="260" w:lineRule="exact"/>
        <w:rPr>
          <w:rFonts w:ascii="Arial" w:cs="Arial" w:eastAsia="Arial" w:hAnsi="Arial"/>
          <w:sz w:val="22"/>
          <w:szCs w:val="22"/>
          <w:color w:val="auto"/>
        </w:rPr>
      </w:pPr>
    </w:p>
    <w:p>
      <w:pPr>
        <w:ind w:left="2820" w:hanging="867"/>
        <w:spacing w:after="0"/>
        <w:tabs>
          <w:tab w:leader="none" w:pos="28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duly executed counterpart of the Tripartite Side Letter; and</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properly completed and duly executed U.S. Internal Revenue Service Form W-9 or W-8,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applicable.</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Deliveries by the Company at the Closing.</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At the Closing, the Company shall deliver, or cause to be delivered by Parent, to Buyer the following: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15" w:name="page116"/>
    <w:bookmarkEnd w:id="115"/>
    <w:p>
      <w:pPr>
        <w:ind w:firstLine="1953"/>
        <w:spacing w:after="0" w:line="263" w:lineRule="auto"/>
        <w:tabs>
          <w:tab w:leader="none" w:pos="2833"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true and correct copy of the Members Schedule to the Second A&amp;R LLC Agreement reflecting that the Buyer Shares have been issued and duly registered in the name of Buyer;</w:t>
      </w:r>
    </w:p>
    <w:p>
      <w:pPr>
        <w:spacing w:after="0" w:line="215" w:lineRule="exact"/>
        <w:rPr>
          <w:rFonts w:ascii="Arial" w:cs="Arial" w:eastAsia="Arial" w:hAnsi="Arial"/>
          <w:sz w:val="22"/>
          <w:szCs w:val="22"/>
          <w:color w:val="auto"/>
        </w:rPr>
      </w:pPr>
    </w:p>
    <w:p>
      <w:pPr>
        <w:ind w:firstLine="1953"/>
        <w:spacing w:after="0" w:line="263" w:lineRule="auto"/>
        <w:tabs>
          <w:tab w:leader="none" w:pos="2845" w:val="left"/>
        </w:tabs>
        <w:numPr>
          <w:ilvl w:val="0"/>
          <w:numId w:val="40"/>
        </w:numPr>
        <w:rPr>
          <w:rFonts w:ascii="Arial" w:cs="Arial" w:eastAsia="Arial" w:hAnsi="Arial"/>
          <w:sz w:val="22"/>
          <w:szCs w:val="22"/>
          <w:color w:val="auto"/>
        </w:rPr>
      </w:pPr>
      <w:r>
        <w:rPr>
          <w:rFonts w:ascii="Arial" w:cs="Arial" w:eastAsia="Arial" w:hAnsi="Arial"/>
          <w:sz w:val="22"/>
          <w:szCs w:val="22"/>
          <w:color w:val="auto"/>
        </w:rPr>
        <w:t>duly executed counterparts from Parent, the Company and GTO of the Shared Autonomous Vehicle Development Agreement;</w:t>
      </w:r>
    </w:p>
    <w:p>
      <w:pPr>
        <w:spacing w:after="0" w:line="215" w:lineRule="exact"/>
        <w:rPr>
          <w:rFonts w:ascii="Arial" w:cs="Arial" w:eastAsia="Arial" w:hAnsi="Arial"/>
          <w:sz w:val="22"/>
          <w:szCs w:val="22"/>
          <w:color w:val="auto"/>
        </w:rPr>
      </w:pPr>
    </w:p>
    <w:p>
      <w:pPr>
        <w:ind w:left="2840" w:hanging="887"/>
        <w:spacing w:after="0"/>
        <w:tabs>
          <w:tab w:leader="none" w:pos="28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duly executed counterpart from GM LLC of the ZEV Credit Agreement;</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 duly executed counterpart from the Company of the Marketing and Network Access Fee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42" w:lineRule="exact"/>
        <w:rPr>
          <w:rFonts w:ascii="Arial" w:cs="Arial" w:eastAsia="Arial" w:hAnsi="Arial"/>
          <w:sz w:val="21"/>
          <w:szCs w:val="21"/>
          <w:color w:val="auto"/>
        </w:rPr>
      </w:pPr>
    </w:p>
    <w:p>
      <w:pPr>
        <w:ind w:left="2840" w:hanging="887"/>
        <w:spacing w:after="0"/>
        <w:tabs>
          <w:tab w:leader="none" w:pos="28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duly executed counterparts from Parent and the Company of the Tripartite Side Letter; and</w:t>
      </w:r>
    </w:p>
    <w:p>
      <w:pPr>
        <w:spacing w:after="0" w:line="271" w:lineRule="exact"/>
        <w:rPr>
          <w:rFonts w:ascii="Arial" w:cs="Arial" w:eastAsia="Arial" w:hAnsi="Arial"/>
          <w:sz w:val="21"/>
          <w:szCs w:val="21"/>
          <w:color w:val="auto"/>
        </w:rPr>
      </w:pPr>
    </w:p>
    <w:p>
      <w:pPr>
        <w:ind w:left="2820" w:hanging="867"/>
        <w:spacing w:after="0"/>
        <w:tabs>
          <w:tab w:leader="none" w:pos="28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duly executed counterparts from Parent and the Company of the Second A&amp;R LLC Agreement.</w:t>
      </w:r>
    </w:p>
    <w:p>
      <w:pPr>
        <w:spacing w:after="0" w:line="28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4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Except as disclosed in (a) any document or report filed or furnished by General Motors Company (“</w:t>
      </w:r>
      <w:r>
        <w:rPr>
          <w:rFonts w:ascii="Arial" w:cs="Arial" w:eastAsia="Arial" w:hAnsi="Arial"/>
          <w:sz w:val="19"/>
          <w:szCs w:val="19"/>
          <w:u w:val="single" w:color="auto"/>
          <w:color w:val="auto"/>
        </w:rPr>
        <w:t>GM PubCo</w:t>
      </w:r>
      <w:r>
        <w:rPr>
          <w:rFonts w:ascii="Arial" w:cs="Arial" w:eastAsia="Arial" w:hAnsi="Arial"/>
          <w:sz w:val="19"/>
          <w:szCs w:val="19"/>
          <w:color w:val="auto"/>
        </w:rPr>
        <w:t>”) with the U.S. Securities and Exchange Commission after January 1, 2017 and prior to the date of this Agreement (excluding any disclosures contained in the “Risk Factors” sections of any such filings, any disclosure of risks set forth in any “Forward-Looking Statements” disclaimer contained in any such filings and any other disclosures in such filings that are similarly cautionary, non-specific or predictive in nature) (the “</w:t>
      </w:r>
      <w:r>
        <w:rPr>
          <w:rFonts w:ascii="Arial" w:cs="Arial" w:eastAsia="Arial" w:hAnsi="Arial"/>
          <w:sz w:val="19"/>
          <w:szCs w:val="19"/>
          <w:u w:val="single" w:color="auto"/>
          <w:color w:val="auto"/>
        </w:rPr>
        <w:t>GM SEC Filings</w:t>
      </w:r>
      <w:r>
        <w:rPr>
          <w:rFonts w:ascii="Arial" w:cs="Arial" w:eastAsia="Arial" w:hAnsi="Arial"/>
          <w:sz w:val="19"/>
          <w:szCs w:val="19"/>
          <w:color w:val="auto"/>
        </w:rPr>
        <w:t xml:space="preserve">”), or (b) the corresponding section of the disclosure letter delivered by the Company to Buyer prior to entering into this Agreement and attached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Disclosure Letter</w:t>
      </w:r>
      <w:r>
        <w:rPr>
          <w:rFonts w:ascii="Arial" w:cs="Arial" w:eastAsia="Arial" w:hAnsi="Arial"/>
          <w:sz w:val="19"/>
          <w:szCs w:val="19"/>
          <w:color w:val="auto"/>
        </w:rPr>
        <w:t>”), the Company hereby represents and warrants to Buyer, as of the date of this Agreement, as follows:</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Corporate Organization; Subsidiaries</w:t>
      </w:r>
      <w:r>
        <w:rPr>
          <w:rFonts w:ascii="Arial" w:cs="Arial" w:eastAsia="Arial" w:hAnsi="Arial"/>
          <w:sz w:val="19"/>
          <w:szCs w:val="19"/>
          <w:color w:val="auto"/>
        </w:rPr>
        <w:t>. The Company is a limited liability company, duly organized, validly existing and in good standing under the laws of Delaware. Each member of the Company Group (a) is a corporation or other organization duly organized, validly existing and in good standing under the laws of its respective jurisdiction of incorporation, formation or organization, (b) has the requisite corporate or other organizational power and authority to own or lease all of its properties and assets and to carry on its business as it is now being conducted and (c) is duly qualified or authorized to do business under the laws of each jurisdiction in which it owns or leases real property and each other jurisdiction in which the conduct of its business or the ownership of its properties requires such qualification or authorization, except, in each case, where such failures to be so qualified and in good standing, or to have such power, is not and would not reasonably be expected to be, individually or in the aggregate, material to the Company Group, taken as a whole.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16" w:name="page117"/>
    <w:bookmarkEnd w:id="116"/>
    <w:p>
      <w:pPr>
        <w:jc w:val="both"/>
        <w:ind w:firstLine="648"/>
        <w:spacing w:after="0" w:line="288"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Authority and Validity</w:t>
      </w:r>
      <w:r>
        <w:rPr>
          <w:rFonts w:ascii="Arial" w:cs="Arial" w:eastAsia="Arial" w:hAnsi="Arial"/>
          <w:sz w:val="19"/>
          <w:szCs w:val="19"/>
          <w:color w:val="auto"/>
        </w:rPr>
        <w:t>. The Company has the requisite power and authority to execute and deliver the Transaction Agreements to which the Company is a party, to perform its obligations thereunder and to consummate the Transactions thereunder. The execution and delivery of the Transaction Agreements to which the Company is a party by the Company and the consummation of the Transactions thereunder have been duly and validly authorized by the Company, and no other action on the part of the Company is necessary to approve the execution and delivery of the Transaction Agreements to which the Company is a party or to consummate the Transactions thereunder. The Transaction Agreements to which the Company is a party have been duly and validly executed and delivered by the Company, and when executed and delivered (assuming due authorization, execution and delivery by Buyer and the other parties thereto) will constitute valid and binding obligations of the Company, enforceable against the Company in accordance with their respective terms, except as may be limited by applicable bankruptcy, fraudulent transfer, insolvency, moratorium or similar Laws of general application relating to or affecting creditors’ rights generally and except for the limitations imposed by general principles of equity.</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Non-Contravention</w:t>
      </w:r>
      <w:r>
        <w:rPr>
          <w:rFonts w:ascii="Arial" w:cs="Arial" w:eastAsia="Arial" w:hAnsi="Arial"/>
          <w:sz w:val="21"/>
          <w:szCs w:val="21"/>
          <w:color w:val="auto"/>
        </w:rPr>
        <w:t>. Neither the execution, delivery and performance by the Company of the Transaction Agreements to which the Company is a party, nor the consummation of the Transactions thereunder, will conflict with, or result in any violation of or default (with or without notice or lapse of time, or both) under, or give rise to a right of termination, amendment, acceleration of or cancellation under any obligations or loss of a material benefit under, or result in the creation of any Lien on any of the assets owned by the Company Group pursuant to, any provision of (a) the Organizational Documents of any member of the Company Group, (b) any applicable Law or order, judgment or decree (each, an “</w:t>
      </w:r>
      <w:r>
        <w:rPr>
          <w:rFonts w:ascii="Arial" w:cs="Arial" w:eastAsia="Arial" w:hAnsi="Arial"/>
          <w:sz w:val="21"/>
          <w:szCs w:val="21"/>
          <w:u w:val="single" w:color="auto"/>
          <w:color w:val="auto"/>
        </w:rPr>
        <w:t>Order</w:t>
      </w:r>
      <w:r>
        <w:rPr>
          <w:rFonts w:ascii="Arial" w:cs="Arial" w:eastAsia="Arial" w:hAnsi="Arial"/>
          <w:sz w:val="21"/>
          <w:szCs w:val="21"/>
          <w:color w:val="auto"/>
        </w:rPr>
        <w:t>”) of any Governmental Authority, (c) any Contract to which any member of the Company Group is a party, subject or bound or any Contract necessary for the operation of the business of the Company Group as currently conducted to which the Company is a party, subject or bound, or (d) any of the approvals, authorizations, consents, licenses, permits or certificates (the “</w:t>
      </w:r>
      <w:r>
        <w:rPr>
          <w:rFonts w:ascii="Arial" w:cs="Arial" w:eastAsia="Arial" w:hAnsi="Arial"/>
          <w:sz w:val="21"/>
          <w:szCs w:val="21"/>
          <w:u w:val="single" w:color="auto"/>
          <w:color w:val="auto"/>
        </w:rPr>
        <w:t>Permits</w:t>
      </w:r>
      <w:r>
        <w:rPr>
          <w:rFonts w:ascii="Arial" w:cs="Arial" w:eastAsia="Arial" w:hAnsi="Arial"/>
          <w:sz w:val="21"/>
          <w:szCs w:val="21"/>
          <w:color w:val="auto"/>
        </w:rPr>
        <w:t xml:space="preserve">”) granted by a Governmental Authority that are necessary for the operation of the business of the Company Group as currently conducted, whether held by or in the name of a member of the Company Group, except in the case of </w:t>
      </w:r>
      <w:r>
        <w:rPr>
          <w:rFonts w:ascii="Arial" w:cs="Arial" w:eastAsia="Arial" w:hAnsi="Arial"/>
          <w:sz w:val="21"/>
          <w:szCs w:val="21"/>
          <w:u w:val="single" w:color="auto"/>
          <w:color w:val="auto"/>
        </w:rPr>
        <w:t>clauses (b)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(d)</w:t>
      </w:r>
      <w:r>
        <w:rPr>
          <w:rFonts w:ascii="Arial" w:cs="Arial" w:eastAsia="Arial" w:hAnsi="Arial"/>
          <w:sz w:val="21"/>
          <w:szCs w:val="21"/>
          <w:color w:val="auto"/>
        </w:rPr>
        <w:t>, as is not and would not reasonably be expected to be, individually or in the aggregate, material to the Company Group, taken as a whole, and do not and would not reasonably be expected to, individually or in the aggregate, materially delay or impair the ability of the Company to consummate the Transactions.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xml:space="preserve">. No consent, approval, waiver, authorization, Order, Permit, registration, declaration, exemption, filing, notification or other order of, or other action by, any Person is required or necessary for the execution, delivery and performance by the Company of the Transaction Agreements to which the Company is a party or the consummation by the Company of the Transactions thereunder, other than (a) such consents as are required to amend the Existing LLC Agreement, (b) as may be required under any applicable state securities or “blue sky” Laws, or (c) as may be required as a result of facts and circumstances relating solely to Buyer or its Affiliates (including, if applicable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CFIUS Approval), except for those consents, approvals, waivers, authorizations, Orders, Permits, registrations, declarations, exemptions, filings, notifications or other orders of, or actions by, any Person that are not and would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22"/>
          <w:szCs w:val="22"/>
          <w:color w:val="auto"/>
        </w:rPr>
        <w:t>not reasonably be expected to be, individually or in the aggregate, material to the Company Group, taken as a whole, and do not and would not reasonably be expected to, individually or in the aggregate, materially delay or impair the ability of the Company to consummate the Transactions.</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7" w:lineRule="auto"/>
        <w:tabs>
          <w:tab w:leader="none" w:pos="2185" w:val="left"/>
        </w:tabs>
        <w:numPr>
          <w:ilvl w:val="0"/>
          <w:numId w:val="41"/>
        </w:numPr>
        <w:rPr>
          <w:rFonts w:ascii="Arial" w:cs="Arial" w:eastAsia="Arial" w:hAnsi="Arial"/>
          <w:sz w:val="19"/>
          <w:szCs w:val="19"/>
          <w:color w:val="auto"/>
        </w:rPr>
      </w:pPr>
      <w:r>
        <w:rPr>
          <w:rFonts w:ascii="Arial" w:cs="Arial" w:eastAsia="Arial" w:hAnsi="Arial"/>
          <w:sz w:val="19"/>
          <w:szCs w:val="19"/>
          <w:color w:val="auto"/>
        </w:rPr>
        <w:t>Except for the Existing LLC Agreement and the Initial Investment Agreements, the Company is not a party to any equityholder agreement, investors’ rights agreement, voting agreement, voting trust, right of first refusal and co-sale agreement, management rights agreement or other similar Contract with respect to the voting, registration, redemption, sale, transfer or other disposition of Company Equity Interests or other interests convertible into, exchangeable for or evidencing the right to subscribe for or purchase Company Equity Interests or other ownership interests of the Company.</w:t>
      </w:r>
    </w:p>
    <w:p>
      <w:pPr>
        <w:spacing w:after="0" w:line="187" w:lineRule="exact"/>
        <w:rPr>
          <w:rFonts w:ascii="Arial" w:cs="Arial" w:eastAsia="Arial" w:hAnsi="Arial"/>
          <w:sz w:val="19"/>
          <w:szCs w:val="19"/>
          <w:color w:val="auto"/>
        </w:rPr>
      </w:pPr>
    </w:p>
    <w:p>
      <w:pPr>
        <w:jc w:val="both"/>
        <w:ind w:firstLine="1305"/>
        <w:spacing w:after="0" w:line="286" w:lineRule="auto"/>
        <w:tabs>
          <w:tab w:leader="none" w:pos="2197" w:val="left"/>
        </w:tabs>
        <w:numPr>
          <w:ilvl w:val="0"/>
          <w:numId w:val="41"/>
        </w:numPr>
        <w:rPr>
          <w:rFonts w:ascii="Arial" w:cs="Arial" w:eastAsia="Arial" w:hAnsi="Arial"/>
          <w:sz w:val="19"/>
          <w:szCs w:val="19"/>
          <w:color w:val="auto"/>
        </w:rPr>
      </w:pPr>
      <w:r>
        <w:rPr>
          <w:rFonts w:ascii="Arial" w:cs="Arial" w:eastAsia="Arial" w:hAnsi="Arial"/>
          <w:sz w:val="19"/>
          <w:szCs w:val="19"/>
          <w:color w:val="auto"/>
        </w:rPr>
        <w:t>As of the date of this Agreement, (i) Parent owns 1,100,000 shares of Class A-2 Preferred Shares of the Company and 5,500,000 shares of Class C Common Stock of the Company, (ii) employees of the Company own 217,094 options to purchase shares of Class B Common Stock of the Company (“</w:t>
      </w:r>
      <w:r>
        <w:rPr>
          <w:rFonts w:ascii="Arial" w:cs="Arial" w:eastAsia="Arial" w:hAnsi="Arial"/>
          <w:sz w:val="19"/>
          <w:szCs w:val="19"/>
          <w:u w:val="single" w:color="auto"/>
          <w:color w:val="auto"/>
        </w:rPr>
        <w:t>Options</w:t>
      </w:r>
      <w:r>
        <w:rPr>
          <w:rFonts w:ascii="Arial" w:cs="Arial" w:eastAsia="Arial" w:hAnsi="Arial"/>
          <w:sz w:val="19"/>
          <w:szCs w:val="19"/>
          <w:color w:val="auto"/>
        </w:rPr>
        <w:t>”) and 249,907 restricted stock units of the Company (“</w:t>
      </w:r>
      <w:r>
        <w:rPr>
          <w:rFonts w:ascii="Arial" w:cs="Arial" w:eastAsia="Arial" w:hAnsi="Arial"/>
          <w:sz w:val="19"/>
          <w:szCs w:val="19"/>
          <w:u w:val="single" w:color="auto"/>
          <w:color w:val="auto"/>
        </w:rPr>
        <w:t>RSUs</w:t>
      </w:r>
      <w:r>
        <w:rPr>
          <w:rFonts w:ascii="Arial" w:cs="Arial" w:eastAsia="Arial" w:hAnsi="Arial"/>
          <w:sz w:val="19"/>
          <w:szCs w:val="19"/>
          <w:color w:val="auto"/>
        </w:rPr>
        <w:t>” and, together with the Options and Class B Common Stock, the “</w:t>
      </w:r>
      <w:r>
        <w:rPr>
          <w:rFonts w:ascii="Arial" w:cs="Arial" w:eastAsia="Arial" w:hAnsi="Arial"/>
          <w:sz w:val="19"/>
          <w:szCs w:val="19"/>
          <w:u w:val="single" w:color="auto"/>
          <w:color w:val="auto"/>
        </w:rPr>
        <w:t>EIP Stock</w:t>
      </w:r>
      <w:r>
        <w:rPr>
          <w:rFonts w:ascii="Arial" w:cs="Arial" w:eastAsia="Arial" w:hAnsi="Arial"/>
          <w:sz w:val="19"/>
          <w:szCs w:val="19"/>
          <w:color w:val="auto"/>
        </w:rPr>
        <w:t>”), (iii) SoftBank owns 900,000 Class A-1-A Preferred Shares, (iv) all such issued and outstanding shares are duly authorized and validly issued, and such shares have not been issued in violation of any preemptive or similar rights and (v) all such issued and outstanding shares have been issued pursuant to valid exemptions from registration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all other applicable securities laws. As of the date of this Agreement, other than the EIP Stock or pursuant to the Second A&amp;R LLC Agreement or the Initial Investment Agreements, there are no outstanding (A) Company Equity Interests or other interests of the Company subject to any vesting, transfer or other restrictions or (B) rights or obligations of the Company to repurchase, redeem or otherwise acquire Company Equity Interests or other interests of the Company or other securities convertible into, exchangeable for or evidencing the right to subscribe for or purchase Company Equity Interests or other ownership interests of the Company. There are no outstanding bonds, debentures, notes or other obligations, the holders of which have the right to vote on any matter of the Company.</w:t>
      </w:r>
    </w:p>
    <w:p>
      <w:pPr>
        <w:spacing w:after="0" w:line="207" w:lineRule="exact"/>
        <w:rPr>
          <w:rFonts w:ascii="Arial" w:cs="Arial" w:eastAsia="Arial" w:hAnsi="Arial"/>
          <w:sz w:val="19"/>
          <w:szCs w:val="19"/>
          <w:color w:val="auto"/>
        </w:rPr>
      </w:pPr>
    </w:p>
    <w:p>
      <w:pPr>
        <w:jc w:val="both"/>
        <w:ind w:firstLine="1305"/>
        <w:spacing w:after="0" w:line="258" w:lineRule="auto"/>
        <w:tabs>
          <w:tab w:leader="none" w:pos="2185" w:val="left"/>
        </w:tabs>
        <w:numPr>
          <w:ilvl w:val="0"/>
          <w:numId w:val="41"/>
        </w:numPr>
        <w:rPr>
          <w:rFonts w:ascii="Arial" w:cs="Arial" w:eastAsia="Arial" w:hAnsi="Arial"/>
          <w:sz w:val="21"/>
          <w:szCs w:val="21"/>
          <w:color w:val="auto"/>
        </w:rPr>
      </w:pPr>
      <w:r>
        <w:rPr>
          <w:rFonts w:ascii="Arial" w:cs="Arial" w:eastAsia="Arial" w:hAnsi="Arial"/>
          <w:sz w:val="21"/>
          <w:szCs w:val="21"/>
          <w:color w:val="auto"/>
        </w:rPr>
        <w:t>As of immediately subsequent to the Closing, other than the EIP Stock, (i) the only equity interests in the Company issued and outstanding are those set forth on the Members Schedule to the Second A&amp;R LLC Agreement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Equity Interests</w:t>
      </w:r>
      <w:r>
        <w:rPr>
          <w:rFonts w:ascii="Arial" w:cs="Arial" w:eastAsia="Arial" w:hAnsi="Arial"/>
          <w:sz w:val="21"/>
          <w:szCs w:val="21"/>
          <w:color w:val="auto"/>
        </w:rPr>
        <w:t>”) and (ii) other than the Company Equity Interests, the EIP Stock and equity interests to be issued pursuant to the EIP or in accordance with the Second A&amp;R LLC Agreement, no membership interests or other voting securities of or equity interests in the Company are issued, reserved for issuance or outstanding and no securities of the Company convertible into or exchangeable or exercisable for membership interests or other voting securities of or equity interests in the Company are issued or outstanding. As of the Closing Date, the Buyer Shares have the terms and conditions and entitle the holders thereof to the rights set forth in the Second A&amp;R LLC Agreement and will be free and clear of all Liens (other than any Liens under securities Laws or Liens or other transfer restrictions under the Second A&amp;R LLC Agreement). Other than the Company Equity Interests, the EIP Stock and equity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18" w:name="page119"/>
    <w:bookmarkEnd w:id="118"/>
    <w:p>
      <w:pPr>
        <w:jc w:val="both"/>
        <w:spacing w:after="0" w:line="302" w:lineRule="auto"/>
        <w:rPr>
          <w:sz w:val="20"/>
          <w:szCs w:val="20"/>
          <w:color w:val="auto"/>
        </w:rPr>
      </w:pPr>
      <w:r>
        <w:rPr>
          <w:rFonts w:ascii="Arial" w:cs="Arial" w:eastAsia="Arial" w:hAnsi="Arial"/>
          <w:sz w:val="19"/>
          <w:szCs w:val="19"/>
          <w:color w:val="auto"/>
        </w:rPr>
        <w:t>interests to be issued pursuant to the EIP or the Second A&amp;R LLC Agreement, as at the Closing there are no outstanding options, warrants, calls, rights of conversion or exchange or other agreements, arrangements or contracts of any kind or character, whether written or oral, relating to the ownership interest in the Company to which the Company is a party, or by which it is bound, obligating the Company to issue, deliver or sell, or cause to be issued, delivered or sold, any ownership interest in the Company.</w:t>
      </w:r>
    </w:p>
    <w:p>
      <w:pPr>
        <w:spacing w:after="0" w:line="183" w:lineRule="exact"/>
        <w:rPr>
          <w:sz w:val="20"/>
          <w:szCs w:val="20"/>
          <w:color w:val="auto"/>
        </w:rPr>
      </w:pPr>
    </w:p>
    <w:p>
      <w:pPr>
        <w:jc w:val="both"/>
        <w:ind w:firstLine="1305"/>
        <w:spacing w:after="0" w:line="260" w:lineRule="auto"/>
        <w:tabs>
          <w:tab w:leader="none" w:pos="2197"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owns, directly or indirectly, all of the outstanding equity interests of GM Cruise LLC (“</w:t>
      </w:r>
      <w:r>
        <w:rPr>
          <w:rFonts w:ascii="Arial" w:cs="Arial" w:eastAsia="Arial" w:hAnsi="Arial"/>
          <w:sz w:val="21"/>
          <w:szCs w:val="21"/>
          <w:u w:val="single" w:color="auto"/>
          <w:color w:val="auto"/>
        </w:rPr>
        <w:t>Cruise</w:t>
      </w:r>
      <w:r>
        <w:rPr>
          <w:rFonts w:ascii="Arial" w:cs="Arial" w:eastAsia="Arial" w:hAnsi="Arial"/>
          <w:sz w:val="21"/>
          <w:szCs w:val="21"/>
          <w:color w:val="auto"/>
        </w:rPr>
        <w:t>”) and Strobe, Inc. (“</w:t>
      </w:r>
      <w:r>
        <w:rPr>
          <w:rFonts w:ascii="Arial" w:cs="Arial" w:eastAsia="Arial" w:hAnsi="Arial"/>
          <w:sz w:val="21"/>
          <w:szCs w:val="21"/>
          <w:u w:val="single" w:color="auto"/>
          <w:color w:val="auto"/>
        </w:rPr>
        <w:t>Strobe</w:t>
      </w:r>
      <w:r>
        <w:rPr>
          <w:rFonts w:ascii="Arial" w:cs="Arial" w:eastAsia="Arial" w:hAnsi="Arial"/>
          <w:sz w:val="21"/>
          <w:szCs w:val="21"/>
          <w:color w:val="auto"/>
        </w:rPr>
        <w:t>” and together with Cruise, the “</w:t>
      </w:r>
      <w:r>
        <w:rPr>
          <w:rFonts w:ascii="Arial" w:cs="Arial" w:eastAsia="Arial" w:hAnsi="Arial"/>
          <w:sz w:val="21"/>
          <w:szCs w:val="21"/>
          <w:u w:val="single" w:color="auto"/>
          <w:color w:val="auto"/>
        </w:rPr>
        <w:t>Company Subsidiaries</w:t>
      </w:r>
      <w:r>
        <w:rPr>
          <w:rFonts w:ascii="Arial" w:cs="Arial" w:eastAsia="Arial" w:hAnsi="Arial"/>
          <w:sz w:val="21"/>
          <w:szCs w:val="21"/>
          <w:color w:val="auto"/>
        </w:rPr>
        <w:t>”), free and clear of any Liens (other than any restrictions under securities Laws or the Existing LLC Agreement). There are no outstanding options, warrants, calls, rights of conversion or exchange or other agreements, arrangements or contracts of any kind or character, whether written or oral, relating to the ownership interest in any Company Subsidiary to which a Company Subsidiary is a party, or by which any of them are bound, obligating any Company Subsidiary to issue, deliver or sell, or cause to be issued, delivered or sold, any ownership interest of any Company Subsidiary.</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Legal Proceedings</w:t>
      </w:r>
      <w:r>
        <w:rPr>
          <w:rFonts w:ascii="Arial" w:cs="Arial" w:eastAsia="Arial" w:hAnsi="Arial"/>
          <w:sz w:val="19"/>
          <w:szCs w:val="19"/>
          <w:color w:val="auto"/>
        </w:rPr>
        <w:t>. As of the date of this Agreement, except as is not and would not reasonably be expected to be, individually or in the aggregate, material to the Company Group, taken as a whole, there are no legal, administrative, arbitration or other proceedings, claims, actions or governmental, audits or regulatory investigations of any nature (each, a “</w:t>
      </w:r>
      <w:r>
        <w:rPr>
          <w:rFonts w:ascii="Arial" w:cs="Arial" w:eastAsia="Arial" w:hAnsi="Arial"/>
          <w:sz w:val="19"/>
          <w:szCs w:val="19"/>
          <w:u w:val="single" w:color="auto"/>
          <w:color w:val="auto"/>
        </w:rPr>
        <w:t>Legal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Proceeding</w:t>
      </w:r>
      <w:r>
        <w:rPr>
          <w:rFonts w:ascii="Arial" w:cs="Arial" w:eastAsia="Arial" w:hAnsi="Arial"/>
          <w:sz w:val="19"/>
          <w:szCs w:val="19"/>
          <w:color w:val="auto"/>
        </w:rPr>
        <w:t>”) pending or, to the Knowledge of the Company, threatened against any member of the Company Group or any of their respective properties or assets, or any of the directors or officers of the Company Group with regard to their actions as directors or officers of the Company Group, at Law or in equity by any Person, or before or by any Governmental Authority. Neither Parent nor any member of the Company Group is subject to any Order of any Governmental Authority that would reasonably be expected to be, individually or in the aggregate, material to the Company Group, taken as a whole. As of the date of this Agreement, no member of the Company Group is subject to any settlement agreement with respect to any Legal Proceeding, whether filed or threatened (other than a separation and release agreement entered into with a departing employee or consultant), which contains ongoing payment or other material obligations.</w:t>
      </w:r>
    </w:p>
    <w:p>
      <w:pPr>
        <w:spacing w:after="0" w:line="200" w:lineRule="exact"/>
        <w:rPr>
          <w:sz w:val="20"/>
          <w:szCs w:val="20"/>
          <w:color w:val="auto"/>
        </w:rPr>
      </w:pPr>
    </w:p>
    <w:p>
      <w:pPr>
        <w:spacing w:after="0" w:line="2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8"/>
          <w:szCs w:val="18"/>
          <w:u w:val="single" w:color="auto"/>
          <w:color w:val="auto"/>
        </w:rPr>
        <w:t>Taxes and Tax Returns</w:t>
      </w:r>
      <w:r>
        <w:rPr>
          <w:rFonts w:ascii="Arial" w:cs="Arial" w:eastAsia="Arial" w:hAnsi="Arial"/>
          <w:sz w:val="18"/>
          <w:szCs w:val="18"/>
          <w:color w:val="auto"/>
        </w:rPr>
        <w:t>.</w:t>
      </w:r>
    </w:p>
    <w:p>
      <w:pPr>
        <w:spacing w:after="0" w:line="260" w:lineRule="exact"/>
        <w:rPr>
          <w:sz w:val="20"/>
          <w:szCs w:val="20"/>
          <w:color w:val="auto"/>
        </w:rPr>
      </w:pPr>
    </w:p>
    <w:p>
      <w:pPr>
        <w:jc w:val="both"/>
        <w:ind w:firstLine="1305"/>
        <w:spacing w:after="0" w:line="248" w:lineRule="auto"/>
        <w:tabs>
          <w:tab w:leader="none" w:pos="218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income and other material Tax Returns required to be filed by or with respect to any member of the Company Group have been timely filed or requests for extensions have been timely filed and any such extensions shall have been granted and not expired and all such Tax Returns are true, complete and correct in all material respects. All members of the Company Group have timely paid, or caused to be paid, all material amounts of Taxes due and payable (whether or not shown as due on such Tax Returns).</w:t>
      </w:r>
    </w:p>
    <w:p>
      <w:pPr>
        <w:spacing w:after="0" w:line="232" w:lineRule="exact"/>
        <w:rPr>
          <w:rFonts w:ascii="Arial" w:cs="Arial" w:eastAsia="Arial" w:hAnsi="Arial"/>
          <w:sz w:val="22"/>
          <w:szCs w:val="22"/>
          <w:color w:val="auto"/>
        </w:rPr>
      </w:pPr>
    </w:p>
    <w:p>
      <w:pPr>
        <w:ind w:firstLine="1305"/>
        <w:spacing w:after="0" w:line="263" w:lineRule="auto"/>
        <w:tabs>
          <w:tab w:leader="none" w:pos="2197"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members of the Company Group have complied in all material respects with the provisions of the Code relating to the withholding and payment of Taxes.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19" w:name="page120"/>
    <w:bookmarkEnd w:id="119"/>
    <w:p>
      <w:pPr>
        <w:jc w:val="both"/>
        <w:ind w:firstLine="1305"/>
        <w:spacing w:after="0" w:line="253" w:lineRule="auto"/>
        <w:tabs>
          <w:tab w:leader="none" w:pos="2185" w:val="left"/>
        </w:tabs>
        <w:numPr>
          <w:ilvl w:val="1"/>
          <w:numId w:val="44"/>
        </w:numPr>
        <w:rPr>
          <w:rFonts w:ascii="Arial" w:cs="Arial" w:eastAsia="Arial" w:hAnsi="Arial"/>
          <w:sz w:val="22"/>
          <w:szCs w:val="22"/>
          <w:color w:val="auto"/>
        </w:rPr>
      </w:pPr>
      <w:r>
        <w:rPr>
          <w:rFonts w:ascii="Arial" w:cs="Arial" w:eastAsia="Arial" w:hAnsi="Arial"/>
          <w:sz w:val="22"/>
          <w:szCs w:val="22"/>
          <w:color w:val="auto"/>
        </w:rPr>
        <w:t>No claim has been made by any Governmental Authority in a jurisdiction where a member of the Company Group does not file Tax Returns with respect to a particular Tax that such member is or may be subject to taxation in such jurisdiction.</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There are no material Liens for any Tax (other than Permitted Liens) upon any asset owned by any member of the Company Group.</w:t>
      </w:r>
    </w:p>
    <w:p>
      <w:pPr>
        <w:spacing w:after="0" w:line="215" w:lineRule="exact"/>
        <w:rPr>
          <w:rFonts w:ascii="Arial" w:cs="Arial" w:eastAsia="Arial" w:hAnsi="Arial"/>
          <w:sz w:val="22"/>
          <w:szCs w:val="22"/>
          <w:color w:val="auto"/>
        </w:rPr>
      </w:pPr>
    </w:p>
    <w:p>
      <w:pPr>
        <w:ind w:firstLine="1305"/>
        <w:spacing w:after="0" w:line="263" w:lineRule="auto"/>
        <w:tabs>
          <w:tab w:leader="none" w:pos="2185" w:val="left"/>
        </w:tabs>
        <w:numPr>
          <w:ilvl w:val="1"/>
          <w:numId w:val="44"/>
        </w:numPr>
        <w:rPr>
          <w:rFonts w:ascii="Arial" w:cs="Arial" w:eastAsia="Arial" w:hAnsi="Arial"/>
          <w:sz w:val="22"/>
          <w:szCs w:val="22"/>
          <w:color w:val="auto"/>
        </w:rPr>
      </w:pPr>
      <w:r>
        <w:rPr>
          <w:rFonts w:ascii="Arial" w:cs="Arial" w:eastAsia="Arial" w:hAnsi="Arial"/>
          <w:sz w:val="22"/>
          <w:szCs w:val="22"/>
          <w:color w:val="auto"/>
        </w:rPr>
        <w:t>No waiver or agreement by a member of the Company Group is in force for the extension of time for the assessment or payment of any Taxes.</w:t>
      </w:r>
    </w:p>
    <w:p>
      <w:pPr>
        <w:spacing w:after="0" w:line="215" w:lineRule="exact"/>
        <w:rPr>
          <w:rFonts w:ascii="Arial" w:cs="Arial" w:eastAsia="Arial" w:hAnsi="Arial"/>
          <w:sz w:val="22"/>
          <w:szCs w:val="22"/>
          <w:color w:val="auto"/>
        </w:rPr>
      </w:pPr>
    </w:p>
    <w:p>
      <w:pPr>
        <w:jc w:val="both"/>
        <w:ind w:firstLine="1305"/>
        <w:spacing w:after="0" w:line="287" w:lineRule="auto"/>
        <w:tabs>
          <w:tab w:leader="none" w:pos="2161"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There are no pending audits, examinations, investigations or other proceedings in respect of a material amount of Taxes of any member of the Company Group and no written notification has been received by any member of the Company Group that such an audit, examination, investigation or other proceeding in respect of a material amount of Taxes is proposed or threatened, other than, in each case, any audit, examination, investigation or proceeding in respect of any affiliated group (within the meaning of Section 1504 of the Code) or any other affiliated, combined, consolidated, unitary or similar group under any state, local or non-U.S. Law, in each case, the common parent of which is (i) GM PubCo or (ii) any Subsidiary of GM PubCo that is not a member of the Company Group. No Governmental Authority has asserted in writing any deficiency, claim or proposed adjustment with respect to a material amount of Taxes of any member of the Company Group, which deficiency, claim or proposed adjustment has not been satisfied by payment, settled or withdrawn, other than any deficiency, claim or proposed adjustment in respect of any affiliated group (within the meaning of Section 1504 of the Code) or any other affiliated, combined, consolidated, unitary or similar group under any state, local or non-U.S. Law, in each case, the common parent of which is (i) GM PubCo or (ii) any Subsidiary of GM PubCo that is not a member of the Company Group.</w:t>
      </w:r>
    </w:p>
    <w:p>
      <w:pPr>
        <w:spacing w:after="0" w:line="200" w:lineRule="exact"/>
        <w:rPr>
          <w:rFonts w:ascii="Arial" w:cs="Arial" w:eastAsia="Arial" w:hAnsi="Arial"/>
          <w:sz w:val="19"/>
          <w:szCs w:val="19"/>
          <w:color w:val="auto"/>
        </w:rPr>
      </w:pPr>
    </w:p>
    <w:p>
      <w:pPr>
        <w:jc w:val="both"/>
        <w:ind w:firstLine="1305"/>
        <w:spacing w:after="0" w:line="286" w:lineRule="auto"/>
        <w:tabs>
          <w:tab w:leader="none" w:pos="2197" w:val="left"/>
        </w:tabs>
        <w:numPr>
          <w:ilvl w:val="1"/>
          <w:numId w:val="44"/>
        </w:numPr>
        <w:rPr>
          <w:rFonts w:ascii="Arial" w:cs="Arial" w:eastAsia="Arial" w:hAnsi="Arial"/>
          <w:sz w:val="19"/>
          <w:szCs w:val="19"/>
          <w:color w:val="auto"/>
        </w:rPr>
      </w:pPr>
      <w:r>
        <w:rPr>
          <w:rFonts w:ascii="Arial" w:cs="Arial" w:eastAsia="Arial" w:hAnsi="Arial"/>
          <w:sz w:val="19"/>
          <w:szCs w:val="19"/>
          <w:color w:val="auto"/>
        </w:rPr>
        <w:t>No member of the Company Group has (i) been a member of an affiliated group (within the meaning of Section 1504 of the Code), other than any such group the common parent of which was GM PubCo or any member of the Company Group, (ii) been a member of an affiliated, combined, consolidated, unitary, or similar group under any state, local or non-U.S. Law, except, in each case, any such group the common parent of which was GM PubCo or any member of the Company Group, or</w:t>
      </w:r>
    </w:p>
    <w:p>
      <w:pPr>
        <w:spacing w:after="0" w:line="2" w:lineRule="exact"/>
        <w:rPr>
          <w:rFonts w:ascii="Arial" w:cs="Arial" w:eastAsia="Arial" w:hAnsi="Arial"/>
          <w:sz w:val="19"/>
          <w:szCs w:val="19"/>
          <w:color w:val="auto"/>
        </w:rPr>
      </w:pPr>
    </w:p>
    <w:p>
      <w:pPr>
        <w:jc w:val="both"/>
        <w:ind w:firstLine="8"/>
        <w:spacing w:after="0" w:line="244" w:lineRule="auto"/>
        <w:tabs>
          <w:tab w:leader="none" w:pos="381"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liability for Taxes of any Person (other than a member of the Company Group) under Treasury Regulation Section 1.1502-6 (or any similar provision of applicable state, local or non-U.S. Law), as a transferee or successor, or operation of law, except, in each case, any such liability relating to a group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the common parent of which was GM PubCo or any member of the Company Group.</w:t>
      </w:r>
    </w:p>
    <w:p>
      <w:pPr>
        <w:spacing w:after="0" w:line="236" w:lineRule="exact"/>
        <w:rPr>
          <w:rFonts w:ascii="Arial" w:cs="Arial" w:eastAsia="Arial" w:hAnsi="Arial"/>
          <w:sz w:val="22"/>
          <w:szCs w:val="22"/>
          <w:color w:val="auto"/>
        </w:rPr>
      </w:pPr>
    </w:p>
    <w:p>
      <w:pPr>
        <w:jc w:val="both"/>
        <w:ind w:firstLine="1305"/>
        <w:spacing w:after="0" w:line="248" w:lineRule="auto"/>
        <w:tabs>
          <w:tab w:leader="none" w:pos="2197" w:val="left"/>
        </w:tabs>
        <w:numPr>
          <w:ilvl w:val="1"/>
          <w:numId w:val="45"/>
        </w:numPr>
        <w:rPr>
          <w:rFonts w:ascii="Arial" w:cs="Arial" w:eastAsia="Arial" w:hAnsi="Arial"/>
          <w:sz w:val="22"/>
          <w:szCs w:val="22"/>
          <w:color w:val="auto"/>
        </w:rPr>
      </w:pPr>
      <w:r>
        <w:rPr>
          <w:rFonts w:ascii="Arial" w:cs="Arial" w:eastAsia="Arial" w:hAnsi="Arial"/>
          <w:sz w:val="22"/>
          <w:szCs w:val="22"/>
          <w:color w:val="auto"/>
        </w:rPr>
        <w:t>No member of the Company Group is a party to or bound by, or has any material obligation under, any Tax sharing, Tax allocation or Tax indemnity agreement or similar Contract or arrangement (other than (i) the Transaction Agreements, (ii) the Existing LLC Agreement (including, for the avoidance of doubt, any amendments thereof), or (iii) any Contract or arrangement (A) entered into in the ordinary course of business and that does not relate primarily to Tax or (B) entered into with GM PubCo, any Subsidiary of GM PubCo or Parent).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20" w:name="page121"/>
    <w:bookmarkEnd w:id="120"/>
    <w:p>
      <w:pPr>
        <w:ind w:right="20" w:firstLine="1305"/>
        <w:spacing w:after="0" w:line="263" w:lineRule="auto"/>
        <w:tabs>
          <w:tab w:leader="none" w:pos="21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has made an election to be treated as a corporation for U.S. federal income tax purposes under Treasury Regulation Section 301.7701-3 and has not made any subsequent election to the contrary.</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assets of any member of the Company Group (i) consist of unclaimed or abandoned property of any other Person or (ii) would otherwise be subject to the reporting or escheatment Laws of any jurisdiction in respect of unclaimed or abandoned property.</w:t>
      </w:r>
    </w:p>
    <w:p>
      <w:pPr>
        <w:spacing w:after="0" w:line="226" w:lineRule="exact"/>
        <w:rPr>
          <w:rFonts w:ascii="Arial" w:cs="Arial" w:eastAsia="Arial" w:hAnsi="Arial"/>
          <w:sz w:val="22"/>
          <w:szCs w:val="22"/>
          <w:color w:val="auto"/>
        </w:rPr>
      </w:pPr>
    </w:p>
    <w:p>
      <w:pPr>
        <w:jc w:val="both"/>
        <w:ind w:firstLine="1305"/>
        <w:spacing w:after="0" w:line="246" w:lineRule="auto"/>
        <w:tabs>
          <w:tab w:leader="none" w:pos="2197"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Except as set forth on Section 3.7(k) of the Disclosure Schedule, neither the Company nor any of its Subsidiaries will be required to include any item of income or gain in, or exclude any item of deduction or loss from, taxable income for any taxable period (or portion thereof) ending after the Closing Date as a result of any (i) change in accounting method made prior to the Closing Date, (ii) “closing agreement” described in Section 7121 of the Code (or any corresponding or similar provision of state, local, or foreign Tax law) executed prior to the Closing, (iii) intercompany transactions (including any intercompany transaction subject to Section 367 or 482 of the Code) or excess loss account under Treasury Regulations under Section 1502 of the Code (or any corresponding provision of applicable Law) in connection with a transaction consummated on or prior to the Closing Date, (iv) installment sale or open transaction disposition made prior to the Closing Date, or (v) prepaid amount received prior to the Closing Date.</w:t>
      </w:r>
    </w:p>
    <w:p>
      <w:pPr>
        <w:spacing w:after="0" w:line="2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7" w:lineRule="auto"/>
        <w:tabs>
          <w:tab w:leader="none" w:pos="2185"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 member of the Company Group is a party to, or bound by, the terms of, any collective bargaining agreement or any other arrangement, formal or informal, with any labor union or organization which obligates any member of the Company Group to recognize a union as the bargaining representative of any of the Company Group’s employees or to compensate the Company Group’s employees at prevailing rates or union scale, nor are any of the Company Group’s employees represented by any labor union or organization or party to any collective bargaining agreements with respect to their employment by any member of the Company Group.</w:t>
      </w:r>
    </w:p>
    <w:p>
      <w:pPr>
        <w:spacing w:after="0" w:line="234" w:lineRule="exact"/>
        <w:rPr>
          <w:rFonts w:ascii="Arial" w:cs="Arial" w:eastAsia="Arial" w:hAnsi="Arial"/>
          <w:sz w:val="22"/>
          <w:szCs w:val="22"/>
          <w:color w:val="auto"/>
        </w:rPr>
      </w:pPr>
    </w:p>
    <w:p>
      <w:pPr>
        <w:jc w:val="both"/>
        <w:ind w:firstLine="1305"/>
        <w:spacing w:after="0" w:line="292" w:lineRule="auto"/>
        <w:tabs>
          <w:tab w:leader="none" w:pos="2197"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There are no (i) strikes, work stoppages, work slowdowns or lockouts, or (ii) material unfair labor practice charges, material grievances or material complaints, in each of items (i) and (ii), pending or, to the Knowledge of the Company, threatened, by or on behalf of any employee or group of employees that are employed by the Company Group. Each member of the Company Group is, and has been since May 13, 2016, in compliance, in all material respects, with all Laws relating to the employment of labor, including all such Laws relating to wages, hours, social benefits contributions, severance pay, WARN, collective bargaining, discrimination, civil rights, safety and health, immigration, discrimination, workers’ compensation and the collection and payment of withholding or social security Taxes and any similar Tax.</w:t>
      </w:r>
    </w:p>
    <w:p>
      <w:pPr>
        <w:spacing w:after="0" w:line="192"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Section 3.8(c)</w:t>
      </w:r>
      <w:r>
        <w:rPr>
          <w:rFonts w:ascii="Arial" w:cs="Arial" w:eastAsia="Arial" w:hAnsi="Arial"/>
          <w:sz w:val="22"/>
          <w:szCs w:val="22"/>
          <w:color w:val="auto"/>
        </w:rPr>
        <w:t xml:space="preserve"> of the Disclosure Letter contains a complete and correct list of each “employee benefit plan” (as defined in Section 3(3) of ERISA) and each other material benefit or compensation plan, program, policy, Contract, agreement or arrangement with respect to which the Company Group has any Liability (each, a “</w:t>
      </w:r>
      <w:r>
        <w:rPr>
          <w:rFonts w:ascii="Arial" w:cs="Arial" w:eastAsia="Arial" w:hAnsi="Arial"/>
          <w:sz w:val="22"/>
          <w:szCs w:val="22"/>
          <w:u w:val="single" w:color="auto"/>
          <w:color w:val="auto"/>
        </w:rPr>
        <w:t>Benefit Plan</w:t>
      </w:r>
      <w:r>
        <w:rPr>
          <w:rFonts w:ascii="Arial" w:cs="Arial" w:eastAsia="Arial" w:hAnsi="Arial"/>
          <w:sz w:val="22"/>
          <w:szCs w:val="22"/>
          <w:color w:val="auto"/>
        </w:rPr>
        <w:t>”). Each Benefit Plan has been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1"/>
          <w:szCs w:val="21"/>
          <w:color w:val="auto"/>
        </w:rPr>
        <w:t>established, maintained, funded and administered in compliance in all material respects with its terms and applicable Laws. Each Benefit Plan that is intended to be qualified under Section 401(a) of the Code has received a determination, opinion or advisory letter from the IRS to that effect. No member of the Company Group has any Liability with respect to a plan subject to Section 412 of the Code or Title IV of ERISA, or on account of being considered a single employer under Section 414 of the Code with any other Person. All contributions and premium payments required to have been made under any of the Benefit Plans by applicable Law (without regard to any waivers granted under Section 412 of the Code) have been timely made, except as would not reasonably be expected to result in a material liability to the Company Group.</w:t>
      </w:r>
    </w:p>
    <w:p>
      <w:pPr>
        <w:spacing w:after="0" w:line="22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63" w:lineRule="auto"/>
        <w:tabs>
          <w:tab w:leader="none" w:pos="2185" w:val="left"/>
        </w:tabs>
        <w:numPr>
          <w:ilvl w:val="1"/>
          <w:numId w:val="48"/>
        </w:numPr>
        <w:rPr>
          <w:rFonts w:ascii="Arial" w:cs="Arial" w:eastAsia="Arial" w:hAnsi="Arial"/>
          <w:sz w:val="22"/>
          <w:szCs w:val="22"/>
          <w:color w:val="auto"/>
        </w:rPr>
      </w:pPr>
      <w:r>
        <w:rPr>
          <w:rFonts w:ascii="Arial" w:cs="Arial" w:eastAsia="Arial" w:hAnsi="Arial"/>
          <w:sz w:val="22"/>
          <w:szCs w:val="22"/>
          <w:color w:val="auto"/>
        </w:rPr>
        <w:t>Excluding the Transaction Agreements and the Initial Investment Agreements, no member of the Company Group is a party to any Contract that is in effect as of the date of this Agreement:</w:t>
      </w:r>
    </w:p>
    <w:p>
      <w:pPr>
        <w:spacing w:after="0" w:line="215" w:lineRule="exact"/>
        <w:rPr>
          <w:rFonts w:ascii="Arial" w:cs="Arial" w:eastAsia="Arial" w:hAnsi="Arial"/>
          <w:sz w:val="22"/>
          <w:szCs w:val="22"/>
          <w:color w:val="auto"/>
        </w:rPr>
      </w:pPr>
    </w:p>
    <w:p>
      <w:pPr>
        <w:jc w:val="both"/>
        <w:ind w:left="660" w:firstLine="1293"/>
        <w:spacing w:after="0" w:line="253" w:lineRule="auto"/>
        <w:tabs>
          <w:tab w:leader="none" w:pos="2809"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that is required by its terms or is currently expected to result in the payment by the Company Group of more than $1,000,000 in the current fiscal year, in each case other than purchase orders entered into in the ordinary course of business;</w:t>
      </w:r>
    </w:p>
    <w:p>
      <w:pPr>
        <w:spacing w:after="0" w:line="226" w:lineRule="exact"/>
        <w:rPr>
          <w:rFonts w:ascii="Arial" w:cs="Arial" w:eastAsia="Arial" w:hAnsi="Arial"/>
          <w:sz w:val="22"/>
          <w:szCs w:val="22"/>
          <w:color w:val="auto"/>
        </w:rPr>
      </w:pPr>
    </w:p>
    <w:p>
      <w:pPr>
        <w:jc w:val="both"/>
        <w:ind w:left="660" w:firstLine="1293"/>
        <w:spacing w:after="0" w:line="253" w:lineRule="auto"/>
        <w:tabs>
          <w:tab w:leader="none" w:pos="2869"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that is a note, debenture, bond, trust agreement, letter of credit agreement, loan agreement or other Contract for the borrowing or lending of money or agreement or arrangement for a line of credit or guarantee, pledge or undertaking of the indebtedness of any third party;</w:t>
      </w:r>
    </w:p>
    <w:p>
      <w:pPr>
        <w:spacing w:after="0" w:line="226" w:lineRule="exact"/>
        <w:rPr>
          <w:rFonts w:ascii="Arial" w:cs="Arial" w:eastAsia="Arial" w:hAnsi="Arial"/>
          <w:sz w:val="22"/>
          <w:szCs w:val="22"/>
          <w:color w:val="auto"/>
        </w:rPr>
      </w:pPr>
    </w:p>
    <w:p>
      <w:pPr>
        <w:jc w:val="both"/>
        <w:ind w:left="660" w:firstLine="1293"/>
        <w:spacing w:after="0" w:line="297" w:lineRule="auto"/>
        <w:tabs>
          <w:tab w:leader="none" w:pos="2929" w:val="left"/>
        </w:tabs>
        <w:numPr>
          <w:ilvl w:val="2"/>
          <w:numId w:val="48"/>
        </w:numPr>
        <w:rPr>
          <w:rFonts w:ascii="Arial" w:cs="Arial" w:eastAsia="Arial" w:hAnsi="Arial"/>
          <w:sz w:val="19"/>
          <w:szCs w:val="19"/>
          <w:color w:val="auto"/>
        </w:rPr>
      </w:pPr>
      <w:r>
        <w:rPr>
          <w:rFonts w:ascii="Arial" w:cs="Arial" w:eastAsia="Arial" w:hAnsi="Arial"/>
          <w:sz w:val="19"/>
          <w:szCs w:val="19"/>
          <w:color w:val="auto"/>
        </w:rPr>
        <w:t>relating to (A) the acquisition or disposition of any business, properties, assets or capital stock of any member of the Company Group or any other Person, whether by merger, purchase or sale of stock or assets or otherwise, that contains material ongoing obligations of any member of the Company Group (in each case excluding any Contracts relating to the acquisition or disposition of any assets in the ordinary course of business), or (B) the grant to any Person of any preferential rights to purchase any properties or assets of the Company Group;</w:t>
      </w:r>
    </w:p>
    <w:p>
      <w:pPr>
        <w:spacing w:after="0" w:line="187" w:lineRule="exact"/>
        <w:rPr>
          <w:rFonts w:ascii="Arial" w:cs="Arial" w:eastAsia="Arial" w:hAnsi="Arial"/>
          <w:sz w:val="19"/>
          <w:szCs w:val="19"/>
          <w:color w:val="auto"/>
        </w:rPr>
      </w:pPr>
    </w:p>
    <w:p>
      <w:pPr>
        <w:jc w:val="both"/>
        <w:ind w:left="660" w:firstLine="1293"/>
        <w:spacing w:after="0" w:line="250" w:lineRule="auto"/>
        <w:tabs>
          <w:tab w:leader="none" w:pos="2917"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that (A) limits, curtails or restricts the ability of any member of the Company Group to compete in any geographical area, market or line of business, (B) restricts the Persons to whom any member of the Company Group may sell products or deliver services or (C) restricts the Company or any of its Subsidiaries from soliciting or hiring any Person;</w:t>
      </w:r>
    </w:p>
    <w:p>
      <w:pPr>
        <w:spacing w:after="0" w:line="228" w:lineRule="exact"/>
        <w:rPr>
          <w:rFonts w:ascii="Arial" w:cs="Arial" w:eastAsia="Arial" w:hAnsi="Arial"/>
          <w:sz w:val="22"/>
          <w:szCs w:val="22"/>
          <w:color w:val="auto"/>
        </w:rPr>
      </w:pPr>
    </w:p>
    <w:p>
      <w:pPr>
        <w:jc w:val="both"/>
        <w:ind w:left="660" w:firstLine="1293"/>
        <w:spacing w:after="0" w:line="286" w:lineRule="auto"/>
        <w:tabs>
          <w:tab w:leader="none" w:pos="2857" w:val="left"/>
        </w:tabs>
        <w:numPr>
          <w:ilvl w:val="2"/>
          <w:numId w:val="48"/>
        </w:numPr>
        <w:rPr>
          <w:rFonts w:ascii="Arial" w:cs="Arial" w:eastAsia="Arial" w:hAnsi="Arial"/>
          <w:sz w:val="19"/>
          <w:szCs w:val="19"/>
          <w:color w:val="auto"/>
        </w:rPr>
      </w:pPr>
      <w:r>
        <w:rPr>
          <w:rFonts w:ascii="Arial" w:cs="Arial" w:eastAsia="Arial" w:hAnsi="Arial"/>
          <w:sz w:val="19"/>
          <w:szCs w:val="19"/>
          <w:color w:val="auto"/>
        </w:rPr>
        <w:t>pursuant to which (A) the Company Group receives a license or covenant not to sue with respect to any Intellectual Property that is material to the operation of the business of the Company Group as currently conducted (excluding any Contracts for the use of commercially-available software or data available on commercially-available terms for an annual or up-front license fee (whichever is higher) of less than $100,000) (“</w:t>
      </w:r>
      <w:r>
        <w:rPr>
          <w:rFonts w:ascii="Arial" w:cs="Arial" w:eastAsia="Arial" w:hAnsi="Arial"/>
          <w:sz w:val="19"/>
          <w:szCs w:val="19"/>
          <w:u w:val="single" w:color="auto"/>
          <w:color w:val="auto"/>
        </w:rPr>
        <w:t>Inbound Intellectual Property License</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left="1000" w:hanging="344"/>
        <w:spacing w:after="0"/>
        <w:tabs>
          <w:tab w:leader="none" w:pos="10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Group grants a license to 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22" w:name="page123"/>
    <w:bookmarkEnd w:id="122"/>
    <w:p>
      <w:pPr>
        <w:jc w:val="both"/>
        <w:ind w:left="660"/>
        <w:spacing w:after="0" w:line="292" w:lineRule="auto"/>
        <w:rPr>
          <w:sz w:val="20"/>
          <w:szCs w:val="20"/>
          <w:color w:val="auto"/>
        </w:rPr>
      </w:pPr>
      <w:r>
        <w:rPr>
          <w:rFonts w:ascii="Arial" w:cs="Arial" w:eastAsia="Arial" w:hAnsi="Arial"/>
          <w:sz w:val="19"/>
          <w:szCs w:val="19"/>
          <w:color w:val="auto"/>
        </w:rPr>
        <w:t>covenant not to sue with respect to any Company Group Intellectual Property, except for non-exclusive rights that would not reasonably be expected, individually or in the aggregate, to be materially adverse to the business of the Company Group as currently conducted, (C) the Company Group has acquired any material Company Group Intellectual Property from any third party (excluding employees and independent contractors), or (D) the Company Group retains a third party (other than employees or independent contractors) to perform development of Intellectual Property relating to the business of the Company Group or performs joint development with a third party relating to the business of the Company Group, in each case excluding any Contracts with annual or up-front (whichever is higher) payments of less than $1,000,000;</w:t>
      </w:r>
    </w:p>
    <w:p>
      <w:pPr>
        <w:spacing w:after="0" w:line="192" w:lineRule="exact"/>
        <w:rPr>
          <w:sz w:val="20"/>
          <w:szCs w:val="20"/>
          <w:color w:val="auto"/>
        </w:rPr>
      </w:pPr>
    </w:p>
    <w:p>
      <w:pPr>
        <w:ind w:left="2920" w:hanging="967"/>
        <w:spacing w:after="0"/>
        <w:tabs>
          <w:tab w:leader="none" w:pos="29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covering real property; or</w:t>
      </w:r>
    </w:p>
    <w:p>
      <w:pPr>
        <w:spacing w:after="0" w:line="260" w:lineRule="exact"/>
        <w:rPr>
          <w:rFonts w:ascii="Arial" w:cs="Arial" w:eastAsia="Arial" w:hAnsi="Arial"/>
          <w:sz w:val="22"/>
          <w:szCs w:val="22"/>
          <w:color w:val="auto"/>
        </w:rPr>
      </w:pPr>
    </w:p>
    <w:p>
      <w:pPr>
        <w:jc w:val="both"/>
        <w:ind w:left="660" w:firstLine="1293"/>
        <w:spacing w:after="0" w:line="253" w:lineRule="auto"/>
        <w:tabs>
          <w:tab w:leader="none" w:pos="29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relating to the employment by any Company Group member of any of its or their employees that provides for payment of base salary or base wage rate in excess of $250,000 per year (other than offer letters to “at will” employees issued in the ordinary course of business).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Each Contract set forth in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Disclosure Letter is referred to herein as a “</w:t>
      </w:r>
      <w:r>
        <w:rPr>
          <w:rFonts w:ascii="Arial" w:cs="Arial" w:eastAsia="Arial" w:hAnsi="Arial"/>
          <w:sz w:val="19"/>
          <w:szCs w:val="19"/>
          <w:u w:val="single" w:color="auto"/>
          <w:color w:val="auto"/>
        </w:rPr>
        <w:t>Material Contract</w:t>
      </w:r>
      <w:r>
        <w:rPr>
          <w:rFonts w:ascii="Arial" w:cs="Arial" w:eastAsia="Arial" w:hAnsi="Arial"/>
          <w:sz w:val="19"/>
          <w:szCs w:val="19"/>
          <w:color w:val="auto"/>
        </w:rPr>
        <w:t>”.</w:t>
      </w:r>
    </w:p>
    <w:p>
      <w:pPr>
        <w:spacing w:after="0" w:line="254" w:lineRule="exact"/>
        <w:rPr>
          <w:sz w:val="20"/>
          <w:szCs w:val="20"/>
          <w:color w:val="auto"/>
        </w:rPr>
      </w:pPr>
    </w:p>
    <w:p>
      <w:pPr>
        <w:jc w:val="both"/>
        <w:ind w:firstLine="1305"/>
        <w:spacing w:after="0" w:line="258" w:lineRule="auto"/>
        <w:tabs>
          <w:tab w:leader="none" w:pos="2197"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has made available to Buyer a true, correct and complete copy of each Material Contract as of the date of this Agreement. As of the date of this Agreement, each Material Contract is valid and binding on the applicable member of the Company Group (subject, in each case, to applicable bankruptcy, fraudulent transfer, insolvency, moratorium or similar Laws of general application relating to or affecting creditors’ rights generally and except for the limitations imposed by general principles of equity) and in full force and effect with respect to the applicable member of Company Group and, to the Knowledge of the Company, the other parties thereto, except for any such failure to be valid or binding or in full force and effect as is not and would not reasonably be expected to, individually or in the aggregate, material to the Company Group, taken as a whole. As of the date of this Agreement, no member of the Company Group nor, to the Knowledge of the Company, any other party to a Material Contract is in breach of or default under a Material Contract, except for such breaches or defaults that are not and would not reasonably be expected to be, individually or in the aggregate, material to the Company Group, taken as a whole. As of the date of this Agreement, no member of the Company Group has received any notice of termination or cancellation under any Material Contract.</w:t>
      </w:r>
    </w:p>
    <w:p>
      <w:pPr>
        <w:spacing w:after="0" w:line="22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Compliance with Applicable Laws; Permits</w:t>
      </w:r>
      <w:r>
        <w:rPr>
          <w:rFonts w:ascii="Arial" w:cs="Arial" w:eastAsia="Arial" w:hAnsi="Arial"/>
          <w:sz w:val="22"/>
          <w:szCs w:val="22"/>
          <w:color w:val="auto"/>
        </w:rPr>
        <w:t>. The Company Group is, and since May 13, 2016 has been at all times, in compliance in all material respects with all applicable Laws. The Company Group has, or has the benefit of by virtue of being an Affiliate of Parent, all Permits necessary for the conduct of the business of the Company Group as currently conducted, and the business of the Company Group has been since May 13, 2016 and is being conducted in compliance in all material respects with all such Permits. The Company Group is not in material default or violation, and, to the Knowledge of the Company, no event has occurred which, with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23" w:name="page124"/>
    <w:bookmarkEnd w:id="123"/>
    <w:p>
      <w:pPr>
        <w:ind w:right="20"/>
        <w:spacing w:after="0" w:line="263" w:lineRule="auto"/>
        <w:rPr>
          <w:sz w:val="20"/>
          <w:szCs w:val="20"/>
          <w:color w:val="auto"/>
        </w:rPr>
      </w:pPr>
      <w:r>
        <w:rPr>
          <w:rFonts w:ascii="Arial" w:cs="Arial" w:eastAsia="Arial" w:hAnsi="Arial"/>
          <w:sz w:val="22"/>
          <w:szCs w:val="22"/>
          <w:color w:val="auto"/>
        </w:rPr>
        <w:t>notice or the lapse of time or both, would constitute a material default or violation of any term, condition or provision of any Permit.</w:t>
      </w:r>
    </w:p>
    <w:p>
      <w:pPr>
        <w:spacing w:after="0" w:line="21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7" w:lineRule="auto"/>
        <w:tabs>
          <w:tab w:leader="none" w:pos="218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Disclosure Letter sets forth an accurate and complete list of all of the following that is owned (in whole or in part) by the Company Group members (solely or jointly) as of the date of this Agreement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Group Registered IP</w:t>
      </w:r>
      <w:r>
        <w:rPr>
          <w:rFonts w:ascii="Arial" w:cs="Arial" w:eastAsia="Arial" w:hAnsi="Arial"/>
          <w:sz w:val="19"/>
          <w:szCs w:val="19"/>
          <w:color w:val="auto"/>
        </w:rPr>
        <w:t>”): (i) issued patents and pending patent applications; (ii) registered trademarks and pending applications for registration of trademarks, (iii) registered copyrights, and (iv) material registered Internet domain names. In each case other than such fees or filings (as applicable) that GM PubCo and its Affiliates or the Company Group (as applicable), in accordance with their ordinary course business practices, has elected not to pay or make, (x) all necessary registration, maintenance and renewal fees with respect to Company Group Registered IP will have been paid in connection with the Company Group Registered IP; and (y) all material documents and certificates have been filed in connection with such Company Group Registered IP with the relevant patent, copyright, trademark or other authorities in any jurisdiction, as the case may be, for the purposes of maintaining such Company Group Registered IP. The Company Group owns the Company Group Registered IP free and clear of all Liens, except Permitted Liens, subject to the terms of the IPMA regarding the ownership of Intellectual Property as set forth therein. The Company Group Registered IP is subsisting and, to the Knowledge of the Company, valid and enforceable.</w:t>
      </w:r>
    </w:p>
    <w:p>
      <w:pPr>
        <w:spacing w:after="0" w:line="200" w:lineRule="exact"/>
        <w:rPr>
          <w:rFonts w:ascii="Arial" w:cs="Arial" w:eastAsia="Arial" w:hAnsi="Arial"/>
          <w:sz w:val="19"/>
          <w:szCs w:val="19"/>
          <w:color w:val="auto"/>
        </w:rPr>
      </w:pPr>
    </w:p>
    <w:p>
      <w:pPr>
        <w:jc w:val="both"/>
        <w:ind w:firstLine="1305"/>
        <w:spacing w:after="0" w:line="259" w:lineRule="auto"/>
        <w:tabs>
          <w:tab w:leader="none" w:pos="2197"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Company Group members solely or jointly own (free and clear of all Liens, other than Permitted Liens) all Company Group Intellectual Property, subject to the terms of the IPMA regarding the ownership of Intellectual Property as set forth therein. To the Knowledge of the Company, all Company Group Intellectual Property (other than Company Group Registered IP) is subsisting, valid and enforceable. To the Knowledge of the Company, the Company Group has not identified in any of its written development plans in existence as of the date of this Agreement any licenses to be obtained for any specific Intellectual Property owned by a third party that is not presently licensed to the Company Group, in each case excluding (i) licenses to be obtained in the ordinary course of business with respect to the Company IT Systems and (ii) other licenses for the use of commercially-available software or data available on commercially-available terms for an annual or up-front license fee (whichever is higher) of less than $1,000,000.</w:t>
      </w:r>
    </w:p>
    <w:p>
      <w:pPr>
        <w:spacing w:after="0" w:line="220" w:lineRule="exact"/>
        <w:rPr>
          <w:rFonts w:ascii="Arial" w:cs="Arial" w:eastAsia="Arial" w:hAnsi="Arial"/>
          <w:sz w:val="21"/>
          <w:szCs w:val="21"/>
          <w:color w:val="auto"/>
        </w:rPr>
      </w:pPr>
    </w:p>
    <w:p>
      <w:pPr>
        <w:jc w:val="both"/>
        <w:ind w:firstLine="1305"/>
        <w:spacing w:after="0" w:line="246" w:lineRule="auto"/>
        <w:tabs>
          <w:tab w:leader="none" w:pos="2185"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To the Knowledge of the Company, the conduct of the business of the Company Group as currently conducted does not infringe, misappropriate or otherwise violate and has not since May 13, 2016 infringed, misappropriated or otherwise violated any Person’s Intellectual Property and there is no claim of such infringement, misappropriation or other violation pending or threatened in writing against Parent or the Company Group. Neither Parent nor the Company Group has received any written (or, to the Knowledge of the Company, unwritten) notice from any Person in the two (2) years prior to the date hereof challenging the ownership, use, validity or enforceability of any material Parent Intellectual Property or any material Company Group Intellectual Property. This </w:t>
      </w:r>
      <w:r>
        <w:rPr>
          <w:rFonts w:ascii="Arial" w:cs="Arial" w:eastAsia="Arial" w:hAnsi="Arial"/>
          <w:sz w:val="22"/>
          <w:szCs w:val="22"/>
          <w:u w:val="single" w:color="auto"/>
          <w:color w:val="auto"/>
        </w:rPr>
        <w:t>Section 3.11(c)</w:t>
      </w:r>
      <w:r>
        <w:rPr>
          <w:rFonts w:ascii="Arial" w:cs="Arial" w:eastAsia="Arial" w:hAnsi="Arial"/>
          <w:sz w:val="22"/>
          <w:szCs w:val="22"/>
          <w:color w:val="auto"/>
        </w:rPr>
        <w:t xml:space="preserve"> constitutes the sole and exclusive representation and warranty of the Company with respect to any actual or alleged infringement, misappropriation or other violation of any Intellectual Property of any other Person.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4" w:right="239" w:bottom="1440" w:gutter="0" w:footer="0" w:header="0"/>
        </w:sectPr>
      </w:pPr>
    </w:p>
    <w:bookmarkStart w:id="124" w:name="page125"/>
    <w:bookmarkEnd w:id="124"/>
    <w:p>
      <w:pPr>
        <w:jc w:val="both"/>
        <w:ind w:firstLine="1305"/>
        <w:spacing w:after="0" w:line="302" w:lineRule="auto"/>
        <w:tabs>
          <w:tab w:leader="none" w:pos="2197" w:val="left"/>
        </w:tabs>
        <w:numPr>
          <w:ilvl w:val="1"/>
          <w:numId w:val="53"/>
        </w:numPr>
        <w:rPr>
          <w:rFonts w:ascii="Arial" w:cs="Arial" w:eastAsia="Arial" w:hAnsi="Arial"/>
          <w:sz w:val="19"/>
          <w:szCs w:val="19"/>
          <w:color w:val="auto"/>
        </w:rPr>
      </w:pPr>
      <w:r>
        <w:rPr>
          <w:rFonts w:ascii="Arial" w:cs="Arial" w:eastAsia="Arial" w:hAnsi="Arial"/>
          <w:sz w:val="19"/>
          <w:szCs w:val="19"/>
          <w:color w:val="auto"/>
        </w:rPr>
        <w:t>To the Knowledge of the Company, no Person is infringing, misappropriating or otherwise violating and no Person has infringed, misappropriated or otherwise violated any Parent Intellectual Property or Company Group Intellectual Property. Neither Parent nor the Company Group has brought any claims relating to the infringement, misappropriation or other violation of any Parent Intellectual Property or Company Group Intellectual Property against any Person since May 13, 2016.</w:t>
      </w:r>
    </w:p>
    <w:p>
      <w:pPr>
        <w:spacing w:after="0" w:line="183" w:lineRule="exact"/>
        <w:rPr>
          <w:rFonts w:ascii="Arial" w:cs="Arial" w:eastAsia="Arial" w:hAnsi="Arial"/>
          <w:sz w:val="19"/>
          <w:szCs w:val="19"/>
          <w:color w:val="auto"/>
        </w:rPr>
      </w:pPr>
    </w:p>
    <w:p>
      <w:pPr>
        <w:jc w:val="both"/>
        <w:ind w:firstLine="1305"/>
        <w:spacing w:after="0" w:line="288" w:lineRule="auto"/>
        <w:tabs>
          <w:tab w:leader="none" w:pos="2185" w:val="left"/>
        </w:tabs>
        <w:numPr>
          <w:ilvl w:val="1"/>
          <w:numId w:val="53"/>
        </w:numPr>
        <w:rPr>
          <w:rFonts w:ascii="Arial" w:cs="Arial" w:eastAsia="Arial" w:hAnsi="Arial"/>
          <w:sz w:val="19"/>
          <w:szCs w:val="19"/>
          <w:color w:val="auto"/>
        </w:rPr>
      </w:pPr>
      <w:r>
        <w:rPr>
          <w:rFonts w:ascii="Arial" w:cs="Arial" w:eastAsia="Arial" w:hAnsi="Arial"/>
          <w:sz w:val="19"/>
          <w:szCs w:val="19"/>
          <w:color w:val="auto"/>
        </w:rPr>
        <w:t>Parent, its Subsidiaries, and the Company Group have taken commercially reasonable measures to protect the confidentiality of the material Trade Secrets of the Company Group. No Trade Secret material to the Company Group has since May 13, 2016 been authorized to be disclosed or, to the Knowledge of the Company, has been actually disclosed by the Parent, its Subsidiaries or the Company Group to any of their past or present employees or any third party other than pursuant to a non-disclosure agreement restricting the disclosure and use thereof. Parent, its Subsidiaries, and the Company Group (i) have policies whereby employees and contractors of Parent, its Subsidiaries, and the Company Group who create or develop material Intellectual Property on behalf of or for the benefit of the Company Group are required to assign to Parent, its Subsidiaries or the Company Group all of such employee’s or contractor’s rights in such Intellectual Property and (ii) all such employees and contractors have executed valid written agreements pursuant to which such Persons have assigned (or are obligated to assign) to Parent, its Subsidiaries or the Company Group all of such employee’s or contractor’s rights in such Intellectual Property.</w:t>
      </w:r>
    </w:p>
    <w:p>
      <w:pPr>
        <w:spacing w:after="0" w:line="200" w:lineRule="exact"/>
        <w:rPr>
          <w:rFonts w:ascii="Arial" w:cs="Arial" w:eastAsia="Arial" w:hAnsi="Arial"/>
          <w:sz w:val="19"/>
          <w:szCs w:val="19"/>
          <w:color w:val="auto"/>
        </w:rPr>
      </w:pPr>
    </w:p>
    <w:p>
      <w:pPr>
        <w:jc w:val="both"/>
        <w:ind w:firstLine="1305"/>
        <w:spacing w:after="0" w:line="297" w:lineRule="auto"/>
        <w:tabs>
          <w:tab w:leader="none" w:pos="2161" w:val="left"/>
        </w:tabs>
        <w:numPr>
          <w:ilvl w:val="1"/>
          <w:numId w:val="53"/>
        </w:numPr>
        <w:rPr>
          <w:rFonts w:ascii="Arial" w:cs="Arial" w:eastAsia="Arial" w:hAnsi="Arial"/>
          <w:sz w:val="19"/>
          <w:szCs w:val="19"/>
          <w:color w:val="auto"/>
        </w:rPr>
      </w:pPr>
      <w:r>
        <w:rPr>
          <w:rFonts w:ascii="Arial" w:cs="Arial" w:eastAsia="Arial" w:hAnsi="Arial"/>
          <w:sz w:val="19"/>
          <w:szCs w:val="19"/>
          <w:color w:val="auto"/>
        </w:rPr>
        <w:t>No government funding and no facilities or other resources of any university, college, other educational institution or research center were used in the development of any Parent Intellectual Property or Company Group Intellectual Property, nor does any Governmental Authority or any university, college, other educational institution, or research center own, has made a claim to own, have any other rights in or to (including through any Intellectual Property License), or have any option to obtain any rights in or to, any Parent Intellectual Property or Company Group Intellectual Property.</w:t>
      </w:r>
    </w:p>
    <w:p>
      <w:pPr>
        <w:spacing w:after="0" w:line="187" w:lineRule="exact"/>
        <w:rPr>
          <w:rFonts w:ascii="Arial" w:cs="Arial" w:eastAsia="Arial" w:hAnsi="Arial"/>
          <w:sz w:val="19"/>
          <w:szCs w:val="19"/>
          <w:color w:val="auto"/>
        </w:rPr>
      </w:pPr>
    </w:p>
    <w:p>
      <w:pPr>
        <w:jc w:val="both"/>
        <w:ind w:firstLine="1305"/>
        <w:spacing w:after="0" w:line="291" w:lineRule="auto"/>
        <w:tabs>
          <w:tab w:leader="none" w:pos="2197" w:val="left"/>
        </w:tabs>
        <w:numPr>
          <w:ilvl w:val="1"/>
          <w:numId w:val="53"/>
        </w:numPr>
        <w:rPr>
          <w:rFonts w:ascii="Arial" w:cs="Arial" w:eastAsia="Arial" w:hAnsi="Arial"/>
          <w:sz w:val="19"/>
          <w:szCs w:val="19"/>
          <w:color w:val="auto"/>
        </w:rPr>
      </w:pPr>
      <w:r>
        <w:rPr>
          <w:rFonts w:ascii="Arial" w:cs="Arial" w:eastAsia="Arial" w:hAnsi="Arial"/>
          <w:sz w:val="19"/>
          <w:szCs w:val="19"/>
          <w:color w:val="auto"/>
        </w:rPr>
        <w:t>Except as is not and would not reasonably be expected to be, individually or in the aggregate, material to the Company Group taken as a whole: (i) the Company Group owns or has a valid right to use all material Company IT Systems;</w:t>
      </w:r>
    </w:p>
    <w:p>
      <w:pPr>
        <w:spacing w:after="0" w:line="1" w:lineRule="exact"/>
        <w:rPr>
          <w:rFonts w:ascii="Arial" w:cs="Arial" w:eastAsia="Arial" w:hAnsi="Arial"/>
          <w:sz w:val="19"/>
          <w:szCs w:val="19"/>
          <w:color w:val="auto"/>
        </w:rPr>
      </w:pPr>
    </w:p>
    <w:p>
      <w:pPr>
        <w:jc w:val="both"/>
        <w:ind w:firstLine="8"/>
        <w:spacing w:after="0" w:line="295" w:lineRule="auto"/>
        <w:tabs>
          <w:tab w:leader="none" w:pos="321"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Group has taken (or has had taken on its behalf) reasonable measures to maintain the performance and security of the Company IT Systems; and (iii) to the Knowledge of the Company, the Company IT Systems have not suffered any security breach or material malfunction or failure in the twelve (12) months prior to the date of this Agreement that has caused a significant disruption in the business of the Company Group and has not been remediated in all material respects.</w:t>
      </w:r>
    </w:p>
    <w:p>
      <w:pPr>
        <w:spacing w:after="0" w:line="190" w:lineRule="exact"/>
        <w:rPr>
          <w:rFonts w:ascii="Arial" w:cs="Arial" w:eastAsia="Arial" w:hAnsi="Arial"/>
          <w:sz w:val="19"/>
          <w:szCs w:val="19"/>
          <w:color w:val="auto"/>
        </w:rPr>
      </w:pPr>
    </w:p>
    <w:p>
      <w:pPr>
        <w:jc w:val="both"/>
        <w:ind w:firstLine="1305"/>
        <w:spacing w:after="0" w:line="263" w:lineRule="auto"/>
        <w:tabs>
          <w:tab w:leader="none" w:pos="2197"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Company has policies and procedures in place for identifying any Open Source Software used in a product prior to the commercial sale of such product, and determining whether such Open Source Software should be removed or replaced prior to such commercial sale. No Open Source Software is or has been included, incorporated or embedded in, linked to, combined or distributed with or used in the development, maintenance, operation, delivery or provision of any Parent Software or the Company Group Software, in each case, in a manner that currently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25" w:name="page126"/>
    <w:bookmarkEnd w:id="125"/>
    <w:p>
      <w:pPr>
        <w:jc w:val="both"/>
        <w:spacing w:after="0" w:line="265" w:lineRule="auto"/>
        <w:rPr>
          <w:sz w:val="20"/>
          <w:szCs w:val="20"/>
          <w:color w:val="auto"/>
        </w:rPr>
      </w:pPr>
      <w:r>
        <w:rPr>
          <w:rFonts w:ascii="Arial" w:cs="Arial" w:eastAsia="Arial" w:hAnsi="Arial"/>
          <w:sz w:val="21"/>
          <w:szCs w:val="21"/>
          <w:color w:val="auto"/>
        </w:rPr>
        <w:t>requires or obligates the Parent or the Company Group, based solely on the manner in which the Parent Software or the Company Group Software is as of the date of this Agreement used in the operation of the business of the Company Group as currently conducted, to disclose, contribute, distribute, license or otherwise make available to any Person (including the open source community) the source code for any Parent Software or the Company Group Software, as applicable.</w:t>
      </w:r>
    </w:p>
    <w:p>
      <w:pPr>
        <w:spacing w:after="0" w:line="216" w:lineRule="exact"/>
        <w:rPr>
          <w:sz w:val="20"/>
          <w:szCs w:val="20"/>
          <w:color w:val="auto"/>
        </w:rPr>
      </w:pPr>
    </w:p>
    <w:p>
      <w:pPr>
        <w:jc w:val="both"/>
        <w:ind w:firstLine="1305"/>
        <w:spacing w:after="0" w:line="294" w:lineRule="auto"/>
        <w:tabs>
          <w:tab w:leader="none" w:pos="21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Section 3.11(i)</w:t>
      </w:r>
      <w:r>
        <w:rPr>
          <w:rFonts w:ascii="Arial" w:cs="Arial" w:eastAsia="Arial" w:hAnsi="Arial"/>
          <w:sz w:val="19"/>
          <w:szCs w:val="19"/>
          <w:color w:val="auto"/>
        </w:rPr>
        <w:t xml:space="preserve"> of the Disclosure Letter sets forth a complete list of all Contracts pursuant to which any member of the Company Group is obligated to provide to any Person (other than Parent or its Subsidiaries or the Company Group) the source code for any Parent Software or Company Group Software that is material to the conduct of the business of the Company Group as currently conducted (but excluding any such obligation arising under any Open Source Software licenses) or pursuant to which the source code or related proprietary information of Parent for any such Parent Software or the Company Group for any such Company Group Software is deposited in or required to be deposited in escrow.</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Privacy and Data Security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7" w:lineRule="auto"/>
        <w:tabs>
          <w:tab w:leader="none" w:pos="2185"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Except as is not and would not reasonably be expected to, be individually or in the aggregate, material to the Company Group, taken as a whole, the Company Group and to the Knowledge of the Company, any Person acting for or on the Company Group’s behalf have at all times since May 13, 2016 complied with (i) all applicable Privacy Laws (to the extent applicable to the Company Group with respect to Persons acting for or on behalf of the Company Group), (ii) all of the Company Group’s written policies and notices regarding Personal Information, and (iii) all of the Company Group’s contractual obligations with respect to the receipt, collection, compilation, use, storage, processing, sharing, safeguarding, security (technical, physical and administrative), disposal, destruction, disclosure, or transfer (including cross-border) of Personal Information. The Company Group has not received in the past twelve (12) months prior to the date of this Agreement any written notice of any claims (including notice from third parties acting on its behalf) of, or been charged with, the violation of, any Privacy Laws, applicable privacy policies, or contractual commitments with respect to Personal Information. Since May 13, 2016 none of the Company Group’s privacy policies or notices have contained any material omissions or been misleading or deceptive in a manner that is not in compliance in all material respect with applicable Privacy Laws.</w:t>
      </w:r>
    </w:p>
    <w:p>
      <w:pPr>
        <w:spacing w:after="0" w:line="200" w:lineRule="exact"/>
        <w:rPr>
          <w:rFonts w:ascii="Arial" w:cs="Arial" w:eastAsia="Arial" w:hAnsi="Arial"/>
          <w:sz w:val="19"/>
          <w:szCs w:val="19"/>
          <w:color w:val="auto"/>
        </w:rPr>
      </w:pPr>
    </w:p>
    <w:p>
      <w:pPr>
        <w:jc w:val="both"/>
        <w:ind w:firstLine="1305"/>
        <w:spacing w:after="0" w:line="290" w:lineRule="auto"/>
        <w:tabs>
          <w:tab w:leader="none" w:pos="2197"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Company Group has (i) implemented and at all times since May 13, 2016 maintained reasonable safeguards to protect Personal Information in its possession or under its control against loss, theft, misuse or unauthorized access, use, modification or disclosure; and (ii) when engaging third-party service providers, outsourcers, processors or other third parties who process, store or otherwise handle Personal Information for or on behalf of the Company Group, made commercially reasonable efforts to ensure that such third parties have (A) agreed to comply with applicable Privacy Laws and (B) have taken reasonable steps to protect and secure the Personal Information from loss, theft, misuse or unauthorized access, use, modification or disclosure in connection with their performance of services for the benefit of the Company Group. Since May 13, 2016, to the Knowledge of the Company, any third party who has provided Personal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to the Company has done so in compliance in all material respects with applicable Privacy Laws, including providing any notice and obtaining any consent required.</w:t>
      </w:r>
    </w:p>
    <w:p>
      <w:pPr>
        <w:spacing w:after="0" w:line="215" w:lineRule="exact"/>
        <w:rPr>
          <w:sz w:val="20"/>
          <w:szCs w:val="20"/>
          <w:color w:val="auto"/>
        </w:rPr>
      </w:pPr>
    </w:p>
    <w:p>
      <w:pPr>
        <w:jc w:val="both"/>
        <w:ind w:firstLine="1305"/>
        <w:spacing w:after="0" w:line="284" w:lineRule="auto"/>
        <w:tabs>
          <w:tab w:leader="none" w:pos="2185" w:val="left"/>
        </w:tabs>
        <w:numPr>
          <w:ilvl w:val="1"/>
          <w:numId w:val="57"/>
        </w:numPr>
        <w:rPr>
          <w:rFonts w:ascii="Arial" w:cs="Arial" w:eastAsia="Arial" w:hAnsi="Arial"/>
          <w:sz w:val="19"/>
          <w:szCs w:val="19"/>
          <w:color w:val="auto"/>
        </w:rPr>
      </w:pPr>
      <w:r>
        <w:rPr>
          <w:rFonts w:ascii="Arial" w:cs="Arial" w:eastAsia="Arial" w:hAnsi="Arial"/>
          <w:sz w:val="19"/>
          <w:szCs w:val="19"/>
          <w:color w:val="auto"/>
        </w:rPr>
        <w:t>To the Knowledge of the Company, since May 13, 2016 there have been no breaches, security incidents, misuse of or unauthorized access to or disclosure of any Personal Information in the possession or control of the Company Group or collected, used or processed by or on behalf of the Company Group and the Company Group has not provided or been required to provide any notices to any Person in connection with a disclosure of Personal Information. The Company Group has implemented reasonable disaster recovery and business continuity plans, and taken actions consistent with such plans, to the extent required, to safeguard the data and Personal Information in its possession or control. Since May 13, 2016 the Company Group has undertaken commercially reasonable privacy and data security testing or audits at reasonable and appropriate intervals. In the six</w:t>
      </w:r>
    </w:p>
    <w:p>
      <w:pPr>
        <w:spacing w:after="0" w:line="4" w:lineRule="exact"/>
        <w:rPr>
          <w:rFonts w:ascii="Arial" w:cs="Arial" w:eastAsia="Arial" w:hAnsi="Arial"/>
          <w:sz w:val="19"/>
          <w:szCs w:val="19"/>
          <w:color w:val="auto"/>
        </w:rPr>
      </w:pPr>
    </w:p>
    <w:p>
      <w:pPr>
        <w:jc w:val="both"/>
        <w:ind w:firstLine="8"/>
        <w:spacing w:after="0" w:line="258" w:lineRule="auto"/>
        <w:tabs>
          <w:tab w:leader="none" w:pos="323" w:val="left"/>
        </w:tabs>
        <w:numPr>
          <w:ilvl w:val="0"/>
          <w:numId w:val="58"/>
        </w:numPr>
        <w:rPr>
          <w:rFonts w:ascii="Arial" w:cs="Arial" w:eastAsia="Arial" w:hAnsi="Arial"/>
          <w:sz w:val="21"/>
          <w:szCs w:val="21"/>
          <w:color w:val="auto"/>
        </w:rPr>
      </w:pPr>
      <w:r>
        <w:rPr>
          <w:rFonts w:ascii="Arial" w:cs="Arial" w:eastAsia="Arial" w:hAnsi="Arial"/>
          <w:sz w:val="21"/>
          <w:szCs w:val="21"/>
          <w:color w:val="auto"/>
        </w:rPr>
        <w:t>months prior to the date of this Agreement, the Company Group has conducted a reasonable external penetration test using a qualified independent consulting firm, which did not identify any uncontained privacy or data security breaches, material issues, vulnerabilities or threats. Neither the Company Group nor any third party acting at the direction or authorization of the Company Group has paid (i) any unlawful perpetrator of any data breach incident or cyber-attack or (ii) any third party with actual or alleged information about a data breach incident or cyber-attack, pursuant to a request for payment from or on behalf of such perpetrator or other third party with respect to such data breach incident or cyber-attack.</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Broker’s Fees</w:t>
      </w:r>
      <w:r>
        <w:rPr>
          <w:rFonts w:ascii="Arial" w:cs="Arial" w:eastAsia="Arial" w:hAnsi="Arial"/>
          <w:sz w:val="22"/>
          <w:szCs w:val="22"/>
          <w:color w:val="auto"/>
        </w:rPr>
        <w:t>. The Company has not employed any broker, finder or financial advisor or incurred any liability for any broker’s fees, commissions, finder’s fees or advisor’s fees in connection with any of the Transactions for which any member of the Company Group will be liable.</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Transactions</w:t>
      </w:r>
      <w:r>
        <w:rPr>
          <w:rFonts w:ascii="Arial" w:cs="Arial" w:eastAsia="Arial" w:hAnsi="Arial"/>
          <w:sz w:val="22"/>
          <w:szCs w:val="22"/>
          <w:color w:val="auto"/>
        </w:rPr>
        <w:t>. There are no legally binding transactions, agreements, arrangements or understandings between or among Parent or any Affiliate thereof or any current officer or director of any member of the Company Group, on the one hand, and any member of the Company Group, on the other hand (an “</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other than (a) with respect to officers and directors of the Company Group, offer letters and other agreements related to employment or employment terms, (b) the Transaction Agreements or such other Contracts expressly described in the Transaction Agreements or (c) the Initial Investment Agreements.</w:t>
      </w:r>
    </w:p>
    <w:p>
      <w:pPr>
        <w:spacing w:after="0" w:line="23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Financial Statements; Undisclosed Liabilities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2185"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unaudited financial statements of the Company Group set forth in </w:t>
      </w:r>
      <w:r>
        <w:rPr>
          <w:rFonts w:ascii="Arial" w:cs="Arial" w:eastAsia="Arial" w:hAnsi="Arial"/>
          <w:sz w:val="19"/>
          <w:szCs w:val="19"/>
          <w:u w:val="single" w:color="auto"/>
          <w:color w:val="auto"/>
        </w:rPr>
        <w:t>Section 3.15(a)</w:t>
      </w:r>
      <w:r>
        <w:rPr>
          <w:rFonts w:ascii="Arial" w:cs="Arial" w:eastAsia="Arial" w:hAnsi="Arial"/>
          <w:sz w:val="19"/>
          <w:szCs w:val="19"/>
          <w:color w:val="auto"/>
        </w:rPr>
        <w:t xml:space="preserve"> of the Disclosure Letter, as of and for the year ended December 31, 2017, as of and for the three months ended March 31, 2018 and as of and for the three months ended June 30, 2018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(i) were derived from the books and records of GM PubCo and financial data used in the preparation of the audited consolidated financial statements of GM PubCo as of and for the year ended December 31, 2017 that were included in GM PubCo’s Annual Report on Form 10-K for the fiscal year ended December 31, 2017 (the “</w:t>
      </w:r>
      <w:r>
        <w:rPr>
          <w:rFonts w:ascii="Arial" w:cs="Arial" w:eastAsia="Arial" w:hAnsi="Arial"/>
          <w:sz w:val="19"/>
          <w:szCs w:val="19"/>
          <w:u w:val="single" w:color="auto"/>
          <w:color w:val="auto"/>
        </w:rPr>
        <w:t>2017 Form 10-K</w:t>
      </w:r>
      <w:r>
        <w:rPr>
          <w:rFonts w:ascii="Arial" w:cs="Arial" w:eastAsia="Arial" w:hAnsi="Arial"/>
          <w:sz w:val="19"/>
          <w:szCs w:val="19"/>
          <w:color w:val="auto"/>
        </w:rPr>
        <w:t>”) and the unaudited consolidated financial statements of GM PubCo as of and for the three months (x) ended March 31, 2018 that were included in GM PubCo’s Quarterly Report on Form 10-Q for the three months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127" w:name="page128"/>
    <w:bookmarkEnd w:id="127"/>
    <w:p>
      <w:pPr>
        <w:jc w:val="both"/>
        <w:spacing w:after="0" w:line="284" w:lineRule="auto"/>
        <w:rPr>
          <w:sz w:val="20"/>
          <w:szCs w:val="20"/>
          <w:color w:val="auto"/>
        </w:rPr>
      </w:pPr>
      <w:r>
        <w:rPr>
          <w:rFonts w:ascii="Arial" w:cs="Arial" w:eastAsia="Arial" w:hAnsi="Arial"/>
          <w:sz w:val="19"/>
          <w:szCs w:val="19"/>
          <w:color w:val="auto"/>
        </w:rPr>
        <w:t>ended March 31, 2018 (the “</w:t>
      </w:r>
      <w:r>
        <w:rPr>
          <w:rFonts w:ascii="Arial" w:cs="Arial" w:eastAsia="Arial" w:hAnsi="Arial"/>
          <w:sz w:val="19"/>
          <w:szCs w:val="19"/>
          <w:u w:val="single" w:color="auto"/>
          <w:color w:val="auto"/>
        </w:rPr>
        <w:t>Q1 2018 10-Q</w:t>
      </w:r>
      <w:r>
        <w:rPr>
          <w:rFonts w:ascii="Arial" w:cs="Arial" w:eastAsia="Arial" w:hAnsi="Arial"/>
          <w:sz w:val="19"/>
          <w:szCs w:val="19"/>
          <w:color w:val="auto"/>
        </w:rPr>
        <w:t>”) and (y) ended June 30, 2018 that were included in GM PubCo’s Quarterly Report on Form 10-Q for the three months ended June 30, 2018 (the “</w:t>
      </w:r>
      <w:r>
        <w:rPr>
          <w:rFonts w:ascii="Arial" w:cs="Arial" w:eastAsia="Arial" w:hAnsi="Arial"/>
          <w:sz w:val="19"/>
          <w:szCs w:val="19"/>
          <w:u w:val="single" w:color="auto"/>
          <w:color w:val="auto"/>
        </w:rPr>
        <w:t>Q2 2018 10-Q</w:t>
      </w:r>
      <w:r>
        <w:rPr>
          <w:rFonts w:ascii="Arial" w:cs="Arial" w:eastAsia="Arial" w:hAnsi="Arial"/>
          <w:sz w:val="19"/>
          <w:szCs w:val="19"/>
          <w:color w:val="auto"/>
        </w:rPr>
        <w:t>”), (ii) are based on allocations of certain costs of GM PubCo to the Company Group based on reasonable, good faith management assumptions utilized in the ordinary course of preparing the 2017 Form 10-K, the Q1 2018 10-Q and the Q2 2018 10-Q, (iii) were prepared in conformity with GAAP applied on a consistent basis, except for (A) the absence of notes, (B) income tax asset, liability and expense accounts, which are included for consolidated reporting purposes solely at the GM PubCo level, but which are not included in the Financial Statements, (C) the absence of incentive compensation costs relating to engineering expenses incurred by Parent on behalf of the Company Group, and</w:t>
      </w:r>
    </w:p>
    <w:p>
      <w:pPr>
        <w:spacing w:after="0" w:line="4" w:lineRule="exact"/>
        <w:rPr>
          <w:sz w:val="20"/>
          <w:szCs w:val="20"/>
          <w:color w:val="auto"/>
        </w:rPr>
      </w:pPr>
    </w:p>
    <w:p>
      <w:pPr>
        <w:jc w:val="both"/>
        <w:ind w:firstLine="8"/>
        <w:spacing w:after="0" w:line="287" w:lineRule="auto"/>
        <w:tabs>
          <w:tab w:leader="none" w:pos="36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application of purchase accounting to the acquisition of Strobe and (iv) fairly present, in all material respects, the financial position of the Company Group as of the date thereof and for the period indicated therein, except as otherwise noted therein and for the impact of items referred to above (including, for the avoidance of doubt, </w:t>
      </w:r>
      <w:r>
        <w:rPr>
          <w:rFonts w:ascii="Arial" w:cs="Arial" w:eastAsia="Arial" w:hAnsi="Arial"/>
          <w:sz w:val="19"/>
          <w:szCs w:val="19"/>
          <w:u w:val="single" w:color="auto"/>
          <w:color w:val="auto"/>
        </w:rPr>
        <w:t>subclauses (iii)(B)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3.15(a)</w:t>
      </w:r>
      <w:r>
        <w:rPr>
          <w:rFonts w:ascii="Arial" w:cs="Arial" w:eastAsia="Arial" w:hAnsi="Arial"/>
          <w:sz w:val="19"/>
          <w:szCs w:val="19"/>
          <w:color w:val="auto"/>
        </w:rPr>
        <w:t>), and, subject to (1) the fact that the Company Group was not operated on a stand-alone basis during such period, (2) the fact that the Financial Statements (and the allocations and estimations made by the management of GM PubCo in preparing such Financial Statements) and (3) normal year-end adjustments, (x) were prepared for and utilized in the 2017 Form 10-K, the Q1 2018 10-Q and the Q2 2018 10-Q, (y) are not necessarily indicative of the costs that would have resulted if the Company Group had been operated on a stand-alone basis during such period, and (z) may not be indicative of any such costs to the Company Group that will result following the closing of the SoftBank Transaction or the Closing.</w:t>
      </w:r>
    </w:p>
    <w:p>
      <w:pPr>
        <w:spacing w:after="0" w:line="196" w:lineRule="exact"/>
        <w:rPr>
          <w:rFonts w:ascii="Arial" w:cs="Arial" w:eastAsia="Arial" w:hAnsi="Arial"/>
          <w:sz w:val="19"/>
          <w:szCs w:val="19"/>
          <w:color w:val="auto"/>
        </w:rPr>
      </w:pPr>
    </w:p>
    <w:p>
      <w:pPr>
        <w:jc w:val="both"/>
        <w:ind w:firstLine="1305"/>
        <w:spacing w:after="0" w:line="261" w:lineRule="auto"/>
        <w:tabs>
          <w:tab w:leader="none" w:pos="2197" w:val="left"/>
        </w:tabs>
        <w:numPr>
          <w:ilvl w:val="1"/>
          <w:numId w:val="60"/>
        </w:numPr>
        <w:rPr>
          <w:rFonts w:ascii="Arial" w:cs="Arial" w:eastAsia="Arial" w:hAnsi="Arial"/>
          <w:sz w:val="21"/>
          <w:szCs w:val="21"/>
          <w:color w:val="auto"/>
        </w:rPr>
      </w:pPr>
      <w:r>
        <w:rPr>
          <w:rFonts w:ascii="Arial" w:cs="Arial" w:eastAsia="Arial" w:hAnsi="Arial"/>
          <w:sz w:val="21"/>
          <w:szCs w:val="21"/>
          <w:color w:val="auto"/>
        </w:rPr>
        <w:t xml:space="preserve">Except (i) as and to the extent reserved or reflected against in the Financial Statements, (ii) for Liabilities incurred by the Company Group in the ordinary course of business or as reasonably required in connection with this Agreement or any other Transaction Agreement or the Transactions or the Initial Investment Agreements, (iii) for Liabilities that are expressly disclosed in the Disclosure Letter, (iv) as contemplated in </w:t>
      </w:r>
      <w:r>
        <w:rPr>
          <w:rFonts w:ascii="Arial" w:cs="Arial" w:eastAsia="Arial" w:hAnsi="Arial"/>
          <w:sz w:val="21"/>
          <w:szCs w:val="21"/>
          <w:u w:val="single" w:color="auto"/>
          <w:color w:val="auto"/>
        </w:rPr>
        <w:t>subclauses (iii)(B)</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(iii)(D)</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3.15(a)</w:t>
      </w:r>
      <w:r>
        <w:rPr>
          <w:rFonts w:ascii="Arial" w:cs="Arial" w:eastAsia="Arial" w:hAnsi="Arial"/>
          <w:sz w:val="21"/>
          <w:szCs w:val="21"/>
          <w:color w:val="auto"/>
        </w:rPr>
        <w:t>, and (v) for Liabilities that are not and would not reasonably be likely to be, individually or in the aggregate, material to the Company Group, taken as a whole, there are no Liabilities of the Company Group of any kind.</w:t>
      </w:r>
    </w:p>
    <w:p>
      <w:pPr>
        <w:spacing w:after="0" w:line="220" w:lineRule="exact"/>
        <w:rPr>
          <w:rFonts w:ascii="Arial" w:cs="Arial" w:eastAsia="Arial" w:hAnsi="Arial"/>
          <w:sz w:val="21"/>
          <w:szCs w:val="21"/>
          <w:color w:val="auto"/>
        </w:rPr>
      </w:pPr>
    </w:p>
    <w:p>
      <w:pPr>
        <w:jc w:val="both"/>
        <w:ind w:firstLine="1305"/>
        <w:spacing w:after="0" w:line="294" w:lineRule="auto"/>
        <w:tabs>
          <w:tab w:leader="none" w:pos="2185"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Group makes and keeps books, records and accounts which, in reasonable detail, accurately and fairly reflect the transactions and dispositions of its assets in all material respects. None of Parent, any member of the Company Group or its or their independent auditors has identified or been made aware of (i) any fraud, whether or not material, that involves the Company Group’s management or any other current or former employee, consultant, contractor or manager of the Company Group who has a role in the preparation of financial statements or the internal accounting controls utilized by the Company Group, or (ii) any claim or allegation in writing regarding any of the foregoing.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28" w:name="page129"/>
    <w:bookmarkEnd w:id="128"/>
    <w:p>
      <w:pPr>
        <w:jc w:val="both"/>
        <w:ind w:firstLine="648"/>
        <w:spacing w:after="0" w:line="271"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u w:val="single" w:color="auto"/>
          <w:color w:val="auto"/>
        </w:rPr>
        <w:t>Absence of Certain Changes</w:t>
      </w:r>
      <w:r>
        <w:rPr>
          <w:rFonts w:ascii="Arial" w:cs="Arial" w:eastAsia="Arial" w:hAnsi="Arial"/>
          <w:sz w:val="21"/>
          <w:szCs w:val="21"/>
          <w:color w:val="auto"/>
        </w:rPr>
        <w:t>. Except as expressly contemplated by this Agreement, between June 30, 2018 and the date of this Agreement (a) there has not been a Material Adverse Effect and (b) the Company Group has not suffered any damage, destruction or loss of any material property or material asset, except ordinary wear and tear.</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Real Property</w:t>
      </w:r>
      <w:r>
        <w:rPr>
          <w:rFonts w:ascii="Arial" w:cs="Arial" w:eastAsia="Arial" w:hAnsi="Arial"/>
          <w:sz w:val="21"/>
          <w:szCs w:val="21"/>
          <w:color w:val="auto"/>
        </w:rPr>
        <w:t xml:space="preserve">. The Company Group does not currently own, and has never in the past owned, any real property. </w:t>
      </w:r>
      <w:r>
        <w:rPr>
          <w:rFonts w:ascii="Arial" w:cs="Arial" w:eastAsia="Arial" w:hAnsi="Arial"/>
          <w:sz w:val="21"/>
          <w:szCs w:val="21"/>
          <w:u w:val="single" w:color="auto"/>
          <w:color w:val="auto"/>
        </w:rPr>
        <w:t>Section 3.17</w:t>
      </w:r>
      <w:r>
        <w:rPr>
          <w:rFonts w:ascii="Arial" w:cs="Arial" w:eastAsia="Arial" w:hAnsi="Arial"/>
          <w:sz w:val="21"/>
          <w:szCs w:val="21"/>
          <w:color w:val="auto"/>
        </w:rPr>
        <w:t xml:space="preserve"> of the Disclosure Letter sets forth a complete list of all real property and interests in real property leased by the Company Group as lessee or sublessee (individually, a “</w:t>
      </w:r>
      <w:r>
        <w:rPr>
          <w:rFonts w:ascii="Arial" w:cs="Arial" w:eastAsia="Arial" w:hAnsi="Arial"/>
          <w:sz w:val="21"/>
          <w:szCs w:val="21"/>
          <w:u w:val="single" w:color="auto"/>
          <w:color w:val="auto"/>
        </w:rPr>
        <w:t>Real Property Lease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Real Property Leases</w:t>
      </w:r>
      <w:r>
        <w:rPr>
          <w:rFonts w:ascii="Arial" w:cs="Arial" w:eastAsia="Arial" w:hAnsi="Arial"/>
          <w:sz w:val="21"/>
          <w:szCs w:val="21"/>
          <w:color w:val="auto"/>
        </w:rPr>
        <w:t>” and such related properties being referred to herein individually as a “</w:t>
      </w:r>
      <w:r>
        <w:rPr>
          <w:rFonts w:ascii="Arial" w:cs="Arial" w:eastAsia="Arial" w:hAnsi="Arial"/>
          <w:sz w:val="21"/>
          <w:szCs w:val="21"/>
          <w:u w:val="single" w:color="auto"/>
          <w:color w:val="auto"/>
        </w:rPr>
        <w:t>Company Property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Properties</w:t>
      </w:r>
      <w:r>
        <w:rPr>
          <w:rFonts w:ascii="Arial" w:cs="Arial" w:eastAsia="Arial" w:hAnsi="Arial"/>
          <w:sz w:val="21"/>
          <w:szCs w:val="21"/>
          <w:color w:val="auto"/>
        </w:rPr>
        <w:t>”). The Company Properties constitute all interests in real property currently used or currently held for use in connection with the business of the Company Group. The Company Group has a valid and enforceable leasehold interest, free and clear of any Liens, other than Permitted Liens, under each of the Real Property Leases, and has not granted any other Person the right to occupy any of the premises subject to a Real Property Lease.</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The Company Group has good and marketable title to, or, in the case of leased properties and assets, valid leasehold interests in, all of the material items of tangible personal property used or held for use in the business of the Company Group (except as sold or disposed of subsequent to the date hereof in the ordinary course of business), free and clear of any and all Liens, other than Permitted Liens and such imperfections of title, if any, that do not materially interfere with the present value of such property.</w:t>
      </w:r>
    </w:p>
    <w:p>
      <w:pPr>
        <w:spacing w:after="0" w:line="2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Applicable ABAC/AML/Trade Laws</w:t>
      </w:r>
      <w:r>
        <w:rPr>
          <w:rFonts w:ascii="Arial" w:cs="Arial" w:eastAsia="Arial" w:hAnsi="Arial"/>
          <w:sz w:val="19"/>
          <w:szCs w:val="19"/>
          <w:color w:val="auto"/>
        </w:rPr>
        <w:t>. Since May 13, 2016:</w:t>
      </w:r>
    </w:p>
    <w:p>
      <w:pPr>
        <w:spacing w:after="0" w:line="260" w:lineRule="exact"/>
        <w:rPr>
          <w:sz w:val="20"/>
          <w:szCs w:val="20"/>
          <w:color w:val="auto"/>
        </w:rPr>
      </w:pPr>
    </w:p>
    <w:p>
      <w:pPr>
        <w:ind w:firstLine="1305"/>
        <w:spacing w:after="0" w:line="263" w:lineRule="auto"/>
        <w:tabs>
          <w:tab w:leader="none" w:pos="2185"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the Knowledge of the Company, neither the Company Group nor any Associated Person of the Company Group has violated any of the Applicable ABAC Laws, Applicable AML Laws or Applicable Trade Laws.</w:t>
      </w:r>
    </w:p>
    <w:p>
      <w:pPr>
        <w:spacing w:after="0" w:line="215" w:lineRule="exact"/>
        <w:rPr>
          <w:rFonts w:ascii="Arial" w:cs="Arial" w:eastAsia="Arial" w:hAnsi="Arial"/>
          <w:sz w:val="22"/>
          <w:szCs w:val="22"/>
          <w:color w:val="auto"/>
        </w:rPr>
      </w:pPr>
    </w:p>
    <w:p>
      <w:pPr>
        <w:jc w:val="both"/>
        <w:ind w:firstLine="1305"/>
        <w:spacing w:after="0" w:line="260" w:lineRule="auto"/>
        <w:tabs>
          <w:tab w:leader="none" w:pos="2197" w:val="left"/>
        </w:tabs>
        <w:numPr>
          <w:ilvl w:val="0"/>
          <w:numId w:val="61"/>
        </w:numPr>
        <w:rPr>
          <w:rFonts w:ascii="Arial" w:cs="Arial" w:eastAsia="Arial" w:hAnsi="Arial"/>
          <w:sz w:val="21"/>
          <w:szCs w:val="21"/>
          <w:color w:val="auto"/>
        </w:rPr>
      </w:pPr>
      <w:r>
        <w:rPr>
          <w:rFonts w:ascii="Arial" w:cs="Arial" w:eastAsia="Arial" w:hAnsi="Arial"/>
          <w:sz w:val="21"/>
          <w:szCs w:val="21"/>
          <w:color w:val="auto"/>
        </w:rPr>
        <w:t>To the best of the Knowledge of the Company Group, neither the Company Group nor any Associated Person of the Company Group has (i) been fined or otherwise penalized under any of the Applicable ABAC Laws, Applicable AML Laws or Applicable Trade Laws, (ii) received a written notice from a Governmental Authority concerning an actual or possible violation by the Company Group or any Associated Person of the Company Group of any of the Applicable ABAC Laws, Applicable AML Laws or Applicable Trade Laws or (iii) received any other report or discovered any evidence suggesting that the Company Group or any Associated Person of the Company Group has violated any of the Applicable ABAC Laws, Applicable AML Laws or Applicable Trade Laws.</w:t>
      </w:r>
    </w:p>
    <w:p>
      <w:pPr>
        <w:spacing w:after="0" w:line="221" w:lineRule="exact"/>
        <w:rPr>
          <w:rFonts w:ascii="Arial" w:cs="Arial" w:eastAsia="Arial" w:hAnsi="Arial"/>
          <w:sz w:val="21"/>
          <w:szCs w:val="21"/>
          <w:color w:val="auto"/>
        </w:rPr>
      </w:pPr>
    </w:p>
    <w:p>
      <w:pPr>
        <w:jc w:val="both"/>
        <w:ind w:firstLine="1305"/>
        <w:spacing w:after="0" w:line="271" w:lineRule="auto"/>
        <w:tabs>
          <w:tab w:leader="none" w:pos="2185" w:val="left"/>
        </w:tabs>
        <w:numPr>
          <w:ilvl w:val="0"/>
          <w:numId w:val="61"/>
        </w:numPr>
        <w:rPr>
          <w:rFonts w:ascii="Arial" w:cs="Arial" w:eastAsia="Arial" w:hAnsi="Arial"/>
          <w:sz w:val="21"/>
          <w:szCs w:val="21"/>
          <w:color w:val="auto"/>
        </w:rPr>
      </w:pPr>
      <w:r>
        <w:rPr>
          <w:rFonts w:ascii="Arial" w:cs="Arial" w:eastAsia="Arial" w:hAnsi="Arial"/>
          <w:sz w:val="21"/>
          <w:szCs w:val="21"/>
          <w:color w:val="auto"/>
        </w:rPr>
        <w:t>Neither any member of the Company Group nor any Associated Person of the Company Group is a Blocked Person or, to the Knowledge of the Company, (i) has done anything that is likely to result in it or them becoming a Blocked Person or (ii) acts under the direction of, on behalf of, or for the benefit of a Blocked Person.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129" w:name="page130"/>
    <w:bookmarkEnd w:id="129"/>
    <w:p>
      <w:pPr>
        <w:jc w:val="both"/>
        <w:ind w:firstLine="648"/>
        <w:spacing w:after="0" w:line="260" w:lineRule="auto"/>
        <w:rPr>
          <w:sz w:val="20"/>
          <w:szCs w:val="20"/>
          <w:color w:val="auto"/>
        </w:rPr>
      </w:pPr>
      <w:r>
        <w:rPr>
          <w:rFonts w:ascii="Arial" w:cs="Arial" w:eastAsia="Arial" w:hAnsi="Arial"/>
          <w:sz w:val="21"/>
          <w:szCs w:val="21"/>
          <w:color w:val="auto"/>
        </w:rPr>
        <w:t xml:space="preserve">Section 3.20 </w:t>
      </w:r>
      <w:r>
        <w:rPr>
          <w:rFonts w:ascii="Arial" w:cs="Arial" w:eastAsia="Arial" w:hAnsi="Arial"/>
          <w:sz w:val="21"/>
          <w:szCs w:val="21"/>
          <w:u w:val="single" w:color="auto"/>
          <w:color w:val="auto"/>
        </w:rPr>
        <w:t>Insurance</w:t>
      </w:r>
      <w:r>
        <w:rPr>
          <w:rFonts w:ascii="Arial" w:cs="Arial" w:eastAsia="Arial" w:hAnsi="Arial"/>
          <w:sz w:val="21"/>
          <w:szCs w:val="21"/>
          <w:color w:val="auto"/>
        </w:rPr>
        <w:t>. As of the date of this Agreement, the members of the Company Group are insured against such losses and risks and in such amounts as are customary in the businesses in which they are engaged. All insurance policies held by or applicable to the Company Group are in full force and effect. None of the members of the Company Group is in default with respect to any material provision contained in any material insurance policy nor has any member of the Company Group failed to give any material notice or present any material claim under any such policy in due and timely fashion since May 13, 2016. Since May 13, 2016, no notice of cancellation or termination has been received by Parent or any member of the Company Group with respect to any of such insurance policies.</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3.21 </w:t>
      </w:r>
      <w:r>
        <w:rPr>
          <w:rFonts w:ascii="Arial" w:cs="Arial" w:eastAsia="Arial" w:hAnsi="Arial"/>
          <w:sz w:val="21"/>
          <w:szCs w:val="21"/>
          <w:u w:val="single" w:color="auto"/>
          <w:color w:val="auto"/>
        </w:rPr>
        <w:t>No Other Representations and Warranties</w:t>
      </w:r>
      <w:r>
        <w:rPr>
          <w:rFonts w:ascii="Arial" w:cs="Arial" w:eastAsia="Arial" w:hAnsi="Arial"/>
          <w:sz w:val="21"/>
          <w:szCs w:val="21"/>
          <w:color w:val="auto"/>
        </w:rPr>
        <w:t xml:space="preserve">. Except for the representations and warranties contained in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or in any other Transaction Agreement, the Company acknowledges that none of Buyer, its Affiliates or its or their Representatives (in each case solely in connection with the Transactions) (i) has made or makes any other express or implied representation or warranty, either written or oral, including any representation or warranty as to the accuracy or completeness of any information regarding Buyer or any of its Affiliates, or Representatives of any of the foregoing, furnished or made available to the Company or its Affiliates or their Representatives and (ii) except as expressly otherwise provided herein or in any other Transaction Agreement, will have or be subject to any liability or indemnification obligation to the Company or its Affiliates resulting from the delivery, dissemination or any other distribution to the Company or its Affiliates or any of their Representatives, or the use by the Company or its Affiliates or any of their Representatives, of any materials, documentation estimates, projections, forecasts, forward-looking information, business plans or other oral or other information during the course of due diligence or any negotiation process (including information memoranda, dataroom materials, projections, estimates, management presentations, budgets and financial data and reports).</w:t>
      </w:r>
    </w:p>
    <w:p>
      <w:pPr>
        <w:spacing w:after="0" w:line="215"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Buyer hereby represents and warrants to the Company and Parent, as of the date of this Agreement, as follows:</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Corporate Organization</w:t>
      </w:r>
      <w:r>
        <w:rPr>
          <w:rFonts w:ascii="Arial" w:cs="Arial" w:eastAsia="Arial" w:hAnsi="Arial"/>
          <w:sz w:val="21"/>
          <w:szCs w:val="21"/>
          <w:color w:val="auto"/>
        </w:rPr>
        <w:t>. Each of Buyer, Honda R&amp;D Co and American Honda (a) is a corporation or other organization duly organized, validly existing and in good standing under the laws of its respective jurisdiction of incorporation, formation or organization, (b) has the power and authority to own or lease all of its properties and assets and to carry on its business as it is now being conducted and (c) is duly qualified to do business, and is in good standing (if applicable) in each jurisdiction in which the nature of its business or the ownership of its properties makes such qualification necessary, except for where such failures to be so qualified and in good standing do not and would not reasonably be expected to, individually or in the aggregate, materially delay or impair the ability of such Person to consummate the Transactions pursuant to the Transaction Agreements to which such Person is a party.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Authority and Validity</w:t>
      </w:r>
      <w:r>
        <w:rPr>
          <w:rFonts w:ascii="Arial" w:cs="Arial" w:eastAsia="Arial" w:hAnsi="Arial"/>
          <w:sz w:val="22"/>
          <w:szCs w:val="22"/>
          <w:color w:val="auto"/>
        </w:rPr>
        <w:t>. Each of Buyer, Honda R&amp;D Co and American Honda has the corporate power and authority to execute and deliver this Agreement and/or each Transaction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130" w:name="page131"/>
    <w:bookmarkEnd w:id="130"/>
    <w:p>
      <w:pPr>
        <w:jc w:val="both"/>
        <w:spacing w:after="0" w:line="288" w:lineRule="auto"/>
        <w:rPr>
          <w:sz w:val="20"/>
          <w:szCs w:val="20"/>
          <w:color w:val="auto"/>
        </w:rPr>
      </w:pPr>
      <w:r>
        <w:rPr>
          <w:rFonts w:ascii="Arial" w:cs="Arial" w:eastAsia="Arial" w:hAnsi="Arial"/>
          <w:sz w:val="19"/>
          <w:szCs w:val="19"/>
          <w:color w:val="auto"/>
        </w:rPr>
        <w:t>Agreements to which it is a party, to perform its obligations hereunder and/or thereunder and to consummate the Transactions. The execution and delivery of this Agreement and the other Transaction Agreements and the consummation of the Transactions pursuant to the Transaction Agreements have been duly and validly authorized by Buyer, Honda R&amp;D Co and American Honda and no other action on the part of Buyer, Honda R&amp;D Co or American Honda is necessary to approve the execution and delivery of this Agreement or the other Transaction Agreements or to consummate the Transactions pursuant to the Transaction Agreements. This Agreement and the other Transaction Agreements have been duly and validly executed and delivered by Buyer, Honda R&amp;D Co (as applicable) and American Honda (as applicable) and (assuming due authorization, execution and delivery by the Company and Parent, as applicable) constitutes valid and binding obligations of Buyer, Honda R&amp;D Co (as applicable) and American Honda (as applicable), enforceable against Buyer, Honda R&amp;D Co and American Honda in accordance with their respective terms, except as may be limited by applicable bankruptcy, fraudulent transfer, insolvency, moratorium or similar Laws of general application relating to or affecting creditors’ rights generally and except for the limitations imposed by general principles of equity.</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Non-Contravention</w:t>
      </w:r>
      <w:r>
        <w:rPr>
          <w:rFonts w:ascii="Arial" w:cs="Arial" w:eastAsia="Arial" w:hAnsi="Arial"/>
          <w:sz w:val="19"/>
          <w:szCs w:val="19"/>
          <w:color w:val="auto"/>
        </w:rPr>
        <w:t>. Neither the execution, delivery and performance by Buyer, Honda R&amp;D Co or American Honda of this Agreement and the other Transaction Agreements, nor the consummation by Buyer, Honda R&amp;D Co or American Honda of the Transactions contemplated by the Transaction Agreements, will conflict with, or result in any violation of or default (with or without notice or lapse of time, or both) under, or give rise to a right of termination or cancellation under, any provision of</w:t>
      </w:r>
    </w:p>
    <w:p>
      <w:pPr>
        <w:spacing w:after="0" w:line="3" w:lineRule="exact"/>
        <w:rPr>
          <w:sz w:val="20"/>
          <w:szCs w:val="20"/>
          <w:color w:val="auto"/>
        </w:rPr>
      </w:pPr>
    </w:p>
    <w:p>
      <w:pPr>
        <w:jc w:val="both"/>
        <w:ind w:firstLine="8"/>
        <w:spacing w:after="0" w:line="244" w:lineRule="auto"/>
        <w:tabs>
          <w:tab w:leader="none" w:pos="32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Organizational Documents of Buyer, Honda R&amp;D Co or American Honda, or (b) any applicable Law or Order of any Governmental Authority (except for such conflicts or violations, in the case of this </w:t>
      </w:r>
      <w:r>
        <w:rPr>
          <w:rFonts w:ascii="Arial" w:cs="Arial" w:eastAsia="Arial" w:hAnsi="Arial"/>
          <w:sz w:val="22"/>
          <w:szCs w:val="22"/>
          <w:u w:val="single" w:color="auto"/>
          <w:color w:val="auto"/>
        </w:rPr>
        <w:t>clause (b)</w:t>
      </w:r>
      <w:r>
        <w:rPr>
          <w:rFonts w:ascii="Arial" w:cs="Arial" w:eastAsia="Arial" w:hAnsi="Arial"/>
          <w:sz w:val="22"/>
          <w:szCs w:val="22"/>
          <w:color w:val="auto"/>
        </w:rPr>
        <w:t>, that do not and would not reasonably be expected to, individually or in the aggregate, materially delay or impair the ability of Buyer, Honda R&amp;D Co or American Honda to consummate the Transactions contemplated by the Transaction Agreements.</w:t>
      </w:r>
    </w:p>
    <w:p>
      <w:pPr>
        <w:spacing w:after="0" w:line="2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No material consent, approval, waiver, authorization, Order, Permit, registration, declaration, exemption, filing, notification or other order of, or other action by, any Person is required or necessary for the execution, delivery and performance by Buyer, Honda R&amp;D Co or American Honda of this Agreement or any other Transaction Agreement or the consummation by Buyer, Honda R&amp;D Co and American Honda of the transactions contemplated hereby or thereby, other than (a) any filing required to obtain CFIUS Approval, (b) as may be required under any applicable state securities or “blue sky” Laws, and (c) as may be required as a result of facts and circumstances relating solely to the Company Group, Parent or their Affiliates, except for those consents, approvals, waivers, authorizations, Orders, Permits, registrations, declarations, exemptions, filings, notifications or other orders of, or other actions by, any Person that do not and would not reasonably be expected to, individually or in the aggregate, materially delay or impair the ability of Buyer, Honda R&amp;D Co or American Honda to consummate the Transactions contemplated by the Transaction Agreements.</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Buyer is an “accredited investor” within the meaning of Rule 501 under the Securities Act. Buyer is an informed and sophisticated investor in securities and has sufficient knowledge and experience in financial and business matters to evaluate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2"/>
          <w:szCs w:val="22"/>
          <w:color w:val="auto"/>
        </w:rPr>
        <w:t>the merits and risks of its investment in the Buyer Shares and to bear the economic risks of such investment. Buyer has performed its own due diligence and business investigation with respect to the Company and been afforded the opportunity to ask questions of the Company’s management concerning the Company and the Buyer Shares. Buyer understands that its investment in the Buyer Shares involves a significant degree of risk.</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Investment Intention; Sale or Transfer</w:t>
      </w:r>
      <w:r>
        <w:rPr>
          <w:rFonts w:ascii="Arial" w:cs="Arial" w:eastAsia="Arial" w:hAnsi="Arial"/>
          <w:sz w:val="19"/>
          <w:szCs w:val="19"/>
          <w:color w:val="auto"/>
        </w:rPr>
        <w:t>. Buyer is acquiring the Buyer Shares solely for its own account, for investment purposes and not with a view to, or for offer or sale in connection with, the distribution (as such term is used in Section 2(a)(11) of the Securities Act) thereof. Buyer acknowledges that (a) the issuance of the Buyer Shares has not been and is not being registered under the Securities Act or any applicable state securities laws, and cannot be sold unless subsequently so registered or an exemption from such registration is available, (b) the Buyer Shares may not be sold or otherwise transferred except pursuant to an effective registration statement under the Securities Act or pursuant to an exemption from, or a transaction not subject to, registration under the Securities Act and applicable securities laws, (c) neither the Company nor any other Person is under any obligation to register the Buyer Shares under the Securities Act or any state securities laws with respect to any offering thereof by Buyer or to comply with the terms and conditions of any exemption thereunder, except as otherwise provided in the Transaction Agreements, and (d) any sale or transfer of the Buyer Shares is subject to the restrictions contained in, and must comply with the terms and conditions of, the Second A&amp;R LLC Agreement applicable to such transfer or sale.</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Broker’s Fees</w:t>
      </w:r>
      <w:r>
        <w:rPr>
          <w:rFonts w:ascii="Arial" w:cs="Arial" w:eastAsia="Arial" w:hAnsi="Arial"/>
          <w:sz w:val="22"/>
          <w:szCs w:val="22"/>
          <w:color w:val="auto"/>
        </w:rPr>
        <w:t>. Neither Buyer nor any of its Affiliates have employed any broker, finder or financial advisor or incurred any liability for any broker’s fees, commissions, finder’s fees or financial advisor’s fees in connection with any of the Transactions except as payable solely by Buyer.</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19"/>
          <w:szCs w:val="19"/>
          <w:u w:val="single" w:color="auto"/>
          <w:color w:val="auto"/>
        </w:rPr>
        <w:t>Legal Proceedings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0" w:lineRule="auto"/>
        <w:tabs>
          <w:tab w:leader="none" w:pos="2185" w:val="left"/>
        </w:tabs>
        <w:numPr>
          <w:ilvl w:val="0"/>
          <w:numId w:val="63"/>
        </w:numPr>
        <w:rPr>
          <w:rFonts w:ascii="Arial" w:cs="Arial" w:eastAsia="Arial" w:hAnsi="Arial"/>
          <w:sz w:val="21"/>
          <w:szCs w:val="21"/>
          <w:color w:val="auto"/>
        </w:rPr>
      </w:pPr>
      <w:r>
        <w:rPr>
          <w:rFonts w:ascii="Arial" w:cs="Arial" w:eastAsia="Arial" w:hAnsi="Arial"/>
          <w:sz w:val="21"/>
          <w:szCs w:val="21"/>
          <w:color w:val="auto"/>
        </w:rPr>
        <w:t>As of the date of this Agreement there are no Legal Proceedings pending and, to the Knowledge of Buyer, there are no Legal Proceedings threatened against Buyer, Honda R&amp;D Co or American Honda or any of their respective Affiliates or any of their properties or assets, or any of the managers or officers of the Buyer, Honda R&amp;D Co or American Honda or their respective Affiliates with regard to their actions as managers or officers of the Buyer, Honda R&amp;D Co or American Honda or their Affiliates, before any Governmental Authority that will or would reasonably be expected to, individually or in the aggregate, materially delay or impair the ability of Buyer, Honda R&amp;D Co or American Honda to consummate the Transactions pursuant to the Transaction Agreements to which such Persons are a party.</w:t>
      </w:r>
    </w:p>
    <w:p>
      <w:pPr>
        <w:spacing w:after="0" w:line="221" w:lineRule="exact"/>
        <w:rPr>
          <w:rFonts w:ascii="Arial" w:cs="Arial" w:eastAsia="Arial" w:hAnsi="Arial"/>
          <w:sz w:val="21"/>
          <w:szCs w:val="21"/>
          <w:color w:val="auto"/>
        </w:rPr>
      </w:pPr>
    </w:p>
    <w:p>
      <w:pPr>
        <w:jc w:val="both"/>
        <w:ind w:firstLine="1305"/>
        <w:spacing w:after="0" w:line="250" w:lineRule="auto"/>
        <w:tabs>
          <w:tab w:leader="none" w:pos="21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None of Buyer, Honda R&amp;D Co or American Honda or any Affiliate or Associated Person of Buyer, Honda R&amp;D Co or American Honda is, or has since August 1, 2013 been, a Blocked Person or, to the Knowledge of Buyer; (i) has done anything that is likely to result in it or them becoming a Blocked Person; or (ii) acts under the direction of, on behalf of, or for the benefit of a Blocked Person.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132" w:name="page133"/>
    <w:bookmarkEnd w:id="132"/>
    <w:p>
      <w:pPr>
        <w:ind w:left="660"/>
        <w:spacing w:after="0"/>
        <w:tabs>
          <w:tab w:leader="none" w:pos="182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No Other Representations and Warranties; Non-Reliance on Company Estimates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8" w:lineRule="auto"/>
        <w:tabs>
          <w:tab w:leader="none" w:pos="2185"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Except for the representations and warranties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Buyer acknowledges that neither the Company nor its Affiliates (including Parent) or any Representatives of the foregoing (in each case solely in connection with the Transactions) (i) has made or makes any other express or implied representation or warranty, either written or oral, including any representation or warranty as to the accuracy or completeness of any information regarding Parent, the Company or their respective Affiliates or any Representatives of the foregoing, furnished or made available to Buyer, its Affiliates or any of their Representatives and (ii) except as expressly otherwise provided herein or in any other Transaction Agreement, will have or be subject to any liability or indemnification obligation to Buyer, its Affiliates or any of its or their Representatives resulting from the delivery, dissemination or any other distribution to Buyer, its Affiliates or any of its or their Representatives, or the use by Buyer, its Affiliates or any of its or their Representatives, of any materials, documentation estimates, projections, forecasts, forward-looking information, business plans or other oral or other information during the course of due diligence or any negotiation process (including information memoranda, dataroom materials, projections, estimates, management presentations, budgets and financial data and reports).</w:t>
      </w:r>
    </w:p>
    <w:p>
      <w:pPr>
        <w:spacing w:after="0" w:line="220" w:lineRule="exact"/>
        <w:rPr>
          <w:rFonts w:ascii="Arial" w:cs="Arial" w:eastAsia="Arial" w:hAnsi="Arial"/>
          <w:sz w:val="21"/>
          <w:szCs w:val="21"/>
          <w:color w:val="auto"/>
        </w:rPr>
      </w:pPr>
    </w:p>
    <w:p>
      <w:pPr>
        <w:jc w:val="both"/>
        <w:ind w:firstLine="1305"/>
        <w:spacing w:after="0" w:line="289" w:lineRule="auto"/>
        <w:tabs>
          <w:tab w:leader="none" w:pos="21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connection with the due diligence investigation of the Company Group, and the business thereof, by Buyer, Buyer and/or its Representatives have received and may continue to receive from the Company and its Affiliates (including Parent) and their respective Representatives certain estimates, projections, forecasts and other forward-looking information, as well as certain business plan information, regarding the Company Group and its business and operations. Buyer hereby acknowledges that there are uncertainties inherent in attempting to make such estimates, projections, forecasts and other forward-looking statements, as well as in such business plans, with which Buyer is familiar, that Buyer is taking full responsibility for making its own evaluation of the adequacy and accuracy of all estimates, projections, forecasts and other forward-looking information, as well as such business plans, so furnished to Buyer (including the reasonableness of the assumptions underlying such estimates, projections, forecasts, forward-looking information or business plans), and that Buyer has not relied on such information.</w:t>
      </w:r>
    </w:p>
    <w:p>
      <w:pPr>
        <w:spacing w:after="0" w:line="192"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ADDITIONAL COVENANTS AND AGREEMENTS</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CFIUS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4" w:lineRule="auto"/>
        <w:tabs>
          <w:tab w:leader="none" w:pos="2185"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Parties agree to (i) engage CFIUS at a time mutually agreed by the Parties and (ii) if so required by CFIUS, make a joint draft voluntary notice. Subject to applicable Law relating to the sharing of information, the Parties further agree to supply, as promptly as practicable and advisable (and in any case within the time periods set forth by CFIUS), any additional information and documentary material that may be required or requested by the applicable Governmental Authority. Subject to applicable Law relating to the sharing of information, both Parties agree to provide the other Party as promptly as practicable with such assistance as such other Party reasonably requests for the purposes of such filings.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133" w:name="page134"/>
    <w:bookmarkEnd w:id="133"/>
    <w:p>
      <w:pPr>
        <w:jc w:val="both"/>
        <w:ind w:firstLine="1305"/>
        <w:spacing w:after="0" w:line="253" w:lineRule="auto"/>
        <w:tabs>
          <w:tab w:leader="none" w:pos="21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Unless Honda and Parent, following consultation with CFIUS, shall have agreed to proceed without filing a formal notice to CFIUS, the Parties shall, and shall cause their Affiliates to, use their respective reasonable best efforts to obtain CFIUS Approval as promptly as practicable following the date of this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Cooperation</w:t>
      </w:r>
      <w:r>
        <w:rPr>
          <w:rFonts w:ascii="Arial" w:cs="Arial" w:eastAsia="Arial" w:hAnsi="Arial"/>
          <w:sz w:val="22"/>
          <w:szCs w:val="22"/>
          <w:color w:val="auto"/>
        </w:rPr>
        <w:t>. Except as otherwise provided herein, in case at any time after the date of this Agreement any further action is necessary to carry out the purposes of this Agreement, the Parties agree to use their commercially reasonable efforts to take or cause to be taken all such reasonably necessary or appropriate action in accordance with and subject to the terms of this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there will be an initial joint press announcement with respect to this Agreement and the other Transactions in a form previously agreed upon by the Parties. At and after the Closing, the rights and obligations of Buyer and the Company with respect to the disclosure of information related to the Transactions will be governed exclusively by the Second A&amp;R LLC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Transfer Taxes</w:t>
      </w:r>
      <w:r>
        <w:rPr>
          <w:rFonts w:ascii="Arial" w:cs="Arial" w:eastAsia="Arial" w:hAnsi="Arial"/>
          <w:sz w:val="21"/>
          <w:szCs w:val="21"/>
          <w:color w:val="auto"/>
        </w:rPr>
        <w:t>. Any transfer, documentary, sales, use, stamp, registration or other such Taxes, and all conveyance fees, recording charges and other fees and charges (including any penalties and interest) (“Transfer Taxes”) incurred in connection with the Issuance shall be paid by Buyer when due. The Company shall file all necessary Tax Returns and other documentation with respect to all Transfer Taxes and, if required by applicable law, Parent and Buyer will, and will cause their Affiliates, to join in the execution of any such Tax Returns and other documentation.</w:t>
      </w:r>
    </w:p>
    <w:p>
      <w:pPr>
        <w:spacing w:after="0" w:line="17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INDEMNIFICATION; CERTAIN REMEDIES</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7" w:lineRule="auto"/>
        <w:tabs>
          <w:tab w:leader="none" w:pos="2185"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the Company set forth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(Corporate Organization; Subsidiaries),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(Authority and Validity),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(Capitalization) and </w:t>
      </w:r>
      <w:r>
        <w:rPr>
          <w:rFonts w:ascii="Arial" w:cs="Arial" w:eastAsia="Arial" w:hAnsi="Arial"/>
          <w:sz w:val="19"/>
          <w:szCs w:val="19"/>
          <w:u w:val="single" w:color="auto"/>
          <w:color w:val="auto"/>
        </w:rPr>
        <w:t>3.13</w:t>
      </w:r>
      <w:r>
        <w:rPr>
          <w:rFonts w:ascii="Arial" w:cs="Arial" w:eastAsia="Arial" w:hAnsi="Arial"/>
          <w:sz w:val="19"/>
          <w:szCs w:val="19"/>
          <w:color w:val="auto"/>
        </w:rPr>
        <w:t xml:space="preserve"> (Broker’s Fees) (together with the representations and warranties of the Company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(Taxes and Tax Returns), the “</w:t>
      </w:r>
      <w:r>
        <w:rPr>
          <w:rFonts w:ascii="Arial" w:cs="Arial" w:eastAsia="Arial" w:hAnsi="Arial"/>
          <w:sz w:val="19"/>
          <w:szCs w:val="19"/>
          <w:u w:val="single" w:color="auto"/>
          <w:color w:val="auto"/>
        </w:rPr>
        <w:t>Company Fundamental Reps</w:t>
      </w:r>
      <w:r>
        <w:rPr>
          <w:rFonts w:ascii="Arial" w:cs="Arial" w:eastAsia="Arial" w:hAnsi="Arial"/>
          <w:sz w:val="19"/>
          <w:szCs w:val="19"/>
          <w:color w:val="auto"/>
        </w:rPr>
        <w:t xml:space="preserve">”), shall survive the Closing until the date that is five (5) years from the Closing Date, (ii)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excluding the Company Fundamental Reps and the representations and warranties of the Company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(Intellectual Property), shall survive the Closing until the date that is twelve (12) months from the Closing Date, (iii) the Company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(Taxes and Tax Returns), shall survive the Closing until the date that is six (6) years from the Closing Date, (iv) the Company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(Intellectual Property), shall survive the Closing until the date that is three and a half (3.5) years from the Closing Date, (v) Buyer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(Corporate Organization),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(Authority and Validity),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(Accredited Investor Status) and </w:t>
      </w:r>
      <w:r>
        <w:rPr>
          <w:rFonts w:ascii="Arial" w:cs="Arial" w:eastAsia="Arial" w:hAnsi="Arial"/>
          <w:sz w:val="19"/>
          <w:szCs w:val="19"/>
          <w:u w:val="single" w:color="auto"/>
          <w:color w:val="auto"/>
        </w:rPr>
        <w:t>4.7</w:t>
      </w:r>
      <w:r>
        <w:rPr>
          <w:rFonts w:ascii="Arial" w:cs="Arial" w:eastAsia="Arial" w:hAnsi="Arial"/>
          <w:sz w:val="19"/>
          <w:szCs w:val="19"/>
          <w:color w:val="auto"/>
        </w:rPr>
        <w:t xml:space="preserve"> (Broker’s Fees) (the “</w:t>
      </w:r>
      <w:r>
        <w:rPr>
          <w:rFonts w:ascii="Arial" w:cs="Arial" w:eastAsia="Arial" w:hAnsi="Arial"/>
          <w:sz w:val="19"/>
          <w:szCs w:val="19"/>
          <w:u w:val="single" w:color="auto"/>
          <w:color w:val="auto"/>
        </w:rPr>
        <w:t>Buyer Fundamental Reps</w:t>
      </w:r>
      <w:r>
        <w:rPr>
          <w:rFonts w:ascii="Arial" w:cs="Arial" w:eastAsia="Arial" w:hAnsi="Arial"/>
          <w:sz w:val="19"/>
          <w:szCs w:val="19"/>
          <w:color w:val="auto"/>
        </w:rPr>
        <w:t xml:space="preserve">”) shall survive the Closing until the date that is five (5) years from the Closing Date and (vi) Buyer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excluding the Buyer Fundamental Reps (the “</w:t>
      </w:r>
      <w:r>
        <w:rPr>
          <w:rFonts w:ascii="Arial" w:cs="Arial" w:eastAsia="Arial" w:hAnsi="Arial"/>
          <w:sz w:val="19"/>
          <w:szCs w:val="19"/>
          <w:u w:val="single" w:color="auto"/>
          <w:color w:val="auto"/>
        </w:rPr>
        <w:t>Buyer Non-Fundamental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Reps</w:t>
      </w:r>
      <w:r>
        <w:rPr>
          <w:rFonts w:ascii="Arial" w:cs="Arial" w:eastAsia="Arial" w:hAnsi="Arial"/>
          <w:sz w:val="19"/>
          <w:szCs w:val="19"/>
          <w:color w:val="auto"/>
        </w:rPr>
        <w:t>”), shall survive the Closing until the date that is twelve (12) months from the Closing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134" w:name="page135"/>
    <w:bookmarkEnd w:id="134"/>
    <w:p>
      <w:pPr>
        <w:jc w:val="both"/>
        <w:ind w:firstLine="1305"/>
        <w:spacing w:after="0" w:line="289" w:lineRule="auto"/>
        <w:tabs>
          <w:tab w:leader="none" w:pos="2197"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covenants and agreements of a Party set forth in this Agreement to be performed at or following the Closing shall survive the Closing for the time period contemplated for performance (or, if no time period for performance is contemplated, until the third (3rd) anniversary of the Closing Date), or, if earlier, until fully performed. Notwithstanding the foregoing, if a written claim or written notice is given in good faith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with respect to any representation, warranty, covenant or agreement prior to the expiration of the applicable period during which such representation, warranty, covenant or agreement survives, in each case as set forth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(such period with respect to such representation, warranty, covenant or agreement, the “</w:t>
      </w:r>
      <w:r>
        <w:rPr>
          <w:rFonts w:ascii="Arial" w:cs="Arial" w:eastAsia="Arial" w:hAnsi="Arial"/>
          <w:sz w:val="19"/>
          <w:szCs w:val="19"/>
          <w:u w:val="single" w:color="auto"/>
          <w:color w:val="auto"/>
        </w:rPr>
        <w:t>Survival Period</w:t>
      </w:r>
      <w:r>
        <w:rPr>
          <w:rFonts w:ascii="Arial" w:cs="Arial" w:eastAsia="Arial" w:hAnsi="Arial"/>
          <w:sz w:val="19"/>
          <w:szCs w:val="19"/>
          <w:color w:val="auto"/>
        </w:rPr>
        <w:t xml:space="preserve">”), the claim with respect to such representation, warranty, covenant or agreement shall continue until such claim is finally resolved. Any claims for indemnification for which notice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is not timely delivered prior to the end of the Survival Period shall be expressly barred and are hereby waived.</w:t>
      </w:r>
    </w:p>
    <w:p>
      <w:pPr>
        <w:spacing w:after="0" w:line="19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302" w:lineRule="auto"/>
        <w:tabs>
          <w:tab w:leader="none" w:pos="2185"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the Company hereby agrees to defend, indemnify and hold harmless Buyer and its Affiliates, and any Representatives of any of the foregoing, and Buyer’s successors and assigns (collectively, the “</w:t>
      </w:r>
      <w:r>
        <w:rPr>
          <w:rFonts w:ascii="Arial" w:cs="Arial" w:eastAsia="Arial" w:hAnsi="Arial"/>
          <w:sz w:val="19"/>
          <w:szCs w:val="19"/>
          <w:u w:val="single" w:color="auto"/>
          <w:color w:val="auto"/>
        </w:rPr>
        <w:t>Buyer Indemnified Persons</w:t>
      </w:r>
      <w:r>
        <w:rPr>
          <w:rFonts w:ascii="Arial" w:cs="Arial" w:eastAsia="Arial" w:hAnsi="Arial"/>
          <w:sz w:val="19"/>
          <w:szCs w:val="19"/>
          <w:color w:val="auto"/>
        </w:rPr>
        <w:t>”) from and against, and shall compensate and reimburse them for, any and all Losses (regardless of whether or not such Losses relate to any Third Party Claim) based upon, arising out of or resulting from:</w:t>
      </w:r>
    </w:p>
    <w:p>
      <w:pPr>
        <w:spacing w:after="0" w:line="142" w:lineRule="exact"/>
        <w:rPr>
          <w:rFonts w:ascii="Arial" w:cs="Arial" w:eastAsia="Arial" w:hAnsi="Arial"/>
          <w:sz w:val="19"/>
          <w:szCs w:val="19"/>
          <w:color w:val="auto"/>
        </w:rPr>
      </w:pPr>
    </w:p>
    <w:p>
      <w:pPr>
        <w:jc w:val="both"/>
        <w:ind w:left="660" w:firstLine="1293"/>
        <w:spacing w:after="0" w:line="297" w:lineRule="auto"/>
        <w:tabs>
          <w:tab w:leader="none" w:pos="2809"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any breach of or inaccuracy in any of the representations or warranties made by the Company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any limitations or qualifications regarding “materiality” or similar terms or qualifications limiting the scope of such representations or warranties of the Company shall be disregarded (other than as set forth in the definitions of Material Contract and Permitted Liens, and the first sentence of </w:t>
      </w:r>
      <w:r>
        <w:rPr>
          <w:rFonts w:ascii="Arial" w:cs="Arial" w:eastAsia="Arial" w:hAnsi="Arial"/>
          <w:sz w:val="19"/>
          <w:szCs w:val="19"/>
          <w:u w:val="single" w:color="auto"/>
          <w:color w:val="auto"/>
        </w:rPr>
        <w:t>Section 3.8(c)</w:t>
      </w:r>
      <w:r>
        <w:rPr>
          <w:rFonts w:ascii="Arial" w:cs="Arial" w:eastAsia="Arial" w:hAnsi="Arial"/>
          <w:sz w:val="19"/>
          <w:szCs w:val="19"/>
          <w:color w:val="auto"/>
        </w:rPr>
        <w:t xml:space="preserve">, the last instance in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3.11(i)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3.18</w:t>
      </w:r>
      <w:r>
        <w:rPr>
          <w:rFonts w:ascii="Arial" w:cs="Arial" w:eastAsia="Arial" w:hAnsi="Arial"/>
          <w:sz w:val="19"/>
          <w:szCs w:val="19"/>
          <w:color w:val="auto"/>
        </w:rPr>
        <w:t>);or</w:t>
      </w:r>
    </w:p>
    <w:p>
      <w:pPr>
        <w:spacing w:after="0" w:line="187" w:lineRule="exact"/>
        <w:rPr>
          <w:rFonts w:ascii="Arial" w:cs="Arial" w:eastAsia="Arial" w:hAnsi="Arial"/>
          <w:sz w:val="19"/>
          <w:szCs w:val="19"/>
          <w:color w:val="auto"/>
        </w:rPr>
      </w:pPr>
    </w:p>
    <w:p>
      <w:pPr>
        <w:ind w:left="2860" w:hanging="907"/>
        <w:spacing w:after="0"/>
        <w:tabs>
          <w:tab w:leader="none" w:pos="28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breach of or failure to perform any of the Company’s covenants or agreements contained in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Buyer hereby agrees to defend, indemnify and hold harmless the Company and its Affiliates (including Parent), and any Representatives of any of the foregoing, and each of the successors and assigns of any the foregoing, from and against, and shall compensate and reimburse them for, any and all Losses (regardless of whether or not such Losses relate to any Third Party Claim) based upon, arising out of or resulting from:</w:t>
      </w:r>
    </w:p>
    <w:p>
      <w:pPr>
        <w:spacing w:after="0" w:line="176" w:lineRule="exact"/>
        <w:rPr>
          <w:sz w:val="20"/>
          <w:szCs w:val="20"/>
          <w:color w:val="auto"/>
        </w:rPr>
      </w:pPr>
    </w:p>
    <w:p>
      <w:pPr>
        <w:jc w:val="both"/>
        <w:ind w:firstLine="1305"/>
        <w:spacing w:after="0" w:line="271" w:lineRule="auto"/>
        <w:tabs>
          <w:tab w:leader="none" w:pos="2185"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any breach of or inaccuracy in any of the representations or warranties made by Buyer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w:t>
      </w:r>
      <w:r>
        <w:rPr>
          <w:rFonts w:ascii="Arial" w:cs="Arial" w:eastAsia="Arial" w:hAnsi="Arial"/>
          <w:sz w:val="21"/>
          <w:szCs w:val="21"/>
          <w:u w:val="single" w:color="auto"/>
          <w:color w:val="auto"/>
        </w:rPr>
        <w:t>Section 6.3(a)</w:t>
      </w:r>
      <w:r>
        <w:rPr>
          <w:rFonts w:ascii="Arial" w:cs="Arial" w:eastAsia="Arial" w:hAnsi="Arial"/>
          <w:sz w:val="21"/>
          <w:szCs w:val="21"/>
          <w:color w:val="auto"/>
        </w:rPr>
        <w:t>, any limitations or qualifications regarding “materiality” or similar terms or qualifications limiting the scope of such representations or warranties of Buyer shall be disregarded;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135" w:name="page136"/>
    <w:bookmarkEnd w:id="135"/>
    <w:p>
      <w:pPr>
        <w:ind w:left="2200" w:hanging="895"/>
        <w:spacing w:after="0"/>
        <w:tabs>
          <w:tab w:leader="none" w:pos="22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breach of or failure to perform any of Buyer’s covenants or agreements contained in this Agreement.</w:t>
      </w:r>
    </w:p>
    <w:p>
      <w:pPr>
        <w:spacing w:after="0" w:line="295"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xml:space="preserve">. In the event that indemnification, compensation or reimbursement may be sought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Indemnification Claim</w:t>
      </w:r>
      <w:r>
        <w:rPr>
          <w:rFonts w:ascii="Arial" w:cs="Arial" w:eastAsia="Arial" w:hAnsi="Arial"/>
          <w:sz w:val="19"/>
          <w:szCs w:val="19"/>
          <w:color w:val="auto"/>
        </w:rPr>
        <w:t>”) in connection with (a) any action, suit or proceeding that may be instituted or</w:t>
      </w:r>
    </w:p>
    <w:p>
      <w:pPr>
        <w:spacing w:after="0" w:line="1" w:lineRule="exact"/>
        <w:rPr>
          <w:sz w:val="20"/>
          <w:szCs w:val="20"/>
          <w:color w:val="auto"/>
        </w:rPr>
      </w:pPr>
    </w:p>
    <w:p>
      <w:pPr>
        <w:jc w:val="both"/>
        <w:ind w:firstLine="8"/>
        <w:spacing w:after="0" w:line="283" w:lineRule="auto"/>
        <w:tabs>
          <w:tab w:leader="none" w:pos="3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claim that may be asserted, in each case by a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the Party seeking indemnification, compensation or reimbursement hereunder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promptly give written notice of the assertion of such Indemnification Claim (which notice shall describe in reasonable detail the relevant Indemnification Claim, the amount thereof (if known and quantifiable) and the basis thereof) to the Party from whom indemnification, compensation or reimbursement hereunder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prior to the expiration of the applicable Survival Period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delay on the part of the Indemnified Party in giving any such notice shall relieve the Indemnifying Party of any indemnification, compensation or reimbursement obligation hereunder unless (and then solely to the extent that) the Indemnifying Party is materially prejudiced by such delay. The Indemnifying Party shall have the right, at its sole option, to be represented by counsel of its choice (the cost of which will be borne solely by the Indemnifying Party), which must be reasonably satisfactory to the Indemnified Party, and to take sole control and defend against, negotiate, settle or otherwise deal with a Third Party Claim and, if the Indemnifying Party elects to defend against, negotiate, settle or otherwise deal with such Third Party Claim, it shall notify the Indemnified Party of its intent to do so within thirty (30) days (or sooner if the nature of such Third Party Claim so requires) of the receipt by the Indemnifying Party of the notice of the assertion of such Third Party Claim (the “</w:t>
      </w:r>
      <w:r>
        <w:rPr>
          <w:rFonts w:ascii="Arial" w:cs="Arial" w:eastAsia="Arial" w:hAnsi="Arial"/>
          <w:sz w:val="19"/>
          <w:szCs w:val="19"/>
          <w:u w:val="single" w:color="auto"/>
          <w:color w:val="auto"/>
        </w:rPr>
        <w:t>Dispute Period</w:t>
      </w:r>
      <w:r>
        <w:rPr>
          <w:rFonts w:ascii="Arial" w:cs="Arial" w:eastAsia="Arial" w:hAnsi="Arial"/>
          <w:sz w:val="19"/>
          <w:szCs w:val="19"/>
          <w:color w:val="auto"/>
        </w:rPr>
        <w:t xml:space="preserve">”), subject to the limitations set forth in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Indemnifying Party shall not be entitled to assume the defense of any Third Party Claim if (x) such Third Party Claim relates to or arises from any criminal proceeding, action, indictment, allegation or investigation, or otherwise involves as the counter-party any Governmental Authority, or (y) such Third Party Claim seeks an order, injunction or other equitable relief or relief for other than monetary damages against the Indemnified Party that, in each case of (x) and (y), the Indemnified Party reasonably determines, based on the advice of its outside counsel, cannot be separated from any related claim for money damages. If such equitable relief or other relief portion of such Third Party Claim can be so separated from that for money damages, the Indemnifying Party shall be entitled to assume the defense of the portion relating to money damages. If the Indemnifying Party is not entitled to, or within the Dispute Period elects not to, defend against, negotiate, settle or otherwise deal with any Third Party Claim or fails to promptly notify the Indemnified Party in writing of its election to defend as provided in this Agreement, the Indemnified Party may defend against, negotiate, settle or otherwise deal with such Third Party Claim, subject to the limitations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If the Indemnifying Party assumes the defense of any Third Party Claim, the Indemnified Party may participate, at its own expense, in the defense of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Indemnified Party shall be entitled to participate in any such defense with separate counsel at the expense of the Indemnifying Party if (i) the employment of such counsel has been authorized in writing by the Indemnifying Party or (ii) outside counsel to the Indemnified Party advises the Indemnified Party that an actual or potential conflict exists between the Indemnified Party and the Indemnifying Party that would make such separate representation advisable;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Indemnifying Party shall not be required to pay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75" w:right="239" w:bottom="1440" w:gutter="0" w:footer="0" w:header="0"/>
        </w:sectPr>
      </w:pPr>
    </w:p>
    <w:bookmarkStart w:id="136" w:name="page137"/>
    <w:bookmarkEnd w:id="136"/>
    <w:p>
      <w:pPr>
        <w:jc w:val="both"/>
        <w:spacing w:after="0" w:line="289" w:lineRule="auto"/>
        <w:rPr>
          <w:sz w:val="20"/>
          <w:szCs w:val="20"/>
          <w:color w:val="auto"/>
        </w:rPr>
      </w:pPr>
      <w:r>
        <w:rPr>
          <w:rFonts w:ascii="Arial" w:cs="Arial" w:eastAsia="Arial" w:hAnsi="Arial"/>
          <w:sz w:val="19"/>
          <w:szCs w:val="19"/>
          <w:color w:val="auto"/>
        </w:rPr>
        <w:t xml:space="preserve">for more than one (1) such counsel for all Indemnified Parties in connection with any single Indemnification Claim. The Parties agree to cooperate reasonably with each other in connection with the defense, negotiation or settlement of any such Third Party Claim. Notwithstanding anything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to the contrary, (A) the Indemnifying Party shall not, without the written consent of the Indemnified Party (not to be unreasonably withheld, conditioned or delayed), settle or compromise any Third Party Claim or permit a default or consent to entry of any judgment (each, a “</w:t>
      </w:r>
      <w:r>
        <w:rPr>
          <w:rFonts w:ascii="Arial" w:cs="Arial" w:eastAsia="Arial" w:hAnsi="Arial"/>
          <w:sz w:val="19"/>
          <w:szCs w:val="19"/>
          <w:u w:val="single" w:color="auto"/>
          <w:color w:val="auto"/>
        </w:rPr>
        <w:t>Settlement</w:t>
      </w:r>
      <w:r>
        <w:rPr>
          <w:rFonts w:ascii="Arial" w:cs="Arial" w:eastAsia="Arial" w:hAnsi="Arial"/>
          <w:sz w:val="19"/>
          <w:szCs w:val="19"/>
          <w:color w:val="auto"/>
        </w:rPr>
        <w:t>”) unless (1) the claimant provides to the Indemnified Party an unqualified release from all Liability (without any admission of wrongdoing by the Indemnified Party) in respect of the relevant Third Party Claim and (2) such Settlement does not impose any liabilities or obligations on the Indemnified Party (other than monetary damages) and (B) the Indemnified Party, without the prior written consent of the Indemnifying Party (not to be unreasonably withheld, conditioned or delayed), shall not settle any Third Party Claim.</w:t>
      </w:r>
    </w:p>
    <w:p>
      <w:pPr>
        <w:spacing w:after="0" w:line="19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Limitations on Indemnification for Breaches of Representations and Warranties</w:t>
      </w:r>
      <w:r>
        <w:rPr>
          <w:rFonts w:ascii="Arial" w:cs="Arial" w:eastAsia="Arial" w:hAnsi="Arial"/>
          <w:sz w:val="19"/>
          <w:szCs w:val="19"/>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Notwithstanding any provision of this Agreement or any Transaction Agreement to the contrary:</w:t>
      </w:r>
    </w:p>
    <w:p>
      <w:pPr>
        <w:spacing w:after="0" w:line="220" w:lineRule="exact"/>
        <w:rPr>
          <w:sz w:val="20"/>
          <w:szCs w:val="20"/>
          <w:color w:val="auto"/>
        </w:rPr>
      </w:pPr>
    </w:p>
    <w:p>
      <w:pPr>
        <w:jc w:val="both"/>
        <w:ind w:firstLine="1305"/>
        <w:spacing w:after="0" w:line="285" w:lineRule="auto"/>
        <w:tabs>
          <w:tab w:leader="none" w:pos="2185"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 The Company shall not have any indemnification, compensation or reimbursement obligations for Losses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arising as a result of (A) a breach of the representations and warranties of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excluding the Company Fundamental Reps (the “</w:t>
      </w:r>
      <w:r>
        <w:rPr>
          <w:rFonts w:ascii="Arial" w:cs="Arial" w:eastAsia="Arial" w:hAnsi="Arial"/>
          <w:sz w:val="19"/>
          <w:szCs w:val="19"/>
          <w:u w:val="single" w:color="auto"/>
          <w:color w:val="auto"/>
        </w:rPr>
        <w:t>Company Non-Fundamental Reps</w:t>
      </w:r>
      <w:r>
        <w:rPr>
          <w:rFonts w:ascii="Arial" w:cs="Arial" w:eastAsia="Arial" w:hAnsi="Arial"/>
          <w:sz w:val="19"/>
          <w:szCs w:val="19"/>
          <w:color w:val="auto"/>
        </w:rPr>
        <w:t xml:space="preserve">”) or (B) a breach of or failure to perform any of the Company’s covenants or agreements contained in this Agreement, with respect to any individual claim (or series of related claims) unless such claim (or series of claims) involves Losses in excess of $250,000 (nor shall such item be applied to or considered for purposes of calculating the Basket (as defined below)); (ii) the Company shall not have any indemnification, compensation or reimbursement obligations for Losses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arising as a result of a breach of the Company Non-Fundamental Reps unless and until the aggregate amount of all such Losses for which the Company is finally determined to be liable exceeds one percent (1%) of the Purchase Price (the “</w:t>
      </w:r>
      <w:r>
        <w:rPr>
          <w:rFonts w:ascii="Arial" w:cs="Arial" w:eastAsia="Arial" w:hAnsi="Arial"/>
          <w:sz w:val="19"/>
          <w:szCs w:val="19"/>
          <w:u w:val="single" w:color="auto"/>
          <w:color w:val="auto"/>
        </w:rPr>
        <w:t>Basket</w:t>
      </w:r>
      <w:r>
        <w:rPr>
          <w:rFonts w:ascii="Arial" w:cs="Arial" w:eastAsia="Arial" w:hAnsi="Arial"/>
          <w:sz w:val="19"/>
          <w:szCs w:val="19"/>
          <w:color w:val="auto"/>
        </w:rPr>
        <w:t xml:space="preserve">”), and the Company shall only have indemnification obligations to the extent of the excess of such Losses over the Basket, (iii) subject to clause (iv), in no event shall the aggregate indemnification, compensation and reimbursement to be paid by Company for Losses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arising as a result of a breach of the Company Non-Fundamental Reps (including those in </w:t>
      </w:r>
      <w:r>
        <w:rPr>
          <w:rFonts w:ascii="Arial" w:cs="Arial" w:eastAsia="Arial" w:hAnsi="Arial"/>
          <w:sz w:val="19"/>
          <w:szCs w:val="19"/>
          <w:u w:val="single" w:color="auto"/>
          <w:color w:val="auto"/>
        </w:rPr>
        <w:t>Section 3.11</w:t>
      </w:r>
      <w:r>
        <w:rPr>
          <w:rFonts w:ascii="Arial" w:cs="Arial" w:eastAsia="Arial" w:hAnsi="Arial"/>
          <w:sz w:val="19"/>
          <w:szCs w:val="19"/>
          <w:color w:val="auto"/>
        </w:rPr>
        <w:t>) exceed ten percent (10%) of the Purchase Price (the “</w:t>
      </w:r>
      <w:r>
        <w:rPr>
          <w:rFonts w:ascii="Arial" w:cs="Arial" w:eastAsia="Arial" w:hAnsi="Arial"/>
          <w:sz w:val="19"/>
          <w:szCs w:val="19"/>
          <w:u w:val="single" w:color="auto"/>
          <w:color w:val="auto"/>
        </w:rPr>
        <w:t>Closing Cap</w:t>
      </w:r>
      <w:r>
        <w:rPr>
          <w:rFonts w:ascii="Arial" w:cs="Arial" w:eastAsia="Arial" w:hAnsi="Arial"/>
          <w:sz w:val="19"/>
          <w:szCs w:val="19"/>
          <w:color w:val="auto"/>
        </w:rPr>
        <w:t xml:space="preserve">”), (iv) in no event shall the aggregate indemnification, compensation or reimbursement obligations of the Company for Losses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arising as a result of a breach of the representations and warranties of the Company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after taking into account the aggregate indemnification, compensation and reimbursement paid by the Company for Losses under </w:t>
      </w:r>
      <w:r>
        <w:rPr>
          <w:rFonts w:ascii="Arial" w:cs="Arial" w:eastAsia="Arial" w:hAnsi="Arial"/>
          <w:sz w:val="19"/>
          <w:szCs w:val="19"/>
          <w:u w:val="single" w:color="auto"/>
          <w:color w:val="auto"/>
        </w:rPr>
        <w:t>Section 6.2(a)(i)</w:t>
      </w:r>
      <w:r>
        <w:rPr>
          <w:rFonts w:ascii="Arial" w:cs="Arial" w:eastAsia="Arial" w:hAnsi="Arial"/>
          <w:sz w:val="19"/>
          <w:szCs w:val="19"/>
          <w:color w:val="auto"/>
        </w:rPr>
        <w:t xml:space="preserve"> arising as a result of a breach of any other Company Non-Fundamental Reps, exceed twenty-five percent (25%) of the Purchase Price, and (v) in no event shall the aggregate indemnification, compensation and reimbursement obligations to be paid by the Company for Losses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exceed the Purchase Price.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75" w:right="239" w:bottom="1440" w:gutter="0" w:footer="0" w:header="0"/>
        </w:sectPr>
      </w:pPr>
    </w:p>
    <w:bookmarkStart w:id="137" w:name="page138"/>
    <w:bookmarkEnd w:id="137"/>
    <w:p>
      <w:pPr>
        <w:jc w:val="both"/>
        <w:ind w:firstLine="1305"/>
        <w:spacing w:after="0" w:line="258" w:lineRule="auto"/>
        <w:tabs>
          <w:tab w:leader="none" w:pos="2197"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(i) Buyer shall not have any indemnification, compensation or reimbursement obligations for Losses under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arising as a result of (A) a breach of the Buyer Non-Fundamental Reps or (B) a breach of or failure to perform any of Buyer’s covenants or agreements contained in this Agreement, with respect to any individual claim (or series of related claims) unless such claims (or series of claims) involves Losses in excess of $250,000 (nor shall such item be applied to or considered for purposes of calculating the Basket); (ii) Buyer shall not have any indemnification, compensation and reimbursement obligations for Losses under </w:t>
      </w:r>
      <w:r>
        <w:rPr>
          <w:rFonts w:ascii="Arial" w:cs="Arial" w:eastAsia="Arial" w:hAnsi="Arial"/>
          <w:sz w:val="21"/>
          <w:szCs w:val="21"/>
          <w:u w:val="single" w:color="auto"/>
          <w:color w:val="auto"/>
        </w:rPr>
        <w:t>Section 6.3(a)</w:t>
      </w:r>
      <w:r>
        <w:rPr>
          <w:rFonts w:ascii="Arial" w:cs="Arial" w:eastAsia="Arial" w:hAnsi="Arial"/>
          <w:sz w:val="21"/>
          <w:szCs w:val="21"/>
          <w:color w:val="auto"/>
        </w:rPr>
        <w:t xml:space="preserve"> arising as a result of a breach of the Buyer Non-Fundamental Reps unless and until the aggregate amount of all such Losses, finally determined, exceeds the Basket;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from and after such time as the total amount of such Losses exceeds the Basket, then Buyer shall be liable only for the portion that exceeds the Basket, (iii) in no event shall the aggregate indemnification, compensation and reimbursement to be paid by Buyer for all Losses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6.3(a)</w:t>
      </w:r>
      <w:r>
        <w:rPr>
          <w:rFonts w:ascii="Arial" w:cs="Arial" w:eastAsia="Arial" w:hAnsi="Arial"/>
          <w:sz w:val="21"/>
          <w:szCs w:val="21"/>
          <w:color w:val="auto"/>
        </w:rPr>
        <w:t xml:space="preserve"> arising as a result of a breach of the Buyer Non-Fundamental Reps exceed the Closing Cap, and (iv) in no event shall the aggregate indemnification, compensation or reimbursement to be paid by Buyer for Losses under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exceed the Purchase Price.</w:t>
      </w:r>
    </w:p>
    <w:p>
      <w:pPr>
        <w:spacing w:after="0" w:line="22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Adjustments to Losses; Limitations on Remedies; Calculation of Losses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2185"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If any Indemnifying Party is liable to pay an amount in discharge of any claim under this Agreement and any Indemnified Party or its Affiliates recovers from a third party (including any insurer but excluding any “self-insurance” maintained by the Indemnified Party or its Affiliates) a sum which indemnifies, compensates or reimburses the Indemnified Party or its Affiliates (in whole or in part) in respect of the Loss which is the subject matter of the claim, the Indemnified Party shall reduce or satisfy, as the case may be, such claim to the extent of such recovery less any reasonable out-of-pocket costs and expenses incurred in connection with receiving such recovery and any related increases in insurance premiums;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Indemnified Party have any obligation to seek or enforce any recovery from such third party.</w:t>
      </w:r>
    </w:p>
    <w:p>
      <w:pPr>
        <w:spacing w:after="0" w:line="192" w:lineRule="exact"/>
        <w:rPr>
          <w:rFonts w:ascii="Arial" w:cs="Arial" w:eastAsia="Arial" w:hAnsi="Arial"/>
          <w:sz w:val="19"/>
          <w:szCs w:val="19"/>
          <w:color w:val="auto"/>
        </w:rPr>
      </w:pPr>
    </w:p>
    <w:p>
      <w:pPr>
        <w:jc w:val="both"/>
        <w:ind w:firstLine="1305"/>
        <w:spacing w:after="0" w:line="289" w:lineRule="auto"/>
        <w:tabs>
          <w:tab w:leader="none" w:pos="2197" w:val="left"/>
        </w:tabs>
        <w:numPr>
          <w:ilvl w:val="0"/>
          <w:numId w:val="75"/>
        </w:numPr>
        <w:rPr>
          <w:rFonts w:ascii="Arial" w:cs="Arial" w:eastAsia="Arial" w:hAnsi="Arial"/>
          <w:sz w:val="19"/>
          <w:szCs w:val="19"/>
          <w:color w:val="auto"/>
        </w:rPr>
      </w:pPr>
      <w:r>
        <w:rPr>
          <w:rFonts w:ascii="Arial" w:cs="Arial" w:eastAsia="Arial" w:hAnsi="Arial"/>
          <w:sz w:val="19"/>
          <w:szCs w:val="19"/>
          <w:color w:val="auto"/>
        </w:rPr>
        <w:t>To the extent a Loss for which indemnification is provided results in a reduction of Taxes payable by, or a Tax refund to, the Indemnified Party or its Affiliates (determined on a “with and without” basis) in the Taxable Period in which such Loss was accrued for Tax purposes or the following two (2) Taxable Periods (a “</w:t>
      </w:r>
      <w:r>
        <w:rPr>
          <w:rFonts w:ascii="Arial" w:cs="Arial" w:eastAsia="Arial" w:hAnsi="Arial"/>
          <w:sz w:val="19"/>
          <w:szCs w:val="19"/>
          <w:u w:val="single" w:color="auto"/>
          <w:color w:val="auto"/>
        </w:rPr>
        <w:t>Tax Benefit</w:t>
      </w:r>
      <w:r>
        <w:rPr>
          <w:rFonts w:ascii="Arial" w:cs="Arial" w:eastAsia="Arial" w:hAnsi="Arial"/>
          <w:sz w:val="19"/>
          <w:szCs w:val="19"/>
          <w:color w:val="auto"/>
        </w:rPr>
        <w:t xml:space="preserve">”), then the amount of the indemnity payment made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in respect of such Loss shall be reduced by the amount of such Tax Benefit. In the event such Tax Benefit is ultimately disallowed pursuant to a “determination,” as defined in Section 1313 of the Code, the Indemnifying Party shall pay, no later than fifteen (15) days following the date of such determination, to the Indemnified Party the amount by which such indemnity payment was reduced as a result of the Tax Benefit. If any such Tax Benefit is not actually realized prior to the time the related indemnification payment is made, the Indemnified Party thereafter shall make payments in accordance with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to the Indemnifying Party to reflect such Tax Benefit.</w:t>
      </w:r>
    </w:p>
    <w:p>
      <w:pPr>
        <w:spacing w:after="0" w:line="198" w:lineRule="exact"/>
        <w:rPr>
          <w:rFonts w:ascii="Arial" w:cs="Arial" w:eastAsia="Arial" w:hAnsi="Arial"/>
          <w:sz w:val="19"/>
          <w:szCs w:val="19"/>
          <w:color w:val="auto"/>
        </w:rPr>
      </w:pPr>
    </w:p>
    <w:p>
      <w:pPr>
        <w:ind w:firstLine="1305"/>
        <w:spacing w:after="0" w:line="263" w:lineRule="auto"/>
        <w:tabs>
          <w:tab w:leader="none" w:pos="2185"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No Indemnified Party shall be entitled to recover from any Indemnifying Party (i)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more than once in respect of the same Loss (notwithstanding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75" w:right="239" w:bottom="1440" w:gutter="0" w:footer="0" w:header="0"/>
        </w:sectPr>
      </w:pPr>
    </w:p>
    <w:bookmarkStart w:id="138" w:name="page139"/>
    <w:bookmarkEnd w:id="138"/>
    <w:p>
      <w:pPr>
        <w:spacing w:after="0" w:line="263" w:lineRule="auto"/>
        <w:rPr>
          <w:sz w:val="20"/>
          <w:szCs w:val="20"/>
          <w:color w:val="auto"/>
        </w:rPr>
      </w:pPr>
      <w:r>
        <w:rPr>
          <w:rFonts w:ascii="Arial" w:cs="Arial" w:eastAsia="Arial" w:hAnsi="Arial"/>
          <w:sz w:val="22"/>
          <w:szCs w:val="22"/>
          <w:color w:val="auto"/>
        </w:rPr>
        <w:t>such Loss may result from breaches of multiple provisions of this Agreement), or (ii) to the extent such Indemnified Party has already recovered for such Loss under any other Transaction Agreement.</w:t>
      </w:r>
    </w:p>
    <w:p>
      <w:pPr>
        <w:spacing w:after="0" w:line="215" w:lineRule="exact"/>
        <w:rPr>
          <w:sz w:val="20"/>
          <w:szCs w:val="20"/>
          <w:color w:val="auto"/>
        </w:rPr>
      </w:pPr>
    </w:p>
    <w:p>
      <w:pPr>
        <w:jc w:val="both"/>
        <w:ind w:firstLine="1305"/>
        <w:spacing w:after="0" w:line="291" w:lineRule="auto"/>
        <w:tabs>
          <w:tab w:leader="none" w:pos="2197" w:val="left"/>
        </w:tabs>
        <w:numPr>
          <w:ilvl w:val="1"/>
          <w:numId w:val="7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in no event shall an Indemnifying Party have any liability under this Agreement to an Indemnified Party (i) for any Losses that were not reasonably foreseeable, and</w:t>
      </w:r>
    </w:p>
    <w:p>
      <w:pPr>
        <w:spacing w:after="0" w:line="1" w:lineRule="exact"/>
        <w:rPr>
          <w:rFonts w:ascii="Arial" w:cs="Arial" w:eastAsia="Arial" w:hAnsi="Arial"/>
          <w:sz w:val="19"/>
          <w:szCs w:val="19"/>
          <w:color w:val="auto"/>
        </w:rPr>
      </w:pPr>
    </w:p>
    <w:p>
      <w:pPr>
        <w:jc w:val="both"/>
        <w:ind w:firstLine="8"/>
        <w:spacing w:after="0" w:line="295"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 any punitive or exemplary damages, unless in each case of (i) and (ii), awarded by an arbitrator or Governmental Authority to a third party and paid to such third party by an Indemnified Party, (iii) for lost opportunities and (iv) for diminution or reduction in value premised upon application of a multiplier of any financial measure or of any similar item (including the application of a multiplier to loss of revenue, income or profits, loss of business reputation, goodwill or opportunity).</w:t>
      </w:r>
    </w:p>
    <w:p>
      <w:pPr>
        <w:spacing w:after="0" w:line="190" w:lineRule="exact"/>
        <w:rPr>
          <w:rFonts w:ascii="Arial" w:cs="Arial" w:eastAsia="Arial" w:hAnsi="Arial"/>
          <w:sz w:val="19"/>
          <w:szCs w:val="19"/>
          <w:color w:val="auto"/>
        </w:rPr>
      </w:pPr>
    </w:p>
    <w:p>
      <w:pPr>
        <w:jc w:val="both"/>
        <w:ind w:firstLine="1305"/>
        <w:spacing w:after="0" w:line="246" w:lineRule="auto"/>
        <w:tabs>
          <w:tab w:leader="none" w:pos="2185"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Any Indemnified Party’s right to indemnification, compensation or reimbursement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based on any breach of or inaccuracy in any representation or warranty of an Indemnifying Party under this Agreement or any breach of or failure to perform any covenant or agreement of an Indemnifying Party under this Agreement shall not be diminished or otherwise affected in any way as a result of the existence of such Indemnified Party’s knowledge of such breach, inaccuracy or nonperformance as of the date of this Agreement, regardless of whether such knowledge exists as a result of the Indemnified Party’s investigation or as a result of disclosure by such Indemnifying Party (other than in the Disclosure Letter or in the GM SEC Filings).</w:t>
      </w:r>
    </w:p>
    <w:p>
      <w:pPr>
        <w:spacing w:after="0" w:line="237" w:lineRule="exact"/>
        <w:rPr>
          <w:rFonts w:ascii="Arial" w:cs="Arial" w:eastAsia="Arial" w:hAnsi="Arial"/>
          <w:sz w:val="22"/>
          <w:szCs w:val="22"/>
          <w:color w:val="auto"/>
        </w:rPr>
      </w:pPr>
    </w:p>
    <w:p>
      <w:pPr>
        <w:jc w:val="both"/>
        <w:ind w:firstLine="1305"/>
        <w:spacing w:after="0" w:line="294" w:lineRule="auto"/>
        <w:tabs>
          <w:tab w:leader="none" w:pos="2161"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 In the event that payment is to be made by the Company to any Buyer Indemnified Person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in respect of any Losses, the Company shall pay any such obligations owed to a Buyer Indemnified Person in an amount equal to (x) such Losses subject to indemnification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(y) the Non-Buyer Equity Percentage at the time of such Loss, and (ii) in the event that payment is to be made by the Buyer to the Company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in respect of any Losses, the Buyer shall pay any such obligations owed to the Company in an amount equal to (x) such Losses subject to indemnification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(y) the Non-Buyer Equity Percentage at the time of such Loss.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Payments</w:t>
      </w:r>
      <w:r>
        <w:rPr>
          <w:rFonts w:ascii="Arial" w:cs="Arial" w:eastAsia="Arial" w:hAnsi="Arial"/>
          <w:sz w:val="22"/>
          <w:szCs w:val="22"/>
          <w:color w:val="auto"/>
        </w:rPr>
        <w:t>. The Indemnifying Party shall pay to the Indemnified Party the amount of any Losses for which the Indemnifying Party is liable hereunder, in immediately available funds, to an account specified by the Indemnified Party no later than fifteen (15) days following any Final Determination of such Losses and the Indemnifying Party’s liability therefor. A “</w:t>
      </w:r>
      <w:r>
        <w:rPr>
          <w:rFonts w:ascii="Arial" w:cs="Arial" w:eastAsia="Arial" w:hAnsi="Arial"/>
          <w:sz w:val="22"/>
          <w:szCs w:val="22"/>
          <w:u w:val="single" w:color="auto"/>
          <w:color w:val="auto"/>
        </w:rPr>
        <w:t>Final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Determination</w:t>
      </w:r>
      <w:r>
        <w:rPr>
          <w:rFonts w:ascii="Arial" w:cs="Arial" w:eastAsia="Arial" w:hAnsi="Arial"/>
          <w:sz w:val="22"/>
          <w:szCs w:val="22"/>
          <w:color w:val="auto"/>
        </w:rPr>
        <w:t>” shall exist when (a) the parties to the dispute have reached an agreement in writing, (b) a court of competent jurisdiction shall have entered a final and non-appealable Order or judgment with respect to the subject matter of the claim or (c) an arbitration or like panel shall have rendered a final non-appealable determination with respect to disputes the Parties have agreed to submit thereto.</w:t>
      </w: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Mitigation</w:t>
      </w:r>
      <w:r>
        <w:rPr>
          <w:rFonts w:ascii="Arial" w:cs="Arial" w:eastAsia="Arial" w:hAnsi="Arial"/>
          <w:sz w:val="22"/>
          <w:szCs w:val="22"/>
          <w:color w:val="auto"/>
        </w:rPr>
        <w:t xml:space="preserve">. The Parties shall (and shall cause their respective Affiliates to) cooperate with each other with respect to resolving any claim or liability with respect to which one party is obligated to indemnify the other party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including by making commercially reasonable efforts to mitigate to the extent required by Law after becoming aware of any such claim.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75" w:right="239" w:bottom="1440" w:gutter="0" w:footer="0" w:header="0"/>
        </w:sectPr>
      </w:pPr>
    </w:p>
    <w:bookmarkStart w:id="139" w:name="page140"/>
    <w:bookmarkEnd w:id="139"/>
    <w:p>
      <w:pPr>
        <w:jc w:val="both"/>
        <w:ind w:firstLine="648"/>
        <w:spacing w:after="0" w:line="285"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Exclusive Remedy</w:t>
      </w:r>
      <w:r>
        <w:rPr>
          <w:rFonts w:ascii="Arial" w:cs="Arial" w:eastAsia="Arial" w:hAnsi="Arial"/>
          <w:sz w:val="19"/>
          <w:szCs w:val="19"/>
          <w:color w:val="auto"/>
        </w:rPr>
        <w:t xml:space="preserve">. Other than for claims of intentional fraud based on a false representation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the remedies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the sole and exclusive remedies of the Parties for any breach or alleged breach of any representation or warranty or any covenant or agreement in this Agreement. The Parties acknowledge and agree that, except as otherwise expressly provided in this Agreement, the remedies available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supersede any other remedies available at law or in equity including rights of rescission and claims arising under applicable Law, and each Party hereby waives and releases, to the fullest extent permitted by applicable Law, any and all other rights, remedies, claims and causes of action, whether in contract, tort or otherwise, known or unknown, foreseen or unforeseen, which exist or may arise in the future, arising under or based upon any federal, state or local Law, that any Party may have against another Party in respect of any breach of this Agreement. Notwithstanding the foregoing,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shall not operate to (i) limit the rights of the Parties with respect to claims of intentional fraud based on a false representation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(ii) limit the rights of the Parties to seek equitable remedies (including specific performance or injunctive relief) in accordance with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to require a Party to perform its obligations under this Agreement, or (iii) limit any Party’s rights or obligations pursuant to any other Transaction Agreement in accordance with the terms thereof. No past, present or future Representative of any Party (collectively, the “</w:t>
      </w:r>
      <w:r>
        <w:rPr>
          <w:rFonts w:ascii="Arial" w:cs="Arial" w:eastAsia="Arial" w:hAnsi="Arial"/>
          <w:sz w:val="19"/>
          <w:szCs w:val="19"/>
          <w:u w:val="single" w:color="auto"/>
          <w:color w:val="auto"/>
        </w:rPr>
        <w:t>Non-Party Affiliates</w:t>
      </w:r>
      <w:r>
        <w:rPr>
          <w:rFonts w:ascii="Arial" w:cs="Arial" w:eastAsia="Arial" w:hAnsi="Arial"/>
          <w:sz w:val="19"/>
          <w:szCs w:val="19"/>
          <w:color w:val="auto"/>
        </w:rPr>
        <w:t>”) shall have any liability (whether in Law (including in contract or in tort), in equity or otherwise) related to this Agreement or for any claim or Legal Proceeding based on, in respect of or by reason of the Transactions except to the extent agreed to in writing by such Non-Party Affiliate (including pursuant to the terms and conditions of any Transaction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Treatment of Indemnity Payments</w:t>
      </w:r>
      <w:r>
        <w:rPr>
          <w:rFonts w:ascii="Arial" w:cs="Arial" w:eastAsia="Arial" w:hAnsi="Arial"/>
          <w:sz w:val="22"/>
          <w:szCs w:val="22"/>
          <w:color w:val="auto"/>
        </w:rPr>
        <w:t xml:space="preserve">. The Parties shall treat each payment made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as an adjustment to the Purchase Price for Tax purposes, unless otherwise required by applicable Law.</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GENERAL PROVISIONS</w:t>
      </w:r>
    </w:p>
    <w:p>
      <w:pPr>
        <w:spacing w:after="0" w:line="2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7" w:lineRule="auto"/>
        <w:tabs>
          <w:tab w:leader="none" w:pos="218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Parties shall keep the facts of the execution of this Agreement and its contents and all information disclosed by the other Party (the “</w:t>
      </w:r>
      <w:r>
        <w:rPr>
          <w:rFonts w:ascii="Arial" w:cs="Arial" w:eastAsia="Arial" w:hAnsi="Arial"/>
          <w:sz w:val="22"/>
          <w:szCs w:val="22"/>
          <w:u w:val="single" w:color="auto"/>
          <w:color w:val="auto"/>
        </w:rPr>
        <w:t>Disclosing Party</w:t>
      </w:r>
      <w:r>
        <w:rPr>
          <w:rFonts w:ascii="Arial" w:cs="Arial" w:eastAsia="Arial" w:hAnsi="Arial"/>
          <w:sz w:val="22"/>
          <w:szCs w:val="22"/>
          <w:color w:val="auto"/>
        </w:rPr>
        <w:t>”) in the course of the performance of this Agreement, whether written, oral, by e-mail or electromagnetic means, or otherwise, and the materials and other information prepared thereon (“</w:t>
      </w:r>
      <w:r>
        <w:rPr>
          <w:rFonts w:ascii="Arial" w:cs="Arial" w:eastAsia="Arial" w:hAnsi="Arial"/>
          <w:sz w:val="22"/>
          <w:szCs w:val="22"/>
          <w:u w:val="single" w:color="auto"/>
          <w:color w:val="auto"/>
        </w:rPr>
        <w:t>Confidential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Information</w:t>
      </w:r>
      <w:r>
        <w:rPr>
          <w:rFonts w:ascii="Arial" w:cs="Arial" w:eastAsia="Arial" w:hAnsi="Arial"/>
          <w:sz w:val="22"/>
          <w:szCs w:val="22"/>
          <w:color w:val="auto"/>
        </w:rPr>
        <w:t>”) in strict confidence, and use them only for the purpose of the performance of this Agreement, and may not disclose to any third party without the prior written approval of the Disclosing Party. However, the foregoing sentence shall not apply if the information falls under the following:</w:t>
      </w:r>
    </w:p>
    <w:p>
      <w:pPr>
        <w:spacing w:after="0" w:line="234" w:lineRule="exact"/>
        <w:rPr>
          <w:sz w:val="20"/>
          <w:szCs w:val="20"/>
          <w:color w:val="auto"/>
        </w:rPr>
      </w:pPr>
    </w:p>
    <w:p>
      <w:pPr>
        <w:ind w:left="5600" w:right="760" w:hanging="4295"/>
        <w:spacing w:after="0" w:line="737" w:lineRule="auto"/>
        <w:tabs>
          <w:tab w:leader="none" w:pos="215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information already in the public domain as of the time of disclosure by the Disclosing Party; 27</w:t>
      </w:r>
    </w:p>
    <w:p>
      <w:pPr>
        <w:sectPr>
          <w:pgSz w:w="11900" w:h="16838" w:orient="portrait"/>
          <w:cols w:equalWidth="0" w:num="1">
            <w:col w:w="11420"/>
          </w:cols>
          <w:pgMar w:left="240" w:top="631" w:right="239" w:bottom="1440" w:gutter="0" w:footer="0" w:header="0"/>
        </w:sectPr>
      </w:pPr>
    </w:p>
    <w:bookmarkStart w:id="140" w:name="page141"/>
    <w:bookmarkEnd w:id="140"/>
    <w:p>
      <w:pPr>
        <w:ind w:right="20" w:firstLine="1305"/>
        <w:spacing w:after="0" w:line="287" w:lineRule="auto"/>
        <w:tabs>
          <w:tab w:leader="none" w:pos="2209" w:val="left"/>
        </w:tabs>
        <w:numPr>
          <w:ilvl w:val="0"/>
          <w:numId w:val="80"/>
        </w:numPr>
        <w:rPr>
          <w:rFonts w:ascii="Arial" w:cs="Arial" w:eastAsia="Arial" w:hAnsi="Arial"/>
          <w:sz w:val="21"/>
          <w:szCs w:val="21"/>
          <w:color w:val="auto"/>
        </w:rPr>
      </w:pPr>
      <w:r>
        <w:rPr>
          <w:rFonts w:ascii="Arial" w:cs="Arial" w:eastAsia="Arial" w:hAnsi="Arial"/>
          <w:sz w:val="21"/>
          <w:szCs w:val="21"/>
          <w:color w:val="auto"/>
        </w:rPr>
        <w:t>Any information disclosed by the Disclosing Party which subsequently enters the public domain other than as a result of any disclosure or other action or inaction by the receiving party in breach of this Agreement;</w:t>
      </w:r>
    </w:p>
    <w:p>
      <w:pPr>
        <w:spacing w:after="0" w:line="192" w:lineRule="exact"/>
        <w:rPr>
          <w:rFonts w:ascii="Arial" w:cs="Arial" w:eastAsia="Arial" w:hAnsi="Arial"/>
          <w:sz w:val="21"/>
          <w:szCs w:val="21"/>
          <w:color w:val="auto"/>
        </w:rPr>
      </w:pPr>
    </w:p>
    <w:p>
      <w:pPr>
        <w:ind w:left="2280" w:hanging="975"/>
        <w:spacing w:after="0"/>
        <w:tabs>
          <w:tab w:leader="none" w:pos="22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information which was already held by the receiving Party as of the time of disclosure from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Disclosing Party;</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2257"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information which is or becomes available to the receiving Party on a non-confidential basis from a source (other than the Disclosing Party) that, to the knowledge of the receiving Party, is not prohibited from disclosing such Confidential Information to the receiving Party; and</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information independently developed and recognized by the receiving Party without the use of the Confidential Information disclosed by the Disclosing Party.</w:t>
      </w:r>
    </w:p>
    <w:p>
      <w:pPr>
        <w:spacing w:after="0" w:line="215" w:lineRule="exact"/>
        <w:rPr>
          <w:sz w:val="20"/>
          <w:szCs w:val="20"/>
          <w:color w:val="auto"/>
        </w:rPr>
      </w:pPr>
    </w:p>
    <w:p>
      <w:pPr>
        <w:jc w:val="both"/>
        <w:ind w:firstLine="1305"/>
        <w:spacing w:after="0" w:line="246" w:lineRule="auto"/>
        <w:tabs>
          <w:tab w:leader="none" w:pos="21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Notwithstanding the provisions of Section 7.1(a), the Parties may disclose Confidential Information to the extent necessary to meet the requirement for disclosure by Law, court order or other lawful government action or the rules of securities exchanges or securities dealers associations or other public institutions or any institutions analogous thereto. However, in such event, the Party which intends to disclose the Confidential Information shall (to the extent legally possible and practicable) notify the Disclosing Party in writing in advance (or, in the event of emergency or legal restriction, promptly after the disclosure) of the contents of the Confidential Information to be disclosed and consult with the Disclosing Party regarding the necessity and form of the disclosure.</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Expenses</w:t>
      </w:r>
      <w:r>
        <w:rPr>
          <w:rFonts w:ascii="Arial" w:cs="Arial" w:eastAsia="Arial" w:hAnsi="Arial"/>
          <w:sz w:val="22"/>
          <w:szCs w:val="22"/>
          <w:color w:val="auto"/>
        </w:rPr>
        <w:t>. Except as expressly provided elsewhere in this Agreement or in any other Transaction Agreement, each Party shall bear its own Transaction Expenses.</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waivers and other communications under this Agreement shall be in writing and shall be deemed given (a) when delivered personally by hand, (b) when sent by facsimile or email (with written confirmation of transmission, excluding, however, any answer or confirmation automatically generated by electronic means (such as out-of-office replies)) or (c) one (1) Business Day following the day sent by overnight registered courier, in each case at the following addresses, email addresses and facsimile numbers (or to such other address, email address or facsimile number as a Party may have specified by notice given to the other Party pursuant to this provision).</w:t>
      </w:r>
    </w:p>
    <w:p>
      <w:pPr>
        <w:spacing w:after="0" w:line="221"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to Buyer:</w:t>
      </w:r>
    </w:p>
    <w:p>
      <w:pPr>
        <w:spacing w:after="0" w:line="2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Honda Motor Co., Ltd.</w:t>
      </w:r>
    </w:p>
    <w:p>
      <w:pPr>
        <w:spacing w:after="0" w:line="21" w:lineRule="exact"/>
        <w:rPr>
          <w:rFonts w:ascii="Arial" w:cs="Arial" w:eastAsia="Arial" w:hAnsi="Arial"/>
          <w:sz w:val="22"/>
          <w:szCs w:val="22"/>
          <w:color w:val="auto"/>
        </w:rPr>
      </w:pPr>
    </w:p>
    <w:p>
      <w:pPr>
        <w:ind w:left="1960" w:right="6440"/>
        <w:spacing w:after="0" w:line="243" w:lineRule="auto"/>
        <w:rPr>
          <w:rFonts w:ascii="Arial" w:cs="Arial" w:eastAsia="Arial" w:hAnsi="Arial"/>
          <w:sz w:val="22"/>
          <w:szCs w:val="22"/>
          <w:color w:val="auto"/>
        </w:rPr>
      </w:pPr>
      <w:r>
        <w:rPr>
          <w:rFonts w:ascii="Arial" w:cs="Arial" w:eastAsia="Arial" w:hAnsi="Arial"/>
          <w:sz w:val="22"/>
          <w:szCs w:val="22"/>
          <w:color w:val="auto"/>
        </w:rPr>
        <w:t>2-1-1 Minami-Aoyama, Minato-ku Tokyo 107-8556, Japan Attention: Masahiko Nakamura</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Email:  masahiko_nakamura@hm.honda.co.jp</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75" w:right="239" w:bottom="1440" w:gutter="0" w:footer="0" w:header="0"/>
        </w:sectPr>
      </w:pPr>
    </w:p>
    <w:bookmarkStart w:id="141" w:name="page142"/>
    <w:bookmarkEnd w:id="141"/>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Nishimura &amp; Asahi</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Otemon Tower, 1-1-2 Otemachi, Chiyoda-ku</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Tokyo 100-8124, Japan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Yuki Oi</w:t>
      </w:r>
    </w:p>
    <w:p>
      <w:pPr>
        <w:spacing w:after="0" w:line="4"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+81-3-6250-7200</w:t>
      </w:r>
    </w:p>
    <w:p>
      <w:pPr>
        <w:spacing w:after="0" w:line="215"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y_oi@plus.jurists.co.jp</w:t>
      </w:r>
    </w:p>
    <w:p>
      <w:pPr>
        <w:spacing w:after="0" w:line="233" w:lineRule="exact"/>
        <w:rPr>
          <w:sz w:val="20"/>
          <w:szCs w:val="20"/>
          <w:color w:val="auto"/>
        </w:rPr>
      </w:pPr>
    </w:p>
    <w:p>
      <w:pPr>
        <w:ind w:left="2200" w:hanging="895"/>
        <w:spacing w:after="0"/>
        <w:tabs>
          <w:tab w:leader="none" w:pos="22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1201 Bryant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Geoffrey Richardson and Matthew Gipple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Geoff.richardson@getcruise.com</w:t>
      </w:r>
      <w:r>
        <w:rPr>
          <w:rFonts w:ascii="Arial" w:cs="Arial" w:eastAsia="Arial" w:hAnsi="Arial"/>
          <w:sz w:val="22"/>
          <w:szCs w:val="22"/>
          <w:color w:val="auto"/>
        </w:rPr>
        <w:t xml:space="preserve"> and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mgipple@getcruise.com</w:t>
      </w:r>
    </w:p>
    <w:p>
      <w:pPr>
        <w:spacing w:after="0" w:line="200" w:lineRule="exact"/>
        <w:rPr>
          <w:sz w:val="20"/>
          <w:szCs w:val="20"/>
          <w:color w:val="auto"/>
        </w:rPr>
      </w:pP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2840" w:right="3400" w:hanging="877"/>
        <w:spacing w:after="0" w:line="243" w:lineRule="auto"/>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color w:val="333333"/>
        </w:rPr>
        <w:t>Deputy General Counsel, Commercial, TaaS, Regulation &amp;</w:t>
      </w:r>
      <w:r>
        <w:rPr>
          <w:rFonts w:ascii="Arial" w:cs="Arial" w:eastAsia="Arial" w:hAnsi="Arial"/>
          <w:sz w:val="22"/>
          <w:szCs w:val="22"/>
          <w:color w:val="auto"/>
        </w:rPr>
        <w:t xml:space="preserve"> </w:t>
      </w:r>
      <w:r>
        <w:rPr>
          <w:rFonts w:ascii="Arial" w:cs="Arial" w:eastAsia="Arial" w:hAnsi="Arial"/>
          <w:sz w:val="22"/>
          <w:szCs w:val="22"/>
          <w:color w:val="333333"/>
        </w:rPr>
        <w:t>Litigation</w:t>
      </w:r>
    </w:p>
    <w:p>
      <w:pPr>
        <w:spacing w:after="0" w:line="1"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Email:</w:t>
        <w:tab/>
        <w:t>ann.cathcartchaplin@gm.com</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Peter Martelli and Jonathan L. Davis</w:t>
      </w:r>
    </w:p>
    <w:p>
      <w:pPr>
        <w:spacing w:after="0" w:line="4"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(212) 446-4900</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peter.martelli@kirkland.com and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jonathan.davis@kirkland.com</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Interpretation</w:t>
      </w:r>
      <w:r>
        <w:rPr>
          <w:rFonts w:ascii="Arial" w:cs="Arial" w:eastAsia="Arial" w:hAnsi="Arial"/>
          <w:sz w:val="22"/>
          <w:szCs w:val="22"/>
          <w:color w:val="auto"/>
        </w:rPr>
        <w:t>. When a reference is made in this Agreement to “Sections,” “Exhibits” or “Disclosure Letter” such reference shall be to a section of, an exhibit of, or the Disclosure Letter to, this Agreement unless otherwise indicated. References to this Agreement shall include the Disclosure Letter. The table of contents and headings contained in this Agreement are for reference purposes only and shall not affect in any way the meaning or interpretation of this Agreement. The words “hereof”, “herein” and “hereunder” and words of like import used in this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75" w:right="239" w:bottom="1440" w:gutter="0" w:footer="0" w:header="0"/>
        </w:sectPr>
      </w:pPr>
    </w:p>
    <w:bookmarkStart w:id="142" w:name="page143"/>
    <w:bookmarkEnd w:id="142"/>
    <w:p>
      <w:pPr>
        <w:jc w:val="both"/>
        <w:spacing w:after="0" w:line="258" w:lineRule="auto"/>
        <w:rPr>
          <w:sz w:val="20"/>
          <w:szCs w:val="20"/>
          <w:color w:val="auto"/>
        </w:rPr>
      </w:pPr>
      <w:r>
        <w:rPr>
          <w:rFonts w:ascii="Arial" w:cs="Arial" w:eastAsia="Arial" w:hAnsi="Arial"/>
          <w:sz w:val="21"/>
          <w:szCs w:val="21"/>
          <w:color w:val="auto"/>
        </w:rPr>
        <w:t>Agreement shall refer to this Agreement as a whole and not to any particular provision of this Agreement. Whenever the words “include,” “includes” or “including” are used in this Agreement, they shall be deemed to be followed by the words “without limitation.” The terms defined in the singular have a comparable meaning when used in the plural, and vice versa, and references herein to any gender includes each other gender. The word “extent” in the phrase “to the extent” means the degree to which a subject or other thing extends and such phrase shall not mean simply “if”. Any references to dollar amounts shall not be deemed to be an acknowledgement or representation that such items are material, to establish any standard of materiality or to define further the meaning of such terms for purposes of this Agreement. The terms “$” and “dollars” means United States Dollars. All references to “day” shall be deemed to mean “calendar day”. No rule of construction against the draftspersons shall be applied in connection with the interpretation or enforcement of this Agreement, as this Agreement is the product of negotiation between sophisticated parties advised by counsel.</w:t>
      </w:r>
    </w:p>
    <w:p>
      <w:pPr>
        <w:spacing w:after="0" w:line="2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This Agreement (including the Exhibits hereto), the Disclosure Letter and the Transaction Agreements represent the entire understanding and agreement between the Parties with respect to the subject matter hereof and supersedes all other prior agreements, undertakings, representations and warranties, both written and oral, among the Parties with respect to the subject matter hereof. This Agreement can be amended, supplemented or changed, and any provision hereof can be waived, only by written instrument making specific reference to this Agreement signed by the Party against whom enforcement of any such amendment, supplement, modification or waiver is sought.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22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4" w:lineRule="auto"/>
        <w:tabs>
          <w:tab w:leader="none" w:pos="218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Parties hereby irrevocably submit to the personal jurisdiction of the Delaware Court of Chancery, and appellate courts having jurisdiction of appeals from such court, or, if such court is not available, in any state or federal court located in the State of Delaware. The Parties hereby consent to and grant any such court exclusive jurisdiction over the person of such Parties and, to the extent permitted by law, the exclusive jurisdiction over the subject matter of such dispute and agree that mailing of process or other papers in connection with any such action or proceeding in the manner provided in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or in such other manner as may be permitted by Law shall be valid and sufficient service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75" w:right="239" w:bottom="1440" w:gutter="0" w:footer="0" w:header="0"/>
        </w:sectPr>
      </w:pPr>
    </w:p>
    <w:bookmarkStart w:id="143" w:name="page144"/>
    <w:bookmarkEnd w:id="143"/>
    <w:p>
      <w:pPr>
        <w:jc w:val="both"/>
        <w:ind w:firstLine="1305"/>
        <w:spacing w:after="0" w:line="284" w:lineRule="auto"/>
        <w:tabs>
          <w:tab w:leader="none" w:pos="2197" w:val="left"/>
        </w:tabs>
        <w:numPr>
          <w:ilvl w:val="1"/>
          <w:numId w:val="85"/>
        </w:numPr>
        <w:rPr>
          <w:rFonts w:ascii="Arial" w:cs="Arial" w:eastAsia="Arial" w:hAnsi="Arial"/>
          <w:sz w:val="19"/>
          <w:szCs w:val="19"/>
          <w:color w:val="auto"/>
        </w:rPr>
      </w:pPr>
      <w:r>
        <w:rPr>
          <w:rFonts w:ascii="Arial" w:cs="Arial" w:eastAsia="Arial" w:hAnsi="Arial"/>
          <w:sz w:val="19"/>
          <w:szCs w:val="19"/>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THE TRANSACTIONS CONTEMPLATED BY THIS AGREEMENT. EACH PARTY CERTIFIES AND ACKNOWLEDGES THAT (i) NO REPRESENTATIVE, AGENT OR ATTORNEY OF THE OTHER PARTY HAS REPRESENTED, EXPRESSLY OR OTHERWISE, THAT SUCH OTHER PARTY WOULD NOT, IN THE EVENT OF LITIGATION, SEEK TO ENFORCE THE FOREGOING WAIVER, (ii) EACH PARTY UNDERSTANDS AND HAS CONSIDERED THE IMPLICATIONS OF THIS WAIVER, (iii) EACH PARTY MAKES THIS WAIVER VOLUNTARILY AND</w:t>
      </w:r>
    </w:p>
    <w:p>
      <w:pPr>
        <w:ind w:firstLine="8"/>
        <w:spacing w:after="0" w:line="246" w:lineRule="auto"/>
        <w:tabs>
          <w:tab w:leader="none" w:pos="407"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EACH PARTY HAS BEEN INDUCED TO ENTER INTO THIS AGREEMENT BY, AMONG OTHER THINGS, THE MUTUAL WAIVERS AND CERTIFICATIONS IN THIS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Assignment</w:t>
      </w:r>
      <w:r>
        <w:rPr>
          <w:rFonts w:ascii="Arial" w:cs="Arial" w:eastAsia="Arial" w:hAnsi="Arial"/>
          <w:sz w:val="22"/>
          <w:szCs w:val="22"/>
          <w:color w:val="auto"/>
        </w:rPr>
        <w:t>. No assignment of this Agreement or of any rights or obligations hereunder may be made by any Party, directly or indirectly (by operation of Law or otherwise), without the prior written consent of the other Party hereto and any attempted assignment without the required consents shall be null, void and of no effect.</w:t>
      </w:r>
    </w:p>
    <w:p>
      <w:pPr>
        <w:spacing w:after="0" w:line="22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Binding Effect; No Third Party Beneficiaries</w:t>
      </w:r>
      <w:r>
        <w:rPr>
          <w:rFonts w:ascii="Arial" w:cs="Arial" w:eastAsia="Arial" w:hAnsi="Arial"/>
          <w:sz w:val="19"/>
          <w:szCs w:val="19"/>
          <w:color w:val="auto"/>
        </w:rPr>
        <w:t xml:space="preserve">. This Agreement shall be binding upon and inure to the benefit of the Parties and their respective successors and permitted assigns. Nothing in this Agreement shall create or be deemed to create any third party beneficiary rights in any Person not a Party to this Agreement except as contemplated by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6.3.</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Each Party acknowledges and agrees that any breach of this Agreement would give rise to irreparable harm for which monetary damages would not be an adequate remedy. Each Party accordingly agrees that, in addition to any other remedies available under applicable Law or this Agreement, each Party shall be entitled to enforce the terms of this Agreement by decree of specific performance without the necessity of posting a bond or proving the inadequacy of monetary damages as a remedy and to obtain injunctive relief against any breach or threatened breach of this Agreement. The Parties agree not to assert that a remedy of specific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144" w:name="page145"/>
    <w:bookmarkEnd w:id="144"/>
    <w:p>
      <w:pPr>
        <w:jc w:val="both"/>
        <w:spacing w:after="0" w:line="263" w:lineRule="auto"/>
        <w:rPr>
          <w:sz w:val="20"/>
          <w:szCs w:val="20"/>
          <w:color w:val="auto"/>
        </w:rPr>
      </w:pPr>
      <w:r>
        <w:rPr>
          <w:rFonts w:ascii="Arial" w:cs="Arial" w:eastAsia="Arial" w:hAnsi="Arial"/>
          <w:sz w:val="22"/>
          <w:szCs w:val="22"/>
          <w:color w:val="auto"/>
        </w:rPr>
        <w:t>enforcement is unenforceable, invalid, contrary to law or inequitable for any reason, nor to assert that a remedy of monetary damages would provide an adequate remedy.</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facsimile or pdf counterparts, each of which shall be deemed to be an original copy of this Agreement and all of which, when taken together, shall be deemed to constitute one and the same agreement.</w:t>
      </w:r>
    </w:p>
    <w:p>
      <w:pPr>
        <w:spacing w:after="0" w:line="22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Additional Definitions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In addition to any other definitions contained in this Agreement, the following words, terms and phrases shall have the following meanings when used in this Agreement.</w:t>
      </w:r>
    </w:p>
    <w:p>
      <w:pPr>
        <w:spacing w:after="0" w:line="175" w:lineRule="exact"/>
        <w:rPr>
          <w:sz w:val="20"/>
          <w:szCs w:val="20"/>
          <w:color w:val="auto"/>
        </w:rPr>
      </w:pPr>
    </w:p>
    <w:p>
      <w:pPr>
        <w:jc w:val="both"/>
        <w:ind w:left="660"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such Person; and the term “</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means the possession, directly or indirectly, of the power to direct or cause the direction of the management and policies of such Person, whether through ownership of voting securities, by contract or otherwise. For the avoidance of doubt, no member of the Company Group shall be deemed an Affiliate of Buyer or any of its Affiliates.</w:t>
      </w:r>
    </w:p>
    <w:p>
      <w:pPr>
        <w:spacing w:after="0" w:line="194" w:lineRule="exact"/>
        <w:rPr>
          <w:sz w:val="20"/>
          <w:szCs w:val="20"/>
          <w:color w:val="auto"/>
        </w:rPr>
      </w:pPr>
    </w:p>
    <w:p>
      <w:pPr>
        <w:jc w:val="both"/>
        <w:ind w:left="6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ABAC Laws</w:t>
      </w:r>
      <w:r>
        <w:rPr>
          <w:rFonts w:ascii="Arial" w:cs="Arial" w:eastAsia="Arial" w:hAnsi="Arial"/>
          <w:sz w:val="22"/>
          <w:szCs w:val="22"/>
          <w:color w:val="auto"/>
        </w:rPr>
        <w:t>” means all laws and regulations applying to the Company Group or an Associated Person of the Company Group, prohibiting bribery or some other form of corruption, including fraud, tax evasion, insider dealing and market manipulation.</w:t>
      </w:r>
    </w:p>
    <w:p>
      <w:pPr>
        <w:spacing w:after="0" w:line="186" w:lineRule="exact"/>
        <w:rPr>
          <w:sz w:val="20"/>
          <w:szCs w:val="20"/>
          <w:color w:val="auto"/>
        </w:rPr>
      </w:pPr>
    </w:p>
    <w:p>
      <w:pPr>
        <w:jc w:val="both"/>
        <w:ind w:left="6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AML Laws</w:t>
      </w:r>
      <w:r>
        <w:rPr>
          <w:rFonts w:ascii="Arial" w:cs="Arial" w:eastAsia="Arial" w:hAnsi="Arial"/>
          <w:sz w:val="22"/>
          <w:szCs w:val="22"/>
          <w:color w:val="auto"/>
        </w:rPr>
        <w:t>” means all laws and regulations applying to the Company Group or an Associated Person of the Company Group, prohibiting money laundering, including attempting to conceal or disguise the identity of illegally obtained proceeds.</w:t>
      </w:r>
    </w:p>
    <w:p>
      <w:pPr>
        <w:spacing w:after="0" w:line="186" w:lineRule="exact"/>
        <w:rPr>
          <w:sz w:val="20"/>
          <w:szCs w:val="20"/>
          <w:color w:val="auto"/>
        </w:rPr>
      </w:pPr>
    </w:p>
    <w:p>
      <w:pPr>
        <w:jc w:val="both"/>
        <w:ind w:left="6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Trade Laws</w:t>
      </w:r>
      <w:r>
        <w:rPr>
          <w:rFonts w:ascii="Arial" w:cs="Arial" w:eastAsia="Arial" w:hAnsi="Arial"/>
          <w:sz w:val="22"/>
          <w:szCs w:val="22"/>
          <w:color w:val="auto"/>
        </w:rPr>
        <w:t>” means all Sanctions, import and export laws and regulations, including but not limited to economic and financial sanctions, export controls, anti-boycott and customs laws and regulations applicable to the Company Group or an Associated Person of the Company Group.</w:t>
      </w:r>
    </w:p>
    <w:p>
      <w:pPr>
        <w:spacing w:after="0" w:line="186" w:lineRule="exact"/>
        <w:rPr>
          <w:sz w:val="20"/>
          <w:szCs w:val="20"/>
          <w:color w:val="auto"/>
        </w:rPr>
      </w:pPr>
    </w:p>
    <w:p>
      <w:pPr>
        <w:jc w:val="both"/>
        <w:ind w:left="660"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Associated Person</w:t>
      </w:r>
      <w:r>
        <w:rPr>
          <w:rFonts w:ascii="Arial" w:cs="Arial" w:eastAsia="Arial" w:hAnsi="Arial"/>
          <w:sz w:val="22"/>
          <w:szCs w:val="22"/>
          <w:color w:val="auto"/>
        </w:rPr>
        <w:t>” means, in relation to any Person, another Person (including a director, officer, employee, consultant, agent or other representative) who or that has acted or performed services for or on behalf of such original Person but only with respect to actions or the performance of services for or on behalf of such original Person rather than with respect to actions or the performance of services unrelated to such original Person. For the avoidance of doubt, SoftBank (and its Affiliates and SoftBank Group Corp and its Affiliates) shall not be considered an Associated Person of any member of the Company Group.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145" w:name="page146"/>
    <w:bookmarkEnd w:id="145"/>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Blocked Person</w:t>
      </w:r>
      <w:r>
        <w:rPr>
          <w:rFonts w:ascii="Arial" w:cs="Arial" w:eastAsia="Arial" w:hAnsi="Arial"/>
          <w:sz w:val="19"/>
          <w:szCs w:val="19"/>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4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of the year on which national banking institutions in Detroit, Michigan and Tokyo, Japan are open to the public for conducting business and are not required or authorized to close.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CFIUS</w:t>
      </w:r>
      <w:r>
        <w:rPr>
          <w:rFonts w:ascii="Arial" w:cs="Arial" w:eastAsia="Arial" w:hAnsi="Arial"/>
          <w:sz w:val="22"/>
          <w:szCs w:val="22"/>
          <w:color w:val="auto"/>
        </w:rPr>
        <w:t>” means the Committee on Foreign Investment in the United States.</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Approval</w:t>
      </w:r>
      <w:r>
        <w:rPr>
          <w:rFonts w:ascii="Arial" w:cs="Arial" w:eastAsia="Arial" w:hAnsi="Arial"/>
          <w:sz w:val="19"/>
          <w:szCs w:val="19"/>
          <w:color w:val="auto"/>
        </w:rPr>
        <w:t>” means any of the following: (a) CFIUS shall have concluded that the Transactions do not constitute a “covered transaction” and are not subject to review under Section 721 of the U.S. Defense Production Act of 1950; (b) CFIUS shall have issued a written notification that it has concluded its review (and, if applicable, any investigation) of the notice filed with it in connection with the Transactions and determined that there are no unresolved national security concerns with respect to such transactions; or (c) if CFIUS has sent a report to the President of the United States requesting the President’s decision with respect to the Transactions either (i) the period under Section 721 of the Defense Production Act of 1950 during which the President may announce his decision to take action to suspend or prohibit the Transactions shall have expired without any such action being announced or taken, or (ii) the President shall have announced a decision not to take any action to suspend or prohibit the Transactions.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A-1-A Preferred Shares</w:t>
      </w:r>
      <w:r>
        <w:rPr>
          <w:rFonts w:ascii="Arial" w:cs="Arial" w:eastAsia="Arial" w:hAnsi="Arial"/>
          <w:sz w:val="22"/>
          <w:szCs w:val="22"/>
          <w:color w:val="auto"/>
        </w:rPr>
        <w:t>” means the class A-1-A preferred shares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A-2 Preferred Shares</w:t>
      </w:r>
      <w:r>
        <w:rPr>
          <w:rFonts w:ascii="Arial" w:cs="Arial" w:eastAsia="Arial" w:hAnsi="Arial"/>
          <w:sz w:val="22"/>
          <w:szCs w:val="22"/>
          <w:color w:val="auto"/>
        </w:rPr>
        <w:t>” means the class A-2 preferred shares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Shares</w:t>
      </w:r>
      <w:r>
        <w:rPr>
          <w:rFonts w:ascii="Arial" w:cs="Arial" w:eastAsia="Arial" w:hAnsi="Arial"/>
          <w:sz w:val="22"/>
          <w:szCs w:val="22"/>
          <w:color w:val="auto"/>
        </w:rPr>
        <w:t>” means the class B common shares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Common Shares</w:t>
      </w:r>
      <w:r>
        <w:rPr>
          <w:rFonts w:ascii="Arial" w:cs="Arial" w:eastAsia="Arial" w:hAnsi="Arial"/>
          <w:sz w:val="22"/>
          <w:szCs w:val="22"/>
          <w:color w:val="auto"/>
        </w:rPr>
        <w:t>” means the class C common shares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E Common Shares</w:t>
      </w:r>
      <w:r>
        <w:rPr>
          <w:rFonts w:ascii="Arial" w:cs="Arial" w:eastAsia="Arial" w:hAnsi="Arial"/>
          <w:sz w:val="22"/>
          <w:szCs w:val="22"/>
          <w:color w:val="auto"/>
        </w:rPr>
        <w:t>” means the class E common shares of the Company.</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(or any corresponding provision or provisions of succeeding Law).</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collectively, the Company and the Company Subsidiaries.</w:t>
      </w:r>
    </w:p>
    <w:p>
      <w:pPr>
        <w:spacing w:after="0" w:line="200" w:lineRule="exact"/>
        <w:rPr>
          <w:sz w:val="20"/>
          <w:szCs w:val="20"/>
          <w:color w:val="auto"/>
        </w:rPr>
      </w:pPr>
    </w:p>
    <w:p>
      <w:pPr>
        <w:spacing w:after="0" w:line="26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760"/>
          </w:cols>
          <w:pgMar w:left="900" w:top="375" w:right="239" w:bottom="1440" w:gutter="0" w:footer="0" w:header="0"/>
        </w:sectPr>
      </w:pPr>
    </w:p>
    <w:bookmarkStart w:id="146" w:name="page147"/>
    <w:bookmarkEnd w:id="146"/>
    <w:p>
      <w:pPr>
        <w:jc w:val="both"/>
        <w:ind w:left="4"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 Intellectual Property</w:t>
      </w:r>
      <w:r>
        <w:rPr>
          <w:rFonts w:ascii="Arial" w:cs="Arial" w:eastAsia="Arial" w:hAnsi="Arial"/>
          <w:sz w:val="22"/>
          <w:szCs w:val="22"/>
          <w:color w:val="auto"/>
        </w:rPr>
        <w:t>” means Intellectual Property owned or purported to be owned by the Company Group members.</w:t>
      </w:r>
    </w:p>
    <w:p>
      <w:pPr>
        <w:spacing w:after="0" w:line="175"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 Software</w:t>
      </w:r>
      <w:r>
        <w:rPr>
          <w:rFonts w:ascii="Arial" w:cs="Arial" w:eastAsia="Arial" w:hAnsi="Arial"/>
          <w:sz w:val="19"/>
          <w:szCs w:val="19"/>
          <w:color w:val="auto"/>
        </w:rPr>
        <w:t>” means any Software owned or purported to be owned by the Company Group.</w:t>
      </w:r>
    </w:p>
    <w:p>
      <w:pPr>
        <w:spacing w:after="0" w:line="254" w:lineRule="exact"/>
        <w:rPr>
          <w:sz w:val="20"/>
          <w:szCs w:val="20"/>
          <w:color w:val="auto"/>
        </w:rPr>
      </w:pPr>
    </w:p>
    <w:p>
      <w:pPr>
        <w:jc w:val="both"/>
        <w:ind w:left="4"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IT Systems</w:t>
      </w:r>
      <w:r>
        <w:rPr>
          <w:rFonts w:ascii="Arial" w:cs="Arial" w:eastAsia="Arial" w:hAnsi="Arial"/>
          <w:sz w:val="22"/>
          <w:szCs w:val="22"/>
          <w:color w:val="auto"/>
        </w:rPr>
        <w:t>” means Software, computer systems, servers, hardware, network equipment, databases, websites, and other information technology systems that are used by or on behalf of the Company Group to operate the business of the Company Group as currently conducted (including processing, storing and maintaining data), whether owned, leased or licensed by the Company Group, but excluding any of the foregoing included or intended to be included in the Company Group’s products, or licensed or otherwise made available to the Company Group’s customers or end users.</w:t>
      </w:r>
    </w:p>
    <w:p>
      <w:pPr>
        <w:spacing w:after="0" w:line="194" w:lineRule="exact"/>
        <w:rPr>
          <w:sz w:val="20"/>
          <w:szCs w:val="20"/>
          <w:color w:val="auto"/>
        </w:rPr>
      </w:pPr>
    </w:p>
    <w:p>
      <w:pPr>
        <w:jc w:val="both"/>
        <w:ind w:left="4"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license, lease, sublease, loan or credit agreement, indenture, note, debenture, bond, mortgage or deed of trust or other agreement or other legally binding instrument.</w:t>
      </w:r>
    </w:p>
    <w:p>
      <w:pPr>
        <w:spacing w:after="0" w:line="175" w:lineRule="exact"/>
        <w:rPr>
          <w:sz w:val="20"/>
          <w:szCs w:val="20"/>
          <w:color w:val="auto"/>
        </w:rPr>
      </w:pPr>
    </w:p>
    <w:p>
      <w:pPr>
        <w:jc w:val="both"/>
        <w:ind w:left="4"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Transaction</w:t>
      </w:r>
      <w:r>
        <w:rPr>
          <w:rFonts w:ascii="Arial" w:cs="Arial" w:eastAsia="Arial" w:hAnsi="Arial"/>
          <w:sz w:val="22"/>
          <w:szCs w:val="22"/>
          <w:color w:val="auto"/>
        </w:rPr>
        <w:t>” has the meaning as set forth in the Exon-Florio Amendment to the Defense Production Act of 1950, 50 U.S.C. § 4565, as amended, and all rules and regulations thereunder, including those codified at 31 C.F.R. Part 800.</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EIP</w:t>
      </w:r>
      <w:r>
        <w:rPr>
          <w:rFonts w:ascii="Arial" w:cs="Arial" w:eastAsia="Arial" w:hAnsi="Arial"/>
          <w:sz w:val="19"/>
          <w:szCs w:val="19"/>
          <w:color w:val="auto"/>
        </w:rPr>
        <w:t>” means the equity based employee incentive program established in accordance with the Existing LLC</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left="4"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(or any corresponding provision or provisions of succeeding Law).</w:t>
      </w:r>
    </w:p>
    <w:p>
      <w:pPr>
        <w:spacing w:after="0" w:line="175" w:lineRule="exact"/>
        <w:rPr>
          <w:sz w:val="20"/>
          <w:szCs w:val="20"/>
          <w:color w:val="auto"/>
        </w:rPr>
      </w:pPr>
    </w:p>
    <w:p>
      <w:pPr>
        <w:jc w:val="both"/>
        <w:ind w:left="4"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consistently applied by GM PubCo and as of the date of this Agreement.</w:t>
      </w:r>
    </w:p>
    <w:p>
      <w:pPr>
        <w:spacing w:after="0" w:line="175" w:lineRule="exact"/>
        <w:rPr>
          <w:sz w:val="20"/>
          <w:szCs w:val="20"/>
          <w:color w:val="auto"/>
        </w:rPr>
      </w:pPr>
    </w:p>
    <w:p>
      <w:pPr>
        <w:jc w:val="both"/>
        <w:ind w:left="4"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 or governmental, administrative or regulatory body thereof, whether federal, state, local or foreign, or any agency or instrumentality thereof and any court, tribunal or judicial or arbitral body thereof.</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Investment Agreements</w:t>
      </w:r>
      <w:r>
        <w:rPr>
          <w:rFonts w:ascii="Arial" w:cs="Arial" w:eastAsia="Arial" w:hAnsi="Arial"/>
          <w:sz w:val="19"/>
          <w:szCs w:val="19"/>
          <w:color w:val="auto"/>
        </w:rPr>
        <w:t>” means those certain agreements listed on Section 7.13(c) of the Disclosure</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2"/>
          <w:szCs w:val="22"/>
          <w:color w:val="auto"/>
        </w:rPr>
        <w:t>Letter.</w:t>
      </w:r>
    </w:p>
    <w:p>
      <w:pPr>
        <w:spacing w:after="0" w:line="202"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rights in and to any of the following in any jurisdiction throughout the world:</w:t>
      </w:r>
    </w:p>
    <w:p>
      <w:pPr>
        <w:spacing w:after="0" w:line="56" w:lineRule="exact"/>
        <w:rPr>
          <w:sz w:val="20"/>
          <w:szCs w:val="20"/>
          <w:color w:val="auto"/>
        </w:rPr>
      </w:pPr>
    </w:p>
    <w:p>
      <w:pPr>
        <w:jc w:val="both"/>
        <w:ind w:left="4" w:hanging="4"/>
        <w:spacing w:after="0" w:line="292" w:lineRule="auto"/>
        <w:tabs>
          <w:tab w:leader="none" w:pos="335"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patents and applications therefor, including continuations, divisionals, continuations-in-part or reissues of patent applications, and patents issuing thereon; (b) all trademarks, service marks, trade names, service names, brand names, trade dress rights, logos, internet domain names, and corporate names, together with the goodwill associated with any of the foregoing, and all applications, registrations and renewals thereof; (c) copyrights and registrations and applications therefor and any renewals or extensions thereof; (d) non-public, proprietary information, trade secrets, or know-how,</w:t>
      </w:r>
    </w:p>
    <w:p>
      <w:pPr>
        <w:spacing w:after="0" w:line="39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764"/>
          </w:cols>
          <w:pgMar w:left="896" w:top="375" w:right="239" w:bottom="1440" w:gutter="0" w:footer="0" w:header="0"/>
        </w:sectPr>
      </w:pPr>
    </w:p>
    <w:bookmarkStart w:id="147" w:name="page148"/>
    <w:bookmarkEnd w:id="147"/>
    <w:p>
      <w:pPr>
        <w:jc w:val="both"/>
        <w:spacing w:after="0" w:line="263" w:lineRule="auto"/>
        <w:rPr>
          <w:sz w:val="20"/>
          <w:szCs w:val="20"/>
          <w:color w:val="auto"/>
        </w:rPr>
      </w:pPr>
      <w:r>
        <w:rPr>
          <w:rFonts w:ascii="Arial" w:cs="Arial" w:eastAsia="Arial" w:hAnsi="Arial"/>
          <w:sz w:val="22"/>
          <w:szCs w:val="22"/>
          <w:color w:val="auto"/>
        </w:rPr>
        <w:t>and rights in any jurisdiction to limit the use or disclosure thereof by any Person (“</w:t>
      </w:r>
      <w:r>
        <w:rPr>
          <w:rFonts w:ascii="Arial" w:cs="Arial" w:eastAsia="Arial" w:hAnsi="Arial"/>
          <w:sz w:val="22"/>
          <w:szCs w:val="22"/>
          <w:u w:val="single" w:color="auto"/>
          <w:color w:val="auto"/>
        </w:rPr>
        <w:t>Trade Secrets</w:t>
      </w:r>
      <w:r>
        <w:rPr>
          <w:rFonts w:ascii="Arial" w:cs="Arial" w:eastAsia="Arial" w:hAnsi="Arial"/>
          <w:sz w:val="22"/>
          <w:szCs w:val="22"/>
          <w:color w:val="auto"/>
        </w:rPr>
        <w:t>”); and (e) any intellectual property rights arising from or related to Technology.</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IPMA</w:t>
      </w:r>
      <w:r>
        <w:rPr>
          <w:rFonts w:ascii="Arial" w:cs="Arial" w:eastAsia="Arial" w:hAnsi="Arial"/>
          <w:sz w:val="22"/>
          <w:szCs w:val="22"/>
          <w:color w:val="auto"/>
        </w:rPr>
        <w:t>” means that certain Intellectual Property Matters Agreement, dated as of June 28, 2018, by and between Parent and the Company.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means the Joinder Agreement, the form of which is attached as Exhibit I to the Existing LLC Agreement.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Buyer</w:t>
      </w:r>
      <w:r>
        <w:rPr>
          <w:rFonts w:ascii="Arial" w:cs="Arial" w:eastAsia="Arial" w:hAnsi="Arial"/>
          <w:sz w:val="22"/>
          <w:szCs w:val="22"/>
          <w:color w:val="auto"/>
        </w:rPr>
        <w:t>” means the actual knowledge of such persons listed in 7.13(a) of the Disclosure Letter, in each case after reasonable inquiry or investigation.</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Company</w:t>
      </w:r>
      <w:r>
        <w:rPr>
          <w:rFonts w:ascii="Arial" w:cs="Arial" w:eastAsia="Arial" w:hAnsi="Arial"/>
          <w:sz w:val="22"/>
          <w:szCs w:val="22"/>
          <w:color w:val="auto"/>
        </w:rPr>
        <w:t xml:space="preserve">” means the actual knowledge of such persons listed in 7.13(b) of the Disclosure Letter, in each case after reasonable inquiry or investigation;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Knowledge of the Company excludes any analysis or searches regarding non-infringement, invalidity or enforceability of Intellectual Property (including freedom to operate and clearance searches).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and all statutes, laws, ordinances, rules, regulations, Orders, decrees, case law and other rules of law enacted, promulgated or issued by any Governmental Authority.</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debt, liability or obligation (whether direct or indirect, absolute or contingent, accrued or unaccrued, liquidated or unliquidated, or due or to become due).</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lien, encumbrance, pledge, mortgage, deed of trust, security interest, claim, charge, option, right of first refusal, easement, servitude, transfer restrictions, encroachment, reservation, or other similar restriction.</w:t>
      </w:r>
    </w:p>
    <w:p>
      <w:pPr>
        <w:spacing w:after="0" w:line="10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any and all deficiencies, judgments, settlements, losses, damages, interest, fines, penalties, Taxes, costs and expenses (including reasonable legal, accounting and other fees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and Network Access Fee Agreement</w:t>
      </w:r>
      <w:r>
        <w:rPr>
          <w:rFonts w:ascii="Arial" w:cs="Arial" w:eastAsia="Arial" w:hAnsi="Arial"/>
          <w:sz w:val="22"/>
          <w:szCs w:val="22"/>
          <w:color w:val="auto"/>
        </w:rPr>
        <w:t>” means that certain Marketing and Network Access Fee Agreement, dated as of the date of this Agreement, by and between the Company and Buyer.</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change, effect, event, occurrence or development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has had, or would reasonably be expected to have, individually or in the aggregate, a material adverse effect on the business, assets, liabilities, properties or results of operations of the Company Group,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37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760"/>
          </w:cols>
          <w:pgMar w:left="900" w:top="374" w:right="239" w:bottom="1440" w:gutter="0" w:footer="0" w:header="0"/>
        </w:sectPr>
      </w:pPr>
    </w:p>
    <w:bookmarkStart w:id="148" w:name="page149"/>
    <w:bookmarkEnd w:id="148"/>
    <w:p>
      <w:pPr>
        <w:jc w:val="both"/>
        <w:spacing w:after="0" w:line="258" w:lineRule="auto"/>
        <w:rPr>
          <w:sz w:val="20"/>
          <w:szCs w:val="20"/>
          <w:color w:val="auto"/>
        </w:rPr>
      </w:pPr>
      <w:r>
        <w:rPr>
          <w:rFonts w:ascii="Arial" w:cs="Arial" w:eastAsia="Arial" w:hAnsi="Arial"/>
          <w:sz w:val="21"/>
          <w:szCs w:val="21"/>
          <w:u w:val="single" w:color="auto"/>
          <w:color w:val="auto"/>
        </w:rPr>
        <w:t>however</w:t>
      </w:r>
      <w:r>
        <w:rPr>
          <w:rFonts w:ascii="Arial" w:cs="Arial" w:eastAsia="Arial" w:hAnsi="Arial"/>
          <w:sz w:val="21"/>
          <w:szCs w:val="21"/>
          <w:color w:val="auto"/>
        </w:rPr>
        <w:t>, that no Effect (by itself or when aggregated with any other Effect) resulting from, arising out of or relating to, any of the following shall be deemed to constitute a Material Adverse Effect or be taken into account when determining whether a “Material Adverse Effect” has occurred or may, would or could occur: (i) to the extent that such conditions or changes do not disproportionately affect the Company Group relative to other participants in the industries and geographic locations in which the Company Group participates, (A) any Effect resulting from or arising out of general economic or political conditions or changes in such conditions (including acts of terrorism or war), (B) any Effect affecting the industries in which the Company Group operates, and (C) any Effect arising in connection with earthquakes or other natural disasters, hostilities, acts of war, sabotage or terrorism or military actions or any escalation or material worsening of any such hostilities, acts of war, sabotage or terrorism or military actions and (ii) any failure, in and of itself, to meet internal projections or forecasts or revenue or earnings predictions for the business of the Company Group for any period (but not the underlying reasons for or factors contributing to such failure, unless otherwise contemplated by the exceptions in clause (i) of this definition).</w:t>
      </w:r>
    </w:p>
    <w:p>
      <w:pPr>
        <w:spacing w:after="0" w:line="18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Non-Buyer Equity Percentage</w:t>
      </w:r>
      <w:r>
        <w:rPr>
          <w:rFonts w:ascii="Arial" w:cs="Arial" w:eastAsia="Arial" w:hAnsi="Arial"/>
          <w:sz w:val="19"/>
          <w:szCs w:val="19"/>
          <w:color w:val="auto"/>
        </w:rPr>
        <w:t>” means the as-converted fully diluted ownership percentage of all members of the Company other than the Buyer. For clarity, “as converted,” as used in this Agreement, shall mean as if all Junior Interests (as defined in the Second A&amp;R LLC Agreement) are converted (on a Fully Diluted Basis as defined in the Second A&amp;R LLC Agreement)) to Class D Common Shares as defined in the Second A&amp;R LLC Agreement)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as defined in the Second A&amp;R LLC Agreement) are converted to Class D Common Shares pursuant to Section 2.09(b)) of the Second A&amp;R LLC Agreement.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 Department of the Treasury.</w:t>
      </w:r>
    </w:p>
    <w:p>
      <w:pPr>
        <w:spacing w:after="0" w:line="22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Open Source</w:t>
      </w:r>
      <w:r>
        <w:rPr>
          <w:rFonts w:ascii="Arial" w:cs="Arial" w:eastAsia="Arial" w:hAnsi="Arial"/>
          <w:sz w:val="21"/>
          <w:szCs w:val="21"/>
          <w:color w:val="auto"/>
        </w:rPr>
        <w:t>” means any Software that is, or that contains or is derived in any manner (in whole or in part) from any Software that is, distributed as free software, open source software, copyleft software, “freeware” or “shareware” or under similar licensing or distribution models, including, without limitation, any Software licensed under the GNU General Public License, the GNU Library General Public License, the GNU Lesser General Public License, the Affero General Public License, the Mozilla Public License, the Common Development and Distribution License, the Eclipse Public License or any Creative Commons “sharealike” license.</w:t>
      </w:r>
    </w:p>
    <w:p>
      <w:pPr>
        <w:spacing w:after="0" w:line="18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with respect to an entity, the articles of incorporation, certificate of incorporation, memorandum and articles of association, by-laws, articles of organization, operating agreement, certificate of formation or similar governing documents of such entity.</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760"/>
          </w:cols>
          <w:pgMar w:left="900" w:top="375" w:right="239" w:bottom="1440" w:gutter="0" w:footer="0" w:header="0"/>
        </w:sectPr>
      </w:pPr>
    </w:p>
    <w:bookmarkStart w:id="149" w:name="page150"/>
    <w:bookmarkEnd w:id="149"/>
    <w:p>
      <w:pPr>
        <w:jc w:val="both"/>
        <w:ind w:left="4"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Intellectual Property</w:t>
      </w:r>
      <w:r>
        <w:rPr>
          <w:rFonts w:ascii="Arial" w:cs="Arial" w:eastAsia="Arial" w:hAnsi="Arial"/>
          <w:sz w:val="19"/>
          <w:szCs w:val="19"/>
          <w:color w:val="auto"/>
        </w:rPr>
        <w:t>” Intellectual Property owned or purported to be owned by Parent or its Subsidiaries (other than the Company Group) that was either (a) developed by the Company Group (or its employees) and used primarily by the Company Group in the conduct of the business of the Company Group as currently conducted or</w:t>
      </w:r>
    </w:p>
    <w:p>
      <w:pPr>
        <w:spacing w:after="0" w:line="1" w:lineRule="exact"/>
        <w:rPr>
          <w:sz w:val="20"/>
          <w:szCs w:val="20"/>
          <w:color w:val="auto"/>
        </w:rPr>
      </w:pPr>
    </w:p>
    <w:p>
      <w:pPr>
        <w:ind w:left="4" w:right="20" w:hanging="4"/>
        <w:spacing w:after="0" w:line="246" w:lineRule="auto"/>
        <w:tabs>
          <w:tab w:leader="none" w:pos="312" w:val="left"/>
        </w:tabs>
        <w:numPr>
          <w:ilvl w:val="0"/>
          <w:numId w:val="88"/>
        </w:numPr>
        <w:rPr>
          <w:rFonts w:ascii="Arial" w:cs="Arial" w:eastAsia="Arial" w:hAnsi="Arial"/>
          <w:sz w:val="22"/>
          <w:szCs w:val="22"/>
          <w:color w:val="auto"/>
        </w:rPr>
      </w:pPr>
      <w:r>
        <w:rPr>
          <w:rFonts w:ascii="Arial" w:cs="Arial" w:eastAsia="Arial" w:hAnsi="Arial"/>
          <w:sz w:val="22"/>
          <w:szCs w:val="22"/>
          <w:color w:val="auto"/>
        </w:rPr>
        <w:t>otherwise developed for the benefit of and used exclusively by the Company Group in the conduct of the business of the Company Group as currently conducted.</w:t>
      </w:r>
    </w:p>
    <w:p>
      <w:pPr>
        <w:spacing w:after="0" w:line="193" w:lineRule="exact"/>
        <w:rPr>
          <w:sz w:val="20"/>
          <w:szCs w:val="20"/>
          <w:color w:val="auto"/>
        </w:rPr>
      </w:pPr>
    </w:p>
    <w:p>
      <w:pPr>
        <w:jc w:val="both"/>
        <w:ind w:left="4"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Software</w:t>
      </w:r>
      <w:r>
        <w:rPr>
          <w:rFonts w:ascii="Arial" w:cs="Arial" w:eastAsia="Arial" w:hAnsi="Arial"/>
          <w:sz w:val="22"/>
          <w:szCs w:val="22"/>
          <w:color w:val="auto"/>
        </w:rPr>
        <w:t>” means any Software owned or purported to be owned by the Parent or its Subsidiaries (other than the Company Group) that was either (a) developed by the Company Group (or its employees) and used primarily by the Company Group in the conduct of the business of the Company Group as currently conducted or (b) otherwise developed for the benefit of and used exclusively by the Company Group in the conduct of the business of the Company Group as currently conducted.</w:t>
      </w:r>
    </w:p>
    <w:p>
      <w:pPr>
        <w:spacing w:after="0" w:line="192"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each of the parties to this Agreement.</w:t>
      </w:r>
    </w:p>
    <w:p>
      <w:pPr>
        <w:spacing w:after="0" w:line="220" w:lineRule="exact"/>
        <w:rPr>
          <w:sz w:val="20"/>
          <w:szCs w:val="20"/>
          <w:color w:val="auto"/>
        </w:rPr>
      </w:pPr>
    </w:p>
    <w:p>
      <w:pPr>
        <w:jc w:val="both"/>
        <w:ind w:left="4"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the following Liens: (a) Liens for Taxes not yet due and payable or the validity of which is being contested in good faith by appropriate proceedings and for which adequate accruals or reserves have been established in accordance with GAAP (or otherwise in accordance with applicable accounting standards); (b) statutory Liens of landlords, lessors or renters for amounts not yet due or payable or that are being contested in good faith, (c) Liens of carriers, warehousemen, mechanics, materialmen and other Liens imposed by Law, in each case, arising or incurred in the ordinary course of business; (d) customary covenants and conditions, defects of title, easements, encroachments, rights-of-way, restrictions and other similar non-monetary charges or encumbrances of record not interfering with the ordinary conduct of the business of the Company Group consistent with past practice which do not and would not be reasonably expected to impair the use, operation or occupancy of the assets of the Company Group and do not secure indebtedness;</w:t>
      </w:r>
    </w:p>
    <w:p>
      <w:pPr>
        <w:jc w:val="both"/>
        <w:ind w:left="4" w:hanging="4"/>
        <w:spacing w:after="0" w:line="244" w:lineRule="auto"/>
        <w:tabs>
          <w:tab w:leader="none" w:pos="313" w:val="left"/>
        </w:tabs>
        <w:numPr>
          <w:ilvl w:val="0"/>
          <w:numId w:val="89"/>
        </w:numPr>
        <w:rPr>
          <w:rFonts w:ascii="Arial" w:cs="Arial" w:eastAsia="Arial" w:hAnsi="Arial"/>
          <w:sz w:val="22"/>
          <w:szCs w:val="22"/>
          <w:color w:val="auto"/>
        </w:rPr>
      </w:pPr>
      <w:r>
        <w:rPr>
          <w:rFonts w:ascii="Arial" w:cs="Arial" w:eastAsia="Arial" w:hAnsi="Arial"/>
          <w:sz w:val="22"/>
          <w:szCs w:val="22"/>
          <w:color w:val="auto"/>
        </w:rPr>
        <w:t>Liens that will be released prior to or as of the Closing; (f) non-exclusive licenses of or grants of rights to Intellectual Property entered into in the ordinary course of business (including with respect to manufacturing, customer, supply, distribution, retail and marketing agreements); and (g) Liens that do not materially impair the current use of, or the ability to exercise rights of ownership over, the property subject thereto.</w:t>
      </w:r>
    </w:p>
    <w:p>
      <w:pPr>
        <w:spacing w:after="0" w:line="196" w:lineRule="exact"/>
        <w:rPr>
          <w:sz w:val="20"/>
          <w:szCs w:val="20"/>
          <w:color w:val="auto"/>
        </w:rPr>
      </w:pPr>
    </w:p>
    <w:p>
      <w:pPr>
        <w:jc w:val="both"/>
        <w:ind w:left="4"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firm, joint venture, association, joint-stock company, trust, unincorporated organization, Governmental Authority or other entity.</w:t>
      </w:r>
    </w:p>
    <w:p>
      <w:pPr>
        <w:spacing w:after="0" w:line="175" w:lineRule="exact"/>
        <w:rPr>
          <w:sz w:val="20"/>
          <w:szCs w:val="20"/>
          <w:color w:val="auto"/>
        </w:rPr>
      </w:pPr>
    </w:p>
    <w:p>
      <w:pPr>
        <w:jc w:val="both"/>
        <w:ind w:left="4"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in addition to any definition for any similar term (e.g., “personally identifiable information” or “PII”) provided by applicable Law, or by the Company Group in any of its privacy policies, notices or contracts, all information that identifies, could be used to identify or is otherwise associated with an individual person or device, whether or not such information is associated with an identifiable individual, including (a) name, physical address, telephone number, email address, financial information, financial account number or government-issued identifier, (b) any data</w:t>
      </w:r>
    </w:p>
    <w:p>
      <w:pPr>
        <w:spacing w:after="0" w:line="200" w:lineRule="exact"/>
        <w:rPr>
          <w:sz w:val="20"/>
          <w:szCs w:val="20"/>
          <w:color w:val="auto"/>
        </w:rPr>
      </w:pPr>
    </w:p>
    <w:p>
      <w:pPr>
        <w:spacing w:after="0" w:line="23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764"/>
          </w:cols>
          <w:pgMar w:left="896" w:top="375" w:right="2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regarding an individual’s activities online or on a mobile device or application, and (c) Internet Protocol addresses, device identifiers or other persistent identifiers. Personal Information may relate to any individual, including a current, prospective, or former customer, end user or employee of any Person, and includes information in any form or media, whether paper, electronic, or otherwise.</w:t>
      </w:r>
    </w:p>
    <w:p>
      <w:pPr>
        <w:spacing w:after="0" w:line="18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Privacy Laws</w:t>
      </w:r>
      <w:r>
        <w:rPr>
          <w:rFonts w:ascii="Arial" w:cs="Arial" w:eastAsia="Arial" w:hAnsi="Arial"/>
          <w:sz w:val="19"/>
          <w:szCs w:val="19"/>
          <w:color w:val="auto"/>
        </w:rPr>
        <w:t>” means any and all applicable Laws relating to the receipt, collection, compilation, use, storage, processing, sharing, safeguarding, security (both technical and physical), disposal, destruction, disclosure or transfer (including cross-border) of Personal Information, including the Federal Trade Commission Act, state laws concerning privacy policies, including the California Online Privacy Protection Act (CalOPPA) and the Delaware Online Privacy and Protection Act (DOPPA), laws governing biometric data including the Illinois Biometric Information Privacy Act (BIPA), EU-U.S. Privacy Shield, Swiss-U.S. Privacy Shield, European Union General Data Protection Regulation, and any and all applicable Laws relating to breach notification in connection with Personal Information.</w:t>
      </w:r>
    </w:p>
    <w:p>
      <w:pPr>
        <w:spacing w:after="0" w:line="151"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the directors, officers, employees, agents and advisors (including legal, financial, accounting and marketing advisors) of a Person.</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 (i)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(ii) any Persons owned or controlled, directly or indirectly, by such Person or Persons; (b) any Persons identified on any sanctions lists of the European Union, the United Kingdom or any other jurisdiction; (c) Persons identified on any list of sanctioned parties identified in a resolution of the United Nations Security Council; and (d) any Persons located, organized or a resident in a Sanctioned Territory.</w:t>
      </w:r>
    </w:p>
    <w:p>
      <w:pPr>
        <w:spacing w:after="0" w:line="19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Autonomous Vehicle Development Agreement</w:t>
      </w:r>
      <w:r>
        <w:rPr>
          <w:rFonts w:ascii="Arial" w:cs="Arial" w:eastAsia="Arial" w:hAnsi="Arial"/>
          <w:sz w:val="22"/>
          <w:szCs w:val="22"/>
          <w:color w:val="auto"/>
        </w:rPr>
        <w:t>” means that certain Shared Autonomous Vehicle Development Agreement, dated as of the date of this Agreement, by and among the Company, Parent, GTO, Buyer and Honda R&amp;D Co.</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Territory</w:t>
      </w:r>
      <w:r>
        <w:rPr>
          <w:rFonts w:ascii="Arial" w:cs="Arial" w:eastAsia="Arial" w:hAnsi="Arial"/>
          <w:sz w:val="22"/>
          <w:szCs w:val="22"/>
          <w:color w:val="auto"/>
        </w:rPr>
        <w:t>” means, at any time, a country or geographic region which is itself the subject or target of any comprehensive Sanctions within the past five years, which includes: Crimea, Cuba, Iran, North Korea, Sudan, and Syria.</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 the economic sanctions and trade embargo Laws, rules, regulations, and executive orders of the United States, including, but not limited to, those administered or enforced from time to time by OFAC or the U.S. Department of State, the International Emergency Economic Powers Act (50 U.S.C. §§1701 et seq.), and the Trading with the Enemy Act (50 App. U.S.C. §§1 et seq.); and (b) any other similar and applicable economic sanctions and trade embargo Laws, rules, or regulations of any foreign</w:t>
      </w: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760"/>
          </w:cols>
          <w:pgMar w:left="900" w:top="375" w:right="239" w:bottom="1440" w:gutter="0" w:footer="0" w:header="0"/>
        </w:sectPr>
      </w:pPr>
    </w:p>
    <w:bookmarkStart w:id="151" w:name="page152"/>
    <w:bookmarkEnd w:id="151"/>
    <w:p>
      <w:pPr>
        <w:jc w:val="both"/>
        <w:ind w:right="20"/>
        <w:spacing w:after="0" w:line="263" w:lineRule="auto"/>
        <w:rPr>
          <w:sz w:val="20"/>
          <w:szCs w:val="20"/>
          <w:color w:val="auto"/>
        </w:rPr>
      </w:pPr>
      <w:r>
        <w:rPr>
          <w:rFonts w:ascii="Arial" w:cs="Arial" w:eastAsia="Arial" w:hAnsi="Arial"/>
          <w:sz w:val="22"/>
          <w:szCs w:val="22"/>
          <w:color w:val="auto"/>
        </w:rPr>
        <w:t>Governmental Authority, including but not limited to, the European Union, the United Kingdom, and the United Nations Security Council.</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any and all (a) computer programs, including any and all software implementations of algorithms, models and methodologies, whether in source code, object code or other form; (b) descriptions, flow-charts and other work product used to design, plan, organize and develop any of the foregoing; (c) data, databases and compilations of data, whether machine readable or otherwise; and (d) documentation and other materials related to any of the foregoing, including user manuals and training materials.</w:t>
      </w:r>
    </w:p>
    <w:p>
      <w:pPr>
        <w:spacing w:after="0" w:line="1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date of determination thereof, beneficially owned by such Person, by one or more Subsidiaries or such Person or by such Person and one or more Subsidiaries thereof, or (b) any other Person (other than a corporation), including a general or limited partnership or a limited liability company, in which such Person, one or more Subsidiaries thereof or such person and one or more Subsidiaries thereof, directly or indirectly, at the date of determination thereof, beneficially owns at least a majority of the ownership interests entitled to vote in the election of directors, managers or trustees thereof (or other Persons performing such functions) or act as the general partner or managing member of such other Person.</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means all returns, declarations, reports, estimates, information returns, statements and other documents filed or required to be filed in respect of Taxes (including any elections, declarations, schedules or attachments thereto, and any amendment thereof) including any claim for refund, amended return or declaration of estimated Tax, and including, where permitted or required, combined, consolidated or unitary returns for any group of entities.</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Period</w:t>
      </w:r>
      <w:r>
        <w:rPr>
          <w:rFonts w:ascii="Arial" w:cs="Arial" w:eastAsia="Arial" w:hAnsi="Arial"/>
          <w:sz w:val="22"/>
          <w:szCs w:val="22"/>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 all federal, state, county, local, non-U.S. or other income, gross receipts, ad valorem, margin, franchise, single business, production, profits, sales or use, transfer, registration, capital gains, excise, recapture, utility, environmental, communications, real or personal property, capital unit, license, payroll, wage or other withholding, employment, social security (or similar), severance, documentary, stamp, occupation, premium, windfall profits, net proceeds, gain, customs duties, unemployment, disability, value added, alternative or add on minimum, estimated or any other taxes, governmental charges, duties, levies, fees or similar assessments in the nature of a tax and imposed by any Governmental Authority, whether disputed or not, and (b) any fines,</w:t>
      </w:r>
    </w:p>
    <w:p>
      <w:pPr>
        <w:spacing w:after="0" w:line="200" w:lineRule="exact"/>
        <w:rPr>
          <w:sz w:val="20"/>
          <w:szCs w:val="20"/>
          <w:color w:val="auto"/>
        </w:rPr>
      </w:pPr>
    </w:p>
    <w:p>
      <w:pPr>
        <w:spacing w:after="0" w:line="22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0"/>
          </w:cols>
          <w:pgMar w:left="900" w:top="374" w:right="239" w:bottom="144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22"/>
          <w:szCs w:val="22"/>
          <w:color w:val="auto"/>
        </w:rPr>
        <w:t>penalties, interest, additional tax or additions to tax with respect thereto, imposed, assessed or collected under the authority of any Governmental Authority.</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means all Software, information, designs, formulae, algorithms, procedures, methods, techniques, ideas, know-how, research and development, technical data, tools, specifications, processes, inventions (whether patentable or unpatentable and whether or not reduced to practice), and other similar items.</w:t>
      </w:r>
    </w:p>
    <w:p>
      <w:pPr>
        <w:spacing w:after="0" w:line="1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Agreements</w:t>
      </w:r>
      <w:r>
        <w:rPr>
          <w:rFonts w:ascii="Arial" w:cs="Arial" w:eastAsia="Arial" w:hAnsi="Arial"/>
          <w:sz w:val="22"/>
          <w:szCs w:val="22"/>
          <w:color w:val="auto"/>
        </w:rPr>
        <w:t>” means (a) this Agreement, (b) the Second A&amp;R LLC Agreement, (c) the Shared Autonomous Vehicle Development Agreement, (d) the ZEV Credit Agreement, (e) the Marketing and Network Access Fee Agreement and (f) the Tripartite Side Letter.</w:t>
      </w:r>
    </w:p>
    <w:p>
      <w:pPr>
        <w:spacing w:after="0" w:line="18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means all fees and expenses (including legal, accounting, financial advisory and other professional fees and expenses) incurred in connection with the preparation, negotiation, execution and delivery of this Agreement, each of the Transaction Agreements and the consummation of purchase and sale of the Buyer Shares.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the transactions contemplated by this Agreement and each of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Agreements.</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Tripartite Side Letter</w:t>
      </w:r>
      <w:r>
        <w:rPr>
          <w:rFonts w:ascii="Arial" w:cs="Arial" w:eastAsia="Arial" w:hAnsi="Arial"/>
          <w:sz w:val="22"/>
          <w:szCs w:val="22"/>
          <w:color w:val="auto"/>
        </w:rPr>
        <w:t>” means that certain Tripartite Side Letter, dated as of the date of this Agreement, by and among Parent, the Company and Buyer.</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w:t>
      </w:r>
      <w:r>
        <w:rPr>
          <w:rFonts w:ascii="Arial" w:cs="Arial" w:eastAsia="Arial" w:hAnsi="Arial"/>
          <w:sz w:val="22"/>
          <w:szCs w:val="22"/>
          <w:color w:val="auto"/>
        </w:rPr>
        <w:t>” means the Worker Adjustment and Retraining Notification Act of 1988, as amended, and any similar foreign, state or local Laws.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ZEV Credit Agreement</w:t>
      </w:r>
      <w:r>
        <w:rPr>
          <w:rFonts w:ascii="Arial" w:cs="Arial" w:eastAsia="Arial" w:hAnsi="Arial"/>
          <w:sz w:val="22"/>
          <w:szCs w:val="22"/>
          <w:color w:val="auto"/>
        </w:rPr>
        <w:t>” means that certain ZEV Credit Agreement, dated as of the date of this Agreement, by and between GM LLC and American Honda.</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this Agreement, the following terms have the meanings set forth in the sections indicated:</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b w:val="1"/>
                <w:bCs w:val="1"/>
                <w:color w:val="auto"/>
              </w:rPr>
              <w:t>Term</w:t>
            </w:r>
          </w:p>
        </w:tc>
        <w:tc>
          <w:tcPr>
            <w:tcW w:w="35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28"/>
        </w:trPr>
        <w:tc>
          <w:tcPr>
            <w:tcW w:w="3740" w:type="dxa"/>
            <w:vAlign w:val="bottom"/>
            <w:gridSpan w:val="2"/>
          </w:tcPr>
          <w:p>
            <w:pPr>
              <w:spacing w:after="0"/>
              <w:rPr>
                <w:sz w:val="20"/>
                <w:szCs w:val="20"/>
                <w:color w:val="auto"/>
              </w:rPr>
            </w:pPr>
            <w:r>
              <w:rPr>
                <w:rFonts w:ascii="Arial" w:cs="Arial" w:eastAsia="Arial" w:hAnsi="Arial"/>
                <w:sz w:val="22"/>
                <w:szCs w:val="22"/>
                <w:color w:val="auto"/>
              </w:rPr>
              <w:t>2017 Form 10-K</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w w:val="93"/>
              </w:rPr>
              <w:t>Section 3.15(a)</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Affiliate Transaction</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3.14</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American Honda</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Basket</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w w:val="89"/>
              </w:rPr>
              <w:t>Section 6.5(a)(i)</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Benefit Plan</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3.8(c)</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Buyer</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Buyer Fundamental Reps</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6.1(a)</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Buyer Indemnified Persons</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6.2(a)</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Buyer Non-Fundamental Reps</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6.1(a)</w:t>
            </w:r>
          </w:p>
        </w:tc>
      </w:tr>
      <w:tr>
        <w:trPr>
          <w:trHeight w:val="297"/>
        </w:trPr>
        <w:tc>
          <w:tcPr>
            <w:tcW w:w="3740" w:type="dxa"/>
            <w:vAlign w:val="bottom"/>
            <w:gridSpan w:val="2"/>
          </w:tcPr>
          <w:p>
            <w:pPr>
              <w:spacing w:after="0"/>
              <w:rPr>
                <w:sz w:val="20"/>
                <w:szCs w:val="20"/>
                <w:color w:val="auto"/>
              </w:rPr>
            </w:pPr>
            <w:r>
              <w:rPr>
                <w:rFonts w:ascii="Arial" w:cs="Arial" w:eastAsia="Arial" w:hAnsi="Arial"/>
                <w:sz w:val="22"/>
                <w:szCs w:val="22"/>
                <w:color w:val="auto"/>
              </w:rPr>
              <w:t>Buyer Shares</w:t>
            </w:r>
          </w:p>
        </w:tc>
        <w:tc>
          <w:tcPr>
            <w:tcW w:w="35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2"/>
                <w:szCs w:val="22"/>
                <w:color w:val="auto"/>
              </w:rPr>
              <w:t>Section 1.1</w:t>
            </w:r>
          </w:p>
        </w:tc>
      </w:tr>
      <w:tr>
        <w:trPr>
          <w:trHeight w:val="527"/>
        </w:trPr>
        <w:tc>
          <w:tcPr>
            <w:tcW w:w="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00" w:type="dxa"/>
            <w:vAlign w:val="bottom"/>
          </w:tcPr>
          <w:p>
            <w:pPr>
              <w:jc w:val="right"/>
              <w:ind w:right="2092"/>
              <w:spacing w:after="0"/>
              <w:rPr>
                <w:sz w:val="20"/>
                <w:szCs w:val="20"/>
                <w:color w:val="auto"/>
              </w:rPr>
            </w:pPr>
            <w:r>
              <w:rPr>
                <w:rFonts w:ascii="Arial" w:cs="Arial" w:eastAsia="Arial" w:hAnsi="Arial"/>
                <w:sz w:val="22"/>
                <w:szCs w:val="22"/>
                <w:color w:val="auto"/>
              </w:rPr>
              <w:t>40</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760"/>
          </w:cols>
          <w:pgMar w:left="900" w:top="375"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4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Closing Cap</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6.5(a)(i)</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2.1</w:t>
            </w:r>
          </w:p>
        </w:tc>
      </w:tr>
      <w:tr>
        <w:trPr>
          <w:trHeight w:val="247"/>
        </w:trPr>
        <w:tc>
          <w:tcPr>
            <w:tcW w:w="7240" w:type="dxa"/>
            <w:vAlign w:val="bottom"/>
            <w:gridSpan w:val="2"/>
          </w:tcPr>
          <w:p>
            <w:pPr>
              <w:spacing w:after="0" w:line="246" w:lineRule="exact"/>
              <w:rPr>
                <w:sz w:val="20"/>
                <w:szCs w:val="20"/>
                <w:color w:val="auto"/>
              </w:rPr>
            </w:pPr>
            <w:r>
              <w:rPr>
                <w:rFonts w:ascii="Arial" w:cs="Arial" w:eastAsia="Arial" w:hAnsi="Arial"/>
                <w:sz w:val="22"/>
                <w:szCs w:val="22"/>
                <w:b w:val="1"/>
                <w:bCs w:val="1"/>
                <w:color w:val="auto"/>
              </w:rPr>
              <w:t>Term</w:t>
            </w:r>
          </w:p>
        </w:tc>
        <w:tc>
          <w:tcPr>
            <w:tcW w:w="1740" w:type="dxa"/>
            <w:vAlign w:val="bottom"/>
            <w:gridSpan w:val="2"/>
          </w:tcPr>
          <w:p>
            <w:pPr>
              <w:spacing w:after="0" w:line="246" w:lineRule="exact"/>
              <w:rPr>
                <w:sz w:val="20"/>
                <w:szCs w:val="20"/>
                <w:color w:val="auto"/>
              </w:rPr>
            </w:pPr>
            <w:r>
              <w:rPr>
                <w:rFonts w:ascii="Arial" w:cs="Arial" w:eastAsia="Arial" w:hAnsi="Arial"/>
                <w:sz w:val="22"/>
                <w:szCs w:val="22"/>
                <w:b w:val="1"/>
                <w:bCs w:val="1"/>
                <w:color w:val="auto"/>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28"/>
        </w:trPr>
        <w:tc>
          <w:tcPr>
            <w:tcW w:w="724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74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Equity Interests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3.5(c)</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Fundamental Reps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6.1(a)</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Group Registered IP</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3.11(a)</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Non-Fundamental Reps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6.5(a)(i)</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Properties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3.17</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Company Subsidiaries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3.5(d)</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Cruise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3.5(d)</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Disclosure Letter</w:t>
            </w:r>
          </w:p>
        </w:tc>
        <w:tc>
          <w:tcPr>
            <w:tcW w:w="1740" w:type="dxa"/>
            <w:vAlign w:val="bottom"/>
            <w:gridSpan w:val="2"/>
          </w:tcPr>
          <w:p>
            <w:pPr>
              <w:spacing w:after="0"/>
              <w:rPr>
                <w:sz w:val="20"/>
                <w:szCs w:val="20"/>
                <w:color w:val="auto"/>
              </w:rPr>
            </w:pPr>
            <w:r>
              <w:rPr>
                <w:rFonts w:ascii="Arial" w:cs="Arial" w:eastAsia="Arial" w:hAnsi="Arial"/>
                <w:sz w:val="22"/>
                <w:szCs w:val="22"/>
                <w:color w:val="auto"/>
                <w:w w:val="92"/>
              </w:rPr>
              <w:t>Article III 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Dispute Period</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EIP Stock</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3.5(b)</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Existing LLC Agreement</w:t>
            </w:r>
          </w:p>
        </w:tc>
        <w:tc>
          <w:tcPr>
            <w:tcW w:w="174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Final Determination</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6.7</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Financial Statements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3.15(a)</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GM PubCo</w:t>
            </w:r>
          </w:p>
        </w:tc>
        <w:tc>
          <w:tcPr>
            <w:tcW w:w="1740" w:type="dxa"/>
            <w:vAlign w:val="bottom"/>
            <w:gridSpan w:val="2"/>
          </w:tcPr>
          <w:p>
            <w:pPr>
              <w:spacing w:after="0"/>
              <w:rPr>
                <w:sz w:val="20"/>
                <w:szCs w:val="20"/>
                <w:color w:val="auto"/>
              </w:rPr>
            </w:pPr>
            <w:r>
              <w:rPr>
                <w:rFonts w:ascii="Arial" w:cs="Arial" w:eastAsia="Arial" w:hAnsi="Arial"/>
                <w:sz w:val="22"/>
                <w:szCs w:val="22"/>
                <w:color w:val="auto"/>
                <w:w w:val="92"/>
              </w:rPr>
              <w:t>Article III 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GM SEC Filings</w:t>
            </w:r>
          </w:p>
        </w:tc>
        <w:tc>
          <w:tcPr>
            <w:tcW w:w="1740" w:type="dxa"/>
            <w:vAlign w:val="bottom"/>
            <w:gridSpan w:val="2"/>
          </w:tcPr>
          <w:p>
            <w:pPr>
              <w:spacing w:after="0"/>
              <w:rPr>
                <w:sz w:val="20"/>
                <w:szCs w:val="20"/>
                <w:color w:val="auto"/>
              </w:rPr>
            </w:pPr>
            <w:r>
              <w:rPr>
                <w:rFonts w:ascii="Arial" w:cs="Arial" w:eastAsia="Arial" w:hAnsi="Arial"/>
                <w:sz w:val="22"/>
                <w:szCs w:val="22"/>
                <w:color w:val="auto"/>
                <w:w w:val="92"/>
              </w:rPr>
              <w:t>Article III 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Honda</w:t>
            </w:r>
          </w:p>
        </w:tc>
        <w:tc>
          <w:tcPr>
            <w:tcW w:w="174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Honda R&amp;D Co</w:t>
            </w:r>
          </w:p>
        </w:tc>
        <w:tc>
          <w:tcPr>
            <w:tcW w:w="174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Inbound Intellectual Property License</w:t>
            </w:r>
          </w:p>
        </w:tc>
        <w:tc>
          <w:tcPr>
            <w:tcW w:w="1740" w:type="dxa"/>
            <w:vAlign w:val="bottom"/>
            <w:gridSpan w:val="2"/>
          </w:tcPr>
          <w:p>
            <w:pPr>
              <w:spacing w:after="0"/>
              <w:rPr>
                <w:sz w:val="20"/>
                <w:szCs w:val="20"/>
                <w:color w:val="auto"/>
              </w:rPr>
            </w:pPr>
            <w:r>
              <w:rPr>
                <w:rFonts w:ascii="Arial" w:cs="Arial" w:eastAsia="Arial" w:hAnsi="Arial"/>
                <w:sz w:val="22"/>
                <w:szCs w:val="22"/>
                <w:color w:val="auto"/>
                <w:w w:val="99"/>
              </w:rPr>
              <w:t>Section 3.9(a)(vii)</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Indemnification Claim</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Indemnified Party</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Indemnifying Party</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Issuance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1.1</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Legal Proceeding</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3.6</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Material Contract</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3.9(a)</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Non-Party Affiliates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6.9</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Options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3.5(b)</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Order</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3.3</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Parent</w:t>
            </w:r>
          </w:p>
        </w:tc>
        <w:tc>
          <w:tcPr>
            <w:tcW w:w="174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Permits</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3.3</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Purchase Price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1.1</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Q1 2018 10-Q</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3.15(a)</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Real Property Lease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3.7</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Second A&amp;R LLC Agreement</w:t>
            </w:r>
          </w:p>
        </w:tc>
        <w:tc>
          <w:tcPr>
            <w:tcW w:w="174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Securities Act</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3.5(b)</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Settlement</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SoftBank</w:t>
            </w:r>
          </w:p>
        </w:tc>
        <w:tc>
          <w:tcPr>
            <w:tcW w:w="174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SoftBank Transaction</w:t>
            </w:r>
          </w:p>
        </w:tc>
        <w:tc>
          <w:tcPr>
            <w:tcW w:w="1740" w:type="dxa"/>
            <w:vAlign w:val="bottom"/>
            <w:gridSpan w:val="2"/>
          </w:tcPr>
          <w:p>
            <w:pPr>
              <w:spacing w:after="0"/>
              <w:rPr>
                <w:sz w:val="20"/>
                <w:szCs w:val="20"/>
                <w:color w:val="auto"/>
              </w:rPr>
            </w:pPr>
            <w:r>
              <w:rPr>
                <w:rFonts w:ascii="Arial" w:cs="Arial" w:eastAsia="Arial" w:hAnsi="Arial"/>
                <w:sz w:val="22"/>
                <w:szCs w:val="22"/>
                <w:color w:val="auto"/>
              </w:rPr>
              <w:t>Recitals</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Strobe</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3.5(d)</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Survival Period</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6.1(b)</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Tax Benefit</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6.6(b)</w:t>
            </w:r>
          </w:p>
        </w:tc>
      </w:tr>
      <w:tr>
        <w:trPr>
          <w:trHeight w:val="297"/>
        </w:trPr>
        <w:tc>
          <w:tcPr>
            <w:tcW w:w="724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1740" w:type="dxa"/>
            <w:vAlign w:val="bottom"/>
            <w:gridSpan w:val="2"/>
          </w:tcPr>
          <w:p>
            <w:pPr>
              <w:spacing w:after="0"/>
              <w:rPr>
                <w:sz w:val="20"/>
                <w:szCs w:val="20"/>
                <w:color w:val="auto"/>
              </w:rPr>
            </w:pPr>
            <w:r>
              <w:rPr>
                <w:rFonts w:ascii="Arial" w:cs="Arial" w:eastAsia="Arial" w:hAnsi="Arial"/>
                <w:sz w:val="22"/>
                <w:szCs w:val="22"/>
                <w:color w:val="auto"/>
              </w:rPr>
              <w:t>Section 6.4</w:t>
            </w:r>
          </w:p>
        </w:tc>
      </w:tr>
    </w:tbl>
    <w:p>
      <w:pPr>
        <w:spacing w:after="0" w:line="200" w:lineRule="exact"/>
        <w:rPr>
          <w:sz w:val="20"/>
          <w:szCs w:val="20"/>
          <w:color w:val="auto"/>
        </w:rPr>
      </w:pPr>
    </w:p>
    <w:p>
      <w:pPr>
        <w:sectPr>
          <w:pgSz w:w="11900" w:h="16838" w:orient="portrait"/>
          <w:cols w:equalWidth="0" w:num="1">
            <w:col w:w="9439"/>
          </w:cols>
          <w:pgMar w:left="1020" w:top="524" w:right="1440" w:bottom="1440" w:gutter="0" w:footer="0" w:header="0"/>
        </w:sectPr>
      </w:pPr>
    </w:p>
    <w:p>
      <w:pPr>
        <w:spacing w:after="0" w:line="52"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9439"/>
          </w:cols>
          <w:pgMar w:left="1020" w:top="524" w:right="1440"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9"/>
          <w:szCs w:val="19"/>
          <w:color w:val="auto"/>
        </w:rPr>
        <w:t>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Transfer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7.13</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Section 5.4</w:t>
      </w:r>
    </w:p>
    <w:p>
      <w:pPr>
        <w:spacing w:after="0" w:line="42" w:lineRule="exact"/>
        <w:rPr>
          <w:sz w:val="20"/>
          <w:szCs w:val="20"/>
          <w:color w:val="auto"/>
        </w:rPr>
      </w:pPr>
    </w:p>
    <w:p>
      <w:pPr>
        <w:sectPr>
          <w:pgSz w:w="11900" w:h="16838" w:orient="portrait"/>
          <w:cols w:equalWidth="0" w:num="2">
            <w:col w:w="6520" w:space="720"/>
            <w:col w:w="2199"/>
          </w:cols>
          <w:pgMar w:left="1020" w:top="523" w:right="1440" w:bottom="1440" w:gutter="0" w:footer="0" w:header="0"/>
        </w:sectPr>
      </w:pPr>
    </w:p>
    <w:p>
      <w:pPr>
        <w:ind w:left="3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on Next Page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9439"/>
          </w:cols>
          <w:pgMar w:left="1020" w:top="523" w:right="1440" w:bottom="1440" w:gutter="0" w:footer="0" w:header="0"/>
          <w:type w:val="continuous"/>
        </w:sectPr>
      </w:pPr>
    </w:p>
    <w:bookmarkStart w:id="155" w:name="page156"/>
    <w:bookmarkEnd w:id="155"/>
    <w:p>
      <w:pPr>
        <w:ind w:firstLine="1297"/>
        <w:spacing w:after="0" w:line="263" w:lineRule="auto"/>
        <w:rPr>
          <w:sz w:val="20"/>
          <w:szCs w:val="20"/>
          <w:color w:val="auto"/>
        </w:rPr>
      </w:pPr>
      <w:r>
        <w:rPr>
          <w:rFonts w:ascii="Arial" w:cs="Arial" w:eastAsia="Arial" w:hAnsi="Arial"/>
          <w:sz w:val="22"/>
          <w:szCs w:val="22"/>
          <w:color w:val="auto"/>
        </w:rPr>
        <w:t>IN WITNESS WHEREOF, the Parties have caused this Purchase Agreement to be executed by their respective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HONDA MOTOR CO., LTD.</w:t>
      </w:r>
    </w:p>
    <w:p>
      <w:pPr>
        <w:spacing w:after="0" w:line="200" w:lineRule="exact"/>
        <w:rPr>
          <w:sz w:val="20"/>
          <w:szCs w:val="20"/>
          <w:color w:val="auto"/>
        </w:rPr>
      </w:pPr>
    </w:p>
    <w:p>
      <w:pPr>
        <w:spacing w:after="0" w:line="24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Seiji Kuraishi</w:t>
      </w:r>
    </w:p>
    <w:p>
      <w:pPr>
        <w:spacing w:after="0" w:line="22" w:lineRule="exact"/>
        <w:rPr>
          <w:sz w:val="20"/>
          <w:szCs w:val="20"/>
          <w:color w:val="auto"/>
        </w:rPr>
      </w:pPr>
    </w:p>
    <w:p>
      <w:pPr>
        <w:ind w:left="3580"/>
        <w:spacing w:after="0"/>
        <w:tabs>
          <w:tab w:leader="none" w:pos="43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Seiji Kuraishi</w:t>
      </w:r>
    </w:p>
    <w:p>
      <w:pPr>
        <w:spacing w:after="0" w:line="4" w:lineRule="exact"/>
        <w:rPr>
          <w:sz w:val="20"/>
          <w:szCs w:val="20"/>
          <w:color w:val="auto"/>
        </w:rPr>
      </w:pPr>
    </w:p>
    <w:p>
      <w:pPr>
        <w:ind w:left="3580"/>
        <w:spacing w:after="0"/>
        <w:tabs>
          <w:tab w:leader="none" w:pos="4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Representative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685" w:right="259" w:bottom="1440" w:gutter="0" w:footer="0" w:header="0"/>
        </w:sectPr>
      </w:pPr>
    </w:p>
    <w:bookmarkStart w:id="156" w:name="page157"/>
    <w:bookmarkEnd w:id="156"/>
    <w:p>
      <w:pPr>
        <w:ind w:firstLine="1297"/>
        <w:spacing w:after="0" w:line="263" w:lineRule="auto"/>
        <w:rPr>
          <w:sz w:val="20"/>
          <w:szCs w:val="20"/>
          <w:color w:val="auto"/>
        </w:rPr>
      </w:pPr>
      <w:r>
        <w:rPr>
          <w:rFonts w:ascii="Arial" w:cs="Arial" w:eastAsia="Arial" w:hAnsi="Arial"/>
          <w:sz w:val="22"/>
          <w:szCs w:val="22"/>
          <w:color w:val="auto"/>
        </w:rPr>
        <w:t>IN WITNESS WHEREOF, the Parties have caused this Purchase Agreement to be executed by their respective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GM CRUISE HOLDINGS LLC</w:t>
      </w:r>
    </w:p>
    <w:p>
      <w:pPr>
        <w:spacing w:after="0" w:line="200" w:lineRule="exact"/>
        <w:rPr>
          <w:sz w:val="20"/>
          <w:szCs w:val="20"/>
          <w:color w:val="auto"/>
        </w:rPr>
      </w:pPr>
    </w:p>
    <w:p>
      <w:pPr>
        <w:spacing w:after="0" w:line="24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Geoffrey Richardson</w:t>
      </w:r>
    </w:p>
    <w:p>
      <w:pPr>
        <w:spacing w:after="0" w:line="22" w:lineRule="exact"/>
        <w:rPr>
          <w:sz w:val="20"/>
          <w:szCs w:val="20"/>
          <w:color w:val="auto"/>
        </w:rPr>
      </w:pPr>
    </w:p>
    <w:p>
      <w:pPr>
        <w:ind w:left="3580"/>
        <w:spacing w:after="0"/>
        <w:tabs>
          <w:tab w:leader="none" w:pos="43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Geoffrey Richardson</w:t>
      </w:r>
    </w:p>
    <w:p>
      <w:pPr>
        <w:spacing w:after="0" w:line="17" w:lineRule="exact"/>
        <w:rPr>
          <w:sz w:val="20"/>
          <w:szCs w:val="20"/>
          <w:color w:val="auto"/>
        </w:rPr>
      </w:pPr>
    </w:p>
    <w:p>
      <w:pPr>
        <w:ind w:left="3580"/>
        <w:spacing w:after="0"/>
        <w:tabs>
          <w:tab w:leader="none" w:pos="4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00"/>
          </w:cols>
          <w:pgMar w:left="240" w:top="375" w:right="2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GM CRUISE HOLDINGS LLC</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2018 EMPLOYEE INCENTIVE PLAN</w:t>
      </w:r>
    </w:p>
    <w:p>
      <w:pPr>
        <w:spacing w:after="0" w:line="220"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AMENDED AND APPROVED BY THE CRUISE BOARD</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EFFECTIVE SEPTEMBER 12, 2018</w:t>
      </w:r>
    </w:p>
    <w:p>
      <w:pPr>
        <w:spacing w:after="0" w:line="202" w:lineRule="exact"/>
        <w:rPr>
          <w:sz w:val="20"/>
          <w:szCs w:val="20"/>
          <w:color w:val="auto"/>
        </w:rPr>
      </w:pPr>
    </w:p>
    <w:p>
      <w:pPr>
        <w:ind w:left="740" w:hanging="704"/>
        <w:spacing w:after="0"/>
        <w:tabs>
          <w:tab w:leader="none" w:pos="7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INTRODUCTION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purpose of this 2018 Employee Incentive Plan, as it may be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to promote the long-term success of GM Cruise Holdings LLC, a Delaware limited liability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by offering present and future employees and other individual service providers of the Company or its Subsidiaries an opportunity to acquire an ownership interest in the Company, thereby encouraging such persons to contribute to and participate in the success of the Company. The Plan shall become effective as of the date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of its adoption by the Company’s Board or such other date as may be determined by the Board.</w:t>
      </w:r>
    </w:p>
    <w:p>
      <w:pPr>
        <w:spacing w:after="0" w:line="19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Under the Plan, the Company may make Awards to such present and future employees and other individual service providers of the Company or its Subsidiaries as may be selected in the sole discretion of the Committee.</w:t>
      </w:r>
    </w:p>
    <w:p>
      <w:pPr>
        <w:spacing w:after="0" w:line="175" w:lineRule="exact"/>
        <w:rPr>
          <w:sz w:val="20"/>
          <w:szCs w:val="20"/>
          <w:color w:val="auto"/>
        </w:rPr>
      </w:pPr>
    </w:p>
    <w:p>
      <w:pPr>
        <w:ind w:left="40" w:right="20" w:firstLine="648"/>
        <w:spacing w:after="0" w:line="263" w:lineRule="auto"/>
        <w:rPr>
          <w:sz w:val="20"/>
          <w:szCs w:val="20"/>
          <w:color w:val="auto"/>
        </w:rPr>
      </w:pPr>
      <w:r>
        <w:rPr>
          <w:rFonts w:ascii="Arial" w:cs="Arial" w:eastAsia="Arial" w:hAnsi="Arial"/>
          <w:sz w:val="22"/>
          <w:szCs w:val="22"/>
          <w:color w:val="auto"/>
        </w:rPr>
        <w:t xml:space="preserve">Capitalized terms shall have the meanings provided in </w:t>
      </w:r>
      <w:r>
        <w:rPr>
          <w:rFonts w:ascii="Arial" w:cs="Arial" w:eastAsia="Arial" w:hAnsi="Arial"/>
          <w:sz w:val="22"/>
          <w:szCs w:val="22"/>
          <w:u w:val="single" w:color="auto"/>
          <w:color w:val="auto"/>
        </w:rPr>
        <w:t>Section 2</w:t>
      </w:r>
      <w:r>
        <w:rPr>
          <w:rFonts w:ascii="Arial" w:cs="Arial" w:eastAsia="Arial" w:hAnsi="Arial"/>
          <w:sz w:val="22"/>
          <w:szCs w:val="22"/>
          <w:color w:val="auto"/>
        </w:rPr>
        <w:t>, unless otherwise provided in this Plan or any related Award Agreement.</w:t>
      </w:r>
    </w:p>
    <w:p>
      <w:pPr>
        <w:spacing w:after="0" w:line="175" w:lineRule="exact"/>
        <w:rPr>
          <w:sz w:val="20"/>
          <w:szCs w:val="20"/>
          <w:color w:val="auto"/>
        </w:rPr>
      </w:pPr>
    </w:p>
    <w:p>
      <w:pPr>
        <w:ind w:left="740" w:hanging="704"/>
        <w:spacing w:after="0"/>
        <w:tabs>
          <w:tab w:leader="none" w:pos="7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80" w:firstLine="4"/>
        <w:spacing w:after="0" w:line="284" w:lineRule="auto"/>
        <w:tabs>
          <w:tab w:leader="none" w:pos="14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or the LLC Agreement to the contrary, (i) none of the Members shall be deemed to be an “Affiliate” of any other Member solely by virtue of owning membership interests in the Company, (ii) none of the Members shall be deemed to be an “Affiliate” of the Company and</w:t>
      </w:r>
    </w:p>
    <w:p>
      <w:pPr>
        <w:spacing w:after="0" w:line="4" w:lineRule="exact"/>
        <w:rPr>
          <w:rFonts w:ascii="Arial" w:cs="Arial" w:eastAsia="Arial" w:hAnsi="Arial"/>
          <w:sz w:val="19"/>
          <w:szCs w:val="19"/>
          <w:color w:val="auto"/>
        </w:rPr>
      </w:pPr>
    </w:p>
    <w:p>
      <w:pPr>
        <w:ind w:left="680" w:firstLine="4"/>
        <w:spacing w:after="0" w:line="246" w:lineRule="auto"/>
        <w:tabs>
          <w:tab w:leader="none" w:pos="1064" w:val="left"/>
        </w:tabs>
        <w:numPr>
          <w:ilvl w:val="1"/>
          <w:numId w:val="92"/>
        </w:numPr>
        <w:rPr>
          <w:rFonts w:ascii="Arial" w:cs="Arial" w:eastAsia="Arial" w:hAnsi="Arial"/>
          <w:sz w:val="22"/>
          <w:szCs w:val="22"/>
          <w:color w:val="auto"/>
        </w:rPr>
      </w:pPr>
      <w:r>
        <w:rPr>
          <w:rFonts w:ascii="Arial" w:cs="Arial" w:eastAsia="Arial" w:hAnsi="Arial"/>
          <w:sz w:val="22"/>
          <w:szCs w:val="22"/>
          <w:color w:val="auto"/>
        </w:rPr>
        <w:t>neither the Company nor any of its Subsidiaries shall be deemed to be an “Affiliate” of any of the Members or any of their Affiliates.</w:t>
      </w:r>
    </w:p>
    <w:p>
      <w:pPr>
        <w:spacing w:after="0" w:line="192" w:lineRule="exact"/>
        <w:rPr>
          <w:rFonts w:ascii="Arial" w:cs="Arial" w:eastAsia="Arial" w:hAnsi="Arial"/>
          <w:sz w:val="22"/>
          <w:szCs w:val="22"/>
          <w:color w:val="auto"/>
        </w:rPr>
      </w:pPr>
    </w:p>
    <w:p>
      <w:pPr>
        <w:ind w:left="680" w:firstLine="4"/>
        <w:spacing w:after="0" w:line="263" w:lineRule="auto"/>
        <w:tabs>
          <w:tab w:leader="none" w:pos="1472" w:val="left"/>
        </w:tabs>
        <w:numPr>
          <w:ilvl w:val="1"/>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award under the Plan of any Option, SAR, Restricted Stock, RSU, Performance Award or Other Stock-Based Award. All Awards shall be granted pursuant to an Award Agreement.</w:t>
      </w:r>
    </w:p>
    <w:p>
      <w:pPr>
        <w:spacing w:after="0" w:line="174" w:lineRule="exact"/>
        <w:rPr>
          <w:rFonts w:ascii="Arial" w:cs="Arial" w:eastAsia="Arial" w:hAnsi="Arial"/>
          <w:sz w:val="22"/>
          <w:szCs w:val="22"/>
          <w:color w:val="auto"/>
        </w:rPr>
      </w:pPr>
    </w:p>
    <w:p>
      <w:pPr>
        <w:ind w:left="680" w:firstLine="4"/>
        <w:spacing w:after="0" w:line="343" w:lineRule="auto"/>
        <w:tabs>
          <w:tab w:leader="none" w:pos="1460" w:val="left"/>
        </w:tabs>
        <w:numPr>
          <w:ilvl w:val="1"/>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means any appropriately authorized agreement, contract or other instrument or document evidencing any Award granted under the Plan, which must be duly executed or acknowledged by a Participant.</w:t>
      </w:r>
    </w:p>
    <w:p>
      <w:pPr>
        <w:spacing w:after="0" w:line="3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21" w:right="239" w:bottom="1440" w:gutter="0" w:footer="0" w:header="0"/>
        </w:sectPr>
      </w:pPr>
    </w:p>
    <w:bookmarkStart w:id="158" w:name="page159"/>
    <w:bookmarkEnd w:id="158"/>
    <w:p>
      <w:pPr>
        <w:ind w:left="796" w:hanging="796"/>
        <w:spacing w:after="0"/>
        <w:tabs>
          <w:tab w:leader="none" w:pos="7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as constituted from time to time.</w:t>
      </w:r>
    </w:p>
    <w:p>
      <w:pPr>
        <w:spacing w:after="0" w:line="219" w:lineRule="exact"/>
        <w:rPr>
          <w:rFonts w:ascii="Arial" w:cs="Arial" w:eastAsia="Arial" w:hAnsi="Arial"/>
          <w:sz w:val="22"/>
          <w:szCs w:val="22"/>
          <w:color w:val="auto"/>
        </w:rPr>
      </w:pPr>
    </w:p>
    <w:p>
      <w:pPr>
        <w:jc w:val="both"/>
        <w:ind w:left="-4" w:firstLine="4"/>
        <w:spacing w:after="0" w:line="265" w:lineRule="auto"/>
        <w:tabs>
          <w:tab w:leader="none" w:pos="775" w:val="left"/>
        </w:tabs>
        <w:numPr>
          <w:ilvl w:val="0"/>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means, with respect to any Participant, (i) to the extent specifically defined in a separate written employment agreement between the Participant and the Company, “Cause” shall have the meaning set forth in such employment agreement, or (ii) if no such agreement exists (or in the absence of a definition of “Cause” contained therein), any of the following unless varied in such Participant’s applicable Award Agreement:</w:t>
      </w:r>
    </w:p>
    <w:p>
      <w:pPr>
        <w:spacing w:after="0" w:line="175" w:lineRule="exact"/>
        <w:rPr>
          <w:rFonts w:ascii="Arial" w:cs="Arial" w:eastAsia="Arial" w:hAnsi="Arial"/>
          <w:sz w:val="21"/>
          <w:szCs w:val="21"/>
          <w:color w:val="auto"/>
        </w:rPr>
      </w:pPr>
    </w:p>
    <w:p>
      <w:pPr>
        <w:ind w:left="1296" w:right="320" w:hanging="647"/>
        <w:spacing w:after="0" w:line="263" w:lineRule="auto"/>
        <w:tabs>
          <w:tab w:leader="none" w:pos="129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Participant’s commission of, or plea of guilty or no contest to, a felony or comparable local charge in non-U.S. jurisdictions;</w:t>
      </w:r>
    </w:p>
    <w:p>
      <w:pPr>
        <w:spacing w:after="0" w:line="174" w:lineRule="exact"/>
        <w:rPr>
          <w:rFonts w:ascii="Arial" w:cs="Arial" w:eastAsia="Arial" w:hAnsi="Arial"/>
          <w:sz w:val="22"/>
          <w:szCs w:val="22"/>
          <w:color w:val="auto"/>
        </w:rPr>
      </w:pPr>
    </w:p>
    <w:p>
      <w:pPr>
        <w:ind w:left="1296" w:hanging="647"/>
        <w:spacing w:after="0" w:line="263" w:lineRule="auto"/>
        <w:tabs>
          <w:tab w:leader="none" w:pos="129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Participant’s gross negligence or willful misconduct that is materially injurious to the Company or any of its Subsidiaries;</w:t>
      </w:r>
    </w:p>
    <w:p>
      <w:pPr>
        <w:spacing w:after="0" w:line="174" w:lineRule="exact"/>
        <w:rPr>
          <w:rFonts w:ascii="Arial" w:cs="Arial" w:eastAsia="Arial" w:hAnsi="Arial"/>
          <w:sz w:val="22"/>
          <w:szCs w:val="22"/>
          <w:color w:val="auto"/>
        </w:rPr>
      </w:pPr>
    </w:p>
    <w:p>
      <w:pPr>
        <w:ind w:left="1296" w:hanging="647"/>
        <w:spacing w:after="0" w:line="263" w:lineRule="auto"/>
        <w:tabs>
          <w:tab w:leader="none" w:pos="129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Participant’s material violation of state or federal securities laws or comparable local charges in non-U.S. jurisdictions; or</w:t>
      </w:r>
    </w:p>
    <w:p>
      <w:pPr>
        <w:spacing w:after="0" w:line="174" w:lineRule="exact"/>
        <w:rPr>
          <w:rFonts w:ascii="Arial" w:cs="Arial" w:eastAsia="Arial" w:hAnsi="Arial"/>
          <w:sz w:val="22"/>
          <w:szCs w:val="22"/>
          <w:color w:val="auto"/>
        </w:rPr>
      </w:pPr>
    </w:p>
    <w:p>
      <w:pPr>
        <w:ind w:left="1296" w:hanging="647"/>
        <w:spacing w:after="0"/>
        <w:tabs>
          <w:tab w:leader="none" w:pos="129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Participant’s gross insubordination.</w:t>
      </w:r>
    </w:p>
    <w:p>
      <w:pPr>
        <w:spacing w:after="0" w:line="219" w:lineRule="exact"/>
        <w:rPr>
          <w:rFonts w:ascii="Arial" w:cs="Arial" w:eastAsia="Arial" w:hAnsi="Arial"/>
          <w:sz w:val="22"/>
          <w:szCs w:val="22"/>
          <w:color w:val="auto"/>
        </w:rPr>
      </w:pPr>
    </w:p>
    <w:p>
      <w:pPr>
        <w:jc w:val="both"/>
        <w:ind w:left="-4" w:firstLine="4"/>
        <w:spacing w:after="0" w:line="294" w:lineRule="auto"/>
        <w:tabs>
          <w:tab w:leader="none" w:pos="752"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xml:space="preserve">” means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assets of the Company and its Subsidiaries on a consolidated basis (in either case, whether by merger, consolidation, sale, exchange, issuance, Transfer or redemption of the Company’s Equity Securities, by sale, exchange or Transfer of the Company’s consolidated assets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consummation of an IPO will not constitute a “Change of Control.”</w:t>
      </w:r>
    </w:p>
    <w:p>
      <w:pPr>
        <w:spacing w:after="0" w:line="149" w:lineRule="exact"/>
        <w:rPr>
          <w:rFonts w:ascii="Arial" w:cs="Arial" w:eastAsia="Arial" w:hAnsi="Arial"/>
          <w:sz w:val="19"/>
          <w:szCs w:val="19"/>
          <w:color w:val="auto"/>
        </w:rPr>
      </w:pPr>
    </w:p>
    <w:p>
      <w:pPr>
        <w:ind w:left="-4" w:right="20" w:firstLine="4"/>
        <w:spacing w:after="0" w:line="287" w:lineRule="auto"/>
        <w:tabs>
          <w:tab w:leader="none" w:pos="788" w:val="left"/>
        </w:tabs>
        <w:numPr>
          <w:ilvl w:val="0"/>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Code</w:t>
      </w:r>
      <w:r>
        <w:rPr>
          <w:rFonts w:ascii="Arial" w:cs="Arial" w:eastAsia="Arial" w:hAnsi="Arial"/>
          <w:sz w:val="21"/>
          <w:szCs w:val="21"/>
          <w:color w:val="auto"/>
        </w:rPr>
        <w:t>” means the Internal Revenue Code of 1986, as amended, and the regulations and interpretations promulgated thereunder. Any reference to a provision in the Code shall include any successor provision thereto.</w:t>
      </w:r>
    </w:p>
    <w:p>
      <w:pPr>
        <w:spacing w:after="0" w:line="151" w:lineRule="exact"/>
        <w:rPr>
          <w:rFonts w:ascii="Arial" w:cs="Arial" w:eastAsia="Arial" w:hAnsi="Arial"/>
          <w:sz w:val="21"/>
          <w:szCs w:val="21"/>
          <w:color w:val="auto"/>
        </w:rPr>
      </w:pPr>
    </w:p>
    <w:p>
      <w:pPr>
        <w:ind w:left="-4" w:right="20" w:firstLine="4"/>
        <w:spacing w:after="0" w:line="263" w:lineRule="auto"/>
        <w:tabs>
          <w:tab w:leader="none" w:pos="788" w:val="left"/>
        </w:tabs>
        <w:numPr>
          <w:ilvl w:val="0"/>
          <w:numId w:val="9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means the Board or any committee as may be designated by the Board to perform any functions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Board with respect to this Plan.</w:t>
      </w:r>
    </w:p>
    <w:p>
      <w:pPr>
        <w:spacing w:after="0" w:line="174" w:lineRule="exact"/>
        <w:rPr>
          <w:rFonts w:ascii="Arial" w:cs="Arial" w:eastAsia="Arial" w:hAnsi="Arial"/>
          <w:sz w:val="22"/>
          <w:szCs w:val="22"/>
          <w:color w:val="auto"/>
        </w:rPr>
      </w:pPr>
    </w:p>
    <w:p>
      <w:pPr>
        <w:ind w:left="-4" w:firstLine="4"/>
        <w:spacing w:after="0" w:line="263" w:lineRule="auto"/>
        <w:tabs>
          <w:tab w:leader="none" w:pos="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Shares</w:t>
      </w:r>
      <w:r>
        <w:rPr>
          <w:rFonts w:ascii="Arial" w:cs="Arial" w:eastAsia="Arial" w:hAnsi="Arial"/>
          <w:sz w:val="22"/>
          <w:szCs w:val="22"/>
          <w:color w:val="auto"/>
        </w:rPr>
        <w:t>” means the Class B Common Shares of the Company or any units of equity into which Class B Common Shares are converted.</w:t>
      </w:r>
    </w:p>
    <w:p>
      <w:pPr>
        <w:spacing w:after="0" w:line="174" w:lineRule="exact"/>
        <w:rPr>
          <w:rFonts w:ascii="Arial" w:cs="Arial" w:eastAsia="Arial" w:hAnsi="Arial"/>
          <w:sz w:val="22"/>
          <w:szCs w:val="22"/>
          <w:color w:val="auto"/>
        </w:rPr>
      </w:pPr>
    </w:p>
    <w:p>
      <w:pPr>
        <w:jc w:val="both"/>
        <w:ind w:left="-4" w:firstLine="4"/>
        <w:spacing w:after="0" w:line="248" w:lineRule="auto"/>
        <w:tabs>
          <w:tab w:leader="none" w:pos="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any Participant, unless otherwise determined by the Committee in the applicable Award Agreement, a permanent and total disability as defined in Section 22(e)(3) of the Code. A Disability shall only be deemed to occur at the time of the determination by the Committee of the Disability. Notwithstanding the foregoing, for Awards that are subject to Section 409A of the Code, Disability shall mean that a Participant is disabled under Section 409A(a)(2)(C)(i) or (ii) of the Code.</w:t>
      </w:r>
    </w:p>
    <w:p>
      <w:pPr>
        <w:spacing w:after="0" w:line="192" w:lineRule="exact"/>
        <w:rPr>
          <w:rFonts w:ascii="Arial" w:cs="Arial" w:eastAsia="Arial" w:hAnsi="Arial"/>
          <w:sz w:val="22"/>
          <w:szCs w:val="22"/>
          <w:color w:val="auto"/>
        </w:rPr>
      </w:pPr>
    </w:p>
    <w:p>
      <w:pPr>
        <w:ind w:left="796" w:hanging="796"/>
        <w:spacing w:after="0"/>
        <w:tabs>
          <w:tab w:leader="none" w:pos="7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Distribution</w:t>
      </w:r>
      <w:r>
        <w:rPr>
          <w:rFonts w:ascii="Arial" w:cs="Arial" w:eastAsia="Arial" w:hAnsi="Arial"/>
          <w:sz w:val="22"/>
          <w:szCs w:val="22"/>
          <w:color w:val="auto"/>
        </w:rPr>
        <w:t>” shall mean each distribution made by the Company to a Member with</w:t>
      </w:r>
    </w:p>
    <w:p>
      <w:pPr>
        <w:spacing w:after="0" w:line="200" w:lineRule="exact"/>
        <w:rPr>
          <w:sz w:val="20"/>
          <w:szCs w:val="20"/>
          <w:color w:val="auto"/>
        </w:rPr>
      </w:pPr>
    </w:p>
    <w:p>
      <w:pPr>
        <w:spacing w:after="0" w:line="256" w:lineRule="exact"/>
        <w:rPr>
          <w:sz w:val="20"/>
          <w:szCs w:val="20"/>
          <w:color w:val="auto"/>
        </w:rPr>
      </w:pPr>
    </w:p>
    <w:p>
      <w:pPr>
        <w:ind w:left="48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56"/>
          </w:cols>
          <w:pgMar w:left="1004" w:top="375" w:right="239" w:bottom="1440" w:gutter="0" w:footer="0" w:header="0"/>
        </w:sectPr>
      </w:pPr>
    </w:p>
    <w:bookmarkStart w:id="159" w:name="page160"/>
    <w:bookmarkEnd w:id="159"/>
    <w:p>
      <w:pPr>
        <w:jc w:val="both"/>
        <w:spacing w:after="0" w:line="246" w:lineRule="auto"/>
        <w:rPr>
          <w:sz w:val="20"/>
          <w:szCs w:val="20"/>
          <w:color w:val="auto"/>
        </w:rPr>
      </w:pPr>
      <w:r>
        <w:rPr>
          <w:rFonts w:ascii="Arial" w:cs="Arial" w:eastAsia="Arial" w:hAnsi="Arial"/>
          <w:sz w:val="22"/>
          <w:szCs w:val="22"/>
          <w:color w:val="auto"/>
        </w:rPr>
        <w:t xml:space="preserve">respect to such Member’s Shares, whether in cash, property or securities of the Company and whether by dividend, redemption, repurchase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that none of the following shall be deemed a Distribution: (i) any redemption or repurchase by the Company of any securities of the Company in connection with the termination of employment or service of an employee or other individual service provider of the Company or any of its Subsidiaries or otherwise pursuant to an Award Agreement and (ii) any recapitalization, exchange or conversion of Shares, and any subdivision (by share split or otherwise) or any combination (by reverse share split or otherwise) of any outstanding Shares.</w:t>
      </w:r>
    </w:p>
    <w:p>
      <w:pPr>
        <w:spacing w:after="0" w:line="197" w:lineRule="exact"/>
        <w:rPr>
          <w:sz w:val="20"/>
          <w:szCs w:val="20"/>
          <w:color w:val="auto"/>
        </w:rPr>
      </w:pPr>
    </w:p>
    <w:p>
      <w:pPr>
        <w:ind w:left="740" w:hanging="736"/>
        <w:spacing w:after="0"/>
        <w:tabs>
          <w:tab w:leader="none" w:pos="7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Member</w:t>
      </w:r>
      <w:r>
        <w:rPr>
          <w:rFonts w:ascii="Arial" w:cs="Arial" w:eastAsia="Arial" w:hAnsi="Arial"/>
          <w:sz w:val="22"/>
          <w:szCs w:val="22"/>
          <w:color w:val="auto"/>
        </w:rPr>
        <w:t>” has the meaning set forth in the LLC Agreement.</w:t>
      </w:r>
    </w:p>
    <w:p>
      <w:pPr>
        <w:spacing w:after="0" w:line="219" w:lineRule="exact"/>
        <w:rPr>
          <w:rFonts w:ascii="Arial" w:cs="Arial" w:eastAsia="Arial" w:hAnsi="Arial"/>
          <w:sz w:val="22"/>
          <w:szCs w:val="22"/>
          <w:color w:val="auto"/>
        </w:rPr>
      </w:pPr>
    </w:p>
    <w:p>
      <w:pPr>
        <w:jc w:val="both"/>
        <w:ind w:firstLine="4"/>
        <w:spacing w:after="0" w:line="250" w:lineRule="auto"/>
        <w:tabs>
          <w:tab w:leader="none" w:pos="8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Securities</w:t>
      </w:r>
      <w:r>
        <w:rPr>
          <w:rFonts w:ascii="Arial" w:cs="Arial" w:eastAsia="Arial" w:hAnsi="Arial"/>
          <w:sz w:val="22"/>
          <w:szCs w:val="22"/>
          <w:color w:val="auto"/>
        </w:rPr>
        <w:t>” shall mean all forms of equity securities issued by the Company or its successors, all securities convertible into or exchangeable for equity securities issued in the Company or its successors, and all options, warrants, and other rights to purchase or otherwise acquire equity securities, or securities convertible into or exchangeable for equity securities, issuable by the Company or its successors.</w:t>
      </w:r>
    </w:p>
    <w:p>
      <w:pPr>
        <w:spacing w:after="0" w:line="188" w:lineRule="exact"/>
        <w:rPr>
          <w:rFonts w:ascii="Arial" w:cs="Arial" w:eastAsia="Arial" w:hAnsi="Arial"/>
          <w:sz w:val="22"/>
          <w:szCs w:val="22"/>
          <w:color w:val="auto"/>
        </w:rPr>
      </w:pPr>
    </w:p>
    <w:p>
      <w:pPr>
        <w:jc w:val="both"/>
        <w:ind w:firstLine="4"/>
        <w:spacing w:after="0" w:line="250" w:lineRule="auto"/>
        <w:tabs>
          <w:tab w:leader="none" w:pos="7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88" w:lineRule="exact"/>
        <w:rPr>
          <w:rFonts w:ascii="Arial" w:cs="Arial" w:eastAsia="Arial" w:hAnsi="Arial"/>
          <w:sz w:val="22"/>
          <w:szCs w:val="22"/>
          <w:color w:val="auto"/>
        </w:rPr>
      </w:pPr>
    </w:p>
    <w:p>
      <w:pPr>
        <w:jc w:val="both"/>
        <w:ind w:firstLine="4"/>
        <w:spacing w:after="0" w:line="259" w:lineRule="auto"/>
        <w:tabs>
          <w:tab w:leader="none" w:pos="792" w:val="left"/>
        </w:tabs>
        <w:numPr>
          <w:ilvl w:val="0"/>
          <w:numId w:val="9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with respect to the Common Shares, shall be (i) the closing sales price quoted by the primary securities exchange on which Common Shares are listed for trading (or, if there are no such sales on that date, then on the last preceding date on which such sales were reported), or (ii) if none, the most recent valuation from a third party valuation firm as of a date within twelve (12) months of the applicable determination date that has been approved by the Board, or (iii) if the foregoing is not applicable the amount determined in good faith by the Committee to be the fair market value of the Common Shares in a manner not inconsistent with Treasury Regulation §20.2031-2 or Treasury Regulation § 1.409A-1(b)(5)(iv)(B). Fair Market Value of any other assets shall be their fair market value as determined in good faith by the Committee.</w:t>
      </w:r>
    </w:p>
    <w:p>
      <w:pPr>
        <w:spacing w:after="0" w:line="184" w:lineRule="exact"/>
        <w:rPr>
          <w:rFonts w:ascii="Arial" w:cs="Arial" w:eastAsia="Arial" w:hAnsi="Arial"/>
          <w:sz w:val="21"/>
          <w:szCs w:val="21"/>
          <w:color w:val="auto"/>
        </w:rPr>
      </w:pPr>
    </w:p>
    <w:p>
      <w:pPr>
        <w:jc w:val="both"/>
        <w:ind w:firstLine="4"/>
        <w:spacing w:after="0" w:line="312" w:lineRule="auto"/>
        <w:tabs>
          <w:tab w:leader="none" w:pos="7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Third Party</w:t>
      </w:r>
      <w:r>
        <w:rPr>
          <w:rFonts w:ascii="Arial" w:cs="Arial" w:eastAsia="Arial" w:hAnsi="Arial"/>
          <w:sz w:val="19"/>
          <w:szCs w:val="19"/>
          <w:color w:val="auto"/>
        </w:rPr>
        <w:t>” means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33" w:lineRule="exact"/>
        <w:rPr>
          <w:rFonts w:ascii="Arial" w:cs="Arial" w:eastAsia="Arial" w:hAnsi="Arial"/>
          <w:sz w:val="19"/>
          <w:szCs w:val="19"/>
          <w:color w:val="auto"/>
        </w:rPr>
      </w:pPr>
    </w:p>
    <w:p>
      <w:pPr>
        <w:jc w:val="both"/>
        <w:ind w:firstLine="4"/>
        <w:spacing w:after="0" w:line="247" w:lineRule="auto"/>
        <w:tabs>
          <w:tab w:leader="none" w:pos="7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Public Offering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or “IPO”</w:t>
      </w:r>
      <w:r>
        <w:rPr>
          <w:rFonts w:ascii="Arial" w:cs="Arial" w:eastAsia="Arial" w:hAnsi="Arial"/>
          <w:sz w:val="22"/>
          <w:szCs w:val="22"/>
          <w:color w:val="auto"/>
        </w:rPr>
        <w:t xml:space="preserve"> means the first public offering of Equity Securities of the Company (or any successor thereto formed for the purpose of pursuing an initial public offering) pursuant to an effective registration statement filed with the United States Securities and Exchange Commission (or any successor form) including, but not limited to, through the use of a special purpose acquisition company or by way of a reverse merger or other corporate transaction;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Initial Public Offering shall not include any issuance of Common Shares in any merger or other business combination and shall not</w:t>
      </w: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1000" w:top="375" w:right="2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include any registration of the issuance of securities to existing securityholders or employees of the Company and its Subsidiaries on Form S-4 or Form S-8 (or any successor forms).</w:t>
      </w:r>
    </w:p>
    <w:p>
      <w:pPr>
        <w:spacing w:after="0" w:line="175" w:lineRule="exact"/>
        <w:rPr>
          <w:sz w:val="20"/>
          <w:szCs w:val="20"/>
          <w:color w:val="auto"/>
        </w:rPr>
      </w:pPr>
    </w:p>
    <w:p>
      <w:pPr>
        <w:jc w:val="both"/>
        <w:ind w:firstLine="4"/>
        <w:spacing w:after="0" w:line="253" w:lineRule="auto"/>
        <w:tabs>
          <w:tab w:leader="none" w:pos="756"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LLC Agreement</w:t>
      </w:r>
      <w:r>
        <w:rPr>
          <w:rFonts w:ascii="Arial" w:cs="Arial" w:eastAsia="Arial" w:hAnsi="Arial"/>
          <w:sz w:val="22"/>
          <w:szCs w:val="22"/>
          <w:color w:val="auto"/>
        </w:rPr>
        <w:t>” means that certain Amended and Restated Limited Liability Agreement dated June 28, 2018 by and between the Company, General Motors Holdings LLC and SB Investment Holdings (UK) Limited, as may be amended from time to time.</w:t>
      </w:r>
    </w:p>
    <w:p>
      <w:pPr>
        <w:spacing w:after="0" w:line="185" w:lineRule="exact"/>
        <w:rPr>
          <w:rFonts w:ascii="Arial" w:cs="Arial" w:eastAsia="Arial" w:hAnsi="Arial"/>
          <w:sz w:val="22"/>
          <w:szCs w:val="22"/>
          <w:color w:val="auto"/>
        </w:rPr>
      </w:pPr>
    </w:p>
    <w:p>
      <w:pPr>
        <w:ind w:left="780" w:hanging="776"/>
        <w:spacing w:after="0"/>
        <w:tabs>
          <w:tab w:leader="none" w:pos="7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Lock-Up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4"/>
        <w:spacing w:after="0" w:line="248" w:lineRule="auto"/>
        <w:tabs>
          <w:tab w:leader="none" w:pos="7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Breach</w:t>
      </w:r>
      <w:r>
        <w:rPr>
          <w:rFonts w:ascii="Arial" w:cs="Arial" w:eastAsia="Arial" w:hAnsi="Arial"/>
          <w:sz w:val="22"/>
          <w:szCs w:val="22"/>
          <w:color w:val="auto"/>
        </w:rPr>
        <w:t>” means a material breach of a noncompetition, nonsolicitation, noninterference, confidentiality, trade secret or any other restrictive covenant applicable to a Participant in connection with the Participant’s employment by, or service to, the Company or one of its Subsidiaries that is not cured (if the Committee determines in its sole discretion that the Participant should have an opportunity to cure such breach) within thirty (30) days of written notice by the Company.</w:t>
      </w:r>
    </w:p>
    <w:p>
      <w:pPr>
        <w:spacing w:after="0" w:line="192" w:lineRule="exact"/>
        <w:rPr>
          <w:rFonts w:ascii="Arial" w:cs="Arial" w:eastAsia="Arial" w:hAnsi="Arial"/>
          <w:sz w:val="22"/>
          <w:szCs w:val="22"/>
          <w:color w:val="auto"/>
        </w:rPr>
      </w:pPr>
    </w:p>
    <w:p>
      <w:pPr>
        <w:ind w:left="800" w:hanging="796"/>
        <w:spacing w:after="0"/>
        <w:tabs>
          <w:tab w:leader="none" w:pos="8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Member</w:t>
      </w:r>
      <w:r>
        <w:rPr>
          <w:rFonts w:ascii="Arial" w:cs="Arial" w:eastAsia="Arial" w:hAnsi="Arial"/>
          <w:sz w:val="22"/>
          <w:szCs w:val="22"/>
          <w:color w:val="auto"/>
        </w:rPr>
        <w:t>” has the meaning set forth in the LLC Agreement.</w:t>
      </w:r>
    </w:p>
    <w:p>
      <w:pPr>
        <w:spacing w:after="0" w:line="219" w:lineRule="exact"/>
        <w:rPr>
          <w:rFonts w:ascii="Arial" w:cs="Arial" w:eastAsia="Arial" w:hAnsi="Arial"/>
          <w:sz w:val="22"/>
          <w:szCs w:val="22"/>
          <w:color w:val="auto"/>
        </w:rPr>
      </w:pPr>
    </w:p>
    <w:p>
      <w:pPr>
        <w:ind w:left="800" w:hanging="796"/>
        <w:spacing w:after="0"/>
        <w:tabs>
          <w:tab w:leader="none" w:pos="8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xml:space="preserve">” means an option to purchase Common Shares granted to Participants pursuant to </w:t>
      </w:r>
      <w:r>
        <w:rPr>
          <w:rFonts w:ascii="Arial" w:cs="Arial" w:eastAsia="Arial" w:hAnsi="Arial"/>
          <w:sz w:val="21"/>
          <w:szCs w:val="21"/>
          <w:u w:val="single" w:color="auto"/>
          <w:color w:val="auto"/>
        </w:rPr>
        <w:t>Section 5(c)</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firstLine="4"/>
        <w:spacing w:after="0" w:line="263" w:lineRule="auto"/>
        <w:tabs>
          <w:tab w:leader="none" w:pos="8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Stock-Based Award</w:t>
      </w:r>
      <w:r>
        <w:rPr>
          <w:rFonts w:ascii="Arial" w:cs="Arial" w:eastAsia="Arial" w:hAnsi="Arial"/>
          <w:sz w:val="22"/>
          <w:szCs w:val="22"/>
          <w:color w:val="auto"/>
        </w:rPr>
        <w:t xml:space="preserve">” means an Award under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hereof that is valued in whole or in part by reference to, or is payable in or otherwise based on, Common Shares.</w:t>
      </w:r>
    </w:p>
    <w:p>
      <w:pPr>
        <w:spacing w:after="0" w:line="174" w:lineRule="exact"/>
        <w:rPr>
          <w:rFonts w:ascii="Arial" w:cs="Arial" w:eastAsia="Arial" w:hAnsi="Arial"/>
          <w:sz w:val="22"/>
          <w:szCs w:val="22"/>
          <w:color w:val="auto"/>
        </w:rPr>
      </w:pPr>
    </w:p>
    <w:p>
      <w:pPr>
        <w:jc w:val="both"/>
        <w:ind w:firstLine="4"/>
        <w:spacing w:after="0" w:line="253" w:lineRule="auto"/>
        <w:tabs>
          <w:tab w:leader="none" w:pos="7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any present and future employees of the Company or its Subsidiaries and any other individual service provider of the Company or its Subsidiaries as approved by the Committee to whom an Award has been granted pursuant to the Plan.</w:t>
      </w:r>
    </w:p>
    <w:p>
      <w:pPr>
        <w:spacing w:after="0" w:line="185" w:lineRule="exact"/>
        <w:rPr>
          <w:rFonts w:ascii="Arial" w:cs="Arial" w:eastAsia="Arial" w:hAnsi="Arial"/>
          <w:sz w:val="22"/>
          <w:szCs w:val="22"/>
          <w:color w:val="auto"/>
        </w:rPr>
      </w:pPr>
    </w:p>
    <w:p>
      <w:pPr>
        <w:ind w:right="20" w:firstLine="4"/>
        <w:spacing w:after="0" w:line="263" w:lineRule="auto"/>
        <w:tabs>
          <w:tab w:leader="none" w:pos="7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or entity, including any two or more Persons deemed to be one “person” as used in Sections 13(d)(3) and 14(d)(2) of the Exchange Act.</w:t>
      </w:r>
    </w:p>
    <w:p>
      <w:pPr>
        <w:spacing w:after="0" w:line="174" w:lineRule="exact"/>
        <w:rPr>
          <w:rFonts w:ascii="Arial" w:cs="Arial" w:eastAsia="Arial" w:hAnsi="Arial"/>
          <w:sz w:val="22"/>
          <w:szCs w:val="22"/>
          <w:color w:val="auto"/>
        </w:rPr>
      </w:pPr>
    </w:p>
    <w:p>
      <w:pPr>
        <w:ind w:left="780" w:hanging="776"/>
        <w:spacing w:after="0"/>
        <w:tabs>
          <w:tab w:leader="none" w:pos="7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w:t>
      </w:r>
      <w:r>
        <w:rPr>
          <w:rFonts w:ascii="Arial" w:cs="Arial" w:eastAsia="Arial" w:hAnsi="Arial"/>
          <w:sz w:val="19"/>
          <w:szCs w:val="19"/>
          <w:color w:val="auto"/>
        </w:rPr>
        <w:t>” generally means a share of membership interests in the Company, as defined in the LLC Agreement.</w:t>
      </w:r>
    </w:p>
    <w:p>
      <w:pPr>
        <w:spacing w:after="0" w:line="254" w:lineRule="exact"/>
        <w:rPr>
          <w:sz w:val="20"/>
          <w:szCs w:val="20"/>
          <w:color w:val="auto"/>
        </w:rPr>
      </w:pPr>
    </w:p>
    <w:p>
      <w:pPr>
        <w:jc w:val="both"/>
        <w:ind w:firstLine="4"/>
        <w:spacing w:after="0" w:line="288" w:lineRule="auto"/>
        <w:tabs>
          <w:tab w:leader="none" w:pos="390"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w:t>
      </w:r>
    </w:p>
    <w:p>
      <w:pPr>
        <w:spacing w:after="0" w:line="39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60"/>
          </w:cols>
          <w:pgMar w:left="1000" w:top="375" w:right="239" w:bottom="1440" w:gutter="0" w:footer="0" w:header="0"/>
        </w:sectPr>
      </w:pPr>
    </w:p>
    <w:bookmarkStart w:id="161" w:name="page162"/>
    <w:bookmarkEnd w:id="161"/>
    <w:p>
      <w:pPr>
        <w:jc w:val="both"/>
        <w:ind w:left="644"/>
        <w:spacing w:after="0" w:line="253" w:lineRule="auto"/>
        <w:rPr>
          <w:sz w:val="20"/>
          <w:szCs w:val="20"/>
          <w:color w:val="auto"/>
        </w:rPr>
      </w:pPr>
      <w:r>
        <w:rPr>
          <w:rFonts w:ascii="Arial" w:cs="Arial" w:eastAsia="Arial" w:hAnsi="Arial"/>
          <w:sz w:val="22"/>
          <w:szCs w:val="22"/>
          <w:color w:val="auto"/>
        </w:rPr>
        <w:t>as the case may be, the managing director, manager, board of advisors, a company or other governing body of such partnership, limited liability company, association or other business entity by means of ownership interest, agreement or otherwise.</w:t>
      </w:r>
    </w:p>
    <w:p>
      <w:pPr>
        <w:spacing w:after="0" w:line="186" w:lineRule="exact"/>
        <w:rPr>
          <w:sz w:val="20"/>
          <w:szCs w:val="20"/>
          <w:color w:val="auto"/>
        </w:rPr>
      </w:pPr>
    </w:p>
    <w:p>
      <w:pPr>
        <w:ind w:left="1064" w:hanging="416"/>
        <w:spacing w:after="0"/>
        <w:tabs>
          <w:tab w:leader="none" w:pos="1064" w:val="left"/>
        </w:tabs>
        <w:numPr>
          <w:ilvl w:val="2"/>
          <w:numId w:val="9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15(g)</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624" w:hanging="3"/>
        <w:spacing w:after="0" w:line="286" w:lineRule="auto"/>
        <w:tabs>
          <w:tab w:leader="none" w:pos="1014"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xml:space="preserve">” means the earliest date on which a Participant is no longer employed by, or providing services to, as applicable, the Company or its Subsidiaries for any reason. For the avoidance of doubt, a Participant’s Termination Date shall be considered to be the last date of actual employment or service with the Company or its Subsidiaries, whether such day is selected by agreement with Participant or unilaterally by the Company and its Subsidiaries and whether advance notice is or is not given to Participant. No period of notice that is or ought to have been given under applicable law or contract in respect of the termination of employment or service will be taken into account in determining any entitlement under the Plan. Notwithstanding the foregoing, a Participant who goes on a leave of absence approved by the Company or one of its Subsidiaries shall not be deemed to have ceased employment or service with the Company or its Subsidiaries during the period of such approved leave;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time vesting of such Participant’s Awards shall be suspended during the period to the extent that such leave is unpaid, except to the extent required by applicable law. Notwithstanding the foregoing, if a Participant continues to provides services to the Company or a Subsidiary after termination of employment, the Committee may, but shall not be required to, treat the termination of such Participant’s service with the Company and its Subsidiaries as (instead of the termination of employment) the Participant’s “Termination Date”.</w:t>
      </w:r>
    </w:p>
    <w:p>
      <w:pPr>
        <w:spacing w:after="0" w:line="167" w:lineRule="exact"/>
        <w:rPr>
          <w:rFonts w:ascii="Arial" w:cs="Arial" w:eastAsia="Arial" w:hAnsi="Arial"/>
          <w:sz w:val="19"/>
          <w:szCs w:val="19"/>
          <w:color w:val="010000"/>
        </w:rPr>
      </w:pPr>
    </w:p>
    <w:p>
      <w:pPr>
        <w:jc w:val="both"/>
        <w:ind w:left="644" w:firstLine="4"/>
        <w:spacing w:after="0" w:line="250" w:lineRule="auto"/>
        <w:tabs>
          <w:tab w:leader="none" w:pos="1058" w:val="left"/>
        </w:tabs>
        <w:numPr>
          <w:ilvl w:val="2"/>
          <w:numId w:val="9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during a Participant’s lifetime or upon death.</w:t>
      </w:r>
    </w:p>
    <w:p>
      <w:pPr>
        <w:spacing w:after="0" w:line="188" w:lineRule="exact"/>
        <w:rPr>
          <w:rFonts w:ascii="Arial" w:cs="Arial" w:eastAsia="Arial" w:hAnsi="Arial"/>
          <w:sz w:val="22"/>
          <w:szCs w:val="22"/>
          <w:color w:val="010000"/>
        </w:rPr>
      </w:pPr>
    </w:p>
    <w:p>
      <w:pPr>
        <w:ind w:left="704" w:hanging="704"/>
        <w:spacing w:after="0"/>
        <w:tabs>
          <w:tab w:leader="none" w:pos="70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24" w:hanging="776"/>
        <w:spacing w:after="0"/>
        <w:tabs>
          <w:tab w:leader="none" w:pos="1424" w:val="left"/>
        </w:tabs>
        <w:numPr>
          <w:ilvl w:val="2"/>
          <w:numId w:val="10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Committee shall administer the Plan.</w:t>
      </w:r>
    </w:p>
    <w:p>
      <w:pPr>
        <w:spacing w:after="0" w:line="219" w:lineRule="exact"/>
        <w:rPr>
          <w:rFonts w:ascii="Arial" w:cs="Arial" w:eastAsia="Arial" w:hAnsi="Arial"/>
          <w:sz w:val="22"/>
          <w:szCs w:val="22"/>
          <w:color w:val="auto"/>
        </w:rPr>
      </w:pPr>
    </w:p>
    <w:p>
      <w:pPr>
        <w:jc w:val="both"/>
        <w:ind w:left="644" w:firstLine="4"/>
        <w:spacing w:after="0" w:line="253" w:lineRule="auto"/>
        <w:tabs>
          <w:tab w:leader="none" w:pos="1436" w:val="left"/>
        </w:tabs>
        <w:numPr>
          <w:ilvl w:val="2"/>
          <w:numId w:val="100"/>
        </w:numPr>
        <w:rPr>
          <w:rFonts w:ascii="Arial" w:cs="Arial" w:eastAsia="Arial" w:hAnsi="Arial"/>
          <w:sz w:val="22"/>
          <w:szCs w:val="22"/>
          <w:color w:val="auto"/>
        </w:rPr>
      </w:pPr>
      <w:r>
        <w:rPr>
          <w:rFonts w:ascii="Arial" w:cs="Arial" w:eastAsia="Arial" w:hAnsi="Arial"/>
          <w:sz w:val="22"/>
          <w:szCs w:val="22"/>
          <w:u w:val="single" w:color="auto"/>
          <w:color w:val="auto"/>
        </w:rPr>
        <w:t>Authority of the Committee</w:t>
      </w:r>
      <w:r>
        <w:rPr>
          <w:rFonts w:ascii="Arial" w:cs="Arial" w:eastAsia="Arial" w:hAnsi="Arial"/>
          <w:sz w:val="22"/>
          <w:szCs w:val="22"/>
          <w:color w:val="auto"/>
        </w:rPr>
        <w:t>. Subject to the provisions of the Plan, the Committee shall have full authority and sole discretion to take any actions it deems necessary or advisable for the administration of the Plan. Such actions shall include, but are not limited to the following:</w:t>
      </w:r>
    </w:p>
    <w:p>
      <w:pPr>
        <w:spacing w:after="0" w:line="185" w:lineRule="exact"/>
        <w:rPr>
          <w:rFonts w:ascii="Arial" w:cs="Arial" w:eastAsia="Arial" w:hAnsi="Arial"/>
          <w:sz w:val="22"/>
          <w:szCs w:val="22"/>
          <w:color w:val="auto"/>
        </w:rPr>
      </w:pPr>
    </w:p>
    <w:p>
      <w:pPr>
        <w:ind w:left="1944" w:hanging="647"/>
        <w:spacing w:after="0"/>
        <w:tabs>
          <w:tab w:leader="none" w:pos="1944" w:val="left"/>
        </w:tabs>
        <w:numPr>
          <w:ilvl w:val="3"/>
          <w:numId w:val="100"/>
        </w:numPr>
        <w:rPr>
          <w:rFonts w:ascii="Arial" w:cs="Arial" w:eastAsia="Arial" w:hAnsi="Arial"/>
          <w:sz w:val="22"/>
          <w:szCs w:val="22"/>
          <w:color w:val="auto"/>
        </w:rPr>
      </w:pPr>
      <w:r>
        <w:rPr>
          <w:rFonts w:ascii="Arial" w:cs="Arial" w:eastAsia="Arial" w:hAnsi="Arial"/>
          <w:sz w:val="22"/>
          <w:szCs w:val="22"/>
          <w:color w:val="auto"/>
        </w:rPr>
        <w:t>determining who is a Participant;</w:t>
      </w:r>
    </w:p>
    <w:p>
      <w:pPr>
        <w:spacing w:after="0" w:line="219" w:lineRule="exact"/>
        <w:rPr>
          <w:rFonts w:ascii="Arial" w:cs="Arial" w:eastAsia="Arial" w:hAnsi="Arial"/>
          <w:sz w:val="22"/>
          <w:szCs w:val="22"/>
          <w:color w:val="auto"/>
        </w:rPr>
      </w:pPr>
    </w:p>
    <w:p>
      <w:pPr>
        <w:ind w:left="1944" w:hanging="647"/>
        <w:spacing w:after="0"/>
        <w:tabs>
          <w:tab w:leader="none" w:pos="1944" w:val="left"/>
        </w:tabs>
        <w:numPr>
          <w:ilvl w:val="3"/>
          <w:numId w:val="100"/>
        </w:numPr>
        <w:rPr>
          <w:rFonts w:ascii="Arial" w:cs="Arial" w:eastAsia="Arial" w:hAnsi="Arial"/>
          <w:sz w:val="22"/>
          <w:szCs w:val="22"/>
          <w:color w:val="auto"/>
        </w:rPr>
      </w:pPr>
      <w:r>
        <w:rPr>
          <w:rFonts w:ascii="Arial" w:cs="Arial" w:eastAsia="Arial" w:hAnsi="Arial"/>
          <w:sz w:val="22"/>
          <w:szCs w:val="22"/>
          <w:color w:val="auto"/>
        </w:rPr>
        <w:t>approving the Participants who are granted Awards under the Plan;</w:t>
      </w:r>
    </w:p>
    <w:p>
      <w:pPr>
        <w:spacing w:after="0" w:line="219" w:lineRule="exact"/>
        <w:rPr>
          <w:rFonts w:ascii="Arial" w:cs="Arial" w:eastAsia="Arial" w:hAnsi="Arial"/>
          <w:sz w:val="22"/>
          <w:szCs w:val="22"/>
          <w:color w:val="auto"/>
        </w:rPr>
      </w:pPr>
    </w:p>
    <w:p>
      <w:pPr>
        <w:ind w:left="1944" w:hanging="647"/>
        <w:spacing w:after="0"/>
        <w:tabs>
          <w:tab w:leader="none" w:pos="1944" w:val="left"/>
        </w:tabs>
        <w:numPr>
          <w:ilvl w:val="3"/>
          <w:numId w:val="100"/>
        </w:numPr>
        <w:rPr>
          <w:rFonts w:ascii="Arial" w:cs="Arial" w:eastAsia="Arial" w:hAnsi="Arial"/>
          <w:sz w:val="22"/>
          <w:szCs w:val="22"/>
          <w:color w:val="auto"/>
        </w:rPr>
      </w:pPr>
      <w:r>
        <w:rPr>
          <w:rFonts w:ascii="Arial" w:cs="Arial" w:eastAsia="Arial" w:hAnsi="Arial"/>
          <w:sz w:val="22"/>
          <w:szCs w:val="22"/>
          <w:color w:val="auto"/>
        </w:rPr>
        <w:t>approving the Awards to be granted under the Plan;</w:t>
      </w:r>
    </w:p>
    <w:p>
      <w:pPr>
        <w:spacing w:after="0" w:line="219" w:lineRule="exact"/>
        <w:rPr>
          <w:rFonts w:ascii="Arial" w:cs="Arial" w:eastAsia="Arial" w:hAnsi="Arial"/>
          <w:sz w:val="22"/>
          <w:szCs w:val="22"/>
          <w:color w:val="auto"/>
        </w:rPr>
      </w:pPr>
    </w:p>
    <w:p>
      <w:pPr>
        <w:ind w:left="1944" w:hanging="647"/>
        <w:spacing w:after="0"/>
        <w:tabs>
          <w:tab w:leader="none" w:pos="1944" w:val="left"/>
        </w:tabs>
        <w:numPr>
          <w:ilvl w:val="3"/>
          <w:numId w:val="100"/>
        </w:numPr>
        <w:rPr>
          <w:rFonts w:ascii="Arial" w:cs="Arial" w:eastAsia="Arial" w:hAnsi="Arial"/>
          <w:sz w:val="22"/>
          <w:szCs w:val="22"/>
          <w:color w:val="auto"/>
        </w:rPr>
      </w:pPr>
      <w:r>
        <w:rPr>
          <w:rFonts w:ascii="Arial" w:cs="Arial" w:eastAsia="Arial" w:hAnsi="Arial"/>
          <w:sz w:val="22"/>
          <w:szCs w:val="22"/>
          <w:color w:val="auto"/>
        </w:rPr>
        <w:t>determining the number of Common Shares to be covered by each Award</w:t>
      </w:r>
    </w:p>
    <w:p>
      <w:pPr>
        <w:spacing w:after="0" w:line="200" w:lineRule="exact"/>
        <w:rPr>
          <w:sz w:val="20"/>
          <w:szCs w:val="20"/>
          <w:color w:val="auto"/>
        </w:rPr>
      </w:pPr>
    </w:p>
    <w:p>
      <w:pPr>
        <w:spacing w:after="0" w:line="25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4"/>
          </w:cols>
          <w:pgMar w:left="356" w:top="375" w:right="239" w:bottom="1440" w:gutter="0" w:footer="0" w:header="0"/>
        </w:sectPr>
      </w:pPr>
    </w:p>
    <w:bookmarkStart w:id="162" w:name="page163"/>
    <w:bookmarkEnd w:id="162"/>
    <w:p>
      <w:pPr>
        <w:ind w:left="860"/>
        <w:spacing w:after="0"/>
        <w:rPr>
          <w:sz w:val="20"/>
          <w:szCs w:val="20"/>
          <w:color w:val="auto"/>
        </w:rPr>
      </w:pPr>
      <w:r>
        <w:rPr>
          <w:rFonts w:ascii="Arial" w:cs="Arial" w:eastAsia="Arial" w:hAnsi="Arial"/>
          <w:sz w:val="22"/>
          <w:szCs w:val="22"/>
          <w:color w:val="auto"/>
        </w:rPr>
        <w:t>granted hereunder;</w:t>
      </w:r>
    </w:p>
    <w:p>
      <w:pPr>
        <w:spacing w:after="0" w:line="220" w:lineRule="exact"/>
        <w:rPr>
          <w:sz w:val="20"/>
          <w:szCs w:val="20"/>
          <w:color w:val="auto"/>
        </w:rPr>
      </w:pPr>
    </w:p>
    <w:p>
      <w:pPr>
        <w:ind w:left="860" w:right="20" w:hanging="647"/>
        <w:spacing w:after="0" w:line="343" w:lineRule="auto"/>
        <w:tabs>
          <w:tab w:leader="none" w:pos="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determining the type, number, vesting requirements and other features and conditions of the Awards, which need not be consistent among grants of separate Awards or among different Participants;</w:t>
      </w:r>
    </w:p>
    <w:p>
      <w:pPr>
        <w:spacing w:after="0" w:line="104" w:lineRule="exact"/>
        <w:rPr>
          <w:rFonts w:ascii="Arial" w:cs="Arial" w:eastAsia="Arial" w:hAnsi="Arial"/>
          <w:sz w:val="19"/>
          <w:szCs w:val="19"/>
          <w:color w:val="auto"/>
        </w:rPr>
      </w:pPr>
    </w:p>
    <w:p>
      <w:pPr>
        <w:ind w:left="860" w:hanging="647"/>
        <w:spacing w:after="0"/>
        <w:tabs>
          <w:tab w:leader="none" w:pos="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adopting and using agreements and forms, including Award Agreements, for the administration of the Plan;</w:t>
      </w:r>
    </w:p>
    <w:p>
      <w:pPr>
        <w:spacing w:after="0" w:line="254" w:lineRule="exact"/>
        <w:rPr>
          <w:rFonts w:ascii="Arial" w:cs="Arial" w:eastAsia="Arial" w:hAnsi="Arial"/>
          <w:sz w:val="19"/>
          <w:szCs w:val="19"/>
          <w:color w:val="auto"/>
        </w:rPr>
      </w:pPr>
    </w:p>
    <w:p>
      <w:pPr>
        <w:ind w:left="860" w:hanging="647"/>
        <w:spacing w:after="0" w:line="263" w:lineRule="auto"/>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correcting any defect, supplying any omission, or reconciling any inconsistency in the Plan or any Award Agreement;</w:t>
      </w:r>
    </w:p>
    <w:p>
      <w:pPr>
        <w:spacing w:after="0" w:line="174" w:lineRule="exact"/>
        <w:rPr>
          <w:rFonts w:ascii="Arial" w:cs="Arial" w:eastAsia="Arial" w:hAnsi="Arial"/>
          <w:sz w:val="22"/>
          <w:szCs w:val="22"/>
          <w:color w:val="auto"/>
        </w:rPr>
      </w:pPr>
    </w:p>
    <w:p>
      <w:pPr>
        <w:ind w:left="860" w:hanging="647"/>
        <w:spacing w:after="0" w:line="343" w:lineRule="auto"/>
        <w:tabs>
          <w:tab w:leader="none" w:pos="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accelerating the vesting of Awards at any time and under such terms and conditions as it deems appropriate, which need not be consistent among grants of separate Awards or among different Participants;</w:t>
      </w:r>
    </w:p>
    <w:p>
      <w:pPr>
        <w:spacing w:after="0" w:line="104" w:lineRule="exact"/>
        <w:rPr>
          <w:rFonts w:ascii="Arial" w:cs="Arial" w:eastAsia="Arial" w:hAnsi="Arial"/>
          <w:sz w:val="19"/>
          <w:szCs w:val="19"/>
          <w:color w:val="auto"/>
        </w:rPr>
      </w:pPr>
    </w:p>
    <w:p>
      <w:pPr>
        <w:jc w:val="both"/>
        <w:ind w:left="860" w:hanging="647"/>
        <w:spacing w:after="0" w:line="312" w:lineRule="auto"/>
        <w:tabs>
          <w:tab w:leader="none" w:pos="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determining whether to require a Participant, as a condition of the granting of any Award, to not sell or otherwise dispose of Common Shares acquired pursuant to the exercise of an Award for a period of time as determined by the Committee, in its sole discretion, following the date of the acquisition of such Award;</w:t>
      </w:r>
    </w:p>
    <w:p>
      <w:pPr>
        <w:spacing w:after="0" w:line="133" w:lineRule="exact"/>
        <w:rPr>
          <w:rFonts w:ascii="Arial" w:cs="Arial" w:eastAsia="Arial" w:hAnsi="Arial"/>
          <w:sz w:val="19"/>
          <w:szCs w:val="19"/>
          <w:color w:val="auto"/>
        </w:rPr>
      </w:pPr>
    </w:p>
    <w:p>
      <w:pPr>
        <w:ind w:left="860" w:hanging="647"/>
        <w:spacing w:after="0" w:line="263" w:lineRule="auto"/>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approving the treatment of Awards upon a Change in Control or Initial Public Offering, which need not be consistent among grants of separate Awards or among different Participants;</w:t>
      </w:r>
    </w:p>
    <w:p>
      <w:pPr>
        <w:spacing w:after="0" w:line="174" w:lineRule="exact"/>
        <w:rPr>
          <w:rFonts w:ascii="Arial" w:cs="Arial" w:eastAsia="Arial" w:hAnsi="Arial"/>
          <w:sz w:val="22"/>
          <w:szCs w:val="22"/>
          <w:color w:val="auto"/>
        </w:rPr>
      </w:pPr>
    </w:p>
    <w:p>
      <w:pPr>
        <w:ind w:left="860" w:hanging="647"/>
        <w:spacing w:after="0"/>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interpreting the Plan;</w:t>
      </w:r>
    </w:p>
    <w:p>
      <w:pPr>
        <w:spacing w:after="0" w:line="219" w:lineRule="exact"/>
        <w:rPr>
          <w:rFonts w:ascii="Arial" w:cs="Arial" w:eastAsia="Arial" w:hAnsi="Arial"/>
          <w:sz w:val="22"/>
          <w:szCs w:val="22"/>
          <w:color w:val="auto"/>
        </w:rPr>
      </w:pPr>
    </w:p>
    <w:p>
      <w:pPr>
        <w:ind w:left="860" w:hanging="647"/>
        <w:spacing w:after="0" w:line="263" w:lineRule="auto"/>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making all other decisions relating to the operation of the Plan, which need not be consistent among grants of separate Awards or among different Participants;</w:t>
      </w:r>
    </w:p>
    <w:p>
      <w:pPr>
        <w:spacing w:after="0" w:line="174" w:lineRule="exact"/>
        <w:rPr>
          <w:rFonts w:ascii="Arial" w:cs="Arial" w:eastAsia="Arial" w:hAnsi="Arial"/>
          <w:sz w:val="22"/>
          <w:szCs w:val="22"/>
          <w:color w:val="auto"/>
        </w:rPr>
      </w:pPr>
    </w:p>
    <w:p>
      <w:pPr>
        <w:jc w:val="both"/>
        <w:ind w:left="860" w:hanging="647"/>
        <w:spacing w:after="0" w:line="253" w:lineRule="auto"/>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imposing restrictions on any Awards at the time of grant in the applicable Award Agreement or taking other Committee action with respect to confidentiality and other restrictive covenants as it deems necessary or appropriate;</w:t>
      </w:r>
    </w:p>
    <w:p>
      <w:pPr>
        <w:spacing w:after="0" w:line="185" w:lineRule="exact"/>
        <w:rPr>
          <w:rFonts w:ascii="Arial" w:cs="Arial" w:eastAsia="Arial" w:hAnsi="Arial"/>
          <w:sz w:val="22"/>
          <w:szCs w:val="22"/>
          <w:color w:val="auto"/>
        </w:rPr>
      </w:pPr>
    </w:p>
    <w:p>
      <w:pPr>
        <w:ind w:left="860" w:hanging="647"/>
        <w:spacing w:after="0" w:line="263" w:lineRule="auto"/>
        <w:tabs>
          <w:tab w:leader="none" w:pos="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imposing “blackout periods” or other periods during which Options may not be exercised or Awards may not be settled;</w:t>
      </w:r>
    </w:p>
    <w:p>
      <w:pPr>
        <w:spacing w:after="0" w:line="174" w:lineRule="exact"/>
        <w:rPr>
          <w:rFonts w:ascii="Arial" w:cs="Arial" w:eastAsia="Arial" w:hAnsi="Arial"/>
          <w:sz w:val="22"/>
          <w:szCs w:val="22"/>
          <w:color w:val="auto"/>
        </w:rPr>
      </w:pPr>
    </w:p>
    <w:p>
      <w:pPr>
        <w:jc w:val="both"/>
        <w:ind w:left="860" w:hanging="647"/>
        <w:spacing w:after="0" w:line="297" w:lineRule="auto"/>
        <w:tabs>
          <w:tab w:leader="none" w:pos="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within the limitations of the Plan, modifying or assuming outstanding Awards or accepting the cancellation of outstanding Awards (including stock units granted by another issuer) in return for the grant of new Awards for the same or a different number of shares and with the same or different vesting provisions;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or anything to the contrary herein other than pursuant to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w:t>
      </w:r>
      <w:r>
        <w:rPr>
          <w:rFonts w:ascii="Arial" w:cs="Arial" w:eastAsia="Arial" w:hAnsi="Arial"/>
          <w:sz w:val="19"/>
          <w:szCs w:val="19"/>
          <w:color w:val="auto"/>
        </w:rPr>
        <w:t>, no modification of an Award shall, without the consent of the</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375" w:right="239" w:bottom="1440" w:gutter="0" w:footer="0" w:header="0"/>
        </w:sectPr>
      </w:pPr>
    </w:p>
    <w:bookmarkStart w:id="163" w:name="page164"/>
    <w:bookmarkEnd w:id="163"/>
    <w:p>
      <w:pPr>
        <w:ind w:left="1924"/>
        <w:spacing w:after="0"/>
        <w:rPr>
          <w:sz w:val="20"/>
          <w:szCs w:val="20"/>
          <w:color w:val="auto"/>
        </w:rPr>
      </w:pPr>
      <w:r>
        <w:rPr>
          <w:rFonts w:ascii="Arial" w:cs="Arial" w:eastAsia="Arial" w:hAnsi="Arial"/>
          <w:sz w:val="22"/>
          <w:szCs w:val="22"/>
          <w:color w:val="auto"/>
        </w:rPr>
        <w:t>Participant, materially impair his or her rights or obligations under such Award;</w:t>
      </w:r>
    </w:p>
    <w:p>
      <w:pPr>
        <w:spacing w:after="0" w:line="220" w:lineRule="exact"/>
        <w:rPr>
          <w:sz w:val="20"/>
          <w:szCs w:val="20"/>
          <w:color w:val="auto"/>
        </w:rPr>
      </w:pPr>
    </w:p>
    <w:p>
      <w:pPr>
        <w:jc w:val="both"/>
        <w:ind w:left="1944" w:hanging="647"/>
        <w:spacing w:after="0" w:line="253"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adopting such plans or subplans as may be deemed necessary or appropriate to provide for the participation by Participants who reside outside the U.S., which plans and/or subplans shall be attached hereto as Appendices; and</w:t>
      </w:r>
    </w:p>
    <w:p>
      <w:pPr>
        <w:spacing w:after="0" w:line="185" w:lineRule="exact"/>
        <w:rPr>
          <w:rFonts w:ascii="Arial" w:cs="Arial" w:eastAsia="Arial" w:hAnsi="Arial"/>
          <w:sz w:val="22"/>
          <w:szCs w:val="22"/>
          <w:color w:val="auto"/>
        </w:rPr>
      </w:pPr>
    </w:p>
    <w:p>
      <w:pPr>
        <w:jc w:val="both"/>
        <w:ind w:left="1944" w:hanging="647"/>
        <w:spacing w:after="0" w:line="250"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delegating some or all of the administration of the Plan to Members, one or more employees of the Company or its Subsidiaries or any other committee of the Board. The Board may retain the authority to concurrently administer the Plan with the Committee and may, at any time, reinstate in the Board some or all of the powers previously delegated.</w:t>
      </w:r>
    </w:p>
    <w:p>
      <w:pPr>
        <w:spacing w:after="0" w:line="188" w:lineRule="exact"/>
        <w:rPr>
          <w:sz w:val="20"/>
          <w:szCs w:val="20"/>
          <w:color w:val="auto"/>
        </w:rPr>
      </w:pPr>
    </w:p>
    <w:p>
      <w:pPr>
        <w:ind w:left="644" w:right="20"/>
        <w:spacing w:after="0" w:line="263" w:lineRule="auto"/>
        <w:rPr>
          <w:sz w:val="20"/>
          <w:szCs w:val="20"/>
          <w:color w:val="auto"/>
        </w:rPr>
      </w:pPr>
      <w:r>
        <w:rPr>
          <w:rFonts w:ascii="Arial" w:cs="Arial" w:eastAsia="Arial" w:hAnsi="Arial"/>
          <w:sz w:val="22"/>
          <w:szCs w:val="22"/>
          <w:color w:val="auto"/>
        </w:rPr>
        <w:t>The Committee may adopt such rules or guidelines as it deems appropriate to implement the Plan. The Committee’s determinations under the Plan shall be final and binding on all persons.</w:t>
      </w:r>
    </w:p>
    <w:p>
      <w:pPr>
        <w:spacing w:after="0" w:line="175" w:lineRule="exact"/>
        <w:rPr>
          <w:sz w:val="20"/>
          <w:szCs w:val="20"/>
          <w:color w:val="auto"/>
        </w:rPr>
      </w:pPr>
    </w:p>
    <w:p>
      <w:pPr>
        <w:ind w:left="704" w:hanging="704"/>
        <w:spacing w:after="0"/>
        <w:tabs>
          <w:tab w:leader="none" w:pos="70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SHARE LIMITATION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firstLine="4"/>
        <w:spacing w:after="0" w:line="258" w:lineRule="auto"/>
        <w:tabs>
          <w:tab w:leader="none" w:pos="1424" w:val="left"/>
        </w:tabs>
        <w:numPr>
          <w:ilvl w:val="1"/>
          <w:numId w:val="103"/>
        </w:numPr>
        <w:rPr>
          <w:rFonts w:ascii="Arial" w:cs="Arial" w:eastAsia="Arial" w:hAnsi="Arial"/>
          <w:sz w:val="21"/>
          <w:szCs w:val="21"/>
          <w:color w:val="auto"/>
        </w:rPr>
      </w:pPr>
      <w:r>
        <w:rPr>
          <w:rFonts w:ascii="Arial" w:cs="Arial" w:eastAsia="Arial" w:hAnsi="Arial"/>
          <w:sz w:val="21"/>
          <w:szCs w:val="21"/>
          <w:u w:val="single" w:color="auto"/>
          <w:color w:val="auto"/>
        </w:rPr>
        <w:t>Shares</w:t>
      </w:r>
      <w:r>
        <w:rPr>
          <w:rFonts w:ascii="Arial" w:cs="Arial" w:eastAsia="Arial" w:hAnsi="Arial"/>
          <w:sz w:val="21"/>
          <w:szCs w:val="21"/>
          <w:color w:val="auto"/>
        </w:rPr>
        <w:t xml:space="preserve">. The aggregate number of Common Shares that may be issued or used for reference purposes or with respect to which Awards may be granted under the Plan shall not exceed 750,000 shares (subject to any increase or decrease pursuant to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4(c)</w:t>
      </w:r>
      <w:r>
        <w:rPr>
          <w:rFonts w:ascii="Arial" w:cs="Arial" w:eastAsia="Arial" w:hAnsi="Arial"/>
          <w:sz w:val="21"/>
          <w:szCs w:val="21"/>
          <w:color w:val="auto"/>
        </w:rPr>
        <w:t xml:space="preserve"> hereof) (the “</w:t>
      </w:r>
      <w:r>
        <w:rPr>
          <w:rFonts w:ascii="Arial" w:cs="Arial" w:eastAsia="Arial" w:hAnsi="Arial"/>
          <w:sz w:val="21"/>
          <w:szCs w:val="21"/>
          <w:b w:val="1"/>
          <w:bCs w:val="1"/>
          <w:i w:val="1"/>
          <w:iCs w:val="1"/>
          <w:color w:val="auto"/>
        </w:rPr>
        <w:t>Share Reserve</w:t>
      </w:r>
      <w:r>
        <w:rPr>
          <w:rFonts w:ascii="Arial" w:cs="Arial" w:eastAsia="Arial" w:hAnsi="Arial"/>
          <w:sz w:val="21"/>
          <w:szCs w:val="21"/>
          <w:color w:val="auto"/>
        </w:rPr>
        <w:t>”). If any Award expires, is forfeited, terminates or is canceled for any reason without having been exercised or settled in full a (“</w:t>
      </w:r>
      <w:r>
        <w:rPr>
          <w:rFonts w:ascii="Arial" w:cs="Arial" w:eastAsia="Arial" w:hAnsi="Arial"/>
          <w:sz w:val="21"/>
          <w:szCs w:val="21"/>
          <w:b w:val="1"/>
          <w:bCs w:val="1"/>
          <w:i w:val="1"/>
          <w:iCs w:val="1"/>
          <w:color w:val="auto"/>
        </w:rPr>
        <w:t>Forfeited Award</w:t>
      </w:r>
      <w:r>
        <w:rPr>
          <w:rFonts w:ascii="Arial" w:cs="Arial" w:eastAsia="Arial" w:hAnsi="Arial"/>
          <w:sz w:val="21"/>
          <w:szCs w:val="21"/>
          <w:color w:val="auto"/>
        </w:rPr>
        <w:t>”), the number of Common Shares underlying the Forfeited Award shall again be available for the purpose of Awards under the Plan. If there are any accrued but unpaid Distributions in respect of a Forfeited Award, the Committee may, but shall not be required to, allocate or award such Distributions on any basis it elects, including pursuant to the grant of a new Award. In addition, any Common Shares exchanged by a Participant or withheld from a Participant as full or partial payment to the Company of the exercise price or tax withholding upon exercise, vesting, settlement or payment of an Award under the Plan shall be added back to the foregoing maximum share limitation and may be made subject to Awards under the Plan pursuant to such limitation.</w:t>
      </w:r>
    </w:p>
    <w:p>
      <w:pPr>
        <w:spacing w:after="0" w:line="183" w:lineRule="exact"/>
        <w:rPr>
          <w:rFonts w:ascii="Arial" w:cs="Arial" w:eastAsia="Arial" w:hAnsi="Arial"/>
          <w:sz w:val="21"/>
          <w:szCs w:val="21"/>
          <w:color w:val="auto"/>
        </w:rPr>
      </w:pPr>
    </w:p>
    <w:p>
      <w:pPr>
        <w:jc w:val="both"/>
        <w:ind w:left="644" w:firstLine="4"/>
        <w:spacing w:after="0" w:line="292" w:lineRule="auto"/>
        <w:tabs>
          <w:tab w:leader="none" w:pos="1436"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Changes</w:t>
      </w:r>
      <w:r>
        <w:rPr>
          <w:rFonts w:ascii="Arial" w:cs="Arial" w:eastAsia="Arial" w:hAnsi="Arial"/>
          <w:sz w:val="19"/>
          <w:szCs w:val="19"/>
          <w:color w:val="auto"/>
        </w:rPr>
        <w:t>. The existence of the Plan and the Awards granted hereunder shall not affect in any way the right or power of the Committee or the Members, in accordance with the LLC Agreement, to make or authorize (i) any adjustment (including any issuance of Shares), recapitalization, reorganization or other change in the Company’s capital structure or its business, (ii) any merger or consolidation of the Company or any of its Affiliates, (iii) any issuance of bonds, debentures, preferred or prior preference stock ahead of or affecting the Common Shares, (iv) the dissolution or liquidation of the Company or any of its Affiliates, (v) any sale or transfer of all or part of the assets or business of the Company or any of its Affiliates or (vi) any other corporate act or proceeding relating to the Company any of its Affiliates.</w:t>
      </w:r>
    </w:p>
    <w:p>
      <w:pPr>
        <w:spacing w:after="0" w:line="151" w:lineRule="exact"/>
        <w:rPr>
          <w:rFonts w:ascii="Arial" w:cs="Arial" w:eastAsia="Arial" w:hAnsi="Arial"/>
          <w:sz w:val="19"/>
          <w:szCs w:val="19"/>
          <w:color w:val="auto"/>
        </w:rPr>
      </w:pPr>
    </w:p>
    <w:p>
      <w:pPr>
        <w:ind w:left="1424" w:hanging="776"/>
        <w:spacing w:after="0"/>
        <w:tabs>
          <w:tab w:leader="none" w:pos="1424"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Adjustments to Capital Structure</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4"/>
          </w:cols>
          <w:pgMar w:left="356" w:top="375" w:right="239" w:bottom="1440" w:gutter="0" w:footer="0" w:header="0"/>
        </w:sectPr>
      </w:pPr>
    </w:p>
    <w:bookmarkStart w:id="164" w:name="page165"/>
    <w:bookmarkEnd w:id="164"/>
    <w:p>
      <w:pPr>
        <w:jc w:val="both"/>
        <w:ind w:left="860" w:hanging="647"/>
        <w:spacing w:after="0" w:line="260" w:lineRule="auto"/>
        <w:tabs>
          <w:tab w:leader="none" w:pos="8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the Company at any time subdivides (by any split, recapitalization or otherwise) the outstanding Common Shares into a greater number of Common Shares, or combines (by reverse split, combination or otherwise) its outstanding Common Shares into a lesser number of Common Shares, then the respective exercise prices for outstanding Awards that provide for a Participant elected exercise and the number of Common Shares covered by outstanding Awards, as well as the Share Reserve, shall be appropriately adjusted by the Committee to prevent dilution or enlargement of the rights granted to, or available for, Participants under the Plan.</w:t>
      </w:r>
    </w:p>
    <w:p>
      <w:pPr>
        <w:spacing w:after="0" w:line="181" w:lineRule="exact"/>
        <w:rPr>
          <w:rFonts w:ascii="Arial" w:cs="Arial" w:eastAsia="Arial" w:hAnsi="Arial"/>
          <w:sz w:val="21"/>
          <w:szCs w:val="21"/>
          <w:color w:val="auto"/>
        </w:rPr>
      </w:pPr>
    </w:p>
    <w:p>
      <w:pPr>
        <w:jc w:val="both"/>
        <w:ind w:left="860" w:hanging="647"/>
        <w:spacing w:after="0" w:line="288" w:lineRule="auto"/>
        <w:tabs>
          <w:tab w:leader="none" w:pos="8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Excepting transactions covered by </w:t>
      </w:r>
      <w:r>
        <w:rPr>
          <w:rFonts w:ascii="Arial" w:cs="Arial" w:eastAsia="Arial" w:hAnsi="Arial"/>
          <w:sz w:val="19"/>
          <w:szCs w:val="19"/>
          <w:u w:val="single" w:color="auto"/>
          <w:color w:val="auto"/>
        </w:rPr>
        <w:t>Section 4(c)(i)</w:t>
      </w:r>
      <w:r>
        <w:rPr>
          <w:rFonts w:ascii="Arial" w:cs="Arial" w:eastAsia="Arial" w:hAnsi="Arial"/>
          <w:sz w:val="19"/>
          <w:szCs w:val="19"/>
          <w:color w:val="auto"/>
        </w:rPr>
        <w:t xml:space="preserve">, if the Company effects any merger, consolidation, statutory exchange, spin-off, reorganization, sale or transfer of all or substantially all the Company’s assets or business, or other corporate transaction or event in such a manner that the Company’s outstanding Common Shares are converted into the right to receive (or the holders of Common Shares are entitled to receive in exchange therefor), either immediately or upon liquidation of the Company, securities or other property of the Company or other entity, then, subject to the provisions of </w:t>
      </w:r>
      <w:r>
        <w:rPr>
          <w:rFonts w:ascii="Arial" w:cs="Arial" w:eastAsia="Arial" w:hAnsi="Arial"/>
          <w:sz w:val="19"/>
          <w:szCs w:val="19"/>
          <w:u w:val="single" w:color="auto"/>
          <w:color w:val="auto"/>
        </w:rPr>
        <w:t>Section 12</w:t>
      </w:r>
      <w:r>
        <w:rPr>
          <w:rFonts w:ascii="Arial" w:cs="Arial" w:eastAsia="Arial" w:hAnsi="Arial"/>
          <w:sz w:val="19"/>
          <w:szCs w:val="19"/>
          <w:color w:val="auto"/>
        </w:rPr>
        <w:t>, (1) the aggregate number or kind of securities that thereafter may be issued under the Plan, (2) the number or kind of securities or other property (including cash) to be issued pursuant to Awards granted under the Plan (including as a result of the assumption of the Plan and the obligations hereunder by a successor entity, as applicable), or (3) the exercise or purchase price thereof, shall be appropriately adjusted by the Committee to prevent dilution or enlargement of the rights granted to, or available for, Participants under the Plan.</w:t>
      </w:r>
    </w:p>
    <w:p>
      <w:pPr>
        <w:spacing w:after="0" w:line="154" w:lineRule="exact"/>
        <w:rPr>
          <w:rFonts w:ascii="Arial" w:cs="Arial" w:eastAsia="Arial" w:hAnsi="Arial"/>
          <w:sz w:val="19"/>
          <w:szCs w:val="19"/>
          <w:color w:val="auto"/>
        </w:rPr>
      </w:pPr>
    </w:p>
    <w:p>
      <w:pPr>
        <w:jc w:val="both"/>
        <w:ind w:left="860" w:hanging="647"/>
        <w:spacing w:after="0" w:line="289" w:lineRule="auto"/>
        <w:tabs>
          <w:tab w:leader="none" w:pos="8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If there shall occur any change in the capital structure of the Company other than those covered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4(c)(i)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4(c)(ii)</w:t>
      </w:r>
      <w:r>
        <w:rPr>
          <w:rFonts w:ascii="Arial" w:cs="Arial" w:eastAsia="Arial" w:hAnsi="Arial"/>
          <w:sz w:val="19"/>
          <w:szCs w:val="19"/>
          <w:color w:val="auto"/>
        </w:rPr>
        <w:t>, including by reason of any extraordinary dividend (whether cash or equity), any conversion, any adjustment, any issuance of any class of securities convertible or exercisable into, or exercisable for, any class of Equity Securities of the Company, then the Committee shall adjust any Award and make such other adjustments to the Plan to prevent dilution or enlargement of the rights granted to, or available for, Participants under the Plan. For the avoidance of doubt,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157" w:lineRule="exact"/>
        <w:rPr>
          <w:rFonts w:ascii="Arial" w:cs="Arial" w:eastAsia="Arial" w:hAnsi="Arial"/>
          <w:sz w:val="19"/>
          <w:szCs w:val="19"/>
          <w:color w:val="auto"/>
        </w:rPr>
      </w:pPr>
    </w:p>
    <w:p>
      <w:pPr>
        <w:jc w:val="both"/>
        <w:ind w:left="860" w:hanging="647"/>
        <w:spacing w:after="0" w:line="250" w:lineRule="auto"/>
        <w:tabs>
          <w:tab w:leader="none" w:pos="8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Any such adjustment determined by the Committee pursuant to this </w:t>
      </w:r>
      <w:r>
        <w:rPr>
          <w:rFonts w:ascii="Arial" w:cs="Arial" w:eastAsia="Arial" w:hAnsi="Arial"/>
          <w:sz w:val="22"/>
          <w:szCs w:val="22"/>
          <w:u w:val="single" w:color="auto"/>
          <w:color w:val="auto"/>
        </w:rPr>
        <w:t>Section 4(c)</w:t>
      </w:r>
      <w:r>
        <w:rPr>
          <w:rFonts w:ascii="Arial" w:cs="Arial" w:eastAsia="Arial" w:hAnsi="Arial"/>
          <w:sz w:val="22"/>
          <w:szCs w:val="22"/>
          <w:color w:val="auto"/>
        </w:rPr>
        <w:t xml:space="preserve"> shall be final, binding and conclusive on the Company and all Participants and their respective heirs, executors, administrators, successors and permitted assigns. Any adjustment to, or assumption or substitution of, an Award under this </w:t>
      </w:r>
      <w:r>
        <w:rPr>
          <w:rFonts w:ascii="Arial" w:cs="Arial" w:eastAsia="Arial" w:hAnsi="Arial"/>
          <w:sz w:val="22"/>
          <w:szCs w:val="22"/>
          <w:u w:val="single" w:color="auto"/>
          <w:color w:val="auto"/>
        </w:rPr>
        <w:t>Section 4(c)</w:t>
      </w:r>
      <w:r>
        <w:rPr>
          <w:rFonts w:ascii="Arial" w:cs="Arial" w:eastAsia="Arial" w:hAnsi="Arial"/>
          <w:sz w:val="22"/>
          <w:szCs w:val="22"/>
          <w:color w:val="auto"/>
        </w:rPr>
        <w:t xml:space="preserve"> shall be intended to comply with the</w:t>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375" w:right="239" w:bottom="1440" w:gutter="0" w:footer="0" w:header="0"/>
        </w:sectPr>
      </w:pPr>
    </w:p>
    <w:bookmarkStart w:id="165" w:name="page166"/>
    <w:bookmarkEnd w:id="165"/>
    <w:p>
      <w:pPr>
        <w:jc w:val="both"/>
        <w:ind w:left="1944"/>
        <w:spacing w:after="0" w:line="250" w:lineRule="auto"/>
        <w:rPr>
          <w:sz w:val="20"/>
          <w:szCs w:val="20"/>
          <w:color w:val="auto"/>
        </w:rPr>
      </w:pPr>
      <w:r>
        <w:rPr>
          <w:rFonts w:ascii="Arial" w:cs="Arial" w:eastAsia="Arial" w:hAnsi="Arial"/>
          <w:sz w:val="22"/>
          <w:szCs w:val="22"/>
          <w:color w:val="auto"/>
        </w:rPr>
        <w:t xml:space="preserve">requirements of Section 409A of the Code and Treasury Regulation §1.424-1 (and any amendments thereto), to the extent applicable. Except as expressly provided in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or in the applicable Award Agreement, a Participant shall have no additional rights under the Plan by reason of any transaction or event described in this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88" w:lineRule="exact"/>
        <w:rPr>
          <w:sz w:val="20"/>
          <w:szCs w:val="20"/>
          <w:color w:val="auto"/>
        </w:rPr>
      </w:pPr>
    </w:p>
    <w:p>
      <w:pPr>
        <w:jc w:val="both"/>
        <w:ind w:left="644" w:firstLine="4"/>
        <w:spacing w:after="0" w:line="253" w:lineRule="auto"/>
        <w:tabs>
          <w:tab w:leader="none" w:pos="1436"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Minimum Purchase Price</w:t>
      </w:r>
      <w:r>
        <w:rPr>
          <w:rFonts w:ascii="Arial" w:cs="Arial" w:eastAsia="Arial" w:hAnsi="Arial"/>
          <w:sz w:val="22"/>
          <w:szCs w:val="22"/>
          <w:color w:val="auto"/>
        </w:rPr>
        <w:t>. Notwithstanding any provision of the Plan to the contrary, if authorized but previously unissued Common Shares are issued under the Plan, such shares shall not be issued for any consideration less than that required by applicable law.</w:t>
      </w:r>
    </w:p>
    <w:p>
      <w:pPr>
        <w:spacing w:after="0" w:line="185" w:lineRule="exact"/>
        <w:rPr>
          <w:rFonts w:ascii="Arial" w:cs="Arial" w:eastAsia="Arial" w:hAnsi="Arial"/>
          <w:sz w:val="22"/>
          <w:szCs w:val="22"/>
          <w:color w:val="auto"/>
        </w:rPr>
      </w:pPr>
    </w:p>
    <w:p>
      <w:pPr>
        <w:ind w:left="704" w:hanging="704"/>
        <w:spacing w:after="0"/>
        <w:tabs>
          <w:tab w:leader="none" w:pos="70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44" w:firstLine="4"/>
        <w:spacing w:after="0" w:line="263" w:lineRule="auto"/>
        <w:tabs>
          <w:tab w:leader="none" w:pos="1424"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General Eligibility</w:t>
      </w:r>
      <w:r>
        <w:rPr>
          <w:rFonts w:ascii="Arial" w:cs="Arial" w:eastAsia="Arial" w:hAnsi="Arial"/>
          <w:sz w:val="22"/>
          <w:szCs w:val="22"/>
          <w:color w:val="auto"/>
        </w:rPr>
        <w:t>. Unless otherwise determined by the Committee, only Participants shall be eligible to receive Awards under the Plan.</w:t>
      </w:r>
    </w:p>
    <w:p>
      <w:pPr>
        <w:spacing w:after="0" w:line="174" w:lineRule="exact"/>
        <w:rPr>
          <w:rFonts w:ascii="Arial" w:cs="Arial" w:eastAsia="Arial" w:hAnsi="Arial"/>
          <w:sz w:val="22"/>
          <w:szCs w:val="22"/>
          <w:color w:val="auto"/>
        </w:rPr>
      </w:pPr>
    </w:p>
    <w:p>
      <w:pPr>
        <w:jc w:val="both"/>
        <w:ind w:left="644" w:firstLine="4"/>
        <w:spacing w:after="0" w:line="294" w:lineRule="auto"/>
        <w:tabs>
          <w:tab w:leader="none" w:pos="1436"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Award Agreement</w:t>
      </w:r>
      <w:r>
        <w:rPr>
          <w:rFonts w:ascii="Arial" w:cs="Arial" w:eastAsia="Arial" w:hAnsi="Arial"/>
          <w:sz w:val="19"/>
          <w:szCs w:val="19"/>
          <w:color w:val="auto"/>
        </w:rPr>
        <w:t>. Each Award granted under the Plan shall be evidenced and governed by an Award Agreement between the Participant and the Company, which may be in electronic or written form, and may vary to accommodate local applicable law. Such Award shall be subject to all applicable terms and conditions of the Plan and may be subject to any other terms and conditions that are not inconsistent with the Plan and that the Committee deems appropriate for inclusion in the applicable Award Agreement (including, without limitation, any performance conditions to which such Award will be subject). The provisions of the various Award Agreements entered into under the Plan need not be identical.</w:t>
      </w:r>
    </w:p>
    <w:p>
      <w:pPr>
        <w:spacing w:after="0" w:line="149" w:lineRule="exact"/>
        <w:rPr>
          <w:rFonts w:ascii="Arial" w:cs="Arial" w:eastAsia="Arial" w:hAnsi="Arial"/>
          <w:sz w:val="19"/>
          <w:szCs w:val="19"/>
          <w:color w:val="auto"/>
        </w:rPr>
      </w:pPr>
    </w:p>
    <w:p>
      <w:pPr>
        <w:jc w:val="both"/>
        <w:ind w:left="644" w:firstLine="4"/>
        <w:spacing w:after="0" w:line="261" w:lineRule="auto"/>
        <w:tabs>
          <w:tab w:leader="none" w:pos="1424"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Joinder to LLC Agreement</w:t>
      </w:r>
      <w:r>
        <w:rPr>
          <w:rFonts w:ascii="Arial" w:cs="Arial" w:eastAsia="Arial" w:hAnsi="Arial"/>
          <w:sz w:val="21"/>
          <w:szCs w:val="21"/>
          <w:color w:val="auto"/>
        </w:rPr>
        <w:t>. In connection with the grant, vesting, and/or exercise of any Award, to the extent that a Participant is not already a party to the LLC Agreement, the Committee may require such Participant to execute and become a party to such LLC Agreement as a condition of such grant, vesting, and/or exercise of any Award by executing and delivering to the Company a joinder to the LLC Agreement. Without prejudice to Sections 2.03 (Class B Common Shares) and 2.08 (Repurchase Rights) of the LLC Agreement, to the extent that there is any conflict between the terms of the Plan and the LLC Agreement, the Plan shall govern and control.</w:t>
      </w:r>
    </w:p>
    <w:p>
      <w:pPr>
        <w:spacing w:after="0" w:line="180" w:lineRule="exact"/>
        <w:rPr>
          <w:rFonts w:ascii="Arial" w:cs="Arial" w:eastAsia="Arial" w:hAnsi="Arial"/>
          <w:sz w:val="21"/>
          <w:szCs w:val="21"/>
          <w:color w:val="auto"/>
        </w:rPr>
      </w:pPr>
    </w:p>
    <w:p>
      <w:pPr>
        <w:jc w:val="both"/>
        <w:ind w:left="4" w:hanging="4"/>
        <w:spacing w:after="0" w:line="253" w:lineRule="auto"/>
        <w:tabs>
          <w:tab w:leader="none" w:pos="70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 The Committee shall have the right and power to grant Options to any Participant, at any time prior to the termination of this Plan, with the following terms and conditions and with such additional terms and conditions, in either case, not inconsistent with the provisions of the Plan, as the Committee shall determine.</w:t>
      </w:r>
    </w:p>
    <w:p>
      <w:pPr>
        <w:spacing w:after="0" w:line="185" w:lineRule="exact"/>
        <w:rPr>
          <w:rFonts w:ascii="Arial" w:cs="Arial" w:eastAsia="Arial" w:hAnsi="Arial"/>
          <w:sz w:val="22"/>
          <w:szCs w:val="22"/>
          <w:color w:val="auto"/>
        </w:rPr>
      </w:pPr>
    </w:p>
    <w:p>
      <w:pPr>
        <w:ind w:left="644" w:firstLine="4"/>
        <w:spacing w:after="0" w:line="343" w:lineRule="auto"/>
        <w:tabs>
          <w:tab w:leader="none" w:pos="142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exercise price per Share under an Option shall be determined by the Committee; provided, however, that such exercise price shall not be less than the Fair Market Value of a Share on the date of grant of such Option.</w:t>
      </w:r>
    </w:p>
    <w:p>
      <w:pPr>
        <w:spacing w:after="0" w:line="104" w:lineRule="exact"/>
        <w:rPr>
          <w:rFonts w:ascii="Arial" w:cs="Arial" w:eastAsia="Arial" w:hAnsi="Arial"/>
          <w:sz w:val="19"/>
          <w:szCs w:val="19"/>
          <w:color w:val="auto"/>
        </w:rPr>
      </w:pPr>
    </w:p>
    <w:p>
      <w:pPr>
        <w:ind w:left="644" w:firstLine="4"/>
        <w:spacing w:after="0" w:line="263" w:lineRule="auto"/>
        <w:tabs>
          <w:tab w:leader="none" w:pos="1436"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term of each Option shall be fixed by the Committee but shall not exceed ten (10) years from the date of grant of such Option in the form of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4"/>
          </w:cols>
          <w:pgMar w:left="356" w:top="375" w:right="239" w:bottom="1440" w:gutter="0" w:footer="0" w:header="0"/>
        </w:sectPr>
      </w:pPr>
    </w:p>
    <w:bookmarkStart w:id="166" w:name="page167"/>
    <w:bookmarkEnd w:id="166"/>
    <w:p>
      <w:pPr>
        <w:ind w:left="644" w:firstLine="4"/>
        <w:spacing w:after="0" w:line="263" w:lineRule="auto"/>
        <w:tabs>
          <w:tab w:leader="none" w:pos="142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The Committee shall determine the time or times at which an Option may be exercised in whole or in part, subject to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44" w:firstLine="4"/>
        <w:spacing w:after="0" w:line="292" w:lineRule="auto"/>
        <w:tabs>
          <w:tab w:leader="none" w:pos="143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Committee shall determine the method or methods by which, and the form or forms, including cash, Shares, other Awards, other property, net settlement, broker assisted cashless exercise or any combination thereof, having a Fair Market Value on the exercise date equal to the relevant exercise price, in which payment of the exercise price with respect thereto may be made or deemed to have been made. To the extent that any Shares held by the Participant are used for payment of the exercise price, such Shares shall not be subject to any pledge or other security interest and, unless determined otherwise by the Committee, shall have been held by the Participant for at least such period as may be required in order to avoid adverse accounting treatment applying generally accepted accounting principles.</w:t>
      </w:r>
    </w:p>
    <w:p>
      <w:pPr>
        <w:spacing w:after="0" w:line="151" w:lineRule="exact"/>
        <w:rPr>
          <w:rFonts w:ascii="Arial" w:cs="Arial" w:eastAsia="Arial" w:hAnsi="Arial"/>
          <w:sz w:val="19"/>
          <w:szCs w:val="19"/>
          <w:color w:val="auto"/>
        </w:rPr>
      </w:pPr>
    </w:p>
    <w:p>
      <w:pPr>
        <w:ind w:left="644" w:right="20" w:firstLine="4"/>
        <w:spacing w:after="0" w:line="263" w:lineRule="auto"/>
        <w:tabs>
          <w:tab w:leader="none" w:pos="142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Unless otherwise determined by the Committee, no dividends or dividend equivalents will be earned or paid on the Shares underlying any Options granted and outstanding under the Plan.</w:t>
      </w:r>
    </w:p>
    <w:p>
      <w:pPr>
        <w:spacing w:after="0" w:line="168" w:lineRule="exact"/>
        <w:rPr>
          <w:rFonts w:ascii="Arial" w:cs="Arial" w:eastAsia="Arial" w:hAnsi="Arial"/>
          <w:sz w:val="22"/>
          <w:szCs w:val="22"/>
          <w:color w:val="auto"/>
        </w:rPr>
      </w:pPr>
    </w:p>
    <w:p>
      <w:pPr>
        <w:jc w:val="both"/>
        <w:ind w:left="4" w:hanging="4"/>
        <w:spacing w:after="0" w:line="256" w:lineRule="auto"/>
        <w:tabs>
          <w:tab w:leader="none" w:pos="706"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 (“</w:t>
      </w:r>
      <w:r>
        <w:rPr>
          <w:rFonts w:ascii="Arial" w:cs="Arial" w:eastAsia="Arial" w:hAnsi="Arial"/>
          <w:sz w:val="22"/>
          <w:szCs w:val="22"/>
          <w:b w:val="1"/>
          <w:bCs w:val="1"/>
          <w:u w:val="single" w:color="auto"/>
          <w:color w:val="auto"/>
        </w:rPr>
        <w:t>SARs</w:t>
      </w:r>
      <w:r>
        <w:rPr>
          <w:rFonts w:ascii="Arial" w:cs="Arial" w:eastAsia="Arial" w:hAnsi="Arial"/>
          <w:sz w:val="22"/>
          <w:szCs w:val="22"/>
          <w:u w:val="single" w:color="auto"/>
          <w:color w:val="auto"/>
        </w:rPr>
        <w:t>”)</w:t>
      </w:r>
      <w:r>
        <w:rPr>
          <w:rFonts w:ascii="Arial" w:cs="Arial" w:eastAsia="Arial" w:hAnsi="Arial"/>
          <w:sz w:val="22"/>
          <w:szCs w:val="22"/>
          <w:color w:val="auto"/>
        </w:rPr>
        <w:t>.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82" w:lineRule="exact"/>
        <w:rPr>
          <w:rFonts w:ascii="Arial" w:cs="Arial" w:eastAsia="Arial" w:hAnsi="Arial"/>
          <w:sz w:val="22"/>
          <w:szCs w:val="22"/>
          <w:color w:val="auto"/>
        </w:rPr>
      </w:pPr>
    </w:p>
    <w:p>
      <w:pPr>
        <w:ind w:left="644" w:firstLine="4"/>
        <w:spacing w:after="0" w:line="343" w:lineRule="auto"/>
        <w:tabs>
          <w:tab w:leader="none" w:pos="142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SARs may be granted under the Plan to Participants either alone (“freestanding”) or in addition to other Awards granted under the Plan (“tandem”) and may, but need not, relate to a specific Option granted under </w:t>
      </w:r>
      <w:r>
        <w:rPr>
          <w:rFonts w:ascii="Arial" w:cs="Arial" w:eastAsia="Arial" w:hAnsi="Arial"/>
          <w:sz w:val="19"/>
          <w:szCs w:val="19"/>
          <w:u w:val="single" w:color="auto"/>
          <w:color w:val="auto"/>
        </w:rPr>
        <w:t>Section 5(c)</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644" w:firstLine="4"/>
        <w:spacing w:after="0" w:line="287" w:lineRule="auto"/>
        <w:tabs>
          <w:tab w:leader="none" w:pos="1436"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exercise price per Share under a SAR shall be determined by the Committee; provided, however, that such exercise price shall not be less than the Fair Market Value of a Share on the date of grant of such SAR.</w:t>
      </w:r>
    </w:p>
    <w:p>
      <w:pPr>
        <w:spacing w:after="0" w:line="151" w:lineRule="exact"/>
        <w:rPr>
          <w:rFonts w:ascii="Arial" w:cs="Arial" w:eastAsia="Arial" w:hAnsi="Arial"/>
          <w:sz w:val="21"/>
          <w:szCs w:val="21"/>
          <w:color w:val="auto"/>
        </w:rPr>
      </w:pPr>
    </w:p>
    <w:p>
      <w:pPr>
        <w:ind w:left="644" w:firstLine="4"/>
        <w:spacing w:after="0" w:line="263" w:lineRule="auto"/>
        <w:tabs>
          <w:tab w:leader="none" w:pos="142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term of each SAR shall be fixed by the Committee but shall not exceed ten (10) years from the date of grant of such SAR.</w:t>
      </w:r>
    </w:p>
    <w:p>
      <w:pPr>
        <w:spacing w:after="0" w:line="174" w:lineRule="exact"/>
        <w:rPr>
          <w:rFonts w:ascii="Arial" w:cs="Arial" w:eastAsia="Arial" w:hAnsi="Arial"/>
          <w:sz w:val="22"/>
          <w:szCs w:val="22"/>
          <w:color w:val="auto"/>
        </w:rPr>
      </w:pPr>
    </w:p>
    <w:p>
      <w:pPr>
        <w:ind w:left="644" w:right="20" w:firstLine="4"/>
        <w:spacing w:after="0" w:line="263" w:lineRule="auto"/>
        <w:tabs>
          <w:tab w:leader="none" w:pos="1436"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The Committee shall determine the time or times at which a SAR may be exercised or settled in whole or in part, subject to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44" w:right="20" w:firstLine="4"/>
        <w:spacing w:after="0" w:line="263" w:lineRule="auto"/>
        <w:tabs>
          <w:tab w:leader="none" w:pos="142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Unless otherwise determined by the Committee, no dividends or dividend equivalents will be earned or paid on the Common Shares underlying any SARs granted and outstanding under the Plan.</w:t>
      </w:r>
    </w:p>
    <w:p>
      <w:pPr>
        <w:spacing w:after="0" w:line="174" w:lineRule="exact"/>
        <w:rPr>
          <w:rFonts w:ascii="Arial" w:cs="Arial" w:eastAsia="Arial" w:hAnsi="Arial"/>
          <w:sz w:val="22"/>
          <w:szCs w:val="22"/>
          <w:color w:val="auto"/>
        </w:rPr>
      </w:pPr>
    </w:p>
    <w:p>
      <w:pPr>
        <w:jc w:val="both"/>
        <w:ind w:left="4" w:hanging="4"/>
        <w:spacing w:after="0" w:line="302" w:lineRule="auto"/>
        <w:tabs>
          <w:tab w:leader="none" w:pos="706"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RESTRICTED STOCK AND RESTRICTED STOCK UNITS.</w:t>
      </w:r>
      <w:r>
        <w:rPr>
          <w:rFonts w:ascii="Arial" w:cs="Arial" w:eastAsia="Arial" w:hAnsi="Arial"/>
          <w:sz w:val="19"/>
          <w:szCs w:val="19"/>
          <w:color w:val="auto"/>
        </w:rPr>
        <w:t xml:space="preserve"> The Committee is authorized to grant Awards of Common Shares subject to restrictions on transfer (“</w:t>
      </w:r>
      <w:r>
        <w:rPr>
          <w:rFonts w:ascii="Arial" w:cs="Arial" w:eastAsia="Arial" w:hAnsi="Arial"/>
          <w:sz w:val="19"/>
          <w:szCs w:val="19"/>
          <w:b w:val="1"/>
          <w:bCs w:val="1"/>
          <w:i w:val="1"/>
          <w:iCs w:val="1"/>
          <w:color w:val="auto"/>
        </w:rPr>
        <w:t>Restricted Stock</w:t>
      </w:r>
      <w:r>
        <w:rPr>
          <w:rFonts w:ascii="Arial" w:cs="Arial" w:eastAsia="Arial" w:hAnsi="Arial"/>
          <w:sz w:val="19"/>
          <w:szCs w:val="19"/>
          <w:color w:val="auto"/>
        </w:rPr>
        <w:t>”) and restricted stock units, the value of which is based on or that may be settled into Common Shares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to Participants with the following terms and conditions and with such additional terms and conditions, in either case not inconsistent with the provisions of the Plan, as the Committee shall determine.</w:t>
      </w:r>
    </w:p>
    <w:p>
      <w:pPr>
        <w:spacing w:after="0" w:line="37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4"/>
          </w:cols>
          <w:pgMar w:left="356" w:top="375" w:right="239" w:bottom="1440" w:gutter="0" w:footer="0" w:header="0"/>
        </w:sectPr>
      </w:pPr>
    </w:p>
    <w:bookmarkStart w:id="167" w:name="page168"/>
    <w:bookmarkEnd w:id="167"/>
    <w:p>
      <w:pPr>
        <w:jc w:val="both"/>
        <w:ind w:left="644" w:firstLine="4"/>
        <w:spacing w:after="0" w:line="250" w:lineRule="auto"/>
        <w:tabs>
          <w:tab w:leader="none" w:pos="142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Awards of Restricted Stock and RSUs shall be subject to such restrictions as the Committee may impose (including any limitation on the right to receive any dividend, dividend equivalent or other right), which restrictions may lapse separately or in combination at such time or times, in such installments or otherwise, as the Committee may deem appropriate.</w:t>
      </w:r>
    </w:p>
    <w:p>
      <w:pPr>
        <w:spacing w:after="0" w:line="188" w:lineRule="exact"/>
        <w:rPr>
          <w:rFonts w:ascii="Arial" w:cs="Arial" w:eastAsia="Arial" w:hAnsi="Arial"/>
          <w:sz w:val="22"/>
          <w:szCs w:val="22"/>
          <w:color w:val="auto"/>
        </w:rPr>
      </w:pPr>
    </w:p>
    <w:p>
      <w:pPr>
        <w:jc w:val="both"/>
        <w:ind w:left="644" w:firstLine="4"/>
        <w:spacing w:after="0" w:line="289" w:lineRule="auto"/>
        <w:tabs>
          <w:tab w:leader="none" w:pos="143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With respect to Awards of Restricted Stock, a Participant generally shall have the rights and privileges of an Employee Member with respect thereto, to the extent, and subject to any limitation, in the LLC Agreement. Without limiting the generality of the foregoing, if the Award relates to Common Shares on which dividends are declared during the 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Restricted Stock Award may be evidenced in such manner as the Committee may deem appropriate, including book-entry registration. For the avoidance of doubt, unless otherwise determined by the Committee, no dividends or dividend equivalent rights shall be provided with respect to any Award of Restricted Stock that does not vest pursuant to their terms.</w:t>
      </w:r>
    </w:p>
    <w:p>
      <w:pPr>
        <w:spacing w:after="0" w:line="157" w:lineRule="exact"/>
        <w:rPr>
          <w:rFonts w:ascii="Arial" w:cs="Arial" w:eastAsia="Arial" w:hAnsi="Arial"/>
          <w:sz w:val="19"/>
          <w:szCs w:val="19"/>
          <w:color w:val="auto"/>
        </w:rPr>
      </w:pPr>
    </w:p>
    <w:p>
      <w:pPr>
        <w:jc w:val="both"/>
        <w:ind w:left="644" w:firstLine="4"/>
        <w:spacing w:after="0" w:line="287" w:lineRule="auto"/>
        <w:tabs>
          <w:tab w:leader="none" w:pos="142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With respect to an RSU Award, each RSU covered by such Award shall represent a right to receive the value of one Common Share in cash, Common Shares or a combination thereof. An RSU shall not convey to the Participant the rights and privileges of an Employee Member with respect to the Common Share subject to the RSU, such as the right to vote or the right to receive dividends, unless and until a Common Share is issued to the Participant to settle the RSU. Notwithstanding the foregoing, unless otherwise determined by the Committee in its sole discretion, RSU Awards shall convey the right to receive dividend equivalents on the Common Shares underlying the RSU Award with respect to any dividends declared during the period that the RSU Award is outstanding. Such dividend equivalent rights shall accumulate and shall be paid in cash following the settlement date of the underlying RSU Award, subject to the satisfaction of the vesting and other conditions of the underlying RSU Award, unless otherwise determined by the Committee. Common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Common Shares subject to RSUs that do not vest or settle pursuant to their terms.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4" w:hanging="4"/>
        <w:spacing w:after="0" w:line="253" w:lineRule="auto"/>
        <w:tabs>
          <w:tab w:leader="none" w:pos="70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PERFORMANCE AWARDS</w:t>
      </w:r>
      <w:r>
        <w:rPr>
          <w:rFonts w:ascii="Arial" w:cs="Arial" w:eastAsia="Arial" w:hAnsi="Arial"/>
          <w:sz w:val="22"/>
          <w:szCs w:val="22"/>
          <w:color w:val="auto"/>
        </w:rPr>
        <w:t>. The Committee is authorized to grant Awards subject to performance-based vesting conditions (“</w:t>
      </w:r>
      <w:r>
        <w:rPr>
          <w:rFonts w:ascii="Arial" w:cs="Arial" w:eastAsia="Arial" w:hAnsi="Arial"/>
          <w:sz w:val="22"/>
          <w:szCs w:val="22"/>
          <w:b w:val="1"/>
          <w:bCs w:val="1"/>
          <w:i w:val="1"/>
          <w:iCs w:val="1"/>
          <w:color w:val="auto"/>
        </w:rPr>
        <w:t>Performance Awards</w:t>
      </w:r>
      <w:r>
        <w:rPr>
          <w:rFonts w:ascii="Arial" w:cs="Arial" w:eastAsia="Arial" w:hAnsi="Arial"/>
          <w:sz w:val="22"/>
          <w:szCs w:val="22"/>
          <w:color w:val="auto"/>
        </w:rPr>
        <w:t>”) with the following terms and conditions and with such additional terms and conditions, in either case not inconsistent with the provisions of the Plan, as the Committee shall determine:</w:t>
      </w:r>
    </w:p>
    <w:p>
      <w:pPr>
        <w:spacing w:after="0" w:line="185" w:lineRule="exact"/>
        <w:rPr>
          <w:rFonts w:ascii="Arial" w:cs="Arial" w:eastAsia="Arial" w:hAnsi="Arial"/>
          <w:sz w:val="22"/>
          <w:szCs w:val="22"/>
          <w:color w:val="auto"/>
        </w:rPr>
      </w:pPr>
    </w:p>
    <w:p>
      <w:pPr>
        <w:ind w:left="644" w:right="20" w:firstLine="4"/>
        <w:spacing w:after="0" w:line="263" w:lineRule="auto"/>
        <w:tabs>
          <w:tab w:leader="none" w:pos="1424" w:val="left"/>
        </w:tabs>
        <w:numPr>
          <w:ilvl w:val="1"/>
          <w:numId w:val="110"/>
        </w:numPr>
        <w:rPr>
          <w:rFonts w:ascii="Arial" w:cs="Arial" w:eastAsia="Arial" w:hAnsi="Arial"/>
          <w:sz w:val="22"/>
          <w:szCs w:val="22"/>
          <w:color w:val="auto"/>
        </w:rPr>
      </w:pPr>
      <w:r>
        <w:rPr>
          <w:rFonts w:ascii="Arial" w:cs="Arial" w:eastAsia="Arial" w:hAnsi="Arial"/>
          <w:sz w:val="22"/>
          <w:szCs w:val="22"/>
          <w:color w:val="auto"/>
        </w:rPr>
        <w:t>Performance Awards may be denominated as a cash amount, number of Common Shares or units or a combination thereof and are Awards which may be earned upon</w:t>
      </w:r>
    </w:p>
    <w:p>
      <w:pPr>
        <w:spacing w:after="0" w:line="200" w:lineRule="exact"/>
        <w:rPr>
          <w:sz w:val="20"/>
          <w:szCs w:val="20"/>
          <w:color w:val="auto"/>
        </w:rPr>
      </w:pPr>
    </w:p>
    <w:p>
      <w:pPr>
        <w:spacing w:after="0" w:line="21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4"/>
          </w:cols>
          <w:pgMar w:left="356" w:top="848" w:right="239" w:bottom="1440" w:gutter="0" w:footer="0" w:header="0"/>
        </w:sectPr>
      </w:pPr>
    </w:p>
    <w:bookmarkStart w:id="168" w:name="page169"/>
    <w:bookmarkEnd w:id="168"/>
    <w:p>
      <w:pPr>
        <w:jc w:val="both"/>
        <w:spacing w:after="0" w:line="259" w:lineRule="auto"/>
        <w:rPr>
          <w:sz w:val="20"/>
          <w:szCs w:val="20"/>
          <w:color w:val="auto"/>
        </w:rPr>
      </w:pPr>
      <w:r>
        <w:rPr>
          <w:rFonts w:ascii="Arial" w:cs="Arial" w:eastAsia="Arial" w:hAnsi="Arial"/>
          <w:sz w:val="21"/>
          <w:szCs w:val="21"/>
          <w:color w:val="auto"/>
        </w:rPr>
        <w:t>achievement or satisfaction of performance conditions specified by the Committee. In addition, the Committee may specify that any 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184" w:lineRule="exact"/>
        <w:rPr>
          <w:sz w:val="20"/>
          <w:szCs w:val="20"/>
          <w:color w:val="auto"/>
        </w:rPr>
      </w:pPr>
    </w:p>
    <w:p>
      <w:pPr>
        <w:jc w:val="both"/>
        <w:ind w:firstLine="4"/>
        <w:spacing w:after="0" w:line="289" w:lineRule="auto"/>
        <w:tabs>
          <w:tab w:leader="none" w:pos="7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Committee may provide that any Performance Award will vest based on one or more of the following performance measures, or any other performance measure determined by the Committee, in each case as expressed on an absolute or adjusted basis with respect to the Company or any Affiliate thereof: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equity value, stock price, total shareholder return, and/or warranty experience.</w:t>
      </w:r>
    </w:p>
    <w:p>
      <w:pPr>
        <w:spacing w:after="0" w:line="157" w:lineRule="exact"/>
        <w:rPr>
          <w:rFonts w:ascii="Arial" w:cs="Arial" w:eastAsia="Arial" w:hAnsi="Arial"/>
          <w:sz w:val="19"/>
          <w:szCs w:val="19"/>
          <w:color w:val="auto"/>
        </w:rPr>
      </w:pPr>
    </w:p>
    <w:p>
      <w:pPr>
        <w:jc w:val="both"/>
        <w:ind w:firstLine="4"/>
        <w:spacing w:after="0" w:line="289" w:lineRule="auto"/>
        <w:tabs>
          <w:tab w:leader="none" w:pos="7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Each performance criterion may be measured on an absolute (e.g., plan or budget) or relative basis. Relative performance may be measured against a group of peer companies, a financial market index or other acceptable objective and quantifiable indices which the Committee selects. With respect to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part, as the Committee deems appropriate and equitable. Performance measures may vary from Performance Award to Performance Award, respectively, and from Participant to Participant, and may be established on a stand-alone basis, in tandem or in the alternative.</w:t>
      </w:r>
    </w:p>
    <w:p>
      <w:pPr>
        <w:spacing w:after="0" w:line="157" w:lineRule="exact"/>
        <w:rPr>
          <w:rFonts w:ascii="Arial" w:cs="Arial" w:eastAsia="Arial" w:hAnsi="Arial"/>
          <w:sz w:val="19"/>
          <w:szCs w:val="19"/>
          <w:color w:val="auto"/>
        </w:rPr>
      </w:pPr>
    </w:p>
    <w:p>
      <w:pPr>
        <w:jc w:val="both"/>
        <w:ind w:firstLine="4"/>
        <w:spacing w:after="0" w:line="292" w:lineRule="auto"/>
        <w:tabs>
          <w:tab w:leader="none" w:pos="7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 Performance Award shall not convey to the Participant the rights and privileges of an Employee Member with respect to the Common Shares subject to the Performance Award, such as the right to vote (except as relates to Restricted Stock) or the right to receive dividends, unless and until Common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Common Shares underlying the Performance Awards that are earned. Such dividend equivalents rights</w:t>
      </w:r>
    </w:p>
    <w:p>
      <w:pPr>
        <w:spacing w:after="0" w:line="3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60"/>
          </w:cols>
          <w:pgMar w:left="1000" w:top="375" w:right="239" w:bottom="1440" w:gutter="0" w:footer="0" w:header="0"/>
        </w:sectPr>
      </w:pPr>
    </w:p>
    <w:bookmarkStart w:id="169" w:name="page170"/>
    <w:bookmarkEnd w:id="169"/>
    <w:p>
      <w:pPr>
        <w:jc w:val="both"/>
        <w:ind w:left="644"/>
        <w:spacing w:after="0" w:line="263" w:lineRule="auto"/>
        <w:rPr>
          <w:sz w:val="20"/>
          <w:szCs w:val="20"/>
          <w:color w:val="auto"/>
        </w:rPr>
      </w:pPr>
      <w:r>
        <w:rPr>
          <w:rFonts w:ascii="Arial" w:cs="Arial" w:eastAsia="Arial" w:hAnsi="Arial"/>
          <w:sz w:val="21"/>
          <w:szCs w:val="21"/>
          <w:color w:val="auto"/>
        </w:rPr>
        <w:t>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pacing w:after="0" w:line="176" w:lineRule="exact"/>
        <w:rPr>
          <w:sz w:val="20"/>
          <w:szCs w:val="20"/>
          <w:color w:val="auto"/>
        </w:rPr>
      </w:pPr>
    </w:p>
    <w:p>
      <w:pPr>
        <w:jc w:val="both"/>
        <w:ind w:left="4" w:hanging="4"/>
        <w:spacing w:after="0" w:line="289" w:lineRule="auto"/>
        <w:tabs>
          <w:tab w:leader="none" w:pos="81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OTHER STOCK-BASED AWARDS</w:t>
      </w:r>
      <w:r>
        <w:rPr>
          <w:rFonts w:ascii="Arial" w:cs="Arial" w:eastAsia="Arial" w:hAnsi="Arial"/>
          <w:sz w:val="19"/>
          <w:szCs w:val="19"/>
          <w:color w:val="auto"/>
        </w:rPr>
        <w:t>. The Committee is authorized, subject to limitations under applicable law, to grant to any Participant, at any time prior to the termination of this Plan, such other Awards that may be denominated or payable in, valued in whole or in part by reference to, or otherwise based on, or related to, Common Shares or factors that may influence the value of Common Shares, including convertible or exchangeable debt securities, other rights convertible or exchangeable into Common Shares, purchase rights for Shares, Awards with value and payment contingent upon performance of the Company or business units thereof or any other factors designated by the Committee. For the avoidance of doubt, unless otherwise determined by the Committee, no dividend equivalent rights shall be provided with respect to any Shares subject to an Award that are not earned or do not vest pursuant to the terms of the Award. Other Stock- Based Awards will be evidenced by Award Agreements containing the terms and conditions as shall be determined by the Committee.</w:t>
      </w:r>
    </w:p>
    <w:p>
      <w:pPr>
        <w:spacing w:after="0" w:line="157" w:lineRule="exact"/>
        <w:rPr>
          <w:rFonts w:ascii="Arial" w:cs="Arial" w:eastAsia="Arial" w:hAnsi="Arial"/>
          <w:sz w:val="19"/>
          <w:szCs w:val="19"/>
          <w:color w:val="auto"/>
        </w:rPr>
      </w:pPr>
    </w:p>
    <w:p>
      <w:pPr>
        <w:jc w:val="both"/>
        <w:ind w:left="4" w:hanging="4"/>
        <w:spacing w:after="0" w:line="253" w:lineRule="auto"/>
        <w:tabs>
          <w:tab w:leader="none" w:pos="806"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 ON AWARDS</w:t>
      </w:r>
      <w:r>
        <w:rPr>
          <w:rFonts w:ascii="Arial" w:cs="Arial" w:eastAsia="Arial" w:hAnsi="Arial"/>
          <w:sz w:val="22"/>
          <w:szCs w:val="22"/>
          <w:color w:val="auto"/>
        </w:rPr>
        <w:t>. Unless otherwise provided by the Committee in any Award Agreement, or as the Committee may determine in any individual case, the following shall apply with respect to a Participant’s outstanding Awards upon such Participant’s Termination Date.</w:t>
      </w:r>
    </w:p>
    <w:p>
      <w:pPr>
        <w:spacing w:after="0" w:line="185" w:lineRule="exact"/>
        <w:rPr>
          <w:rFonts w:ascii="Arial" w:cs="Arial" w:eastAsia="Arial" w:hAnsi="Arial"/>
          <w:sz w:val="22"/>
          <w:szCs w:val="22"/>
          <w:color w:val="auto"/>
        </w:rPr>
      </w:pPr>
    </w:p>
    <w:p>
      <w:pPr>
        <w:ind w:left="1424" w:hanging="776"/>
        <w:spacing w:after="0"/>
        <w:tabs>
          <w:tab w:leader="none" w:pos="1424"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In the event of a Participant’s Termination Date due to death:</w:t>
      </w:r>
    </w:p>
    <w:p>
      <w:pPr>
        <w:spacing w:after="0" w:line="219" w:lineRule="exact"/>
        <w:rPr>
          <w:rFonts w:ascii="Arial" w:cs="Arial" w:eastAsia="Arial" w:hAnsi="Arial"/>
          <w:sz w:val="22"/>
          <w:szCs w:val="22"/>
          <w:color w:val="auto"/>
        </w:rPr>
      </w:pPr>
    </w:p>
    <w:p>
      <w:pPr>
        <w:jc w:val="both"/>
        <w:ind w:left="1944" w:hanging="647"/>
        <w:spacing w:after="0" w:line="265" w:lineRule="auto"/>
        <w:tabs>
          <w:tab w:leader="none" w:pos="1944" w:val="left"/>
        </w:tabs>
        <w:numPr>
          <w:ilvl w:val="2"/>
          <w:numId w:val="112"/>
        </w:numPr>
        <w:rPr>
          <w:rFonts w:ascii="Arial" w:cs="Arial" w:eastAsia="Arial" w:hAnsi="Arial"/>
          <w:sz w:val="21"/>
          <w:szCs w:val="21"/>
          <w:color w:val="auto"/>
        </w:rPr>
      </w:pPr>
      <w:r>
        <w:rPr>
          <w:rFonts w:ascii="Arial" w:cs="Arial" w:eastAsia="Arial" w:hAnsi="Arial"/>
          <w:sz w:val="21"/>
          <w:szCs w:val="21"/>
          <w:color w:val="auto"/>
        </w:rPr>
        <w:t>Each Option and SAR held by the Participant that is vested and exercisable shall remain exercisable until the third anniversary of the date of death or, if earlier, the expiration date of such Option or SAR. Each outstanding Option and SAR held by the Participant that has not vested as of the Participant’s Termination Date shall immediately be forfeited on the Participant’s Termination Date.</w:t>
      </w:r>
    </w:p>
    <w:p>
      <w:pPr>
        <w:spacing w:after="0" w:line="175" w:lineRule="exact"/>
        <w:rPr>
          <w:rFonts w:ascii="Arial" w:cs="Arial" w:eastAsia="Arial" w:hAnsi="Arial"/>
          <w:sz w:val="21"/>
          <w:szCs w:val="21"/>
          <w:color w:val="auto"/>
        </w:rPr>
      </w:pPr>
    </w:p>
    <w:p>
      <w:pPr>
        <w:jc w:val="both"/>
        <w:ind w:left="1944" w:hanging="647"/>
        <w:spacing w:after="0" w:line="265" w:lineRule="auto"/>
        <w:tabs>
          <w:tab w:leader="none" w:pos="1944" w:val="left"/>
        </w:tabs>
        <w:numPr>
          <w:ilvl w:val="2"/>
          <w:numId w:val="112"/>
        </w:numPr>
        <w:rPr>
          <w:rFonts w:ascii="Arial" w:cs="Arial" w:eastAsia="Arial" w:hAnsi="Arial"/>
          <w:sz w:val="21"/>
          <w:szCs w:val="21"/>
          <w:color w:val="auto"/>
        </w:rPr>
      </w:pPr>
      <w:r>
        <w:rPr>
          <w:rFonts w:ascii="Arial" w:cs="Arial" w:eastAsia="Arial" w:hAnsi="Arial"/>
          <w:sz w:val="21"/>
          <w:szCs w:val="21"/>
          <w:color w:val="auto"/>
        </w:rPr>
        <w:t>Each outstanding vested Restricted Stock and RSU Award held by the Participant shall be settled within sixty (60) days following the Participant’s Termination Date. Each outstanding Restricted Stock and RSU Award held by the Participant that has not vested as of the Participant’s Termination Date shall immediately be forfeited on the Participant’s Termination Date.</w:t>
      </w:r>
    </w:p>
    <w:p>
      <w:pPr>
        <w:spacing w:after="0" w:line="175" w:lineRule="exact"/>
        <w:rPr>
          <w:rFonts w:ascii="Arial" w:cs="Arial" w:eastAsia="Arial" w:hAnsi="Arial"/>
          <w:sz w:val="21"/>
          <w:szCs w:val="21"/>
          <w:color w:val="auto"/>
        </w:rPr>
      </w:pPr>
    </w:p>
    <w:p>
      <w:pPr>
        <w:jc w:val="both"/>
        <w:ind w:left="1944" w:right="20" w:hanging="647"/>
        <w:spacing w:after="0" w:line="312" w:lineRule="auto"/>
        <w:tabs>
          <w:tab w:leader="none" w:pos="1944" w:val="left"/>
        </w:tabs>
        <w:numPr>
          <w:ilvl w:val="2"/>
          <w:numId w:val="112"/>
        </w:numPr>
        <w:rPr>
          <w:rFonts w:ascii="Arial" w:cs="Arial" w:eastAsia="Arial" w:hAnsi="Arial"/>
          <w:sz w:val="19"/>
          <w:szCs w:val="19"/>
          <w:color w:val="auto"/>
        </w:rPr>
      </w:pPr>
      <w:r>
        <w:rPr>
          <w:rFonts w:ascii="Arial" w:cs="Arial" w:eastAsia="Arial" w:hAnsi="Arial"/>
          <w:sz w:val="19"/>
          <w:szCs w:val="19"/>
          <w:color w:val="auto"/>
        </w:rPr>
        <w:t>Each outstanding vested Performance Award held by the Participant shall be paid or settled on the scheduled settlement date or dates as provided under the terms of the applicable Award Agreement. Each outstanding Performance Award held by the Participant that has not vested as of the Participant’s</w:t>
      </w:r>
    </w:p>
    <w:p>
      <w:pPr>
        <w:spacing w:after="0" w:line="3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4"/>
          </w:cols>
          <w:pgMar w:left="356" w:top="375" w:right="239" w:bottom="1440" w:gutter="0" w:footer="0" w:header="0"/>
        </w:sectPr>
      </w:pPr>
    </w:p>
    <w:bookmarkStart w:id="170" w:name="page171"/>
    <w:bookmarkEnd w:id="170"/>
    <w:p>
      <w:pPr>
        <w:ind w:left="1300"/>
        <w:spacing w:after="0"/>
        <w:rPr>
          <w:sz w:val="20"/>
          <w:szCs w:val="20"/>
          <w:color w:val="auto"/>
        </w:rPr>
      </w:pPr>
      <w:r>
        <w:rPr>
          <w:rFonts w:ascii="Arial" w:cs="Arial" w:eastAsia="Arial" w:hAnsi="Arial"/>
          <w:sz w:val="22"/>
          <w:szCs w:val="22"/>
          <w:color w:val="auto"/>
        </w:rPr>
        <w:t>Termination Date shall immediately be forfeited on the Participant’s Termination Date.</w:t>
      </w:r>
    </w:p>
    <w:p>
      <w:pPr>
        <w:spacing w:after="0" w:line="220" w:lineRule="exact"/>
        <w:rPr>
          <w:sz w:val="20"/>
          <w:szCs w:val="20"/>
          <w:color w:val="auto"/>
        </w:rPr>
      </w:pPr>
    </w:p>
    <w:p>
      <w:pPr>
        <w:ind w:left="800" w:hanging="796"/>
        <w:spacing w:after="0"/>
        <w:tabs>
          <w:tab w:leader="none" w:pos="8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In the event of a Participant’s Termination Date due to Disability:</w:t>
      </w:r>
    </w:p>
    <w:p>
      <w:pPr>
        <w:spacing w:after="0" w:line="219" w:lineRule="exact"/>
        <w:rPr>
          <w:rFonts w:ascii="Arial" w:cs="Arial" w:eastAsia="Arial" w:hAnsi="Arial"/>
          <w:sz w:val="22"/>
          <w:szCs w:val="22"/>
          <w:color w:val="auto"/>
        </w:rPr>
      </w:pPr>
    </w:p>
    <w:p>
      <w:pPr>
        <w:jc w:val="both"/>
        <w:ind w:left="1300" w:hanging="647"/>
        <w:spacing w:after="0" w:line="302" w:lineRule="auto"/>
        <w:tabs>
          <w:tab w:leader="none" w:pos="130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Each Option and SAR held by the Participant that is vested and exercisable shall remain exercisable until the third anniversary of the Participant’s Termination Date or, if earlier, the expiration date of such Option or SAR. Each outstanding Option and SAR held by the Participant that has not vested as of the Participant’s Termination Date shall immediately be forfeited on the Participant’s Termination Date.</w:t>
      </w:r>
    </w:p>
    <w:p>
      <w:pPr>
        <w:spacing w:after="0" w:line="142" w:lineRule="exact"/>
        <w:rPr>
          <w:rFonts w:ascii="Arial" w:cs="Arial" w:eastAsia="Arial" w:hAnsi="Arial"/>
          <w:sz w:val="19"/>
          <w:szCs w:val="19"/>
          <w:color w:val="auto"/>
        </w:rPr>
      </w:pPr>
    </w:p>
    <w:p>
      <w:pPr>
        <w:jc w:val="both"/>
        <w:ind w:left="1300" w:hanging="647"/>
        <w:spacing w:after="0" w:line="265" w:lineRule="auto"/>
        <w:tabs>
          <w:tab w:leader="none" w:pos="130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Each outstanding vested Restricted Stock and RSU Award held by the Participant shall be settled within sixty (60) days following the Participant’s Termination Date. Each outstanding Restricted Stock and RSU Award held by the Participant that has not vested as of the Participant’s Termination Date shall immediately be forfeited on the Participant’s Termination Date.</w:t>
      </w:r>
    </w:p>
    <w:p>
      <w:pPr>
        <w:spacing w:after="0" w:line="175" w:lineRule="exact"/>
        <w:rPr>
          <w:rFonts w:ascii="Arial" w:cs="Arial" w:eastAsia="Arial" w:hAnsi="Arial"/>
          <w:sz w:val="21"/>
          <w:szCs w:val="21"/>
          <w:color w:val="auto"/>
        </w:rPr>
      </w:pPr>
    </w:p>
    <w:p>
      <w:pPr>
        <w:jc w:val="both"/>
        <w:ind w:left="1300" w:hanging="647"/>
        <w:spacing w:after="0" w:line="265" w:lineRule="auto"/>
        <w:tabs>
          <w:tab w:leader="none" w:pos="130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Each outstanding vested Performance Award held by the Participant shall be paid or settled on the scheduled settlement date or dates as provided under the terms of the applicable Award Agreement. Each outstanding Performance Award held by the Participant that has not vested as of the Participant’s Termination Date shall immediately be forfeited on the Participant’s Termination Date.</w:t>
      </w:r>
    </w:p>
    <w:p>
      <w:pPr>
        <w:spacing w:after="0" w:line="175" w:lineRule="exact"/>
        <w:rPr>
          <w:rFonts w:ascii="Arial" w:cs="Arial" w:eastAsia="Arial" w:hAnsi="Arial"/>
          <w:sz w:val="21"/>
          <w:szCs w:val="21"/>
          <w:color w:val="auto"/>
        </w:rPr>
      </w:pPr>
    </w:p>
    <w:p>
      <w:pPr>
        <w:jc w:val="both"/>
        <w:ind w:firstLine="4"/>
        <w:spacing w:after="0" w:line="286" w:lineRule="auto"/>
        <w:tabs>
          <w:tab w:leader="none" w:pos="78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Other Terminations</w:t>
      </w:r>
      <w:r>
        <w:rPr>
          <w:rFonts w:ascii="Arial" w:cs="Arial" w:eastAsia="Arial" w:hAnsi="Arial"/>
          <w:sz w:val="19"/>
          <w:szCs w:val="19"/>
          <w:color w:val="auto"/>
        </w:rPr>
        <w:t xml:space="preserve">. In the event of a Participant’s Termination Date for any reason not specified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 and subject to Section 13 hereof</w:t>
      </w:r>
      <w:r>
        <w:rPr>
          <w:rFonts w:ascii="Arial" w:cs="Arial" w:eastAsia="Arial" w:hAnsi="Arial"/>
          <w:sz w:val="19"/>
          <w:szCs w:val="19"/>
          <w:color w:val="auto"/>
        </w:rPr>
        <w:t xml:space="preserve">, the Participant shall not be entitled to retain any unvested portion of an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Option or SAR that is vested on the Termination Date shall remain outstanding and exercisable until the earlier of (i) the applicable expiration date of such Option or SAR or (ii) ninety (90) days after the Termination Date,</w:t>
      </w:r>
    </w:p>
    <w:p>
      <w:pPr>
        <w:spacing w:after="0" w:line="2"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(B) each outstanding vested Restricted Stock and RSU Award held by the Participant shall be settled in accordance with the terms of the applicable Award Agreement and (C) each outstanding vested Performance Award held by the Participant shall be paid or settled on the scheduled settlement date or dates as provided under the terms of the applicable Award Agreement.</w:t>
      </w:r>
    </w:p>
    <w:p>
      <w:pPr>
        <w:spacing w:after="0" w:line="195" w:lineRule="exact"/>
        <w:rPr>
          <w:rFonts w:ascii="Arial" w:cs="Arial" w:eastAsia="Arial" w:hAnsi="Arial"/>
          <w:sz w:val="19"/>
          <w:szCs w:val="19"/>
          <w:color w:val="auto"/>
        </w:rPr>
      </w:pPr>
    </w:p>
    <w:p>
      <w:pPr>
        <w:jc w:val="both"/>
        <w:ind w:firstLine="4"/>
        <w:spacing w:after="0" w:line="292" w:lineRule="auto"/>
        <w:tabs>
          <w:tab w:leader="none" w:pos="792"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Terminations Pursuant to Approved Separation Agreement or Program</w:t>
      </w:r>
      <w:r>
        <w:rPr>
          <w:rFonts w:ascii="Arial" w:cs="Arial" w:eastAsia="Arial" w:hAnsi="Arial"/>
          <w:sz w:val="19"/>
          <w:szCs w:val="19"/>
          <w:color w:val="auto"/>
        </w:rPr>
        <w:t xml:space="preserve">. Notwithstanding the above provisions, in the event of a Participant’s Termination Date pursuant to an approved separation agreement or program, such Participant will not be entitled to retain any unvested portion of an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Option or SAR that is vested on the Termination Date shall remain outstanding and exercisable until the earlier of (i) the applicable expiration date of such Option or SAR or (ii) ninety (90) days after the Termination Date, (B) each outstanding vested Restricted Stock and RSU Award held by the Participant shall be settled in accordance with the terms of the applicable Award Agreement and (C) each outstanding vested Performance Award held by the Participant</w:t>
      </w:r>
    </w:p>
    <w:p>
      <w:pPr>
        <w:spacing w:after="0" w:line="3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60"/>
          </w:cols>
          <w:pgMar w:left="1000" w:top="375" w:right="239" w:bottom="1440" w:gutter="0" w:footer="0" w:header="0"/>
        </w:sectPr>
      </w:pPr>
    </w:p>
    <w:bookmarkStart w:id="171" w:name="page172"/>
    <w:bookmarkEnd w:id="171"/>
    <w:p>
      <w:pPr>
        <w:ind w:left="644"/>
        <w:spacing w:after="0" w:line="263" w:lineRule="auto"/>
        <w:rPr>
          <w:sz w:val="20"/>
          <w:szCs w:val="20"/>
          <w:color w:val="auto"/>
        </w:rPr>
      </w:pPr>
      <w:r>
        <w:rPr>
          <w:rFonts w:ascii="Arial" w:cs="Arial" w:eastAsia="Arial" w:hAnsi="Arial"/>
          <w:sz w:val="22"/>
          <w:szCs w:val="22"/>
          <w:color w:val="auto"/>
        </w:rPr>
        <w:t>shall be paid or settled on the scheduled settlement date or dates as provided under the terms of the applicable Award Agreement.</w:t>
      </w:r>
    </w:p>
    <w:p>
      <w:pPr>
        <w:spacing w:after="0" w:line="175" w:lineRule="exact"/>
        <w:rPr>
          <w:sz w:val="20"/>
          <w:szCs w:val="20"/>
          <w:color w:val="auto"/>
        </w:rPr>
      </w:pPr>
    </w:p>
    <w:p>
      <w:pPr>
        <w:jc w:val="both"/>
        <w:ind w:left="644" w:firstLine="4"/>
        <w:spacing w:after="0" w:line="259" w:lineRule="auto"/>
        <w:tabs>
          <w:tab w:leader="none" w:pos="1424"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Alternative Treatment</w:t>
      </w:r>
      <w:r>
        <w:rPr>
          <w:rFonts w:ascii="Arial" w:cs="Arial" w:eastAsia="Arial" w:hAnsi="Arial"/>
          <w:sz w:val="21"/>
          <w:szCs w:val="21"/>
          <w:color w:val="auto"/>
        </w:rPr>
        <w:t xml:space="preserve">. Notwithstanding the foregoing, the Committee may provide for any alternative treatment of outstanding Awards, and the circumstances in which, and the extent to which, any such Awards may be exercised, settled, vested, paid or forfeited in the event of a Participant’s Termination Date or the exercise, vesting or settlement of such Award, either in an Award Agreement or, subject to </w:t>
      </w:r>
      <w:r>
        <w:rPr>
          <w:rFonts w:ascii="Arial" w:cs="Arial" w:eastAsia="Arial" w:hAnsi="Arial"/>
          <w:sz w:val="21"/>
          <w:szCs w:val="21"/>
          <w:u w:val="single" w:color="auto"/>
          <w:color w:val="auto"/>
        </w:rPr>
        <w:t>Section 12</w:t>
      </w:r>
      <w:r>
        <w:rPr>
          <w:rFonts w:ascii="Arial" w:cs="Arial" w:eastAsia="Arial" w:hAnsi="Arial"/>
          <w:sz w:val="21"/>
          <w:szCs w:val="21"/>
          <w:color w:val="auto"/>
        </w:rPr>
        <w:t>, by Committee action after the grant of an Award. Unless otherwise provided in an Award Agreement or otherwise determined by the Committee, a qualifying leave of absence shall not constitute a Termination Date. Any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180" w:lineRule="exact"/>
        <w:rPr>
          <w:rFonts w:ascii="Arial" w:cs="Arial" w:eastAsia="Arial" w:hAnsi="Arial"/>
          <w:sz w:val="21"/>
          <w:szCs w:val="21"/>
          <w:color w:val="auto"/>
        </w:rPr>
      </w:pPr>
    </w:p>
    <w:p>
      <w:pPr>
        <w:ind w:left="804" w:hanging="804"/>
        <w:spacing w:after="0"/>
        <w:tabs>
          <w:tab w:leader="none" w:pos="804"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EFFECT OF A CHANGE IN CONTROL ON AWARDS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firstLine="4"/>
        <w:spacing w:after="0" w:line="250" w:lineRule="auto"/>
        <w:tabs>
          <w:tab w:leader="none" w:pos="1424" w:val="left"/>
        </w:tabs>
        <w:numPr>
          <w:ilvl w:val="1"/>
          <w:numId w:val="115"/>
        </w:numPr>
        <w:rPr>
          <w:rFonts w:ascii="Arial" w:cs="Arial" w:eastAsia="Arial" w:hAnsi="Arial"/>
          <w:sz w:val="22"/>
          <w:szCs w:val="22"/>
          <w:color w:val="auto"/>
        </w:rPr>
      </w:pPr>
      <w:r>
        <w:rPr>
          <w:rFonts w:ascii="Arial" w:cs="Arial" w:eastAsia="Arial" w:hAnsi="Arial"/>
          <w:sz w:val="22"/>
          <w:szCs w:val="22"/>
          <w:color w:val="auto"/>
        </w:rPr>
        <w:t>In the event of a Change in Control and unless otherwise provided in an Award Agreement, outstanding Options and SARs shall be treated as described in subsection (i) below, outstanding Restricted Stock and RSUs shall be treated as described in subsection (ii) below and outstanding Performance Awards shall be treated as described in subsection (iii) below.</w:t>
      </w:r>
    </w:p>
    <w:p>
      <w:pPr>
        <w:spacing w:after="0" w:line="188" w:lineRule="exact"/>
        <w:rPr>
          <w:rFonts w:ascii="Arial" w:cs="Arial" w:eastAsia="Arial" w:hAnsi="Arial"/>
          <w:sz w:val="22"/>
          <w:szCs w:val="22"/>
          <w:color w:val="auto"/>
        </w:rPr>
      </w:pPr>
    </w:p>
    <w:p>
      <w:pPr>
        <w:jc w:val="both"/>
        <w:ind w:left="1944" w:hanging="647"/>
        <w:spacing w:after="0" w:line="287" w:lineRule="auto"/>
        <w:tabs>
          <w:tab w:leader="none" w:pos="1944" w:val="left"/>
        </w:tabs>
        <w:numPr>
          <w:ilvl w:val="2"/>
          <w:numId w:val="115"/>
        </w:numPr>
        <w:rPr>
          <w:rFonts w:ascii="Arial" w:cs="Arial" w:eastAsia="Arial" w:hAnsi="Arial"/>
          <w:sz w:val="19"/>
          <w:szCs w:val="19"/>
          <w:color w:val="auto"/>
        </w:rPr>
      </w:pPr>
      <w:r>
        <w:rPr>
          <w:rFonts w:ascii="Arial" w:cs="Arial" w:eastAsia="Arial" w:hAnsi="Arial"/>
          <w:sz w:val="19"/>
          <w:szCs w:val="19"/>
          <w:color w:val="auto"/>
        </w:rPr>
        <w:t>If in connection with the Change in Control, any outstanding Option or SAR is continued in effect or converted into an option to purchase or right with respect to cash or stock of the successor or surviving entity (or a parent or subsidiary thereof) which conversion shall comply with Sections 424 (to the extent applicable) and 409A of the Code, then upon the occurrence of a Participant’s Termination Date by the successor or surviving entity without Cause within twenty-four (24) months following the consummation of such Change in Control, such Option(s) or SAR(s) held by such Participant shall vest and become exercisable and shall remain exercisable until the earlier of the expiration of its full specified term or the first anniversary of such Termination Date. If outstanding Options or SARs are not continued or converted as described in this subsection,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159" w:lineRule="exact"/>
        <w:rPr>
          <w:rFonts w:ascii="Arial" w:cs="Arial" w:eastAsia="Arial" w:hAnsi="Arial"/>
          <w:sz w:val="19"/>
          <w:szCs w:val="19"/>
          <w:color w:val="auto"/>
        </w:rPr>
      </w:pPr>
    </w:p>
    <w:p>
      <w:pPr>
        <w:jc w:val="both"/>
        <w:ind w:left="1944" w:hanging="647"/>
        <w:spacing w:after="0" w:line="265" w:lineRule="auto"/>
        <w:tabs>
          <w:tab w:leader="none" w:pos="1944" w:val="left"/>
        </w:tabs>
        <w:numPr>
          <w:ilvl w:val="2"/>
          <w:numId w:val="115"/>
        </w:numPr>
        <w:rPr>
          <w:rFonts w:ascii="Arial" w:cs="Arial" w:eastAsia="Arial" w:hAnsi="Arial"/>
          <w:sz w:val="21"/>
          <w:szCs w:val="21"/>
          <w:color w:val="auto"/>
        </w:rPr>
      </w:pPr>
      <w:r>
        <w:rPr>
          <w:rFonts w:ascii="Arial" w:cs="Arial" w:eastAsia="Arial" w:hAnsi="Arial"/>
          <w:sz w:val="21"/>
          <w:szCs w:val="21"/>
          <w:color w:val="auto"/>
        </w:rPr>
        <w:t>If in connection with the Change in Control, any outstanding Restricted Stock or RSU is continued in effect or converted into a restricted stock or unit representing an interest in cash or stock of the successor or surviving entity (or a parent or subsidiary thereof) on a basis substantially equivalent to the consideration received by Members of the Company in connection</w:t>
      </w:r>
    </w:p>
    <w:p>
      <w:pPr>
        <w:spacing w:after="0" w:line="200" w:lineRule="exact"/>
        <w:rPr>
          <w:sz w:val="20"/>
          <w:szCs w:val="20"/>
          <w:color w:val="auto"/>
        </w:rPr>
      </w:pPr>
    </w:p>
    <w:p>
      <w:pPr>
        <w:spacing w:after="0" w:line="21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4"/>
          </w:cols>
          <w:pgMar w:left="356" w:top="375" w:right="239" w:bottom="1440" w:gutter="0" w:footer="0" w:header="0"/>
        </w:sectPr>
      </w:pPr>
    </w:p>
    <w:bookmarkStart w:id="172" w:name="page173"/>
    <w:bookmarkEnd w:id="172"/>
    <w:p>
      <w:pPr>
        <w:jc w:val="both"/>
        <w:ind w:left="1296"/>
        <w:spacing w:after="0" w:line="261" w:lineRule="auto"/>
        <w:rPr>
          <w:sz w:val="20"/>
          <w:szCs w:val="20"/>
          <w:color w:val="auto"/>
        </w:rPr>
      </w:pPr>
      <w:r>
        <w:rPr>
          <w:rFonts w:ascii="Arial" w:cs="Arial" w:eastAsia="Arial" w:hAnsi="Arial"/>
          <w:sz w:val="21"/>
          <w:szCs w:val="21"/>
          <w:color w:val="auto"/>
        </w:rPr>
        <w:t>with the Change in Control, then upon the occurrence of a Participant’s Termination Date by the successor or surviving entity without Cause within twenty-four (24) months following the Change in Control, such restricted stock or unit(s) held by such Participant shall vest and, in the case of units, be immediately due and payable. If outstanding Restricted Stock or RSUs are not continued or converted as described in this subsection, such Restricted Stock or RSUs shall vest and, in the case of RSUs, be due and payable effective immediately prior to the Change in Control.</w:t>
      </w:r>
    </w:p>
    <w:p>
      <w:pPr>
        <w:spacing w:after="0" w:line="180" w:lineRule="exact"/>
        <w:rPr>
          <w:sz w:val="20"/>
          <w:szCs w:val="20"/>
          <w:color w:val="auto"/>
        </w:rPr>
      </w:pPr>
    </w:p>
    <w:p>
      <w:pPr>
        <w:jc w:val="both"/>
        <w:ind w:left="1296" w:hanging="647"/>
        <w:spacing w:after="0" w:line="287" w:lineRule="auto"/>
        <w:tabs>
          <w:tab w:leader="none" w:pos="129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 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provided that upon the occurrence of a Participant’s Termination Date by the successor or surviving entity without Cause within twenty-four (24) months following the Change in Control, any service vesting requirements applicable to any such converted Award shall be deemed to have been met and such converted Award shall be immediately paid or settled upon such Termination Date.</w:t>
      </w:r>
    </w:p>
    <w:p>
      <w:pPr>
        <w:spacing w:after="0" w:line="159" w:lineRule="exact"/>
        <w:rPr>
          <w:rFonts w:ascii="Arial" w:cs="Arial" w:eastAsia="Arial" w:hAnsi="Arial"/>
          <w:sz w:val="19"/>
          <w:szCs w:val="19"/>
          <w:color w:val="auto"/>
        </w:rPr>
      </w:pPr>
    </w:p>
    <w:p>
      <w:pPr>
        <w:jc w:val="both"/>
        <w:ind w:left="-4" w:firstLine="4"/>
        <w:spacing w:after="0" w:line="247" w:lineRule="auto"/>
        <w:tabs>
          <w:tab w:leader="none" w:pos="78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In addition, in the event of a Change in Control and to the extent not less favorable to a Participant than the provisions of </w:t>
      </w:r>
      <w:r>
        <w:rPr>
          <w:rFonts w:ascii="Arial" w:cs="Arial" w:eastAsia="Arial" w:hAnsi="Arial"/>
          <w:sz w:val="22"/>
          <w:szCs w:val="22"/>
          <w:u w:val="single" w:color="auto"/>
          <w:color w:val="auto"/>
        </w:rPr>
        <w:t>Section 12(a)</w:t>
      </w:r>
      <w:r>
        <w:rPr>
          <w:rFonts w:ascii="Arial" w:cs="Arial" w:eastAsia="Arial" w:hAnsi="Arial"/>
          <w:sz w:val="22"/>
          <w:szCs w:val="22"/>
          <w:color w:val="auto"/>
        </w:rPr>
        <w:t xml:space="preserve"> above or the applicable Award Agreement, the Board, and on such terms and conditions as it deems appropriate, either by the terms of the Award or by action taken prior to the occurrence of such Change in Control, may take any one or more of the following actions whenever the Board determines that such action is appropriate or desirable in order to prevent the dilution or enlargement of the benefits intended to be made available under the Plan or to facilitate the Change in Control transaction:</w:t>
      </w:r>
    </w:p>
    <w:p>
      <w:pPr>
        <w:spacing w:after="0" w:line="193" w:lineRule="exact"/>
        <w:rPr>
          <w:rFonts w:ascii="Arial" w:cs="Arial" w:eastAsia="Arial" w:hAnsi="Arial"/>
          <w:sz w:val="22"/>
          <w:szCs w:val="22"/>
          <w:color w:val="auto"/>
        </w:rPr>
      </w:pPr>
    </w:p>
    <w:p>
      <w:pPr>
        <w:jc w:val="both"/>
        <w:ind w:left="1296" w:hanging="647"/>
        <w:spacing w:after="0" w:line="265" w:lineRule="auto"/>
        <w:tabs>
          <w:tab w:leader="none" w:pos="129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to terminate or cancel any outstanding Award in exchange for a cash payment (and, for the avoidance of doubt, if as of the date of the Change in Control, the Board determines that no amount would have been realized upon the exercise of the Award or other realization of the Participant’s rights, then the Award may be cancelled by the Company without payment of consideration);</w:t>
      </w:r>
    </w:p>
    <w:p>
      <w:pPr>
        <w:spacing w:after="0" w:line="176" w:lineRule="exact"/>
        <w:rPr>
          <w:sz w:val="20"/>
          <w:szCs w:val="20"/>
          <w:color w:val="auto"/>
        </w:rPr>
      </w:pPr>
    </w:p>
    <w:p>
      <w:pPr>
        <w:jc w:val="both"/>
        <w:ind w:left="1296" w:hanging="647"/>
        <w:spacing w:after="0" w:line="312" w:lineRule="auto"/>
        <w:tabs>
          <w:tab w:leader="none" w:pos="12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to provide for the assumption, substitution, replacement or continuation of any Award by the successor or surviving entity (or a parent or subsidiary thereof) with cash, securities, rights or other property to be paid or issued, as the case may be, by the successor or surviving corporation (or a parent</w:t>
      </w:r>
    </w:p>
    <w:p>
      <w:pPr>
        <w:spacing w:after="0" w:line="370" w:lineRule="exact"/>
        <w:rPr>
          <w:sz w:val="20"/>
          <w:szCs w:val="20"/>
          <w:color w:val="auto"/>
        </w:rPr>
      </w:pPr>
    </w:p>
    <w:p>
      <w:pPr>
        <w:ind w:left="485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56"/>
          </w:cols>
          <w:pgMar w:left="1004" w:top="375" w:right="239" w:bottom="1440" w:gutter="0" w:footer="0" w:header="0"/>
        </w:sectPr>
      </w:pPr>
    </w:p>
    <w:bookmarkStart w:id="173" w:name="page174"/>
    <w:bookmarkEnd w:id="173"/>
    <w:p>
      <w:pPr>
        <w:jc w:val="both"/>
        <w:ind w:left="1944"/>
        <w:spacing w:after="0" w:line="263" w:lineRule="auto"/>
        <w:rPr>
          <w:sz w:val="20"/>
          <w:szCs w:val="20"/>
          <w:color w:val="auto"/>
        </w:rPr>
      </w:pPr>
      <w:r>
        <w:rPr>
          <w:rFonts w:ascii="Arial" w:cs="Arial" w:eastAsia="Arial" w:hAnsi="Arial"/>
          <w:sz w:val="21"/>
          <w:szCs w:val="21"/>
          <w:color w:val="auto"/>
        </w:rPr>
        <w:t>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176" w:lineRule="exact"/>
        <w:rPr>
          <w:sz w:val="20"/>
          <w:szCs w:val="20"/>
          <w:color w:val="auto"/>
        </w:rPr>
      </w:pPr>
    </w:p>
    <w:p>
      <w:pPr>
        <w:jc w:val="both"/>
        <w:ind w:left="1944" w:hanging="647"/>
        <w:spacing w:after="0" w:line="312" w:lineRule="auto"/>
        <w:tabs>
          <w:tab w:leader="none" w:pos="1944" w:val="left"/>
        </w:tabs>
        <w:numPr>
          <w:ilvl w:val="2"/>
          <w:numId w:val="119"/>
        </w:numPr>
        <w:rPr>
          <w:rFonts w:ascii="Arial" w:cs="Arial" w:eastAsia="Arial" w:hAnsi="Arial"/>
          <w:sz w:val="19"/>
          <w:szCs w:val="19"/>
          <w:color w:val="auto"/>
        </w:rPr>
      </w:pPr>
      <w:r>
        <w:rPr>
          <w:rFonts w:ascii="Arial" w:cs="Arial" w:eastAsia="Arial" w:hAnsi="Arial"/>
          <w:sz w:val="19"/>
          <w:szCs w:val="19"/>
          <w:color w:val="auto"/>
        </w:rPr>
        <w:t>to make any other adjustments in the number and type of securities (or other consideration) subject to outstanding Awards and in the terms and conditions of outstanding Awards (including the grant or exercise price andperformance criteria with respect thereto) and Awards that may be granted in the future; and</w:t>
      </w:r>
    </w:p>
    <w:p>
      <w:pPr>
        <w:spacing w:after="0" w:line="133" w:lineRule="exact"/>
        <w:rPr>
          <w:rFonts w:ascii="Arial" w:cs="Arial" w:eastAsia="Arial" w:hAnsi="Arial"/>
          <w:sz w:val="19"/>
          <w:szCs w:val="19"/>
          <w:color w:val="auto"/>
        </w:rPr>
      </w:pPr>
    </w:p>
    <w:p>
      <w:pPr>
        <w:jc w:val="both"/>
        <w:ind w:left="1944" w:hanging="647"/>
        <w:spacing w:after="0" w:line="253" w:lineRule="auto"/>
        <w:tabs>
          <w:tab w:leader="none" w:pos="1944" w:val="left"/>
        </w:tabs>
        <w:numPr>
          <w:ilvl w:val="2"/>
          <w:numId w:val="119"/>
        </w:numPr>
        <w:rPr>
          <w:rFonts w:ascii="Arial" w:cs="Arial" w:eastAsia="Arial" w:hAnsi="Arial"/>
          <w:sz w:val="22"/>
          <w:szCs w:val="22"/>
          <w:color w:val="auto"/>
        </w:rPr>
      </w:pPr>
      <w:r>
        <w:rPr>
          <w:rFonts w:ascii="Arial" w:cs="Arial" w:eastAsia="Arial" w:hAnsi="Arial"/>
          <w:sz w:val="22"/>
          <w:szCs w:val="22"/>
          <w:color w:val="auto"/>
        </w:rPr>
        <w:t>to provide that any Award shall be accelerated and become exercisable, payable and/or fully vested with respect to all Common Shares covered thereby, notwithstanding anything to the contrary in the Plan or the applicable Award Agreement.</w:t>
      </w:r>
    </w:p>
    <w:p>
      <w:pPr>
        <w:spacing w:after="0" w:line="185" w:lineRule="exact"/>
        <w:rPr>
          <w:rFonts w:ascii="Arial" w:cs="Arial" w:eastAsia="Arial" w:hAnsi="Arial"/>
          <w:sz w:val="22"/>
          <w:szCs w:val="22"/>
          <w:color w:val="auto"/>
        </w:rPr>
      </w:pPr>
    </w:p>
    <w:p>
      <w:pPr>
        <w:jc w:val="both"/>
        <w:ind w:left="644" w:firstLine="4"/>
        <w:spacing w:after="0" w:line="261" w:lineRule="auto"/>
        <w:tabs>
          <w:tab w:leader="none" w:pos="1424"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Prior to any payment or adjustment contemplated under this </w:t>
      </w:r>
      <w:r>
        <w:rPr>
          <w:rFonts w:ascii="Arial" w:cs="Arial" w:eastAsia="Arial" w:hAnsi="Arial"/>
          <w:sz w:val="21"/>
          <w:szCs w:val="21"/>
          <w:u w:val="single" w:color="auto"/>
          <w:color w:val="auto"/>
        </w:rPr>
        <w:t>Section 12</w:t>
      </w:r>
      <w:r>
        <w:rPr>
          <w:rFonts w:ascii="Arial" w:cs="Arial" w:eastAsia="Arial" w:hAnsi="Arial"/>
          <w:sz w:val="21"/>
          <w:szCs w:val="21"/>
          <w:color w:val="auto"/>
        </w:rPr>
        <w:t>, the Committee may require a Participant to (i) represent and warrant as to the unencumbered title to the Participant’s Awards; (ii) bear such Participant’s pro rata share of any post- closing indemnity obligations and be subject to the same post-closing purchase price adjustments, escrow terms, offset rights, holdback terms, and similar conditions as the other holders of Common Shares, subject to any limitations or reductions as may be necessary to comply with Section 409A of the Code; and (iii) deliver customary transfer documentation as reasonably determined by the Committee.</w:t>
      </w:r>
    </w:p>
    <w:p>
      <w:pPr>
        <w:spacing w:after="0" w:line="180" w:lineRule="exact"/>
        <w:rPr>
          <w:rFonts w:ascii="Arial" w:cs="Arial" w:eastAsia="Arial" w:hAnsi="Arial"/>
          <w:sz w:val="21"/>
          <w:szCs w:val="21"/>
          <w:color w:val="auto"/>
        </w:rPr>
      </w:pPr>
    </w:p>
    <w:p>
      <w:pPr>
        <w:ind w:left="804" w:hanging="804"/>
        <w:spacing w:after="0"/>
        <w:tabs>
          <w:tab w:leader="none" w:pos="804"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COMPANY CALL RIGHTS; TRANSFER RESTRICTIONS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44" w:firstLine="4"/>
        <w:spacing w:after="0" w:line="263" w:lineRule="auto"/>
        <w:tabs>
          <w:tab w:leader="none" w:pos="1424"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Company Call Rights</w:t>
      </w:r>
      <w:r>
        <w:rPr>
          <w:rFonts w:ascii="Arial" w:cs="Arial" w:eastAsia="Arial" w:hAnsi="Arial"/>
          <w:sz w:val="22"/>
          <w:szCs w:val="22"/>
          <w:color w:val="auto"/>
        </w:rPr>
        <w:t>. Except as otherwise set forth in any Award Agreement, the following provisions will apply to all Awards granted under the Plan:</w:t>
      </w:r>
    </w:p>
    <w:p>
      <w:pPr>
        <w:spacing w:after="0" w:line="174" w:lineRule="exact"/>
        <w:rPr>
          <w:rFonts w:ascii="Arial" w:cs="Arial" w:eastAsia="Arial" w:hAnsi="Arial"/>
          <w:sz w:val="22"/>
          <w:szCs w:val="22"/>
          <w:color w:val="auto"/>
        </w:rPr>
      </w:pPr>
    </w:p>
    <w:p>
      <w:pPr>
        <w:jc w:val="both"/>
        <w:ind w:left="1944" w:hanging="647"/>
        <w:spacing w:after="0" w:line="259" w:lineRule="auto"/>
        <w:tabs>
          <w:tab w:leader="none" w:pos="1944" w:val="left"/>
        </w:tabs>
        <w:numPr>
          <w:ilvl w:val="2"/>
          <w:numId w:val="121"/>
        </w:numPr>
        <w:rPr>
          <w:rFonts w:ascii="Arial" w:cs="Arial" w:eastAsia="Arial" w:hAnsi="Arial"/>
          <w:sz w:val="21"/>
          <w:szCs w:val="21"/>
          <w:color w:val="auto"/>
        </w:rPr>
      </w:pPr>
      <w:r>
        <w:rPr>
          <w:rFonts w:ascii="Arial" w:cs="Arial" w:eastAsia="Arial" w:hAnsi="Arial"/>
          <w:sz w:val="21"/>
          <w:szCs w:val="21"/>
          <w:color w:val="auto"/>
        </w:rPr>
        <w:t>In the event of a Participant’s Termination Date in the event of Cause, Termination Date prior to the date on which a Common Share issued in respect of any Award has vested, or a Material Breach, the Company may at any time during the period commencing on the Termination Date or date of Material Breach and ending on the first anniversary of the Termination Date or Material Breach repurchase from the Participant any Common Shares previously acquired by the Participant through the exercise, grant or payment of an Award under the Plan at a repurchase price equal to the lesser of (A) the original purchase price or exercise price (as applicable) of the share, if any, and (B) Fair Market Value of the Common Shares as of the date of repurchase.</w:t>
      </w:r>
    </w:p>
    <w:p>
      <w:pPr>
        <w:spacing w:after="0" w:line="184" w:lineRule="exact"/>
        <w:rPr>
          <w:rFonts w:ascii="Arial" w:cs="Arial" w:eastAsia="Arial" w:hAnsi="Arial"/>
          <w:sz w:val="21"/>
          <w:szCs w:val="21"/>
          <w:color w:val="auto"/>
        </w:rPr>
      </w:pPr>
    </w:p>
    <w:p>
      <w:pPr>
        <w:ind w:left="1944" w:hanging="647"/>
        <w:spacing w:after="0" w:line="263" w:lineRule="auto"/>
        <w:tabs>
          <w:tab w:leader="none" w:pos="1944" w:val="left"/>
        </w:tabs>
        <w:numPr>
          <w:ilvl w:val="2"/>
          <w:numId w:val="121"/>
        </w:numPr>
        <w:rPr>
          <w:rFonts w:ascii="Arial" w:cs="Arial" w:eastAsia="Arial" w:hAnsi="Arial"/>
          <w:sz w:val="22"/>
          <w:szCs w:val="22"/>
          <w:color w:val="auto"/>
        </w:rPr>
      </w:pPr>
      <w:r>
        <w:rPr>
          <w:rFonts w:ascii="Arial" w:cs="Arial" w:eastAsia="Arial" w:hAnsi="Arial"/>
          <w:sz w:val="22"/>
          <w:szCs w:val="22"/>
          <w:color w:val="auto"/>
        </w:rPr>
        <w:t xml:space="preserve">If the Company elects to exercise the rights under this </w:t>
      </w:r>
      <w:r>
        <w:rPr>
          <w:rFonts w:ascii="Arial" w:cs="Arial" w:eastAsia="Arial" w:hAnsi="Arial"/>
          <w:sz w:val="22"/>
          <w:szCs w:val="22"/>
          <w:u w:val="single" w:color="auto"/>
          <w:color w:val="auto"/>
        </w:rPr>
        <w:t>Section 13</w:t>
      </w:r>
      <w:r>
        <w:rPr>
          <w:rFonts w:ascii="Arial" w:cs="Arial" w:eastAsia="Arial" w:hAnsi="Arial"/>
          <w:sz w:val="22"/>
          <w:szCs w:val="22"/>
          <w:color w:val="auto"/>
        </w:rPr>
        <w:t>, the Company shall do so by delivering to the Participant a notice of such election,</w:t>
      </w:r>
    </w:p>
    <w:p>
      <w:pPr>
        <w:spacing w:after="0" w:line="200" w:lineRule="exact"/>
        <w:rPr>
          <w:sz w:val="20"/>
          <w:szCs w:val="20"/>
          <w:color w:val="auto"/>
        </w:rPr>
      </w:pPr>
    </w:p>
    <w:p>
      <w:pPr>
        <w:spacing w:after="0" w:line="21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4"/>
          </w:cols>
          <w:pgMar w:left="356" w:top="375" w:right="239" w:bottom="1440" w:gutter="0" w:footer="0" w:header="0"/>
        </w:sectPr>
      </w:pPr>
    </w:p>
    <w:bookmarkStart w:id="174" w:name="page175"/>
    <w:bookmarkEnd w:id="174"/>
    <w:p>
      <w:pPr>
        <w:jc w:val="both"/>
        <w:ind w:left="1296"/>
        <w:spacing w:after="0" w:line="286" w:lineRule="auto"/>
        <w:rPr>
          <w:sz w:val="20"/>
          <w:szCs w:val="20"/>
          <w:color w:val="auto"/>
        </w:rPr>
      </w:pPr>
      <w:r>
        <w:rPr>
          <w:rFonts w:ascii="Arial" w:cs="Arial" w:eastAsia="Arial" w:hAnsi="Arial"/>
          <w:sz w:val="19"/>
          <w:szCs w:val="19"/>
          <w:color w:val="auto"/>
        </w:rPr>
        <w:t xml:space="preserve">specifying the number of Common Shares to be purchased and the closing date and time of such purchase; provided, that unless determined otherwise by the Committee in no event shall the Company be obligated to deliver any such notice with respect to any Common Shares unless and until such Common Shares have been issued, vested (if applicable) and outstanding (and not subject to any pledge or other security interest) for such period as may be necessary in order to avoid adverse accounting treatment applying generally accepted accounting principles. Such closing shall take place within thirty (30) days following such notice at the Company’s principal executive offices. At such closing, the Company shall pay the Participant the repurchase price as specified in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(A) cash, (B) a subordinated note, which will bear interest at the five (5)- year Applicable Federal Rate (compounded semiannually) and which will mature on the first to occur of (1) a Change in Control or (2) five (5) years following the date of issuance (the “</w:t>
      </w:r>
      <w:r>
        <w:rPr>
          <w:rFonts w:ascii="Arial" w:cs="Arial" w:eastAsia="Arial" w:hAnsi="Arial"/>
          <w:sz w:val="19"/>
          <w:szCs w:val="19"/>
          <w:b w:val="1"/>
          <w:bCs w:val="1"/>
          <w:i w:val="1"/>
          <w:iCs w:val="1"/>
          <w:color w:val="auto"/>
        </w:rPr>
        <w:t>Repurchase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Note</w:t>
      </w:r>
      <w:r>
        <w:rPr>
          <w:rFonts w:ascii="Arial" w:cs="Arial" w:eastAsia="Arial" w:hAnsi="Arial"/>
          <w:sz w:val="19"/>
          <w:szCs w:val="19"/>
          <w:color w:val="auto"/>
        </w:rPr>
        <w:t>”), (C) by cancellation of indebtedness of the Participant, or (D) any combination of (A) through (C)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chosen at the Board’s discretion. The Company will be entitled to receive customary representations and warranties from the Participant regarding the Common Shares being repurchased including, but not limited to, the representation that the Participant has good and marketable title to the Common Shares to be repurchased free and clear of all liens, claims and other encumbrances.</w:t>
      </w:r>
    </w:p>
    <w:p>
      <w:pPr>
        <w:spacing w:after="0" w:line="160" w:lineRule="exact"/>
        <w:rPr>
          <w:sz w:val="20"/>
          <w:szCs w:val="20"/>
          <w:color w:val="auto"/>
        </w:rPr>
      </w:pPr>
    </w:p>
    <w:p>
      <w:pPr>
        <w:jc w:val="both"/>
        <w:ind w:left="1296" w:hanging="647"/>
        <w:spacing w:after="0" w:line="258" w:lineRule="auto"/>
        <w:tabs>
          <w:tab w:leader="none" w:pos="1296" w:val="left"/>
        </w:tabs>
        <w:numPr>
          <w:ilvl w:val="1"/>
          <w:numId w:val="122"/>
        </w:numPr>
        <w:rPr>
          <w:rFonts w:ascii="Arial" w:cs="Arial" w:eastAsia="Arial" w:hAnsi="Arial"/>
          <w:sz w:val="21"/>
          <w:szCs w:val="21"/>
          <w:color w:val="auto"/>
        </w:rPr>
      </w:pPr>
      <w:r>
        <w:rPr>
          <w:rFonts w:ascii="Arial" w:cs="Arial" w:eastAsia="Arial" w:hAnsi="Arial"/>
          <w:sz w:val="21"/>
          <w:szCs w:val="21"/>
          <w:color w:val="auto"/>
        </w:rPr>
        <w:t xml:space="preserve">All repurchases shall be subject to applicable restrictions contained in the Delaware Limited Liability Company Act and in the Company’s and its Subsidiaries’ debt financing agreements. If any such restrictions prohibit the repurchase of Common Shares for cash or the Repurchase Note as stated above, the Company shall have the right to delay payment of any outstanding Repurchase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notes shall accelerate and be payable in full once the Company is permitted to repurchase the Common Shares or repay such notes under the debt financing agreements or, if earlier, upon a Change in Control. Any such notes issued by the Company shall be subject to any restrictive covenants in debt financing agreements to which the Company is subject at the time of the repurchase closing. If any such restrictions prohibit the repurchase of Common Shares for such subordinated notes, then the time periods provided herein for repurchases shall be suspended, and the Company may make such repurchases as soon as it is permitted to do so under such restriction.</w:t>
      </w:r>
    </w:p>
    <w:p>
      <w:pPr>
        <w:spacing w:after="0" w:line="183" w:lineRule="exact"/>
        <w:rPr>
          <w:rFonts w:ascii="Arial" w:cs="Arial" w:eastAsia="Arial" w:hAnsi="Arial"/>
          <w:sz w:val="21"/>
          <w:szCs w:val="21"/>
          <w:color w:val="auto"/>
        </w:rPr>
      </w:pPr>
    </w:p>
    <w:p>
      <w:pPr>
        <w:ind w:left="1296" w:hanging="647"/>
        <w:spacing w:after="0" w:line="287" w:lineRule="auto"/>
        <w:tabs>
          <w:tab w:leader="none" w:pos="1296" w:val="left"/>
        </w:tabs>
        <w:numPr>
          <w:ilvl w:val="1"/>
          <w:numId w:val="122"/>
        </w:numPr>
        <w:rPr>
          <w:rFonts w:ascii="Arial" w:cs="Arial" w:eastAsia="Arial" w:hAnsi="Arial"/>
          <w:sz w:val="21"/>
          <w:szCs w:val="21"/>
          <w:color w:val="auto"/>
        </w:rPr>
      </w:pPr>
      <w:r>
        <w:rPr>
          <w:rFonts w:ascii="Arial" w:cs="Arial" w:eastAsia="Arial" w:hAnsi="Arial"/>
          <w:sz w:val="21"/>
          <w:szCs w:val="21"/>
          <w:color w:val="auto"/>
        </w:rPr>
        <w:t xml:space="preserve">Notwithstanding anything in the Plan to the contrary, this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shall terminate and be of no further force or effect upon the earlier to occur of a Change in Control or an Initial Public Offering.</w:t>
      </w:r>
    </w:p>
    <w:p>
      <w:pPr>
        <w:spacing w:after="0" w:line="151" w:lineRule="exact"/>
        <w:rPr>
          <w:rFonts w:ascii="Arial" w:cs="Arial" w:eastAsia="Arial" w:hAnsi="Arial"/>
          <w:sz w:val="21"/>
          <w:szCs w:val="21"/>
          <w:color w:val="auto"/>
        </w:rPr>
      </w:pPr>
    </w:p>
    <w:p>
      <w:pPr>
        <w:jc w:val="both"/>
        <w:ind w:left="-4" w:firstLine="4"/>
        <w:spacing w:after="0" w:line="312" w:lineRule="auto"/>
        <w:tabs>
          <w:tab w:leader="none" w:pos="788"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 xml:space="preserve">. All Awards and all Common Shares acquired by the Participant (or the Participant’s estate or legal representative) pursuant to an Award under the Plan are personal to a Participant and are not Transferable by such Participant, other than by will or pursuant to applicable laws of descent and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w:t>
      </w:r>
    </w:p>
    <w:p>
      <w:pPr>
        <w:spacing w:after="0" w:line="370" w:lineRule="exact"/>
        <w:rPr>
          <w:sz w:val="20"/>
          <w:szCs w:val="20"/>
          <w:color w:val="auto"/>
        </w:rPr>
      </w:pPr>
    </w:p>
    <w:p>
      <w:pPr>
        <w:ind w:left="485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56"/>
          </w:cols>
          <w:pgMar w:left="1004" w:top="375" w:right="239" w:bottom="1440" w:gutter="0" w:footer="0" w:header="0"/>
        </w:sectPr>
      </w:pPr>
    </w:p>
    <w:bookmarkStart w:id="175" w:name="page176"/>
    <w:bookmarkEnd w:id="175"/>
    <w:p>
      <w:pPr>
        <w:ind w:left="644"/>
        <w:spacing w:after="0"/>
        <w:rPr>
          <w:sz w:val="20"/>
          <w:szCs w:val="20"/>
          <w:color w:val="auto"/>
        </w:rPr>
      </w:pPr>
      <w:r>
        <w:rPr>
          <w:rFonts w:ascii="Arial" w:cs="Arial" w:eastAsia="Arial" w:hAnsi="Arial"/>
          <w:sz w:val="19"/>
          <w:szCs w:val="19"/>
          <w:color w:val="auto"/>
        </w:rPr>
        <w:t>such Transfer by will or pursuant to applicable laws of descent and distribution shall be effective until the later of (i) ten</w:t>
      </w:r>
    </w:p>
    <w:p>
      <w:pPr>
        <w:spacing w:after="0" w:line="56" w:lineRule="exact"/>
        <w:rPr>
          <w:sz w:val="20"/>
          <w:szCs w:val="20"/>
          <w:color w:val="auto"/>
        </w:rPr>
      </w:pPr>
    </w:p>
    <w:p>
      <w:pPr>
        <w:jc w:val="both"/>
        <w:ind w:left="644" w:firstLine="4"/>
        <w:spacing w:after="0" w:line="257" w:lineRule="auto"/>
        <w:tabs>
          <w:tab w:leader="none" w:pos="1076" w:val="left"/>
        </w:tabs>
        <w:numPr>
          <w:ilvl w:val="1"/>
          <w:numId w:val="124"/>
        </w:numPr>
        <w:rPr>
          <w:rFonts w:ascii="Arial" w:cs="Arial" w:eastAsia="Arial" w:hAnsi="Arial"/>
          <w:sz w:val="21"/>
          <w:szCs w:val="21"/>
          <w:color w:val="auto"/>
        </w:rPr>
      </w:pPr>
      <w:r>
        <w:rPr>
          <w:rFonts w:ascii="Arial" w:cs="Arial" w:eastAsia="Arial" w:hAnsi="Arial"/>
          <w:sz w:val="21"/>
          <w:szCs w:val="21"/>
          <w:color w:val="auto"/>
        </w:rPr>
        <w:t xml:space="preserve">business days following the date that the Company receives written notice of such Transfer and (ii) the Company’s receipt of a written certification from each Transferee stating that such Person is a U.S. citizen. Any attempted Transfer of the Awards or the Common Shares acquired by the Participant (or the Participant’s estate or legal representative) pursuant to an Award under the Plan, which is not specifically permitted under this Plan, shall be null and void.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15(h)</w:t>
      </w:r>
      <w:r>
        <w:rPr>
          <w:rFonts w:ascii="Arial" w:cs="Arial" w:eastAsia="Arial" w:hAnsi="Arial"/>
          <w:sz w:val="21"/>
          <w:szCs w:val="21"/>
          <w:color w:val="auto"/>
        </w:rPr>
        <w:t xml:space="preserve"> hereof, all Common Shares acquired by the Participant (or the Participant’s estate or legal representative) pursuant to an Award under the plan shall no longer be subject to this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upon the earlier to occur of a Change in Control or an Initial Public Offering.</w:t>
      </w:r>
    </w:p>
    <w:p>
      <w:pPr>
        <w:spacing w:after="0" w:line="184" w:lineRule="exact"/>
        <w:rPr>
          <w:rFonts w:ascii="Arial" w:cs="Arial" w:eastAsia="Arial" w:hAnsi="Arial"/>
          <w:sz w:val="21"/>
          <w:szCs w:val="21"/>
          <w:color w:val="auto"/>
        </w:rPr>
      </w:pPr>
    </w:p>
    <w:p>
      <w:pPr>
        <w:ind w:left="804" w:hanging="804"/>
        <w:spacing w:after="0"/>
        <w:tabs>
          <w:tab w:leader="none" w:pos="80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UNFUNDED STATUS OF THE PLAN</w:t>
      </w:r>
      <w:r>
        <w:rPr>
          <w:rFonts w:ascii="Arial" w:cs="Arial" w:eastAsia="Arial" w:hAnsi="Arial"/>
          <w:sz w:val="22"/>
          <w:szCs w:val="22"/>
          <w:color w:val="auto"/>
        </w:rPr>
        <w:t>.</w:t>
      </w:r>
    </w:p>
    <w:p>
      <w:pPr>
        <w:spacing w:after="0" w:line="220"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The Plan is intended to constitute an “unfunded” plan for incentive and deferred compensation. With respect to any payments as to which a Participant has a fixed and vested interest but which are not yet made to a Participant by the Company, nothing contained herein shall give any such Participant any right that is greater than those of a general unsecured creditor of the Company.</w:t>
      </w:r>
    </w:p>
    <w:p>
      <w:pPr>
        <w:spacing w:after="0" w:line="188" w:lineRule="exact"/>
        <w:rPr>
          <w:sz w:val="20"/>
          <w:szCs w:val="20"/>
          <w:color w:val="auto"/>
        </w:rPr>
      </w:pPr>
    </w:p>
    <w:p>
      <w:pPr>
        <w:ind w:left="804" w:hanging="804"/>
        <w:spacing w:after="0"/>
        <w:tabs>
          <w:tab w:leader="none" w:pos="804"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4" w:firstLine="4"/>
        <w:spacing w:after="0" w:line="286" w:lineRule="auto"/>
        <w:tabs>
          <w:tab w:leader="none" w:pos="1424"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Conditions Precedent to Awards</w:t>
      </w:r>
      <w:r>
        <w:rPr>
          <w:rFonts w:ascii="Arial" w:cs="Arial" w:eastAsia="Arial" w:hAnsi="Arial"/>
          <w:sz w:val="19"/>
          <w:szCs w:val="19"/>
          <w:color w:val="auto"/>
        </w:rPr>
        <w:t xml:space="preserve">. As a condition precedent to the vesting, exercise, payment or settlement of any portion of any Award at any time prior to a Change in Control, each Participant shall: (i) refrain from engaging in any activity which will cause damage to the Company or is in any manner inimical or in any way contrary to the best interests of the Company, as determined in the sole discretion of the Company’s CEO or chief human resources officer (or such individuals holding a comparable role in the event of a restructuring of positions or re-designation of titles), (ii) for a period of twelve (12) months following any termination of employment or service, directly or indirectly, not knowingly induce any employee of the Company or any Subsidiary to leave his or her employment for participation, directly or indirectly, with any existing or future business venture associated with such Participant, and (iii) furnish to the Company such information with respect to the satisfaction of the foregoing conditions precedent as the Committee may reasonably request. In addition, the Committee may require a Participant to enter into such agreements as the Committee considers appropriate related to the subject matter of this </w:t>
      </w:r>
      <w:r>
        <w:rPr>
          <w:rFonts w:ascii="Arial" w:cs="Arial" w:eastAsia="Arial" w:hAnsi="Arial"/>
          <w:sz w:val="19"/>
          <w:szCs w:val="19"/>
          <w:u w:val="single" w:color="auto"/>
          <w:color w:val="auto"/>
        </w:rPr>
        <w:t>Section 15(a)</w:t>
      </w:r>
      <w:r>
        <w:rPr>
          <w:rFonts w:ascii="Arial" w:cs="Arial" w:eastAsia="Arial" w:hAnsi="Arial"/>
          <w:sz w:val="19"/>
          <w:szCs w:val="19"/>
          <w:color w:val="auto"/>
        </w:rPr>
        <w:t>.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left="644" w:firstLine="4"/>
        <w:spacing w:after="0" w:line="312" w:lineRule="auto"/>
        <w:tabs>
          <w:tab w:leader="none" w:pos="1436"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No Award shall be granted pursuant to the Plan on or after the tenth (10th) anniversary of the earlier of the Effective Date or the date of Member approval of the Plan, but Awards granted prior to such tenth (10th) anniversary may extend beyond that date and the terms and conditions of the Plan shall continue to apply to such Awards.</w:t>
      </w:r>
    </w:p>
    <w:p>
      <w:pPr>
        <w:spacing w:after="0" w:line="3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4"/>
          </w:cols>
          <w:pgMar w:left="356" w:top="375" w:right="239" w:bottom="1440" w:gutter="0" w:footer="0" w:header="0"/>
        </w:sectPr>
      </w:pPr>
    </w:p>
    <w:bookmarkStart w:id="176" w:name="page177"/>
    <w:bookmarkEnd w:id="176"/>
    <w:p>
      <w:pPr>
        <w:ind w:left="-4" w:firstLine="4"/>
        <w:spacing w:after="0" w:line="263" w:lineRule="auto"/>
        <w:tabs>
          <w:tab w:leader="none" w:pos="77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Member Approval</w:t>
      </w:r>
      <w:r>
        <w:rPr>
          <w:rFonts w:ascii="Arial" w:cs="Arial" w:eastAsia="Arial" w:hAnsi="Arial"/>
          <w:sz w:val="22"/>
          <w:szCs w:val="22"/>
          <w:color w:val="auto"/>
        </w:rPr>
        <w:t>. The Plan shall be submitted for the approval by the Members within twelve (12) months after the date of the Board’s adoption of the Plan.</w:t>
      </w:r>
    </w:p>
    <w:p>
      <w:pPr>
        <w:spacing w:after="0" w:line="174" w:lineRule="exact"/>
        <w:rPr>
          <w:rFonts w:ascii="Arial" w:cs="Arial" w:eastAsia="Arial" w:hAnsi="Arial"/>
          <w:sz w:val="22"/>
          <w:szCs w:val="22"/>
          <w:color w:val="auto"/>
        </w:rPr>
      </w:pPr>
    </w:p>
    <w:p>
      <w:pPr>
        <w:jc w:val="both"/>
        <w:ind w:left="-4" w:firstLine="4"/>
        <w:spacing w:after="0" w:line="258" w:lineRule="auto"/>
        <w:tabs>
          <w:tab w:leader="none" w:pos="78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Committee may require each person receiving Common Shares pursuant to an Award under the Plan to represent to and agree with the Company in writing that the Participant is acquiring the shares without a view to distribution thereof. In addition to any legend required by the Plan, the certificates, if any, for such shares may include any legend that the Committee deems appropriate to reflect any restrictions on Transfer. All certificates for Common Shares delivered under the Plan shall be subject to such stop transfer orders and other restrictions as the Committee may deem advisable under the rules, regulations and other requirements of the Securities and Exchange Commission, any stock exchange upon which the Common Shares is then listed or any national securities exchange system upon whose system the Common Shares is then quoted, any applicable federal or state securities law, and any applicable corporate law, and the Committee may cause a legend or legends to be put on any such certificates to make appropriate reference to such restrictions.</w:t>
      </w:r>
    </w:p>
    <w:p>
      <w:pPr>
        <w:spacing w:after="0" w:line="186" w:lineRule="exact"/>
        <w:rPr>
          <w:rFonts w:ascii="Arial" w:cs="Arial" w:eastAsia="Arial" w:hAnsi="Arial"/>
          <w:sz w:val="21"/>
          <w:szCs w:val="21"/>
          <w:color w:val="auto"/>
        </w:rPr>
      </w:pPr>
    </w:p>
    <w:p>
      <w:pPr>
        <w:jc w:val="both"/>
        <w:ind w:left="-4" w:firstLine="4"/>
        <w:spacing w:after="0" w:line="312" w:lineRule="auto"/>
        <w:tabs>
          <w:tab w:leader="none" w:pos="77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This Plan has been instituted by the Company to provide certain compensatory incentives to the Participants and is intended to qualify for an exemption from the registration requirements (a) under the Securities Act pursuant to Rule 701 promulgated under the Securities Act, and (b) under applicable state securities laws.</w:t>
      </w:r>
    </w:p>
    <w:p>
      <w:pPr>
        <w:spacing w:after="0" w:line="133" w:lineRule="exact"/>
        <w:rPr>
          <w:rFonts w:ascii="Arial" w:cs="Arial" w:eastAsia="Arial" w:hAnsi="Arial"/>
          <w:sz w:val="19"/>
          <w:szCs w:val="19"/>
          <w:color w:val="auto"/>
        </w:rPr>
      </w:pPr>
    </w:p>
    <w:p>
      <w:pPr>
        <w:jc w:val="both"/>
        <w:ind w:left="-4" w:firstLine="4"/>
        <w:spacing w:after="0" w:line="246" w:lineRule="auto"/>
        <w:tabs>
          <w:tab w:leader="none" w:pos="752"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Right to Amend or Terminate the Plan</w:t>
      </w:r>
      <w:r>
        <w:rPr>
          <w:rFonts w:ascii="Arial" w:cs="Arial" w:eastAsia="Arial" w:hAnsi="Arial"/>
          <w:sz w:val="22"/>
          <w:szCs w:val="22"/>
          <w:color w:val="auto"/>
        </w:rPr>
        <w:t xml:space="preserve">. The Board or Committee may amend or terminate the Plan or any Awards, in whole or in part, at any time and for any reason, provided that no such amendment or termination shall be made without Member approval to the extent that such approval is necessary to comply with any regulatory requirement applicable to the Plan. The termination of the Plan, any amendment thereof, or any amendment or termination of any Award shall not impair the rights or obligations of any Participant under any Award previously granted under the Plan without the Participant’s consent, other than pursuant to </w:t>
      </w:r>
      <w:r>
        <w:rPr>
          <w:rFonts w:ascii="Arial" w:cs="Arial" w:eastAsia="Arial" w:hAnsi="Arial"/>
          <w:sz w:val="22"/>
          <w:szCs w:val="22"/>
          <w:u w:val="single" w:color="auto"/>
          <w:color w:val="auto"/>
        </w:rPr>
        <w:t>Section 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w:t>
      </w:r>
      <w:r>
        <w:rPr>
          <w:rFonts w:ascii="Arial" w:cs="Arial" w:eastAsia="Arial" w:hAnsi="Arial"/>
          <w:sz w:val="22"/>
          <w:szCs w:val="22"/>
          <w:color w:val="auto"/>
        </w:rPr>
        <w:t>. No Awards shall be granted under the Plan after the Plan’s termination.</w:t>
      </w:r>
    </w:p>
    <w:p>
      <w:pPr>
        <w:spacing w:after="0" w:line="197" w:lineRule="exact"/>
        <w:rPr>
          <w:rFonts w:ascii="Arial" w:cs="Arial" w:eastAsia="Arial" w:hAnsi="Arial"/>
          <w:sz w:val="22"/>
          <w:szCs w:val="22"/>
          <w:color w:val="auto"/>
        </w:rPr>
      </w:pPr>
    </w:p>
    <w:p>
      <w:pPr>
        <w:jc w:val="both"/>
        <w:ind w:left="-4" w:firstLine="4"/>
        <w:spacing w:after="0" w:line="288" w:lineRule="auto"/>
        <w:tabs>
          <w:tab w:leader="none" w:pos="78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In a situation where, if a Participant were to receive Shares (by virtue of the exercise of any Option or the vesting or settlement of any Award), the Company or any of its Affiliates (or a former Affiliate) would be obliged to (or would suffer a disadvantage if it were not to) account for any tax or social security contributions in any jurisdiction for which that person would be liable by virtue of the receipt of such Shares or which would be recoverable from that person (together, the “</w:t>
      </w:r>
      <w:r>
        <w:rPr>
          <w:rFonts w:ascii="Arial" w:cs="Arial" w:eastAsia="Arial" w:hAnsi="Arial"/>
          <w:sz w:val="19"/>
          <w:szCs w:val="19"/>
          <w:u w:val="single" w:color="auto"/>
          <w:color w:val="auto"/>
        </w:rPr>
        <w:t>Tax Liability</w:t>
      </w:r>
      <w:r>
        <w:rPr>
          <w:rFonts w:ascii="Arial" w:cs="Arial" w:eastAsia="Arial" w:hAnsi="Arial"/>
          <w:sz w:val="19"/>
          <w:szCs w:val="19"/>
          <w:color w:val="auto"/>
        </w:rPr>
        <w:t>”), the Option may not be exercised or the Award may not become vested or settled and the Shares may not be distributed unless that person has either (i) made a payment to the Company or any of its Affiliates (or such former Affiliates) of an amount at least equal to the Company’s estimate of the Tax Liability or (ii) entered into arrangements acceptable to the Company or any of its Affiliates (or such former Affiliates) to secure that such a payment is made (whether by authorizing the sale of some or all of the shares on his or her behalf and the payment to the Company or any of its Affiliates (or such former Affiliates) of the relevant amount out of</w:t>
      </w:r>
    </w:p>
    <w:p>
      <w:pPr>
        <w:spacing w:after="0" w:line="397" w:lineRule="exact"/>
        <w:rPr>
          <w:sz w:val="20"/>
          <w:szCs w:val="20"/>
          <w:color w:val="auto"/>
        </w:rPr>
      </w:pPr>
    </w:p>
    <w:p>
      <w:pPr>
        <w:ind w:left="485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56"/>
          </w:cols>
          <w:pgMar w:left="1004" w:top="847" w:right="239" w:bottom="1440" w:gutter="0" w:footer="0" w:header="0"/>
        </w:sectPr>
      </w:pPr>
    </w:p>
    <w:bookmarkStart w:id="177" w:name="page178"/>
    <w:bookmarkEnd w:id="177"/>
    <w:p>
      <w:pPr>
        <w:jc w:val="both"/>
        <w:spacing w:after="0" w:line="246" w:lineRule="auto"/>
        <w:rPr>
          <w:sz w:val="20"/>
          <w:szCs w:val="20"/>
          <w:color w:val="auto"/>
        </w:rPr>
      </w:pPr>
      <w:r>
        <w:rPr>
          <w:rFonts w:ascii="Arial" w:cs="Arial" w:eastAsia="Arial" w:hAnsi="Arial"/>
          <w:sz w:val="22"/>
          <w:szCs w:val="22"/>
          <w:color w:val="auto"/>
        </w:rPr>
        <w:t>the proceeds of sale or otherwise). Without limiting the generality of the foregoing, the Committee may, in its sole discretion, permit a Participant to satisfy, in whole or in part, the foregoing withholding liability by (A) the delivery of Common Shares (which are not subject to any pledge or other security interest) owned by the Participant having a Fair Market Value equal to such withholding liability or (B) having the Company withhold from the number of Common Shares otherwise issuable or deliverable pursuant to the exercise or settlement of the Award a number of shares with a Fair Market Value equal to such withholding liability (but no more than the maximum individual statutory rate for the applicable tax jurisdiction).</w:t>
      </w:r>
    </w:p>
    <w:p>
      <w:pPr>
        <w:spacing w:after="0" w:line="197" w:lineRule="exact"/>
        <w:rPr>
          <w:sz w:val="20"/>
          <w:szCs w:val="20"/>
          <w:color w:val="auto"/>
        </w:rPr>
      </w:pPr>
    </w:p>
    <w:p>
      <w:pPr>
        <w:jc w:val="both"/>
        <w:ind w:firstLine="4"/>
        <w:spacing w:after="0" w:line="288" w:lineRule="auto"/>
        <w:tabs>
          <w:tab w:leader="none" w:pos="792"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Lock-Up Period</w:t>
      </w:r>
      <w:r>
        <w:rPr>
          <w:rFonts w:ascii="Arial" w:cs="Arial" w:eastAsia="Arial" w:hAnsi="Arial"/>
          <w:sz w:val="19"/>
          <w:szCs w:val="19"/>
          <w:color w:val="auto"/>
        </w:rPr>
        <w:t>. As a condition to the grant of an Award, if requested by the Company and the lead underwriter of any public offering of the Common Shares (the “</w:t>
      </w:r>
      <w:r>
        <w:rPr>
          <w:rFonts w:ascii="Arial" w:cs="Arial" w:eastAsia="Arial" w:hAnsi="Arial"/>
          <w:sz w:val="19"/>
          <w:szCs w:val="19"/>
          <w:u w:val="single" w:color="auto"/>
          <w:color w:val="auto"/>
        </w:rPr>
        <w:t>Lead Underwriter</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 Participant shall irrevocably agree not to sell, contract to sell, grant any option to purchase, transfer the economic risk of ownership in, make any short sale of, pledge or otherwise transfer or dispose of, any interest in any Common Shares or any securities convertible into, derivative of, or exchangeable or exercisable for, or any other rights to purchase or acquire Common Shares (except Common Shares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9"/>
          <w:szCs w:val="19"/>
          <w:u w:val="single" w:color="auto"/>
          <w:color w:val="auto"/>
        </w:rPr>
        <w:t>Lock-Up Period</w:t>
      </w:r>
      <w:r>
        <w:rPr>
          <w:rFonts w:ascii="Arial" w:cs="Arial" w:eastAsia="Arial" w:hAnsi="Arial"/>
          <w:sz w:val="19"/>
          <w:szCs w:val="19"/>
          <w:color w:val="auto"/>
        </w:rPr>
        <w:t>”). The Participant shall further agree to sign such documents as may be requested by the Lead Underwriter to effect the foregoing and agree that the Company may impose stop-transfer instructions with respect to Common Shares acquired pursuant to an Award until the end of such Lock-Up Period.</w:t>
      </w:r>
    </w:p>
    <w:p>
      <w:pPr>
        <w:spacing w:after="0" w:line="160" w:lineRule="exact"/>
        <w:rPr>
          <w:rFonts w:ascii="Arial" w:cs="Arial" w:eastAsia="Arial" w:hAnsi="Arial"/>
          <w:sz w:val="19"/>
          <w:szCs w:val="19"/>
          <w:color w:val="auto"/>
        </w:rPr>
      </w:pPr>
    </w:p>
    <w:p>
      <w:pPr>
        <w:jc w:val="both"/>
        <w:ind w:firstLine="4"/>
        <w:spacing w:after="0" w:line="297" w:lineRule="auto"/>
        <w:tabs>
          <w:tab w:leader="none" w:pos="74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Beneficiaries</w:t>
      </w:r>
      <w:r>
        <w:rPr>
          <w:rFonts w:ascii="Arial" w:cs="Arial" w:eastAsia="Arial" w:hAnsi="Arial"/>
          <w:sz w:val="19"/>
          <w:szCs w:val="19"/>
          <w:color w:val="auto"/>
        </w:rPr>
        <w:t>. Unless stated otherwise in an Award Agreement,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settled and any cash payments shall be distributed to the Participant’s estate.</w:t>
      </w:r>
    </w:p>
    <w:p>
      <w:pPr>
        <w:spacing w:after="0" w:line="147" w:lineRule="exact"/>
        <w:rPr>
          <w:rFonts w:ascii="Arial" w:cs="Arial" w:eastAsia="Arial" w:hAnsi="Arial"/>
          <w:sz w:val="19"/>
          <w:szCs w:val="19"/>
          <w:color w:val="auto"/>
        </w:rPr>
      </w:pPr>
    </w:p>
    <w:p>
      <w:pPr>
        <w:jc w:val="both"/>
        <w:ind w:firstLine="4"/>
        <w:spacing w:after="0" w:line="259" w:lineRule="auto"/>
        <w:tabs>
          <w:tab w:leader="none" w:pos="744"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To the maximum extent permitted by applicable law, each member of the Committee or any delegate acting on behalf of or at the discretion of the Board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w:t>
      </w: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60"/>
          </w:cols>
          <w:pgMar w:left="1000" w:top="375" w:right="239" w:bottom="1440" w:gutter="0" w:footer="0" w:header="0"/>
        </w:sectPr>
      </w:pPr>
    </w:p>
    <w:bookmarkStart w:id="178" w:name="page179"/>
    <w:bookmarkEnd w:id="178"/>
    <w:p>
      <w:pPr>
        <w:jc w:val="both"/>
        <w:ind w:firstLine="4"/>
        <w:spacing w:after="0" w:line="287" w:lineRule="auto"/>
        <w:tabs>
          <w:tab w:leader="none" w:pos="79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Accordingly, the Company reserves the right to amend the provisions of the Plan at any time and in any manner without the consent of any Participant solely to comply with the requirements of Code Section 409A and to avoid the imposition of the additional tax, interest or income inclusion under Code Section 409A on any payment to be made hereunder while preserving, to the maximum extent possible, the intended economic result of the Award of any affected Participant. With respect to any Award that is considered “deferred compensation” subject to Code Section 409A, references in the Plan or any Award Agreement to “termination of employment” or “termination of service” (and substantially similar phrases) shall mean “separation from service” within the meaning of Code Section 409A. A Participant’s right to receive installment payments pursuant to the Plan shall be treated as a right to receive a series of separate and distinct payments.</w:t>
      </w:r>
    </w:p>
    <w:p>
      <w:pPr>
        <w:spacing w:after="0" w:line="200" w:lineRule="exact"/>
        <w:rPr>
          <w:sz w:val="20"/>
          <w:szCs w:val="20"/>
          <w:color w:val="auto"/>
        </w:rPr>
      </w:pP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Whenever a payment under the Plan specifies a payment period with reference to a number of days, the actual date of payment within the specified period shall be within the sole discretion of the Company. Unless otherwise provided by the Committee in an Award Agreement or otherwise, in the event that the timing of payments in respect of any Award (that would otherwise be considered “deferred compensation” subject to Code Section 409A)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Code Section 409A; or (B) a Disability, no such acceleration shall be permitted unless the Disability also satisfies the definition of “Disability” pursuant to Code Section 409A. Notwithstanding anything in the Plan to the contrary, if a Participant is a “specified employee” within the meaning of Code Section 409A(a)(2)(B)(i), no payments in respect of any Awards that are “deferred compensation” subject to Code Section 409A and which would otherwise be payable upon the Participant’s “separation from service” (as defined in Code Section 409A) shall be made to such Participant prior to the date that is six (6) months after the date of such Participant’s “separation from service” or, if earlier, the date of the Participant’s death; provided, that following any applicable six (6) month delay, all such delayed payments will be paid in a single lump sum on the earliest date permitted under Code Section 409A that is also a business day. Notwithstanding the foregoing, in no event whatsoever shall the Company be liable for any additional tax, interest, income inclusion or other penalty that may be imposed on a Participant by Code Section 409A or for damages for failing to comply with Code Section 409A unless such failure is a result of the Company’s breach of this Plan or the Award Agreement.</w:t>
      </w:r>
    </w:p>
    <w:p>
      <w:pPr>
        <w:spacing w:after="0" w:line="200" w:lineRule="exact"/>
        <w:rPr>
          <w:sz w:val="20"/>
          <w:szCs w:val="20"/>
          <w:color w:val="auto"/>
        </w:rPr>
      </w:pPr>
    </w:p>
    <w:p>
      <w:pPr>
        <w:spacing w:after="0" w:line="224" w:lineRule="exact"/>
        <w:rPr>
          <w:sz w:val="20"/>
          <w:szCs w:val="20"/>
          <w:color w:val="auto"/>
        </w:rPr>
      </w:pPr>
    </w:p>
    <w:p>
      <w:pPr>
        <w:jc w:val="both"/>
        <w:ind w:firstLine="4"/>
        <w:spacing w:after="0" w:line="265" w:lineRule="auto"/>
        <w:tabs>
          <w:tab w:leader="none" w:pos="744"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No Right to be Granted Awards/Future Compensation</w:t>
      </w:r>
      <w:r>
        <w:rPr>
          <w:rFonts w:ascii="Arial" w:cs="Arial" w:eastAsia="Arial" w:hAnsi="Arial"/>
          <w:sz w:val="21"/>
          <w:szCs w:val="21"/>
          <w:color w:val="auto"/>
        </w:rPr>
        <w:t>. 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60"/>
          </w:cols>
          <w:pgMar w:left="1000" w:top="375" w:right="239" w:bottom="1440" w:gutter="0" w:footer="0" w:header="0"/>
        </w:sectPr>
      </w:pPr>
    </w:p>
    <w:bookmarkStart w:id="179" w:name="page180"/>
    <w:bookmarkEnd w:id="179"/>
    <w:p>
      <w:pPr>
        <w:jc w:val="both"/>
        <w:spacing w:after="0" w:line="248" w:lineRule="auto"/>
        <w:rPr>
          <w:sz w:val="20"/>
          <w:szCs w:val="20"/>
          <w:color w:val="auto"/>
        </w:rPr>
      </w:pPr>
      <w:r>
        <w:rPr>
          <w:rFonts w:ascii="Arial" w:cs="Arial" w:eastAsia="Arial" w:hAnsi="Arial"/>
          <w:sz w:val="22"/>
          <w:szCs w:val="22"/>
          <w:color w:val="auto"/>
        </w:rPr>
        <w:t>under the Plan shall be a one-time Award that does not constitute a promise of future grants. The Committee maintains the right to make available future grants under the Plan. Any Award granted hereunder is not intended to be compensation of a continuing or recurring nature, or part of a Participant’s normal or expected compensation, and in no way represents any portion of a Participant’s salary, compensation, or other remuneration for purposes of pension benefits, severance, redundancy, resignation or any other purpose.</w:t>
      </w:r>
    </w:p>
    <w:p>
      <w:pPr>
        <w:spacing w:after="0" w:line="192" w:lineRule="exact"/>
        <w:rPr>
          <w:sz w:val="20"/>
          <w:szCs w:val="20"/>
          <w:color w:val="auto"/>
        </w:rPr>
      </w:pPr>
    </w:p>
    <w:p>
      <w:pPr>
        <w:jc w:val="both"/>
        <w:ind w:firstLine="4"/>
        <w:spacing w:after="0" w:line="247" w:lineRule="auto"/>
        <w:tabs>
          <w:tab w:leader="none" w:pos="85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Employment/Service</w:t>
      </w:r>
      <w:r>
        <w:rPr>
          <w:rFonts w:ascii="Arial" w:cs="Arial" w:eastAsia="Arial" w:hAnsi="Arial"/>
          <w:sz w:val="22"/>
          <w:szCs w:val="22"/>
          <w:color w:val="auto"/>
        </w:rPr>
        <w:t>. The grant of an Award shall not be construed as giving a Participant the right to be retained in the employ of, or to continue to provide services to, the Company. Further, the Company may at any time dismiss a Participant, free from any liability, or any claim under the Plan, unless otherwise expressly provided in the Plan or in any Award Agreement or in any other agreement binding the parties. The receipt of any Award under the Plan is not intended to confer any rights on the receiving Participant except as set forth in the applicable Award Agreement.</w:t>
      </w:r>
    </w:p>
    <w:p>
      <w:pPr>
        <w:spacing w:after="0" w:line="193" w:lineRule="exact"/>
        <w:rPr>
          <w:rFonts w:ascii="Arial" w:cs="Arial" w:eastAsia="Arial" w:hAnsi="Arial"/>
          <w:sz w:val="22"/>
          <w:szCs w:val="22"/>
          <w:color w:val="auto"/>
        </w:rPr>
      </w:pPr>
    </w:p>
    <w:p>
      <w:pPr>
        <w:ind w:firstLine="4"/>
        <w:spacing w:after="0" w:line="343" w:lineRule="auto"/>
        <w:tabs>
          <w:tab w:leader="none" w:pos="792"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Clawbacks</w:t>
      </w:r>
      <w:r>
        <w:rPr>
          <w:rFonts w:ascii="Arial" w:cs="Arial" w:eastAsia="Arial" w:hAnsi="Arial"/>
          <w:sz w:val="19"/>
          <w:szCs w:val="19"/>
          <w:color w:val="auto"/>
        </w:rPr>
        <w:t>. Any Awards granted under the Plan (including any amounts or benefits arising from such Awards) shall be subject to any applicable clawback or recoupment policies the Company has in place from time to time.</w:t>
      </w:r>
    </w:p>
    <w:p>
      <w:pPr>
        <w:spacing w:after="0" w:line="104" w:lineRule="exact"/>
        <w:rPr>
          <w:rFonts w:ascii="Arial" w:cs="Arial" w:eastAsia="Arial" w:hAnsi="Arial"/>
          <w:sz w:val="19"/>
          <w:szCs w:val="19"/>
          <w:color w:val="auto"/>
        </w:rPr>
      </w:pPr>
    </w:p>
    <w:p>
      <w:pPr>
        <w:jc w:val="both"/>
        <w:ind w:firstLine="4"/>
        <w:spacing w:after="0" w:line="294" w:lineRule="auto"/>
        <w:tabs>
          <w:tab w:leader="none" w:pos="792"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the Plan or any Award Agreement is or becomes or is deemed to be invalid, illegal or unenforceable in any jurisdiction, or as to any person or Award, or would disqualify the Plan or any Award under any law deemed applicable by the Board, such provision shall be construed or deemed amended to conform to applicable laws, or if it cannot be so construed or deemed amended without, in the determination of the Board, materially altering the intent of the Plan or the Award Agreement, such provision shall be stricken as to such jurisdiction, person or Award, and the remainder of the Plan and any such Award Agreement shall remain in full force and effect.</w:t>
      </w:r>
    </w:p>
    <w:p>
      <w:pPr>
        <w:spacing w:after="0" w:line="149" w:lineRule="exact"/>
        <w:rPr>
          <w:rFonts w:ascii="Arial" w:cs="Arial" w:eastAsia="Arial" w:hAnsi="Arial"/>
          <w:sz w:val="19"/>
          <w:szCs w:val="19"/>
          <w:color w:val="auto"/>
        </w:rPr>
      </w:pPr>
    </w:p>
    <w:p>
      <w:pPr>
        <w:jc w:val="both"/>
        <w:ind w:firstLine="4"/>
        <w:spacing w:after="0" w:line="261" w:lineRule="auto"/>
        <w:tabs>
          <w:tab w:leader="none" w:pos="792"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Non-U.S. Participants</w:t>
      </w:r>
      <w:r>
        <w:rPr>
          <w:rFonts w:ascii="Arial" w:cs="Arial" w:eastAsia="Arial" w:hAnsi="Arial"/>
          <w:sz w:val="21"/>
          <w:szCs w:val="21"/>
          <w:color w:val="auto"/>
        </w:rPr>
        <w:t>. 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0" w:lineRule="exact"/>
        <w:rPr>
          <w:rFonts w:ascii="Arial" w:cs="Arial" w:eastAsia="Arial" w:hAnsi="Arial"/>
          <w:sz w:val="21"/>
          <w:szCs w:val="21"/>
          <w:color w:val="auto"/>
        </w:rPr>
      </w:pPr>
    </w:p>
    <w:p>
      <w:pPr>
        <w:jc w:val="both"/>
        <w:ind w:firstLine="4"/>
        <w:spacing w:after="0" w:line="292" w:lineRule="auto"/>
        <w:tabs>
          <w:tab w:leader="none" w:pos="792"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Governing Law and Forum; Waiver of Jury Trial</w:t>
      </w:r>
      <w:r>
        <w:rPr>
          <w:rFonts w:ascii="Arial" w:cs="Arial" w:eastAsia="Arial" w:hAnsi="Arial"/>
          <w:sz w:val="19"/>
          <w:szCs w:val="19"/>
          <w:color w:val="auto"/>
        </w:rPr>
        <w:t>. The Plan shall be governed by and construed in accordance with the internal laws of the State of Delaware without giving effect to any choice or conflict of laws provision or rule that would cause the application of the laws of any other jurisdiction. Each Participant who accepts an Award thereby agrees that any suit, action or proceeding brought by or against such Participant in connection with this Plan shall be brought solely in the Court of Chancery of the State of Delaware, each Participant consents to the jurisdiction and venue of such court and each Participant agrees to accept service of process by the Company or any of its agents in connection with any such proceeding. Each Participant who receives an Award hereby submits to and accepts</w:t>
      </w:r>
    </w:p>
    <w:p>
      <w:pPr>
        <w:spacing w:after="0" w:line="3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660"/>
          </w:cols>
          <w:pgMar w:left="1000" w:top="375" w:right="239" w:bottom="1440" w:gutter="0" w:footer="0" w:header="0"/>
        </w:sectPr>
      </w:pPr>
    </w:p>
    <w:bookmarkStart w:id="180" w:name="page181"/>
    <w:bookmarkEnd w:id="180"/>
    <w:p>
      <w:pPr>
        <w:jc w:val="both"/>
        <w:spacing w:after="0" w:line="260" w:lineRule="auto"/>
        <w:rPr>
          <w:sz w:val="20"/>
          <w:szCs w:val="20"/>
          <w:color w:val="auto"/>
        </w:rPr>
      </w:pPr>
      <w:r>
        <w:rPr>
          <w:rFonts w:ascii="Arial" w:cs="Arial" w:eastAsia="Arial" w:hAnsi="Arial"/>
          <w:sz w:val="21"/>
          <w:szCs w:val="21"/>
          <w:color w:val="auto"/>
        </w:rPr>
        <w:t>the exclusive jurisdiction of such court for the purpose of any such suit, legal action, or proceeding, and to the fullest extent permitted by law, each Participant who accepts an Award hereby irrevocably waives any objection which he or she may now or hereafter have to the laying of venue or any such suit, legal action or proceeding in such court and hereby further waives any claim that any suit, legal action or proceeding brought in such court has been brought in an inconvenient forum. EACH PARTICIPANT WHO ACCEPTS AN AWARD IRREVOCABLY WAIVES THE RIGHT TO TRIAL BY JURY IN ANY LAWSUIT OR PROCEEDING RELATING TO OR ARISING IN ANY WAY FROM THE PLAN OR ANY AWARD OR THE MATTERS OTHERWISE CONTEMPLATED HEREBY.</w:t>
      </w:r>
    </w:p>
    <w:p>
      <w:pPr>
        <w:spacing w:after="0" w:line="181" w:lineRule="exact"/>
        <w:rPr>
          <w:sz w:val="20"/>
          <w:szCs w:val="20"/>
          <w:color w:val="auto"/>
        </w:rPr>
      </w:pPr>
    </w:p>
    <w:p>
      <w:pPr>
        <w:jc w:val="both"/>
        <w:ind w:firstLine="4"/>
        <w:spacing w:after="0" w:line="247" w:lineRule="auto"/>
        <w:tabs>
          <w:tab w:leader="none" w:pos="75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The words “include,” “includes” or “including” shall be deemed to be followed by the words “without limitation.” Where specific language is used to clarify by example a general statement contained herein (such as by using the words “such as”), such specific language shall not be deemed to modify, limit or restrict in any manner the construction of the general statement to which it relates. Whenever required by the context, any pronoun used in the Plan shall include the corresponding masculine, feminine or neuter forms, and the singular form of nouns, pronouns and verbs shall include the plural and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60"/>
          </w:cols>
          <w:pgMar w:left="1000" w:top="37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10.21</w:t>
      </w: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GM Cruise Holdings LLC</w:t>
      </w: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2018 Employee Incentive Plan</w:t>
      </w: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auto"/>
        </w:rPr>
        <w:t>Restricted Stock Unit Award Agreement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Private and Confidential</w:t>
      </w:r>
    </w:p>
    <w:p>
      <w:pPr>
        <w:spacing w:after="0" w:line="226" w:lineRule="exact"/>
        <w:rPr>
          <w:sz w:val="20"/>
          <w:szCs w:val="20"/>
          <w:color w:val="auto"/>
        </w:rPr>
      </w:pPr>
    </w:p>
    <w:p>
      <w:pPr>
        <w:jc w:val="both"/>
        <w:ind w:left="20"/>
        <w:spacing w:after="0" w:line="287" w:lineRule="auto"/>
        <w:rPr>
          <w:sz w:val="20"/>
          <w:szCs w:val="20"/>
          <w:color w:val="auto"/>
        </w:rPr>
      </w:pPr>
      <w:r>
        <w:rPr>
          <w:rFonts w:ascii="Arial" w:cs="Arial" w:eastAsia="Arial" w:hAnsi="Arial"/>
          <w:sz w:val="21"/>
          <w:szCs w:val="21"/>
          <w:color w:val="auto"/>
        </w:rPr>
        <w:t>This Award Agreement describes the details under which you (“</w:t>
      </w:r>
      <w:r>
        <w:rPr>
          <w:rFonts w:ascii="Arial" w:cs="Arial" w:eastAsia="Arial" w:hAnsi="Arial"/>
          <w:sz w:val="21"/>
          <w:szCs w:val="21"/>
          <w:u w:val="single" w:color="auto"/>
          <w:color w:val="auto"/>
        </w:rPr>
        <w:t>you</w:t>
      </w:r>
      <w:r>
        <w:rPr>
          <w:rFonts w:ascii="Arial" w:cs="Arial" w:eastAsia="Arial" w:hAnsi="Arial"/>
          <w:sz w:val="21"/>
          <w:szCs w:val="21"/>
          <w:color w:val="auto"/>
        </w:rPr>
        <w:t>” or the “</w:t>
      </w:r>
      <w:r>
        <w:rPr>
          <w:rFonts w:ascii="Arial" w:cs="Arial" w:eastAsia="Arial" w:hAnsi="Arial"/>
          <w:sz w:val="21"/>
          <w:szCs w:val="21"/>
          <w:u w:val="single" w:color="auto"/>
          <w:color w:val="auto"/>
        </w:rPr>
        <w:t>Participant</w:t>
      </w:r>
      <w:r>
        <w:rPr>
          <w:rFonts w:ascii="Arial" w:cs="Arial" w:eastAsia="Arial" w:hAnsi="Arial"/>
          <w:sz w:val="21"/>
          <w:szCs w:val="21"/>
          <w:color w:val="auto"/>
        </w:rPr>
        <w:t>”) are being granted a Restricted Stock Unit Award (the “</w:t>
      </w:r>
      <w:r>
        <w:rPr>
          <w:rFonts w:ascii="Arial" w:cs="Arial" w:eastAsia="Arial" w:hAnsi="Arial"/>
          <w:sz w:val="21"/>
          <w:szCs w:val="21"/>
          <w:u w:val="single" w:color="auto"/>
          <w:color w:val="auto"/>
        </w:rPr>
        <w:t>RSU</w:t>
      </w:r>
      <w:r>
        <w:rPr>
          <w:rFonts w:ascii="Arial" w:cs="Arial" w:eastAsia="Arial" w:hAnsi="Arial"/>
          <w:sz w:val="21"/>
          <w:szCs w:val="21"/>
          <w:color w:val="auto"/>
        </w:rPr>
        <w:t>”) under the 2018 Employee Incentive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152" w:lineRule="exact"/>
        <w:rPr>
          <w:sz w:val="20"/>
          <w:szCs w:val="20"/>
          <w:color w:val="auto"/>
        </w:rPr>
      </w:pPr>
    </w:p>
    <w:p>
      <w:pPr>
        <w:jc w:val="both"/>
        <w:ind w:left="20"/>
        <w:spacing w:after="0" w:line="263" w:lineRule="auto"/>
        <w:rPr>
          <w:sz w:val="20"/>
          <w:szCs w:val="20"/>
          <w:color w:val="auto"/>
        </w:rPr>
      </w:pPr>
      <w:r>
        <w:rPr>
          <w:rFonts w:ascii="Arial" w:cs="Arial" w:eastAsia="Arial" w:hAnsi="Arial"/>
          <w:sz w:val="22"/>
          <w:szCs w:val="22"/>
          <w:color w:val="auto"/>
        </w:rPr>
        <w:t xml:space="preserve">A copy of the Plan can be found on the Solium Shareworks site. Capitalized terms used in this Award Agreement have the meanings given in the Plan unless noted otherwise herein (including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The full terms of your RSU are set out in this Award Agreement, the Plan and any policy adopted by the Board in respect of the Plan and the RSU that is applicable to this Award Agreement. In the event of any conflict between this Award Agreement and the Plan, the terms of this Award Agreement shall prevail. Further, </w:t>
      </w:r>
      <w:r>
        <w:rPr>
          <w:rFonts w:ascii="Arial" w:cs="Arial" w:eastAsia="Arial" w:hAnsi="Arial"/>
          <w:sz w:val="22"/>
          <w:szCs w:val="22"/>
          <w:u w:val="single" w:color="auto"/>
          <w:color w:val="auto"/>
        </w:rPr>
        <w:t>Section 15(a)</w:t>
      </w:r>
      <w:r>
        <w:rPr>
          <w:rFonts w:ascii="Arial" w:cs="Arial" w:eastAsia="Arial" w:hAnsi="Arial"/>
          <w:sz w:val="22"/>
          <w:szCs w:val="22"/>
          <w:color w:val="auto"/>
        </w:rPr>
        <w:t xml:space="preserve"> of the Plan shall not be applicable to this Award Agreement. This Award Agreement may only be amended in writing with mutual written consent of the Board and the Participant.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Summary of the Award</w:t>
      </w:r>
    </w:p>
    <w:p>
      <w:pPr>
        <w:spacing w:after="0" w:line="133" w:lineRule="exact"/>
        <w:rPr>
          <w:sz w:val="20"/>
          <w:szCs w:val="20"/>
          <w:color w:val="auto"/>
        </w:rPr>
      </w:pPr>
    </w:p>
    <w:tbl>
      <w:tblPr>
        <w:tblLayout w:type="fixed"/>
        <w:tblInd w:w="30" w:type="dxa"/>
        <w:tblCellMar>
          <w:top w:w="0" w:type="dxa"/>
          <w:left w:w="0" w:type="dxa"/>
          <w:bottom w:w="0" w:type="dxa"/>
          <w:right w:w="0" w:type="dxa"/>
        </w:tblCellMar>
      </w:tblPr>
      <w:tr>
        <w:trPr>
          <w:trHeight w:val="351"/>
        </w:trPr>
        <w:tc>
          <w:tcPr>
            <w:tcW w:w="308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Issuer</w:t>
            </w:r>
          </w:p>
        </w:tc>
        <w:tc>
          <w:tcPr>
            <w:tcW w:w="7880" w:type="dxa"/>
            <w:vAlign w:val="bottom"/>
            <w:tcBorders>
              <w:top w:val="single" w:sz="8" w:color="auto"/>
              <w:right w:val="single" w:sz="8" w:color="auto"/>
            </w:tcBorders>
            <w:gridSpan w:val="11"/>
          </w:tcPr>
          <w:p>
            <w:pPr>
              <w:ind w:left="180"/>
              <w:spacing w:after="0"/>
              <w:rPr>
                <w:sz w:val="20"/>
                <w:szCs w:val="20"/>
                <w:color w:val="auto"/>
              </w:rPr>
            </w:pPr>
            <w:r>
              <w:rPr>
                <w:rFonts w:ascii="Arial" w:cs="Arial" w:eastAsia="Arial" w:hAnsi="Arial"/>
                <w:sz w:val="22"/>
                <w:szCs w:val="22"/>
                <w:color w:val="auto"/>
                <w:w w:val="99"/>
              </w:rPr>
              <w:t>GM Cruise Holdings LLC, a Delaware limited liability company (the “Company”)</w:t>
            </w:r>
          </w:p>
        </w:tc>
      </w:tr>
      <w:tr>
        <w:trPr>
          <w:trHeight w:val="156"/>
        </w:trPr>
        <w:tc>
          <w:tcPr>
            <w:tcW w:w="3080" w:type="dxa"/>
            <w:vAlign w:val="bottom"/>
            <w:tcBorders>
              <w:left w:val="single" w:sz="8" w:color="auto"/>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344"/>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w w:val="98"/>
              </w:rPr>
              <w:t>Number of Restricted Stock</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l</w:t>
            </w:r>
            <w:r>
              <w:rPr>
                <w:rFonts w:ascii="Arial" w:cs="Arial" w:eastAsia="Arial" w:hAnsi="Arial"/>
                <w:sz w:val="22"/>
                <w:szCs w:val="22"/>
                <w:color w:val="auto"/>
              </w:rPr>
              <w:t>]</w:t>
            </w:r>
          </w:p>
        </w:tc>
      </w:tr>
      <w:tr>
        <w:trPr>
          <w:trHeight w:val="281"/>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Units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82"/>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Grant Date</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4"/>
                <w:szCs w:val="14"/>
                <w:color w:val="auto"/>
              </w:rPr>
              <w:t>l</w:t>
            </w:r>
            <w:r>
              <w:rPr>
                <w:rFonts w:ascii="Arial" w:cs="Arial" w:eastAsia="Arial" w:hAnsi="Arial"/>
                <w:sz w:val="22"/>
                <w:szCs w:val="22"/>
                <w:color w:val="auto"/>
              </w:rPr>
              <w:t>]</w:t>
            </w: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44"/>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w w:val="97"/>
              </w:rPr>
              <w:t>Grant Date Restricted Stock</w:t>
            </w:r>
          </w:p>
        </w:tc>
        <w:tc>
          <w:tcPr>
            <w:tcW w:w="1180" w:type="dxa"/>
            <w:vAlign w:val="bottom"/>
          </w:tcPr>
          <w:p>
            <w:pPr>
              <w:ind w:left="180"/>
              <w:spacing w:after="0"/>
              <w:rPr>
                <w:sz w:val="20"/>
                <w:szCs w:val="20"/>
                <w:color w:val="auto"/>
              </w:rPr>
            </w:pPr>
            <w:r>
              <w:rPr>
                <w:rFonts w:ascii="Arial" w:cs="Arial" w:eastAsia="Arial" w:hAnsi="Arial"/>
                <w:sz w:val="22"/>
                <w:szCs w:val="22"/>
                <w:color w:val="auto"/>
              </w:rPr>
              <w:t>$1,515</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281"/>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Units Value Per Share</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50"/>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Vesting</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w w:val="99"/>
              </w:rPr>
              <w:t>This RSU will vest upon satisfaction of both the Time-Vesting Condition and the</w:t>
            </w:r>
          </w:p>
        </w:tc>
      </w:tr>
      <w:tr>
        <w:trPr>
          <w:trHeight w:val="224"/>
        </w:trPr>
        <w:tc>
          <w:tcPr>
            <w:tcW w:w="308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gridSpan w:val="11"/>
          </w:tcPr>
          <w:p>
            <w:pPr>
              <w:ind w:left="180"/>
              <w:spacing w:after="0" w:line="224" w:lineRule="exact"/>
              <w:rPr>
                <w:sz w:val="20"/>
                <w:szCs w:val="20"/>
                <w:color w:val="auto"/>
              </w:rPr>
            </w:pPr>
            <w:r>
              <w:rPr>
                <w:rFonts w:ascii="Arial" w:cs="Arial" w:eastAsia="Arial" w:hAnsi="Arial"/>
                <w:sz w:val="22"/>
                <w:szCs w:val="22"/>
                <w:color w:val="auto"/>
                <w:w w:val="93"/>
              </w:rPr>
              <w:t>Performance-Vesting Condition as described in Section 4 of the attached Terms and</w:t>
            </w:r>
          </w:p>
        </w:tc>
      </w:tr>
      <w:tr>
        <w:trPr>
          <w:trHeight w:val="274"/>
        </w:trPr>
        <w:tc>
          <w:tcPr>
            <w:tcW w:w="3080" w:type="dxa"/>
            <w:vAlign w:val="bottom"/>
            <w:tcBorders>
              <w:left w:val="single" w:sz="8" w:color="auto"/>
              <w:right w:val="single" w:sz="8" w:color="auto"/>
            </w:tcBorders>
          </w:tcPr>
          <w:p>
            <w:pPr>
              <w:spacing w:after="0"/>
              <w:rPr>
                <w:sz w:val="23"/>
                <w:szCs w:val="23"/>
                <w:color w:val="auto"/>
              </w:rPr>
            </w:pPr>
          </w:p>
        </w:tc>
        <w:tc>
          <w:tcPr>
            <w:tcW w:w="4320" w:type="dxa"/>
            <w:vAlign w:val="bottom"/>
            <w:gridSpan w:val="6"/>
          </w:tcPr>
          <w:p>
            <w:pPr>
              <w:ind w:left="180"/>
              <w:spacing w:after="0"/>
              <w:rPr>
                <w:sz w:val="20"/>
                <w:szCs w:val="20"/>
                <w:color w:val="auto"/>
              </w:rPr>
            </w:pPr>
            <w:r>
              <w:rPr>
                <w:rFonts w:ascii="Arial" w:cs="Arial" w:eastAsia="Arial" w:hAnsi="Arial"/>
                <w:sz w:val="22"/>
                <w:szCs w:val="22"/>
                <w:color w:val="auto"/>
              </w:rPr>
              <w:t>Conditions of the RSU.</w:t>
            </w:r>
          </w:p>
        </w:tc>
        <w:tc>
          <w:tcPr>
            <w:tcW w:w="800" w:type="dxa"/>
            <w:vAlign w:val="bottom"/>
            <w:tcBorders>
              <w:top w:val="single" w:sz="8" w:color="auto"/>
            </w:tcBorders>
            <w:gridSpan w:val="2"/>
          </w:tcPr>
          <w:p>
            <w:pPr>
              <w:spacing w:after="0"/>
              <w:rPr>
                <w:sz w:val="23"/>
                <w:szCs w:val="23"/>
                <w:color w:val="auto"/>
              </w:rPr>
            </w:pPr>
          </w:p>
        </w:tc>
        <w:tc>
          <w:tcPr>
            <w:tcW w:w="2760" w:type="dxa"/>
            <w:vAlign w:val="bottom"/>
            <w:tcBorders>
              <w:right w:val="single" w:sz="8" w:color="auto"/>
            </w:tcBorders>
            <w:gridSpan w:val="3"/>
          </w:tcPr>
          <w:p>
            <w:pPr>
              <w:spacing w:after="0"/>
              <w:rPr>
                <w:sz w:val="23"/>
                <w:szCs w:val="23"/>
                <w:color w:val="auto"/>
              </w:rPr>
            </w:pP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50"/>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Expiration Date</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w w:val="93"/>
              </w:rPr>
              <w:t>With respect to each RSU granted hereunder, the earliest to occur of (a) the date on</w:t>
            </w:r>
          </w:p>
        </w:tc>
      </w:tr>
      <w:tr>
        <w:trPr>
          <w:trHeight w:val="224"/>
        </w:trPr>
        <w:tc>
          <w:tcPr>
            <w:tcW w:w="308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gridSpan w:val="11"/>
          </w:tcPr>
          <w:p>
            <w:pPr>
              <w:ind w:left="180"/>
              <w:spacing w:after="0" w:line="224" w:lineRule="exact"/>
              <w:rPr>
                <w:sz w:val="20"/>
                <w:szCs w:val="20"/>
                <w:color w:val="auto"/>
              </w:rPr>
            </w:pPr>
            <w:r>
              <w:rPr>
                <w:rFonts w:ascii="Arial" w:cs="Arial" w:eastAsia="Arial" w:hAnsi="Arial"/>
                <w:sz w:val="22"/>
                <w:szCs w:val="22"/>
                <w:color w:val="auto"/>
                <w:w w:val="91"/>
              </w:rPr>
              <w:t>which an RSU is settled in accordance with Section 5 hereof, (b) the date on which an</w:t>
            </w:r>
          </w:p>
        </w:tc>
      </w:tr>
      <w:tr>
        <w:trPr>
          <w:trHeight w:val="20"/>
        </w:trPr>
        <w:tc>
          <w:tcPr>
            <w:tcW w:w="3080" w:type="dxa"/>
            <w:vAlign w:val="bottom"/>
            <w:tcBorders>
              <w:left w:val="single" w:sz="8" w:color="auto"/>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60" w:type="dxa"/>
            <w:vAlign w:val="bottom"/>
            <w:tcBorders>
              <w:right w:val="single" w:sz="8" w:color="auto"/>
            </w:tcBorders>
            <w:gridSpan w:val="4"/>
          </w:tcPr>
          <w:p>
            <w:pPr>
              <w:spacing w:after="0" w:line="20" w:lineRule="exact"/>
              <w:rPr>
                <w:sz w:val="1"/>
                <w:szCs w:val="1"/>
                <w:color w:val="auto"/>
              </w:rPr>
            </w:pPr>
          </w:p>
        </w:tc>
      </w:tr>
      <w:tr>
        <w:trPr>
          <w:trHeight w:val="223"/>
        </w:trPr>
        <w:tc>
          <w:tcPr>
            <w:tcW w:w="308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gridSpan w:val="11"/>
          </w:tcPr>
          <w:p>
            <w:pPr>
              <w:ind w:left="180"/>
              <w:spacing w:after="0" w:line="223" w:lineRule="exact"/>
              <w:rPr>
                <w:sz w:val="20"/>
                <w:szCs w:val="20"/>
                <w:color w:val="auto"/>
              </w:rPr>
            </w:pPr>
            <w:r>
              <w:rPr>
                <w:rFonts w:ascii="Arial" w:cs="Arial" w:eastAsia="Arial" w:hAnsi="Arial"/>
                <w:sz w:val="22"/>
                <w:szCs w:val="22"/>
                <w:color w:val="auto"/>
              </w:rPr>
              <w:t>RSU is forfeited in accordance with Section 4 hereof, and (c) the tenth (10th)</w:t>
            </w:r>
          </w:p>
        </w:tc>
      </w:tr>
      <w:tr>
        <w:trPr>
          <w:trHeight w:val="274"/>
        </w:trPr>
        <w:tc>
          <w:tcPr>
            <w:tcW w:w="3080" w:type="dxa"/>
            <w:vAlign w:val="bottom"/>
            <w:tcBorders>
              <w:left w:val="single" w:sz="8" w:color="auto"/>
              <w:right w:val="single" w:sz="8" w:color="auto"/>
            </w:tcBorders>
          </w:tcPr>
          <w:p>
            <w:pPr>
              <w:spacing w:after="0"/>
              <w:rPr>
                <w:sz w:val="23"/>
                <w:szCs w:val="23"/>
                <w:color w:val="auto"/>
              </w:rPr>
            </w:pPr>
          </w:p>
        </w:tc>
        <w:tc>
          <w:tcPr>
            <w:tcW w:w="3340" w:type="dxa"/>
            <w:vAlign w:val="bottom"/>
            <w:gridSpan w:val="3"/>
          </w:tcPr>
          <w:p>
            <w:pPr>
              <w:ind w:left="180"/>
              <w:spacing w:after="0"/>
              <w:rPr>
                <w:sz w:val="20"/>
                <w:szCs w:val="20"/>
                <w:color w:val="auto"/>
              </w:rPr>
            </w:pPr>
            <w:r>
              <w:rPr>
                <w:rFonts w:ascii="Arial" w:cs="Arial" w:eastAsia="Arial" w:hAnsi="Arial"/>
                <w:sz w:val="22"/>
                <w:szCs w:val="22"/>
                <w:color w:val="auto"/>
              </w:rPr>
              <w:t>anniversary of the Grant Date.</w:t>
            </w:r>
          </w:p>
        </w:tc>
        <w:tc>
          <w:tcPr>
            <w:tcW w:w="820" w:type="dxa"/>
            <w:vAlign w:val="bottom"/>
            <w:tcBorders>
              <w:top w:val="single" w:sz="8" w:color="auto"/>
            </w:tcBorders>
            <w:gridSpan w:val="2"/>
          </w:tcPr>
          <w:p>
            <w:pPr>
              <w:spacing w:after="0"/>
              <w:rPr>
                <w:sz w:val="23"/>
                <w:szCs w:val="23"/>
                <w:color w:val="auto"/>
              </w:rPr>
            </w:pPr>
          </w:p>
        </w:tc>
        <w:tc>
          <w:tcPr>
            <w:tcW w:w="3720" w:type="dxa"/>
            <w:vAlign w:val="bottom"/>
            <w:tcBorders>
              <w:right w:val="single" w:sz="8" w:color="auto"/>
            </w:tcBorders>
            <w:gridSpan w:val="6"/>
          </w:tcPr>
          <w:p>
            <w:pPr>
              <w:spacing w:after="0"/>
              <w:rPr>
                <w:sz w:val="23"/>
                <w:szCs w:val="23"/>
                <w:color w:val="auto"/>
              </w:rPr>
            </w:pP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50"/>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Restrictive Covenants</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w w:val="92"/>
              </w:rPr>
              <w:t>As a condition of receiving this Award, you will be subject to the restrictive covenants</w:t>
            </w:r>
          </w:p>
        </w:tc>
      </w:tr>
      <w:tr>
        <w:trPr>
          <w:trHeight w:val="224"/>
        </w:trPr>
        <w:tc>
          <w:tcPr>
            <w:tcW w:w="308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gridSpan w:val="11"/>
          </w:tcPr>
          <w:p>
            <w:pPr>
              <w:ind w:left="180"/>
              <w:spacing w:after="0" w:line="224" w:lineRule="exact"/>
              <w:rPr>
                <w:sz w:val="20"/>
                <w:szCs w:val="20"/>
                <w:color w:val="auto"/>
              </w:rPr>
            </w:pPr>
            <w:r>
              <w:rPr>
                <w:rFonts w:ascii="Arial" w:cs="Arial" w:eastAsia="Arial" w:hAnsi="Arial"/>
                <w:sz w:val="22"/>
                <w:szCs w:val="22"/>
                <w:color w:val="auto"/>
              </w:rPr>
              <w:t>set forth in Exhibit A attached.</w:t>
            </w:r>
          </w:p>
        </w:tc>
      </w:tr>
      <w:tr>
        <w:trPr>
          <w:trHeight w:val="156"/>
        </w:trPr>
        <w:tc>
          <w:tcPr>
            <w:tcW w:w="3080" w:type="dxa"/>
            <w:vAlign w:val="bottom"/>
            <w:tcBorders>
              <w:left w:val="single" w:sz="8" w:color="auto"/>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382"/>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Accredited Investor</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rPr>
              <w:t>If requested by the Committee, you will be required to complete an</w:t>
            </w: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382"/>
        </w:trPr>
        <w:tc>
          <w:tcPr>
            <w:tcW w:w="3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Questionnaire</w:t>
            </w:r>
          </w:p>
        </w:tc>
        <w:tc>
          <w:tcPr>
            <w:tcW w:w="7880" w:type="dxa"/>
            <w:vAlign w:val="bottom"/>
            <w:tcBorders>
              <w:right w:val="single" w:sz="8" w:color="auto"/>
            </w:tcBorders>
            <w:gridSpan w:val="11"/>
          </w:tcPr>
          <w:p>
            <w:pPr>
              <w:ind w:left="180"/>
              <w:spacing w:after="0"/>
              <w:rPr>
                <w:sz w:val="20"/>
                <w:szCs w:val="20"/>
                <w:color w:val="auto"/>
              </w:rPr>
            </w:pPr>
            <w:r>
              <w:rPr>
                <w:rFonts w:ascii="Arial" w:cs="Arial" w:eastAsia="Arial" w:hAnsi="Arial"/>
                <w:sz w:val="22"/>
                <w:szCs w:val="22"/>
                <w:color w:val="auto"/>
              </w:rPr>
              <w:t>Accredited Investor Questionnaire prior to acceptance of the grant.</w:t>
            </w:r>
          </w:p>
        </w:tc>
      </w:tr>
      <w:tr>
        <w:trPr>
          <w:trHeight w:val="125"/>
        </w:trPr>
        <w:tc>
          <w:tcPr>
            <w:tcW w:w="30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r>
      <w:tr>
        <w:trPr>
          <w:trHeight w:val="669"/>
        </w:trPr>
        <w:tc>
          <w:tcPr>
            <w:tcW w:w="3080" w:type="dxa"/>
            <w:vAlign w:val="bottom"/>
          </w:tcPr>
          <w:p>
            <w:pPr>
              <w:spacing w:after="0"/>
              <w:rPr>
                <w:sz w:val="24"/>
                <w:szCs w:val="24"/>
                <w:color w:val="auto"/>
              </w:rPr>
            </w:pPr>
          </w:p>
        </w:tc>
        <w:tc>
          <w:tcPr>
            <w:tcW w:w="3340" w:type="dxa"/>
            <w:vAlign w:val="bottom"/>
            <w:gridSpan w:val="3"/>
          </w:tcPr>
          <w:p>
            <w:pPr>
              <w:ind w:left="2280"/>
              <w:spacing w:after="0"/>
              <w:rPr>
                <w:sz w:val="20"/>
                <w:szCs w:val="20"/>
                <w:color w:val="auto"/>
              </w:rPr>
            </w:pPr>
            <w:r>
              <w:rPr>
                <w:rFonts w:ascii="Arial" w:cs="Arial" w:eastAsia="Arial" w:hAnsi="Arial"/>
                <w:sz w:val="18"/>
                <w:szCs w:val="18"/>
                <w:color w:val="auto"/>
              </w:rPr>
              <w:t>- 1 -</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40"/>
          </w:cols>
          <w:pgMar w:left="420" w:top="121" w:right="2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b w:val="1"/>
          <w:bCs w:val="1"/>
          <w:color w:val="auto"/>
        </w:rPr>
        <w:t>Terms and Conditions of the RSU</w:t>
      </w:r>
    </w:p>
    <w:p>
      <w:pPr>
        <w:spacing w:after="0" w:line="226" w:lineRule="exact"/>
        <w:rPr>
          <w:sz w:val="20"/>
          <w:szCs w:val="20"/>
          <w:color w:val="auto"/>
        </w:rPr>
      </w:pPr>
    </w:p>
    <w:p>
      <w:pPr>
        <w:ind w:left="-80" w:firstLine="644"/>
        <w:spacing w:after="0" w:line="289" w:lineRule="auto"/>
        <w:tabs>
          <w:tab w:leader="none" w:pos="1271"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 Award</w:t>
      </w:r>
      <w:r>
        <w:rPr>
          <w:rFonts w:ascii="Arial" w:cs="Arial" w:eastAsia="Arial" w:hAnsi="Arial"/>
          <w:sz w:val="22"/>
          <w:szCs w:val="22"/>
          <w:color w:val="auto"/>
        </w:rPr>
        <w:t>. Effective on the Grant Date, the Company hereby grants [</w:t>
      </w:r>
      <w:r>
        <w:rPr>
          <w:rFonts w:ascii="Arial" w:cs="Arial" w:eastAsia="Arial" w:hAnsi="Arial"/>
          <w:sz w:val="14"/>
          <w:szCs w:val="14"/>
          <w:color w:val="auto"/>
        </w:rPr>
        <w:t>l</w:t>
      </w:r>
      <w:r>
        <w:rPr>
          <w:rFonts w:ascii="Arial" w:cs="Arial" w:eastAsia="Arial" w:hAnsi="Arial"/>
          <w:sz w:val="22"/>
          <w:szCs w:val="22"/>
          <w:color w:val="auto"/>
        </w:rPr>
        <w:t>] RSUs. Each RSU corresponds to one Common Share, subject to adjustment as set forth in the Plan.</w:t>
      </w:r>
    </w:p>
    <w:p>
      <w:pPr>
        <w:spacing w:after="0" w:line="147" w:lineRule="exact"/>
        <w:rPr>
          <w:rFonts w:ascii="Arial" w:cs="Arial" w:eastAsia="Arial" w:hAnsi="Arial"/>
          <w:sz w:val="22"/>
          <w:szCs w:val="22"/>
          <w:color w:val="auto"/>
        </w:rPr>
      </w:pPr>
    </w:p>
    <w:p>
      <w:pPr>
        <w:jc w:val="both"/>
        <w:ind w:left="-80" w:firstLine="644"/>
        <w:spacing w:after="0" w:line="253" w:lineRule="auto"/>
        <w:tabs>
          <w:tab w:leader="none" w:pos="1271"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Participant Acknowledgements</w:t>
      </w:r>
      <w:r>
        <w:rPr>
          <w:rFonts w:ascii="Arial" w:cs="Arial" w:eastAsia="Arial" w:hAnsi="Arial"/>
          <w:sz w:val="22"/>
          <w:szCs w:val="22"/>
          <w:color w:val="auto"/>
        </w:rPr>
        <w:t>. The following terms apply to the grant of the RSUs hereunder. By accepting the Award, the Participant irrevocably agrees and acknowledges in favor of the Company (on its own behalf and as an agent for the Company’s Subsidiaries) that:</w:t>
      </w:r>
    </w:p>
    <w:p>
      <w:pPr>
        <w:spacing w:after="0" w:line="185" w:lineRule="exact"/>
        <w:rPr>
          <w:rFonts w:ascii="Arial" w:cs="Arial" w:eastAsia="Arial" w:hAnsi="Arial"/>
          <w:sz w:val="22"/>
          <w:szCs w:val="22"/>
          <w:color w:val="auto"/>
        </w:rPr>
      </w:pPr>
    </w:p>
    <w:p>
      <w:pPr>
        <w:jc w:val="both"/>
        <w:ind w:firstLine="645"/>
        <w:spacing w:after="0" w:line="248" w:lineRule="auto"/>
        <w:tabs>
          <w:tab w:leader="none" w:pos="133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Participant does not have any claim to be granted any Award under the Plan, and there is no obligation for uniformity of treatment of employees, directors,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Board maintains the right to make available future grants under the Plan.</w:t>
      </w:r>
    </w:p>
    <w:p>
      <w:pPr>
        <w:spacing w:after="0" w:line="192" w:lineRule="exact"/>
        <w:rPr>
          <w:rFonts w:ascii="Arial" w:cs="Arial" w:eastAsia="Arial" w:hAnsi="Arial"/>
          <w:sz w:val="22"/>
          <w:szCs w:val="22"/>
          <w:color w:val="auto"/>
        </w:rPr>
      </w:pPr>
    </w:p>
    <w:p>
      <w:pPr>
        <w:jc w:val="both"/>
        <w:ind w:firstLine="645"/>
        <w:spacing w:after="0" w:line="263" w:lineRule="auto"/>
        <w:tabs>
          <w:tab w:leader="none" w:pos="1346"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grant of this Award does not give the Participant the right to be retained in the employ of, or to continue to provide services to, the Company or any of its Subsidiaries. The Company or the applicable Subsidiary may at any time dismiss the Participant, free from any liability, or any claim under the Plan, unless otherwise expressly provided in the Plan or in any other agreement binding the Participant and the Company. The Participant’s receipt of this Award under the Plan is not intended to confer any rights to the Participant except as set forth in this Award Agreement.</w:t>
      </w:r>
    </w:p>
    <w:p>
      <w:pPr>
        <w:spacing w:after="0" w:line="175" w:lineRule="exact"/>
        <w:rPr>
          <w:rFonts w:ascii="Arial" w:cs="Arial" w:eastAsia="Arial" w:hAnsi="Arial"/>
          <w:sz w:val="21"/>
          <w:szCs w:val="21"/>
          <w:color w:val="auto"/>
        </w:rPr>
      </w:pPr>
    </w:p>
    <w:p>
      <w:pPr>
        <w:jc w:val="both"/>
        <w:ind w:firstLine="645"/>
        <w:spacing w:after="0" w:line="263" w:lineRule="auto"/>
        <w:tabs>
          <w:tab w:leader="none" w:pos="1334"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Awards under, and the Participant’s participation in, the Plan do not form part of the Participant’s remuneration for the purposes of determining payments in lieu of notice of termination of the Participant’s employment , severance payments, leave entitlements, or any other compensation payable to the Participant and no Award, payment, or other right or benefit, under the Plan will be taken into account in determining any benefits under any pension, retirement, savings, profit-sharing, group insurance, welfare or benefit plan of the Company or any of its Subsidiaries.</w:t>
      </w:r>
    </w:p>
    <w:p>
      <w:pPr>
        <w:spacing w:after="0" w:line="175" w:lineRule="exact"/>
        <w:rPr>
          <w:rFonts w:ascii="Arial" w:cs="Arial" w:eastAsia="Arial" w:hAnsi="Arial"/>
          <w:sz w:val="21"/>
          <w:szCs w:val="21"/>
          <w:color w:val="auto"/>
        </w:rPr>
      </w:pPr>
    </w:p>
    <w:p>
      <w:pPr>
        <w:jc w:val="both"/>
        <w:ind w:firstLine="645"/>
        <w:spacing w:after="0" w:line="250" w:lineRule="auto"/>
        <w:tabs>
          <w:tab w:leader="none" w:pos="1346"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Company and its Subsidiaries, their respective affiliates, officers and employees make no representation concerning the financial benefit or taxation consequences of any Award or participation in the Plan and the Participant is strongly advised to seek the Participant’s own professional legal and taxation advice concerning the impact of the Plan and the Participant’s Award.</w:t>
      </w:r>
    </w:p>
    <w:p>
      <w:pPr>
        <w:spacing w:after="0" w:line="188" w:lineRule="exact"/>
        <w:rPr>
          <w:rFonts w:ascii="Arial" w:cs="Arial" w:eastAsia="Arial" w:hAnsi="Arial"/>
          <w:sz w:val="22"/>
          <w:szCs w:val="22"/>
          <w:color w:val="auto"/>
        </w:rPr>
      </w:pPr>
    </w:p>
    <w:p>
      <w:pPr>
        <w:ind w:firstLine="645"/>
        <w:spacing w:after="0" w:line="263" w:lineRule="auto"/>
        <w:tabs>
          <w:tab w:leader="none" w:pos="133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future value of the underlying Common Shares is unknown and cannot be predicted with certainty and the Common Shares may increase or decrease in value.</w:t>
      </w:r>
    </w:p>
    <w:p>
      <w:pPr>
        <w:spacing w:after="0" w:line="174" w:lineRule="exact"/>
        <w:rPr>
          <w:rFonts w:ascii="Arial" w:cs="Arial" w:eastAsia="Arial" w:hAnsi="Arial"/>
          <w:sz w:val="22"/>
          <w:szCs w:val="22"/>
          <w:color w:val="auto"/>
        </w:rPr>
      </w:pPr>
    </w:p>
    <w:p>
      <w:pPr>
        <w:jc w:val="both"/>
        <w:ind w:firstLine="645"/>
        <w:spacing w:after="0" w:line="250" w:lineRule="auto"/>
        <w:tabs>
          <w:tab w:leader="none" w:pos="131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Participant has no entitlement to compensation or damages as a result of any loss or diminution in value of Common Shares or any other rights acquired pursuant to the Plan, including, without limitation, as a result of the termination of the Participant’s employment by the Company or any of its Subsidiaries for any reason whatsoever and whether or not in breach of contract.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0" w:lineRule="exact"/>
        <w:rPr>
          <w:rFonts w:ascii="Arial" w:cs="Arial" w:eastAsia="Arial" w:hAnsi="Arial"/>
          <w:sz w:val="22"/>
          <w:szCs w:val="22"/>
          <w:color w:val="auto"/>
        </w:rPr>
      </w:pPr>
    </w:p>
    <w:p>
      <w:pPr>
        <w:ind w:left="5460" w:hanging="96"/>
        <w:spacing w:after="0"/>
        <w:tabs>
          <w:tab w:leader="none" w:pos="54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220"/>
          </w:cols>
          <w:pgMar w:left="440" w:top="842" w:right="239" w:bottom="1440" w:gutter="0" w:footer="0" w:header="0"/>
        </w:sectPr>
      </w:pPr>
    </w:p>
    <w:bookmarkStart w:id="183" w:name="page184"/>
    <w:bookmarkEnd w:id="183"/>
    <w:p>
      <w:pPr>
        <w:ind w:left="1260" w:hanging="696"/>
        <w:spacing w:after="0"/>
        <w:tabs>
          <w:tab w:leader="none" w:pos="12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Participant has read this Award Agreement, its Exhibits and the Plan carefully and understands their terms.</w:t>
      </w:r>
    </w:p>
    <w:p>
      <w:pPr>
        <w:spacing w:after="0" w:line="254" w:lineRule="exact"/>
        <w:rPr>
          <w:rFonts w:ascii="Arial" w:cs="Arial" w:eastAsia="Arial" w:hAnsi="Arial"/>
          <w:sz w:val="19"/>
          <w:szCs w:val="19"/>
          <w:color w:val="auto"/>
        </w:rPr>
      </w:pPr>
    </w:p>
    <w:p>
      <w:pPr>
        <w:ind w:left="1260" w:hanging="696"/>
        <w:spacing w:after="0"/>
        <w:tabs>
          <w:tab w:leader="none" w:pos="12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Vesting; Forfeiture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45"/>
        <w:spacing w:after="0" w:line="250" w:lineRule="auto"/>
        <w:tabs>
          <w:tab w:leader="none" w:pos="1334" w:val="left"/>
        </w:tabs>
        <w:numPr>
          <w:ilvl w:val="1"/>
          <w:numId w:val="134"/>
        </w:numPr>
        <w:rPr>
          <w:rFonts w:ascii="Arial" w:cs="Arial" w:eastAsia="Arial" w:hAnsi="Arial"/>
          <w:sz w:val="22"/>
          <w:szCs w:val="22"/>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Vesting of the RSUs is conditioned on satisfaction of two vesting requirements before the tenth (10th)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anniversary of the Grant Date (unless earlier vested or forfeited pursuant to </w:t>
      </w:r>
      <w:r>
        <w:rPr>
          <w:rFonts w:ascii="Arial" w:cs="Arial" w:eastAsia="Arial" w:hAnsi="Arial"/>
          <w:sz w:val="22"/>
          <w:szCs w:val="22"/>
          <w:u w:val="single" w:color="auto"/>
          <w:color w:val="auto"/>
        </w:rPr>
        <w:t>Sections 4(b) - (e)</w:t>
      </w:r>
      <w:r>
        <w:rPr>
          <w:rFonts w:ascii="Arial" w:cs="Arial" w:eastAsia="Arial" w:hAnsi="Arial"/>
          <w:sz w:val="22"/>
          <w:szCs w:val="22"/>
          <w:color w:val="auto"/>
        </w:rPr>
        <w:t xml:space="preserve"> below): a time and service based requirement (the “</w:t>
      </w:r>
      <w:r>
        <w:rPr>
          <w:rFonts w:ascii="Arial" w:cs="Arial" w:eastAsia="Arial" w:hAnsi="Arial"/>
          <w:sz w:val="22"/>
          <w:szCs w:val="22"/>
          <w:u w:val="single" w:color="auto"/>
          <w:color w:val="auto"/>
        </w:rPr>
        <w:t>Time-Vesting Condition</w:t>
      </w:r>
      <w:r>
        <w:rPr>
          <w:rFonts w:ascii="Arial" w:cs="Arial" w:eastAsia="Arial" w:hAnsi="Arial"/>
          <w:sz w:val="22"/>
          <w:szCs w:val="22"/>
          <w:color w:val="auto"/>
        </w:rPr>
        <w:t>”) and a liquidity event requirement (the “</w:t>
      </w:r>
      <w:r>
        <w:rPr>
          <w:rFonts w:ascii="Arial" w:cs="Arial" w:eastAsia="Arial" w:hAnsi="Arial"/>
          <w:sz w:val="22"/>
          <w:szCs w:val="22"/>
          <w:u w:val="single" w:color="auto"/>
          <w:color w:val="auto"/>
        </w:rPr>
        <w:t>Performance-Vesting Condition</w:t>
      </w:r>
      <w:r>
        <w:rPr>
          <w:rFonts w:ascii="Arial" w:cs="Arial" w:eastAsia="Arial" w:hAnsi="Arial"/>
          <w:sz w:val="22"/>
          <w:szCs w:val="22"/>
          <w:color w:val="auto"/>
        </w:rPr>
        <w:t>”), each as described in clauses (i) and (ii), respectively, below:</w:t>
      </w:r>
    </w:p>
    <w:p>
      <w:pPr>
        <w:spacing w:after="0" w:line="188" w:lineRule="exact"/>
        <w:rPr>
          <w:rFonts w:ascii="Arial" w:cs="Arial" w:eastAsia="Arial" w:hAnsi="Arial"/>
          <w:sz w:val="22"/>
          <w:szCs w:val="22"/>
          <w:color w:val="auto"/>
        </w:rPr>
      </w:pPr>
    </w:p>
    <w:p>
      <w:pPr>
        <w:jc w:val="both"/>
        <w:ind w:left="1300" w:firstLine="642"/>
        <w:spacing w:after="0" w:line="261" w:lineRule="auto"/>
        <w:tabs>
          <w:tab w:leader="none" w:pos="2598"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Time-Vesting Condition will be satisfied with respect to (i) 10% of the aggregate Common Shares covered by the RSU on [</w:t>
      </w:r>
      <w:r>
        <w:rPr>
          <w:rFonts w:ascii="Arial" w:cs="Arial" w:eastAsia="Arial" w:hAnsi="Arial"/>
          <w:sz w:val="14"/>
          <w:szCs w:val="14"/>
          <w:color w:val="auto"/>
        </w:rPr>
        <w:t>l</w:t>
      </w:r>
      <w:r>
        <w:rPr>
          <w:rFonts w:ascii="Arial" w:cs="Arial" w:eastAsia="Arial" w:hAnsi="Arial"/>
          <w:sz w:val="22"/>
          <w:szCs w:val="22"/>
          <w:color w:val="auto"/>
        </w:rPr>
        <w:t>], (ii) 2.5% of the aggregate Common Shares covered by the RSU on the 15th day of each calendar quarter thereafter (for thirty-four (34) successive calendar quarters following the first (1st) anniversary of the Grant Date), and (iii) the final 5% vesting [</w:t>
      </w:r>
      <w:r>
        <w:rPr>
          <w:rFonts w:ascii="Arial" w:cs="Arial" w:eastAsia="Arial" w:hAnsi="Arial"/>
          <w:sz w:val="14"/>
          <w:szCs w:val="14"/>
          <w:color w:val="auto"/>
        </w:rPr>
        <w:t>l</w:t>
      </w:r>
      <w:r>
        <w:rPr>
          <w:rFonts w:ascii="Arial" w:cs="Arial" w:eastAsia="Arial" w:hAnsi="Arial"/>
          <w:sz w:val="22"/>
          <w:szCs w:val="22"/>
          <w:color w:val="auto"/>
        </w:rPr>
        <w:t>], provided, that the Participant’s Termination Date has not occurred prior to each applicable date.</w:t>
      </w:r>
    </w:p>
    <w:p>
      <w:pPr>
        <w:spacing w:after="0" w:line="177" w:lineRule="exact"/>
        <w:rPr>
          <w:rFonts w:ascii="Arial" w:cs="Arial" w:eastAsia="Arial" w:hAnsi="Arial"/>
          <w:sz w:val="22"/>
          <w:szCs w:val="22"/>
          <w:color w:val="auto"/>
        </w:rPr>
      </w:pPr>
    </w:p>
    <w:p>
      <w:pPr>
        <w:jc w:val="both"/>
        <w:ind w:left="1940" w:firstLine="650"/>
        <w:spacing w:after="0" w:line="290" w:lineRule="auto"/>
        <w:tabs>
          <w:tab w:leader="none" w:pos="3286" w:val="left"/>
        </w:tabs>
        <w:numPr>
          <w:ilvl w:val="3"/>
          <w:numId w:val="13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4(a)(i)</w:t>
      </w:r>
      <w:r>
        <w:rPr>
          <w:rFonts w:ascii="Arial" w:cs="Arial" w:eastAsia="Arial" w:hAnsi="Arial"/>
          <w:sz w:val="19"/>
          <w:szCs w:val="19"/>
          <w:color w:val="auto"/>
        </w:rPr>
        <w:t xml:space="preserve"> hereof, to the extent not previously satisfied, the Time-Vesting Condition will be satisfied as to 100% of the aggregate Common Shares covered by the RSU as of the date on which the Board certifies in writing that the Fair Market Value per share is equal to or greater than $[</w:t>
      </w:r>
      <w:r>
        <w:rPr>
          <w:rFonts w:ascii="Arial" w:cs="Arial" w:eastAsia="Arial" w:hAnsi="Arial"/>
          <w:sz w:val="13"/>
          <w:szCs w:val="13"/>
          <w:color w:val="auto"/>
        </w:rPr>
        <w:t>l</w:t>
      </w:r>
      <w:r>
        <w:rPr>
          <w:rFonts w:ascii="Arial" w:cs="Arial" w:eastAsia="Arial" w:hAnsi="Arial"/>
          <w:sz w:val="19"/>
          <w:szCs w:val="19"/>
          <w:color w:val="auto"/>
        </w:rPr>
        <w:t xml:space="preserve">] (as adjusted pursuant to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of the Plan) for a period of ninety (90) consecutive calendar days (which, following the occurrence of an Initial Public Offering, shall be determined by reference to the trailing ninety (90) day volume-weighted average closing per share price of the Common Shares over such period, and which, prior to the occurrence of an Initial Public Offering shall take into consideration the Company’s then most-recently completed independent valuation obtained for purposes of compliance with Section 409A of the Code); provided, that the Participant remains continuously employed by the Company as an employee (and not solely in any other service provider capacity such as an independent contractor or member of the Board) through such date.</w:t>
      </w:r>
    </w:p>
    <w:p>
      <w:pPr>
        <w:spacing w:after="0" w:line="161" w:lineRule="exact"/>
        <w:rPr>
          <w:rFonts w:ascii="Arial" w:cs="Arial" w:eastAsia="Arial" w:hAnsi="Arial"/>
          <w:sz w:val="19"/>
          <w:szCs w:val="19"/>
          <w:color w:val="auto"/>
        </w:rPr>
      </w:pPr>
    </w:p>
    <w:p>
      <w:pPr>
        <w:ind w:left="1300" w:firstLine="642"/>
        <w:spacing w:after="0" w:line="263" w:lineRule="auto"/>
        <w:tabs>
          <w:tab w:leader="none" w:pos="2658"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Performance-Vesting Condition will be satisfied on the earliest to occur of (A) the date of a Change in Control or (B) the consummation of an Initial Public Offering.</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no event shall any of the RSUs vest unless a Change in Control or Initial Public Offering occurs on or before the tenth (10th) anniversary of the Grant Date (the “</w:t>
      </w:r>
      <w:r>
        <w:rPr>
          <w:rFonts w:ascii="Arial" w:cs="Arial" w:eastAsia="Arial" w:hAnsi="Arial"/>
          <w:sz w:val="22"/>
          <w:szCs w:val="22"/>
          <w:u w:val="single" w:color="auto"/>
          <w:color w:val="auto"/>
        </w:rPr>
        <w:t>End Date</w:t>
      </w:r>
      <w:r>
        <w:rPr>
          <w:rFonts w:ascii="Arial" w:cs="Arial" w:eastAsia="Arial" w:hAnsi="Arial"/>
          <w:sz w:val="22"/>
          <w:szCs w:val="22"/>
          <w:color w:val="auto"/>
        </w:rPr>
        <w:t xml:space="preserve">”). The portion of the RSU for which the Time-Vesting Condition has been satisfied as described in </w:t>
      </w:r>
      <w:r>
        <w:rPr>
          <w:rFonts w:ascii="Arial" w:cs="Arial" w:eastAsia="Arial" w:hAnsi="Arial"/>
          <w:sz w:val="22"/>
          <w:szCs w:val="22"/>
          <w:u w:val="single" w:color="auto"/>
          <w:color w:val="auto"/>
        </w:rPr>
        <w:t>Section 4(a)(i)</w:t>
      </w:r>
      <w:r>
        <w:rPr>
          <w:rFonts w:ascii="Arial" w:cs="Arial" w:eastAsia="Arial" w:hAnsi="Arial"/>
          <w:sz w:val="22"/>
          <w:szCs w:val="22"/>
          <w:color w:val="auto"/>
        </w:rPr>
        <w:t xml:space="preserve"> (including </w:t>
      </w:r>
      <w:r>
        <w:rPr>
          <w:rFonts w:ascii="Arial" w:cs="Arial" w:eastAsia="Arial" w:hAnsi="Arial"/>
          <w:sz w:val="22"/>
          <w:szCs w:val="22"/>
          <w:u w:val="single" w:color="auto"/>
          <w:color w:val="auto"/>
        </w:rPr>
        <w:t>Section 4(a)(i)(1)</w:t>
      </w:r>
      <w:r>
        <w:rPr>
          <w:rFonts w:ascii="Arial" w:cs="Arial" w:eastAsia="Arial" w:hAnsi="Arial"/>
          <w:sz w:val="22"/>
          <w:szCs w:val="22"/>
          <w:color w:val="auto"/>
        </w:rPr>
        <w:t>) shall be referred to as the “</w:t>
      </w:r>
      <w:r>
        <w:rPr>
          <w:rFonts w:ascii="Arial" w:cs="Arial" w:eastAsia="Arial" w:hAnsi="Arial"/>
          <w:sz w:val="22"/>
          <w:szCs w:val="22"/>
          <w:u w:val="single" w:color="auto"/>
          <w:color w:val="auto"/>
        </w:rPr>
        <w:t>Time-Vested Portion</w:t>
      </w:r>
      <w:r>
        <w:rPr>
          <w:rFonts w:ascii="Arial" w:cs="Arial" w:eastAsia="Arial" w:hAnsi="Arial"/>
          <w:sz w:val="22"/>
          <w:szCs w:val="22"/>
          <w:color w:val="auto"/>
        </w:rPr>
        <w:t xml:space="preserve">” and the RSU that becomes vested upon satisfaction of the Performance-Vesting Condition as described in </w:t>
      </w:r>
      <w:r>
        <w:rPr>
          <w:rFonts w:ascii="Arial" w:cs="Arial" w:eastAsia="Arial" w:hAnsi="Arial"/>
          <w:sz w:val="22"/>
          <w:szCs w:val="22"/>
          <w:u w:val="single" w:color="auto"/>
          <w:color w:val="auto"/>
        </w:rPr>
        <w:t>Section 4(a)(ii)</w:t>
      </w:r>
      <w:r>
        <w:rPr>
          <w:rFonts w:ascii="Arial" w:cs="Arial" w:eastAsia="Arial" w:hAnsi="Arial"/>
          <w:sz w:val="22"/>
          <w:szCs w:val="22"/>
          <w:color w:val="auto"/>
        </w:rPr>
        <w:t xml:space="preserve"> shall be referred to as the “</w:t>
      </w:r>
      <w:r>
        <w:rPr>
          <w:rFonts w:ascii="Arial" w:cs="Arial" w:eastAsia="Arial" w:hAnsi="Arial"/>
          <w:sz w:val="22"/>
          <w:szCs w:val="22"/>
          <w:u w:val="single" w:color="auto"/>
          <w:color w:val="auto"/>
        </w:rPr>
        <w:t>Performance-Vested RSU.</w:t>
      </w:r>
      <w:r>
        <w:rPr>
          <w:rFonts w:ascii="Arial" w:cs="Arial" w:eastAsia="Arial" w:hAnsi="Arial"/>
          <w:sz w:val="22"/>
          <w:szCs w:val="22"/>
          <w:color w:val="auto"/>
        </w:rPr>
        <w:t>”</w:t>
      </w:r>
    </w:p>
    <w:p>
      <w:pPr>
        <w:spacing w:after="0" w:line="192" w:lineRule="exact"/>
        <w:rPr>
          <w:sz w:val="20"/>
          <w:szCs w:val="20"/>
          <w:color w:val="auto"/>
        </w:rPr>
      </w:pPr>
    </w:p>
    <w:p>
      <w:pPr>
        <w:ind w:left="1340" w:hanging="695"/>
        <w:spacing w:after="0"/>
        <w:tabs>
          <w:tab w:leader="none" w:pos="1340" w:val="left"/>
        </w:tabs>
        <w:numPr>
          <w:ilvl w:val="0"/>
          <w:numId w:val="135"/>
        </w:numPr>
        <w:rPr>
          <w:rFonts w:ascii="Arial" w:cs="Arial" w:eastAsia="Arial" w:hAnsi="Arial"/>
          <w:sz w:val="22"/>
          <w:szCs w:val="22"/>
          <w:i w:val="1"/>
          <w:iCs w:val="1"/>
          <w:color w:val="auto"/>
        </w:rPr>
      </w:pPr>
      <w:r>
        <w:rPr>
          <w:rFonts w:ascii="Arial" w:cs="Arial" w:eastAsia="Arial" w:hAnsi="Arial"/>
          <w:sz w:val="22"/>
          <w:szCs w:val="22"/>
          <w:i w:val="1"/>
          <w:iCs w:val="1"/>
          <w:color w:val="auto"/>
        </w:rPr>
        <w:t>Termination of Employment.</w:t>
      </w:r>
    </w:p>
    <w:p>
      <w:pPr>
        <w:spacing w:after="0" w:line="219" w:lineRule="exact"/>
        <w:rPr>
          <w:rFonts w:ascii="Arial" w:cs="Arial" w:eastAsia="Arial" w:hAnsi="Arial"/>
          <w:sz w:val="22"/>
          <w:szCs w:val="22"/>
          <w:i w:val="1"/>
          <w:iCs w:val="1"/>
          <w:color w:val="auto"/>
        </w:rPr>
      </w:pPr>
    </w:p>
    <w:p>
      <w:pPr>
        <w:ind w:left="2600" w:hanging="658"/>
        <w:spacing w:after="0"/>
        <w:tabs>
          <w:tab w:leader="none" w:pos="26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4(b)(ii), 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4(e)</w:t>
      </w:r>
      <w:r>
        <w:rPr>
          <w:rFonts w:ascii="Arial" w:cs="Arial" w:eastAsia="Arial" w:hAnsi="Arial"/>
          <w:sz w:val="22"/>
          <w:szCs w:val="22"/>
          <w:color w:val="auto"/>
        </w:rPr>
        <w:t xml:space="preserve"> hereof, and subject to the</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left="5460" w:hanging="96"/>
        <w:spacing w:after="0"/>
        <w:tabs>
          <w:tab w:leader="none" w:pos="54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20"/>
          </w:cols>
          <w:pgMar w:left="440" w:top="375" w:right="239" w:bottom="1440" w:gutter="0" w:footer="0" w:header="0"/>
        </w:sectPr>
      </w:pPr>
    </w:p>
    <w:bookmarkStart w:id="184" w:name="page185"/>
    <w:bookmarkEnd w:id="184"/>
    <w:p>
      <w:pPr>
        <w:jc w:val="both"/>
        <w:ind w:left="655"/>
        <w:spacing w:after="0" w:line="259" w:lineRule="auto"/>
        <w:rPr>
          <w:sz w:val="20"/>
          <w:szCs w:val="20"/>
          <w:color w:val="auto"/>
        </w:rPr>
      </w:pPr>
      <w:r>
        <w:rPr>
          <w:rFonts w:ascii="Arial" w:cs="Arial" w:eastAsia="Arial" w:hAnsi="Arial"/>
          <w:sz w:val="21"/>
          <w:szCs w:val="21"/>
          <w:color w:val="auto"/>
        </w:rPr>
        <w:t>Participant’s delivery and non-revocation of a Release (as defined below), upon a Participant’s involuntary termination not for Cause, the Participant shall be entitled to receive accelerated vesting of the portion of RSUs that did not meet the Time-Vesting Condition held by the Participant on the date of the Participant’s Termination Date with respect to that number of RSUs that would have become vested had the Participant remained continuously employed by the Company for twelve (12) months immediately following the date of termination. The Time- Vested Portion as of the Participant’s Termination Date shall remain outstanding and eligible to satisfy the Performance-Vesting Condition until the End Date. For the purposes of this Award Agreement, “Release” means a general release of claims in a form acceptable to the Company.</w:t>
      </w:r>
    </w:p>
    <w:p>
      <w:pPr>
        <w:spacing w:after="0" w:line="184" w:lineRule="exact"/>
        <w:rPr>
          <w:sz w:val="20"/>
          <w:szCs w:val="20"/>
          <w:color w:val="auto"/>
        </w:rPr>
      </w:pPr>
    </w:p>
    <w:p>
      <w:pPr>
        <w:jc w:val="both"/>
        <w:ind w:left="655" w:firstLine="642"/>
        <w:spacing w:after="0" w:line="259" w:lineRule="auto"/>
        <w:tabs>
          <w:tab w:leader="none" w:pos="2013" w:val="left"/>
        </w:tabs>
        <w:numPr>
          <w:ilvl w:val="1"/>
          <w:numId w:val="136"/>
        </w:numPr>
        <w:rPr>
          <w:rFonts w:ascii="Arial" w:cs="Arial" w:eastAsia="Arial" w:hAnsi="Arial"/>
          <w:sz w:val="21"/>
          <w:szCs w:val="21"/>
          <w:color w:val="auto"/>
        </w:rPr>
      </w:pPr>
      <w:r>
        <w:rPr>
          <w:rFonts w:ascii="Arial" w:cs="Arial" w:eastAsia="Arial" w:hAnsi="Arial"/>
          <w:sz w:val="21"/>
          <w:szCs w:val="21"/>
          <w:color w:val="auto"/>
        </w:rPr>
        <w:t>In the event of the Participant’s Termination Date due to the Participant’s death or Disability, the Time-Vesting Condition with respect to the RSUs that would have vested in the ordinary course in the twelve (12) months immediately following Participant’s Termination Date due to death or Disability shall be deemed fully satisfied, and, in each case, such Time-Vested Portion as of the Participant’s Termination Date shall remain outstanding and eligible to satisfy the Performance-Vesting Condition until the End Date for the benefit of the Participant or the Participant’s executor or administrator (as applicable), or the person or persons to whom the Participant’s rights under this Award Agreement shall pass by will or by the laws of descent and distribution as the case may be, to the extent set forth herein or in the Plan. Any heir or legatee of the Participant shall take rights herein granted subject to the terms and conditions hereof.</w:t>
      </w:r>
    </w:p>
    <w:p>
      <w:pPr>
        <w:spacing w:after="0" w:line="180" w:lineRule="exact"/>
        <w:rPr>
          <w:rFonts w:ascii="Arial" w:cs="Arial" w:eastAsia="Arial" w:hAnsi="Arial"/>
          <w:sz w:val="21"/>
          <w:szCs w:val="21"/>
          <w:color w:val="auto"/>
        </w:rPr>
      </w:pPr>
    </w:p>
    <w:p>
      <w:pPr>
        <w:jc w:val="both"/>
        <w:ind w:left="-645" w:firstLine="645"/>
        <w:spacing w:after="0" w:line="288" w:lineRule="auto"/>
        <w:tabs>
          <w:tab w:leader="none" w:pos="688" w:val="left"/>
        </w:tabs>
        <w:numPr>
          <w:ilvl w:val="0"/>
          <w:numId w:val="137"/>
        </w:numPr>
        <w:rPr>
          <w:rFonts w:ascii="Arial" w:cs="Arial" w:eastAsia="Arial" w:hAnsi="Arial"/>
          <w:sz w:val="19"/>
          <w:szCs w:val="19"/>
          <w:color w:val="auto"/>
        </w:rPr>
      </w:pPr>
      <w:r>
        <w:rPr>
          <w:rFonts w:ascii="Arial" w:cs="Arial" w:eastAsia="Arial" w:hAnsi="Arial"/>
          <w:sz w:val="19"/>
          <w:szCs w:val="19"/>
          <w:i w:val="1"/>
          <w:iCs w:val="1"/>
          <w:color w:val="auto"/>
        </w:rPr>
        <w:t xml:space="preserve">Change in Control. </w:t>
      </w:r>
      <w:r>
        <w:rPr>
          <w:rFonts w:ascii="Arial" w:cs="Arial" w:eastAsia="Arial" w:hAnsi="Arial"/>
          <w:sz w:val="19"/>
          <w:szCs w:val="19"/>
          <w:color w:val="auto"/>
        </w:rPr>
        <w:t>If, upon the occurrence of a Change in Control, the RSUs are not converted or assumed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such Change in Control, in either case, by a successor entity pursuant to the Plan, then, notwithstanding any other provisions of the Plan to the contrary, the RSUs shall, to the extent not previously canceled, become fully vested with respect to the Time-Vesting Condition immediately prior to such Change in Control, provided, that the Participant’s Termination Date has not occurred prior to such Change in Control. If, upon the occurrence of a Change in Control, the RSUs are converted or assumed in connection with such Change in Control, in either case, by a successor entity pursuant to the Plan, then, notwithstanding any other provisions of the Plan to the contrary, if the Participant’s Termination Date occurs by reason of a termination by the Company without Cause or as a result of the Participant’s resignation of employment with the Company for “Good Reason” (as defined below), in each case, within two (2) years following such Change in Control, the portion of the RSUs that have not satisfied the Time-Vesting Condition shall not be cancelled and the Time-Vesting Condition associated with such converted or assumed RSUs shall be deemed fully satisfied upon the Termination Date.</w:t>
      </w:r>
    </w:p>
    <w:p>
      <w:pPr>
        <w:spacing w:after="0" w:line="154" w:lineRule="exact"/>
        <w:rPr>
          <w:rFonts w:ascii="Arial" w:cs="Arial" w:eastAsia="Arial" w:hAnsi="Arial"/>
          <w:sz w:val="19"/>
          <w:szCs w:val="19"/>
          <w:color w:val="auto"/>
        </w:rPr>
      </w:pPr>
    </w:p>
    <w:p>
      <w:pPr>
        <w:jc w:val="both"/>
        <w:ind w:left="655" w:firstLine="642"/>
        <w:spacing w:after="0" w:line="247" w:lineRule="auto"/>
        <w:tabs>
          <w:tab w:leader="none" w:pos="1952"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 Participant’s resignation of employment for “Good Reason” shall mean Participant’s resignation following any one of the following acts by the Company (or failures by the Company to act): (i) a material negative change in the nature or status of the Participant’s responsibilities from those in effect as of the consummation of the Change in Control (the “</w:t>
      </w:r>
      <w:r>
        <w:rPr>
          <w:rFonts w:ascii="Arial" w:cs="Arial" w:eastAsia="Arial" w:hAnsi="Arial"/>
          <w:sz w:val="22"/>
          <w:szCs w:val="22"/>
          <w:u w:val="single" w:color="auto"/>
          <w:color w:val="auto"/>
        </w:rPr>
        <w:t>Closing</w:t>
      </w:r>
      <w:r>
        <w:rPr>
          <w:rFonts w:ascii="Arial" w:cs="Arial" w:eastAsia="Arial" w:hAnsi="Arial"/>
          <w:sz w:val="22"/>
          <w:szCs w:val="22"/>
          <w:color w:val="auto"/>
        </w:rPr>
        <w:t>”); (ii) a material negative change in the Participant’s base salary, except for any across-the-board reduction similarly affecting similarly-situated employees of the Company; or (iii) the</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left="4815" w:hanging="96"/>
        <w:spacing w:after="0"/>
        <w:tabs>
          <w:tab w:leader="none" w:pos="4815" w:val="left"/>
        </w:tabs>
        <w:numPr>
          <w:ilvl w:val="2"/>
          <w:numId w:val="13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5"/>
          </w:cols>
          <w:pgMar w:left="1085" w:top="375" w:right="239" w:bottom="1440" w:gutter="0" w:footer="0" w:header="0"/>
        </w:sectPr>
      </w:pPr>
    </w:p>
    <w:bookmarkStart w:id="185" w:name="page186"/>
    <w:bookmarkEnd w:id="185"/>
    <w:p>
      <w:pPr>
        <w:jc w:val="both"/>
        <w:ind w:left="655"/>
        <w:spacing w:after="0" w:line="259" w:lineRule="auto"/>
        <w:rPr>
          <w:sz w:val="20"/>
          <w:szCs w:val="20"/>
          <w:color w:val="auto"/>
        </w:rPr>
      </w:pPr>
      <w:r>
        <w:rPr>
          <w:rFonts w:ascii="Arial" w:cs="Arial" w:eastAsia="Arial" w:hAnsi="Arial"/>
          <w:sz w:val="21"/>
          <w:szCs w:val="21"/>
          <w:color w:val="auto"/>
        </w:rPr>
        <w:t xml:space="preserve">relocation of the Participant’s principal place of employment from the Participant’s principal place of employment as of the Closing to a location that results in an increase in the Participant’s daily commute of more than 50 miles in one direction;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each case that (I) the Participant notifies the Company in writing of the circumstances giving the Participant the right to resign for Good Reason within thirty (30) days of the existence of such circumstances, (II) the Company fails to cure such circumstances within thirty (30) days after receipt of such notice, and (III) the Participant then terminates his or her employment within ninety (90) days of such failure to cure. If the Participant does not timely do so, the right to resign for Good Reason shall lapse and be deemed waived with respect to those circumstances.</w:t>
      </w:r>
    </w:p>
    <w:p>
      <w:pPr>
        <w:spacing w:after="0" w:line="184" w:lineRule="exact"/>
        <w:rPr>
          <w:sz w:val="20"/>
          <w:szCs w:val="20"/>
          <w:color w:val="auto"/>
        </w:rPr>
      </w:pPr>
    </w:p>
    <w:p>
      <w:pPr>
        <w:jc w:val="both"/>
        <w:ind w:left="-645" w:firstLine="645"/>
        <w:spacing w:after="0" w:line="271" w:lineRule="auto"/>
        <w:tabs>
          <w:tab w:leader="none" w:pos="700" w:val="left"/>
        </w:tabs>
        <w:numPr>
          <w:ilvl w:val="0"/>
          <w:numId w:val="138"/>
        </w:numPr>
        <w:rPr>
          <w:rFonts w:ascii="Arial" w:cs="Arial" w:eastAsia="Arial" w:hAnsi="Arial"/>
          <w:sz w:val="21"/>
          <w:szCs w:val="21"/>
          <w:color w:val="auto"/>
        </w:rPr>
      </w:pPr>
      <w:r>
        <w:rPr>
          <w:rFonts w:ascii="Arial" w:cs="Arial" w:eastAsia="Arial" w:hAnsi="Arial"/>
          <w:sz w:val="21"/>
          <w:szCs w:val="21"/>
          <w:i w:val="1"/>
          <w:iCs w:val="1"/>
          <w:color w:val="auto"/>
        </w:rPr>
        <w:t xml:space="preserve">Initial Public Offering. </w:t>
      </w:r>
      <w:r>
        <w:rPr>
          <w:rFonts w:ascii="Arial" w:cs="Arial" w:eastAsia="Arial" w:hAnsi="Arial"/>
          <w:sz w:val="21"/>
          <w:szCs w:val="21"/>
          <w:color w:val="auto"/>
        </w:rPr>
        <w:t>For the avoidance of doubt, upon an Initial Public Offering no accelerated vesting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Time-Vesting Condition associated with the RSUs shall occur and upon a Participant’s Termination Date following an Initial Public Offering, all outstanding RSUs shall be treated in accordance with </w:t>
      </w:r>
      <w:r>
        <w:rPr>
          <w:rFonts w:ascii="Arial" w:cs="Arial" w:eastAsia="Arial" w:hAnsi="Arial"/>
          <w:sz w:val="21"/>
          <w:szCs w:val="21"/>
          <w:u w:val="single" w:color="auto"/>
          <w:color w:val="auto"/>
        </w:rPr>
        <w:t>Sections 4(b)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w:t>
      </w:r>
      <w:r>
        <w:rPr>
          <w:rFonts w:ascii="Arial" w:cs="Arial" w:eastAsia="Arial" w:hAnsi="Arial"/>
          <w:sz w:val="21"/>
          <w:szCs w:val="21"/>
          <w:color w:val="auto"/>
        </w:rPr>
        <w:t xml:space="preserve"> hereof.</w:t>
      </w:r>
    </w:p>
    <w:p>
      <w:pPr>
        <w:spacing w:after="0" w:line="167" w:lineRule="exact"/>
        <w:rPr>
          <w:rFonts w:ascii="Arial" w:cs="Arial" w:eastAsia="Arial" w:hAnsi="Arial"/>
          <w:sz w:val="21"/>
          <w:szCs w:val="21"/>
          <w:color w:val="auto"/>
        </w:rPr>
      </w:pPr>
    </w:p>
    <w:p>
      <w:pPr>
        <w:ind w:left="-645" w:firstLine="645"/>
        <w:spacing w:after="0" w:line="263" w:lineRule="auto"/>
        <w:tabs>
          <w:tab w:leader="none" w:pos="688"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 xml:space="preserve">Forfeiture. </w:t>
      </w:r>
      <w:r>
        <w:rPr>
          <w:rFonts w:ascii="Arial" w:cs="Arial" w:eastAsia="Arial" w:hAnsi="Arial"/>
          <w:sz w:val="22"/>
          <w:szCs w:val="22"/>
          <w:color w:val="auto"/>
        </w:rPr>
        <w:t>Subject to the provisions of the Plan and this Award Agreement, the RSU shall be forfeited and</w:t>
      </w:r>
      <w:r>
        <w:rPr>
          <w:rFonts w:ascii="Arial" w:cs="Arial" w:eastAsia="Arial" w:hAnsi="Arial"/>
          <w:sz w:val="22"/>
          <w:szCs w:val="22"/>
          <w:i w:val="1"/>
          <w:iCs w:val="1"/>
          <w:color w:val="auto"/>
        </w:rPr>
        <w:t xml:space="preserve"> </w:t>
      </w:r>
      <w:r>
        <w:rPr>
          <w:rFonts w:ascii="Arial" w:cs="Arial" w:eastAsia="Arial" w:hAnsi="Arial"/>
          <w:sz w:val="22"/>
          <w:szCs w:val="22"/>
          <w:color w:val="auto"/>
        </w:rPr>
        <w:t>cancelled for no consideration at the earlier to occur of:</w:t>
      </w:r>
    </w:p>
    <w:p>
      <w:pPr>
        <w:spacing w:after="0" w:line="174" w:lineRule="exact"/>
        <w:rPr>
          <w:rFonts w:ascii="Arial" w:cs="Arial" w:eastAsia="Arial" w:hAnsi="Arial"/>
          <w:sz w:val="22"/>
          <w:szCs w:val="22"/>
          <w:color w:val="auto"/>
        </w:rPr>
      </w:pPr>
    </w:p>
    <w:p>
      <w:pPr>
        <w:ind w:left="1295" w:hanging="646"/>
        <w:spacing w:after="0"/>
        <w:tabs>
          <w:tab w:leader="none" w:pos="1295"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End Date;</w:t>
      </w:r>
    </w:p>
    <w:p>
      <w:pPr>
        <w:spacing w:after="0" w:line="219" w:lineRule="exact"/>
        <w:rPr>
          <w:rFonts w:ascii="Arial" w:cs="Arial" w:eastAsia="Arial" w:hAnsi="Arial"/>
          <w:sz w:val="22"/>
          <w:szCs w:val="22"/>
          <w:color w:val="auto"/>
        </w:rPr>
      </w:pPr>
    </w:p>
    <w:p>
      <w:pPr>
        <w:jc w:val="both"/>
        <w:ind w:left="1295" w:hanging="646"/>
        <w:spacing w:after="0" w:line="285" w:lineRule="auto"/>
        <w:tabs>
          <w:tab w:leader="none" w:pos="1295"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the Participant’s Termination Date in the event of a termination of Participant’s employment for “Cause.” For the sake of clarity, the entire RSU (any Time-Vested Portion and/or any Performance-Vested Portion, as well as any portion outstanding and unvested) shall terminate and expire upon the Participant’s Termination Date in the event of a termination of Participant’s employment for “Cause.” For the purposes of this Award Agreement, a termination of the Participant’s employment for “Cause” shall occur if: (i) the Participant has engaged in intentional acts of fraud, embezzlement, theft, commission of a felony or proven dishonesty in the course of his employment or service, or (ii) the Participant has committed a willful material breach of the restrictive covenants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(Nonsolicitation and Noninterference with Business Relationships),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(Nonsolicitation and Noninterference with Covered Persons),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(False Statements of Fact)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(Confidential Information) of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which are legally enforceable under California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(I) the Company notifies the Participant in writing of the circumstances giving the Company the right to terminate the Participant’s employment for Cause within thirty (30) days of discovery by a majority of the members of the Board of the existence of such circumstances; provided that, prior to the earlier of a Change in Control or Initial Public Offering, such majority consists of all members of the Board who are employees of General Motors Company (“</w:t>
      </w:r>
      <w:r>
        <w:rPr>
          <w:rFonts w:ascii="Arial" w:cs="Arial" w:eastAsia="Arial" w:hAnsi="Arial"/>
          <w:sz w:val="19"/>
          <w:szCs w:val="19"/>
          <w:u w:val="single" w:color="auto"/>
          <w:color w:val="auto"/>
        </w:rPr>
        <w:t>GM</w:t>
      </w:r>
      <w:r>
        <w:rPr>
          <w:rFonts w:ascii="Arial" w:cs="Arial" w:eastAsia="Arial" w:hAnsi="Arial"/>
          <w:sz w:val="19"/>
          <w:szCs w:val="19"/>
          <w:color w:val="auto"/>
        </w:rPr>
        <w:t>”), (II) the Participant fails to cure, if possible, such circumstances within thirty (30) days after receipt of such notice, and (III) the Company then terminates Participant’s employment within ninety (90) days of such failure to cure. If the Company does not timely do so, the right to terminate Participant’s employment for Cause shall lapse and be deemed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4815" w:hanging="96"/>
        <w:spacing w:after="0"/>
        <w:tabs>
          <w:tab w:leader="none" w:pos="4815" w:val="left"/>
        </w:tabs>
        <w:numPr>
          <w:ilvl w:val="2"/>
          <w:numId w:val="13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75"/>
          </w:cols>
          <w:pgMar w:left="1085" w:top="375" w:right="239" w:bottom="1440" w:gutter="0" w:footer="0" w:header="0"/>
        </w:sectPr>
      </w:pPr>
    </w:p>
    <w:bookmarkStart w:id="186" w:name="page187"/>
    <w:bookmarkEnd w:id="186"/>
    <w:p>
      <w:pPr>
        <w:jc w:val="both"/>
        <w:ind w:left="1376"/>
        <w:spacing w:after="0" w:line="250" w:lineRule="auto"/>
        <w:rPr>
          <w:sz w:val="20"/>
          <w:szCs w:val="20"/>
          <w:color w:val="auto"/>
        </w:rPr>
      </w:pPr>
      <w:r>
        <w:rPr>
          <w:rFonts w:ascii="Arial" w:cs="Arial" w:eastAsia="Arial" w:hAnsi="Arial"/>
          <w:sz w:val="22"/>
          <w:szCs w:val="22"/>
          <w:color w:val="auto"/>
        </w:rPr>
        <w:t>waived with respect to those circumstances. For the avoidance of doubt, the definition of “Cause” set forth in this Award Agreement shall, solely for purposes of this Award Agreement, supersede any other definition of “Cause” set forth in the Plan or any other agreement between the Participant and the Company.</w:t>
      </w:r>
    </w:p>
    <w:p>
      <w:pPr>
        <w:spacing w:after="0" w:line="188" w:lineRule="exact"/>
        <w:rPr>
          <w:sz w:val="20"/>
          <w:szCs w:val="20"/>
          <w:color w:val="auto"/>
        </w:rPr>
      </w:pPr>
    </w:p>
    <w:p>
      <w:pPr>
        <w:ind w:left="696" w:hanging="696"/>
        <w:spacing w:after="0"/>
        <w:tabs>
          <w:tab w:leader="none" w:pos="69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Settlement;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564" w:firstLine="645"/>
        <w:spacing w:after="0" w:line="312" w:lineRule="auto"/>
        <w:tabs>
          <w:tab w:leader="none" w:pos="76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Except as otherwise provided herein or in the Plan, the Company will deliver to the Participant the number of Common Shares equal to the portion of the RSU that has satisfied both the Time-Vesting Condition and the Performance-Vesting Condition no later than thirty (30) days following the applicable date on which both conditions are satisfied.</w:t>
      </w:r>
    </w:p>
    <w:p>
      <w:pPr>
        <w:spacing w:after="0" w:line="133" w:lineRule="exact"/>
        <w:rPr>
          <w:rFonts w:ascii="Arial" w:cs="Arial" w:eastAsia="Arial" w:hAnsi="Arial"/>
          <w:sz w:val="19"/>
          <w:szCs w:val="19"/>
          <w:color w:val="auto"/>
        </w:rPr>
      </w:pPr>
    </w:p>
    <w:p>
      <w:pPr>
        <w:jc w:val="both"/>
        <w:ind w:left="-564" w:firstLine="645"/>
        <w:spacing w:after="0" w:line="288" w:lineRule="auto"/>
        <w:tabs>
          <w:tab w:leader="none" w:pos="781"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Company or any Affiliate shall have the right and is hereby authorized to (but is not required to) withhold from this RSU, any payment due or transfer made under the RSU or under the Plan or from any compensation or other amount owing to the Participant the amount (in cash, Common Shares, other securities, other awards or other property) of any applicable withholding taxes in respect of this RSU and to take such action as may be necessary with respect to the RSU to satisfy all obligations for the payment of such taxes (but no more than the maximum individual statutory rate for the applicable tax jurisdiction). Notwithstanding any provision of the Plan to the contrary, the Participant may, at his sole discretion, elect to have the Company withhold a number of RSUs upon the settlement of the Participant’s RSUs otherwise to be settled with a Fair Market Value equal to the amount of the Participant’s income and employment tax withholding obligations having a value not exceeding the amount determined by using the applicable maximum required statutory tax withholding rates in the applicable jurisdiction and valued at their Fair Market Value on the date of withholding, with any fractional share amounts settled in cash.</w:t>
      </w:r>
    </w:p>
    <w:p>
      <w:pPr>
        <w:spacing w:after="0" w:line="160" w:lineRule="exact"/>
        <w:rPr>
          <w:rFonts w:ascii="Arial" w:cs="Arial" w:eastAsia="Arial" w:hAnsi="Arial"/>
          <w:sz w:val="19"/>
          <w:szCs w:val="19"/>
          <w:color w:val="auto"/>
        </w:rPr>
      </w:pPr>
    </w:p>
    <w:p>
      <w:pPr>
        <w:jc w:val="both"/>
        <w:ind w:left="-644" w:firstLine="644"/>
        <w:spacing w:after="0" w:line="287" w:lineRule="auto"/>
        <w:tabs>
          <w:tab w:leader="none" w:pos="70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Distributions; Rights as Stockholder</w:t>
      </w:r>
      <w:r>
        <w:rPr>
          <w:rFonts w:ascii="Arial" w:cs="Arial" w:eastAsia="Arial" w:hAnsi="Arial"/>
          <w:sz w:val="19"/>
          <w:szCs w:val="19"/>
          <w:color w:val="auto"/>
        </w:rPr>
        <w:t>. Cash Distributions on the number of Common Shares issuable hereunder shall be credited to a Distribution book entry account on behalf of the Participant with respect to each RSU granted to the Participant, provided that such cash Distributions shall not be deemed to be reinvested in Common Shares and shall be held uninvested and without interest and paid in cash at the same time that the Common Shares underlying the RSUs are delivered to the Participant in accordance with the provisions hereof. Stock or property Distributions on Common Shares shall be credited to a Distribution book entry account on behalf of the Participant with respect to each RSU granted to the Participant, provided that such stock or property Distributions shall be paid, in the sole discretion of the Board, in (a) Common Shares, (b) in the case of a spin-off, shares of stock of the entity that is spun-off from the Company, (c) other property or (d) cash payments equal to the Fair Market Value of such stock or property Distributions, as applicable and in each case, at the same time that the Common Shares underlying the RSUs are delivered to the Participant in accordance with the provisions hereof. Except as otherwise provided herein, the Participant shall have no rights as a stockholder with respect to any Common Shares covered by any RSU unless and until the Participant has become the holder of record of such shares.</w:t>
      </w:r>
    </w:p>
    <w:p>
      <w:pPr>
        <w:spacing w:after="0" w:line="160" w:lineRule="exact"/>
        <w:rPr>
          <w:sz w:val="20"/>
          <w:szCs w:val="20"/>
          <w:color w:val="auto"/>
        </w:rPr>
      </w:pPr>
    </w:p>
    <w:p>
      <w:pPr>
        <w:jc w:val="both"/>
        <w:ind w:left="-564" w:firstLine="645"/>
        <w:spacing w:after="0" w:line="302" w:lineRule="auto"/>
        <w:tabs>
          <w:tab w:leader="none" w:pos="69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The RSU shall be subject to the transfer restrictions as provided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advance written notice to the Company a transfer of the RSU shall be permitted in the event of transfers made to the Participant’s family members, to family trusts or to Participant family controlled entities and/or pursuant to lawful domestic relations orders or agreements, in all cases without payment for such transfers to the Participant and pursuant to such</w:t>
      </w:r>
    </w:p>
    <w:p>
      <w:pPr>
        <w:spacing w:after="0" w:line="379" w:lineRule="exact"/>
        <w:rPr>
          <w:rFonts w:ascii="Arial" w:cs="Arial" w:eastAsia="Arial" w:hAnsi="Arial"/>
          <w:sz w:val="19"/>
          <w:szCs w:val="19"/>
          <w:color w:val="auto"/>
        </w:rPr>
      </w:pPr>
    </w:p>
    <w:p>
      <w:pPr>
        <w:ind w:left="4896" w:hanging="96"/>
        <w:spacing w:after="0"/>
        <w:tabs>
          <w:tab w:leader="none" w:pos="489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656"/>
          </w:cols>
          <w:pgMar w:left="1004" w:top="375" w:right="239" w:bottom="1440" w:gutter="0" w:footer="0" w:header="0"/>
        </w:sectPr>
      </w:pPr>
    </w:p>
    <w:bookmarkStart w:id="187" w:name="page188"/>
    <w:bookmarkEnd w:id="187"/>
    <w:p>
      <w:pPr>
        <w:ind w:left="20"/>
        <w:spacing w:after="0"/>
        <w:rPr>
          <w:sz w:val="20"/>
          <w:szCs w:val="20"/>
          <w:color w:val="auto"/>
        </w:rPr>
      </w:pPr>
      <w:r>
        <w:rPr>
          <w:rFonts w:ascii="Arial" w:cs="Arial" w:eastAsia="Arial" w:hAnsi="Arial"/>
          <w:sz w:val="22"/>
          <w:szCs w:val="22"/>
          <w:color w:val="auto"/>
        </w:rPr>
        <w:t>form of transfer agreement as the Company may reasonably require.</w:t>
      </w:r>
    </w:p>
    <w:p>
      <w:pPr>
        <w:spacing w:after="0" w:line="220" w:lineRule="exact"/>
        <w:rPr>
          <w:sz w:val="20"/>
          <w:szCs w:val="20"/>
          <w:color w:val="auto"/>
        </w:rPr>
      </w:pPr>
    </w:p>
    <w:p>
      <w:pPr>
        <w:jc w:val="both"/>
        <w:ind w:left="-60" w:firstLine="644"/>
        <w:spacing w:after="0" w:line="257" w:lineRule="auto"/>
        <w:tabs>
          <w:tab w:leader="none" w:pos="1291"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Restrictive Covenant Violation</w:t>
      </w:r>
      <w:r>
        <w:rPr>
          <w:rFonts w:ascii="Arial" w:cs="Arial" w:eastAsia="Arial" w:hAnsi="Arial"/>
          <w:sz w:val="21"/>
          <w:szCs w:val="21"/>
          <w:color w:val="auto"/>
        </w:rPr>
        <w:t xml:space="preserve">. In the event of a willful material breach with respect to the restrictive covenants set forth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(Nonsolicitation and Noninterference with Business Relationships),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(Nonsolicitation and Noninterference with Covered Persons),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(False Statements of Fact) and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(Confidential Information) of the attached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which are legally enforceable under California law, the Board may, in its discretion to the extent provided in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terminate and cancel the RSUs, to the extent outstanding at the time the violation is discovered, and/or require the Participant to promptly return any Common Shares received upon any previous vesting of the RSU (or, if the Participant transferred the Common Shares, a payment equal to the current Fair Market Value thereof) for no consideration;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in each case that the Company seeks to invoke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(I) the Company first notifies the Participant in writing of the circumstances giving the Company the right to invoke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within thirty (30) days after the violation is discovered by a majority of the members of the Board; provided that, prior to the earlier of a Change in Control or Initial Public Offering, such majority consists of all members of the Board who are employees of GM, (II) the Participant fails to cure, if possible, such violation within thirty (30) days after receipt of such notice, and (III) the Company then determines, in its discretion, whether to terminate and cancel any RSUs and otherwise enforce its rights under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within ninety (90) days of such failure to cure. If the Company does not timely do so, the right to invoke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shall lapse and be deemed waived with respect to such violation.</w:t>
      </w:r>
    </w:p>
    <w:p>
      <w:pPr>
        <w:spacing w:after="0" w:line="18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Notwithstanding any other provision of the Plan or this Award Agreement to the contrary, the Participant’s obligation to return any Common Shares received upon any previous vesting of the RSU (or, if the Participant transferred the Common Shares, a payment equal to the current Fair Market Value thereof) shall in no event exceed the net after-tax number of Common Shares received by Participant upon any previous vesting of the RSU after deducting all federal and state income and employment taxes which were payable by Participant upon the receipt of such Common Shares and (if the Participant has previously transferred any Common Shares) upon the transfer of such Common Shares.</w:t>
      </w:r>
    </w:p>
    <w:p>
      <w:pPr>
        <w:spacing w:after="0" w:line="180" w:lineRule="exact"/>
        <w:rPr>
          <w:sz w:val="20"/>
          <w:szCs w:val="20"/>
          <w:color w:val="auto"/>
        </w:rPr>
      </w:pPr>
    </w:p>
    <w:p>
      <w:pPr>
        <w:jc w:val="both"/>
        <w:ind w:left="-60" w:firstLine="644"/>
        <w:spacing w:after="0" w:line="257" w:lineRule="auto"/>
        <w:tabs>
          <w:tab w:leader="none" w:pos="1291"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Conditions Precedent to Award Agreement</w:t>
      </w:r>
      <w:r>
        <w:rPr>
          <w:rFonts w:ascii="Arial" w:cs="Arial" w:eastAsia="Arial" w:hAnsi="Arial"/>
          <w:sz w:val="21"/>
          <w:szCs w:val="21"/>
          <w:color w:val="auto"/>
        </w:rPr>
        <w:t xml:space="preserve">. As a condition precedent to the vesting, payment or settlement of any portion of the RSU at any time prior to a Change in Control, the Participant shall: (i) refrain from engaging in any activity that could reasonably be expected to cause material harm to the Company or is in any manner materially and intentionally inimical or in any way materially detrimental to the Company, in each case as determined by the Board in good faith and (ii) furnish to the Company such information with respect to the satisfaction of the foregoing conditions precedent as the Board may reasonably request. In addition, the Board may require Participant to enter into such agreements as the Board considers appropriate related to the subject matter of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The failure by the Participant to satisfy either of the foregoing conditions precedent shall result in the immediate cancellation of the unvested portion of any Award and any vested Award that has not yet been paid or settled and the Participant will not be entitled to receive any consideration with respect to such cancellation;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prior to the cancellation of any Award as described in this </w:t>
      </w:r>
      <w:r>
        <w:rPr>
          <w:rFonts w:ascii="Arial" w:cs="Arial" w:eastAsia="Arial" w:hAnsi="Arial"/>
          <w:sz w:val="21"/>
          <w:szCs w:val="21"/>
          <w:u w:val="single" w:color="auto"/>
          <w:color w:val="auto"/>
        </w:rPr>
        <w:t>Section 9</w:t>
      </w:r>
      <w:r>
        <w:rPr>
          <w:rFonts w:ascii="Arial" w:cs="Arial" w:eastAsia="Arial" w:hAnsi="Arial"/>
          <w:sz w:val="21"/>
          <w:szCs w:val="21"/>
          <w:color w:val="auto"/>
        </w:rPr>
        <w:t>, (I) the Board notifies the Participant in writing of the circumstances giving the Company the right to cancel the RSU within thirty (30) days after such circumstances are discovered by a majority of the members of the Board; provided that, prior to the earlier of a Change in Control or Initial Public Offering, such majority consists of all members of the Board who are employees of GM, (II) the Participant fails to cure, if possible, such circumstances</w:t>
      </w: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480" w:hanging="96"/>
        <w:spacing w:after="0"/>
        <w:tabs>
          <w:tab w:leader="none" w:pos="5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240"/>
          </w:cols>
          <w:pgMar w:left="420" w:top="375" w:right="239" w:bottom="1440" w:gutter="0" w:footer="0" w:header="0"/>
        </w:sectPr>
      </w:pPr>
    </w:p>
    <w:bookmarkStart w:id="188" w:name="page189"/>
    <w:bookmarkEnd w:id="188"/>
    <w:p>
      <w:pPr>
        <w:ind w:left="4"/>
        <w:spacing w:after="0"/>
        <w:rPr>
          <w:sz w:val="20"/>
          <w:szCs w:val="20"/>
          <w:color w:val="auto"/>
        </w:rPr>
      </w:pPr>
      <w:r>
        <w:rPr>
          <w:rFonts w:ascii="Arial" w:cs="Arial" w:eastAsia="Arial" w:hAnsi="Arial"/>
          <w:sz w:val="19"/>
          <w:szCs w:val="19"/>
          <w:color w:val="auto"/>
        </w:rPr>
        <w:t>within thirty (30) days following his receipt of such notice and (III) the Board then cancels the Participant’s RSU within ninety</w:t>
      </w:r>
    </w:p>
    <w:p>
      <w:pPr>
        <w:spacing w:after="0" w:line="56" w:lineRule="exact"/>
        <w:rPr>
          <w:sz w:val="20"/>
          <w:szCs w:val="20"/>
          <w:color w:val="auto"/>
        </w:rPr>
      </w:pPr>
    </w:p>
    <w:p>
      <w:pPr>
        <w:jc w:val="both"/>
        <w:ind w:left="4" w:hanging="4"/>
        <w:spacing w:after="0" w:line="260" w:lineRule="auto"/>
        <w:tabs>
          <w:tab w:leader="none" w:pos="42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days of such failure to cure; provided that, after the discovery of such circumstances giving the Company the right to cancel the RSU and before the cancellation of the RSU, the Participant is granted an opportunity to meet with the Board (with legal counsel, if desired) to address the existence of such circumstances. If the Board does not timely do so, the right to cancel the Participant’s RSU shall lapse and be deemed waived with respect to those circumstances.</w:t>
      </w:r>
    </w:p>
    <w:p>
      <w:pPr>
        <w:spacing w:after="0" w:line="178" w:lineRule="exact"/>
        <w:rPr>
          <w:rFonts w:ascii="Arial" w:cs="Arial" w:eastAsia="Arial" w:hAnsi="Arial"/>
          <w:sz w:val="21"/>
          <w:szCs w:val="21"/>
          <w:color w:val="auto"/>
        </w:rPr>
      </w:pPr>
    </w:p>
    <w:p>
      <w:pPr>
        <w:jc w:val="both"/>
        <w:ind w:left="4" w:firstLine="644"/>
        <w:spacing w:after="0" w:line="253" w:lineRule="auto"/>
        <w:tabs>
          <w:tab w:leader="none" w:pos="1463"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Upon the acquisition of any Common Shares pursuant to the vesting of the RSU, the Participant will make or enter into such written representations, warranties and agreements as the Board may reasonably request in order to comply with applicable securities laws or with this Award Agreement.</w:t>
      </w:r>
    </w:p>
    <w:p>
      <w:pPr>
        <w:spacing w:after="0" w:line="185" w:lineRule="exact"/>
        <w:rPr>
          <w:rFonts w:ascii="Arial" w:cs="Arial" w:eastAsia="Arial" w:hAnsi="Arial"/>
          <w:sz w:val="22"/>
          <w:szCs w:val="22"/>
          <w:color w:val="auto"/>
        </w:rPr>
      </w:pPr>
    </w:p>
    <w:p>
      <w:pPr>
        <w:jc w:val="both"/>
        <w:ind w:left="84" w:firstLine="645"/>
        <w:spacing w:after="0" w:line="302" w:lineRule="auto"/>
        <w:tabs>
          <w:tab w:leader="none" w:pos="1440" w:val="left"/>
        </w:tabs>
        <w:numPr>
          <w:ilvl w:val="2"/>
          <w:numId w:val="14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necessary under this Award Agreement shall be addressed to the Company in care of its General Counsel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142" w:lineRule="exact"/>
        <w:rPr>
          <w:rFonts w:ascii="Arial" w:cs="Arial" w:eastAsia="Arial" w:hAnsi="Arial"/>
          <w:sz w:val="19"/>
          <w:szCs w:val="19"/>
          <w:color w:val="auto"/>
        </w:rPr>
      </w:pPr>
    </w:p>
    <w:p>
      <w:pPr>
        <w:jc w:val="both"/>
        <w:ind w:left="84" w:firstLine="645"/>
        <w:spacing w:after="0" w:line="253" w:lineRule="auto"/>
        <w:tabs>
          <w:tab w:leader="none" w:pos="1448" w:val="left"/>
        </w:tabs>
        <w:numPr>
          <w:ilvl w:val="2"/>
          <w:numId w:val="14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INTERPRETATION, PERFORMANCE AND ENFORCEMENT OF THIS AGREEMENT SHALL BE GOVERNED BY THE LAWS OF THE STATE OF DELAWARE WITHOUT REGARD TO PRINCIPLES OF CONFLICTS OF LAW.</w:t>
      </w:r>
    </w:p>
    <w:p>
      <w:pPr>
        <w:spacing w:after="0" w:line="185" w:lineRule="exact"/>
        <w:rPr>
          <w:rFonts w:ascii="Arial" w:cs="Arial" w:eastAsia="Arial" w:hAnsi="Arial"/>
          <w:sz w:val="22"/>
          <w:szCs w:val="22"/>
          <w:color w:val="auto"/>
        </w:rPr>
      </w:pPr>
    </w:p>
    <w:p>
      <w:pPr>
        <w:jc w:val="both"/>
        <w:ind w:left="84" w:firstLine="645"/>
        <w:spacing w:after="0" w:line="290" w:lineRule="auto"/>
        <w:tabs>
          <w:tab w:leader="none" w:pos="1448" w:val="left"/>
        </w:tabs>
        <w:numPr>
          <w:ilvl w:val="2"/>
          <w:numId w:val="143"/>
        </w:numPr>
        <w:rPr>
          <w:rFonts w:ascii="Arial" w:cs="Arial" w:eastAsia="Arial" w:hAnsi="Arial"/>
          <w:sz w:val="19"/>
          <w:szCs w:val="19"/>
          <w:color w:val="auto"/>
        </w:rPr>
      </w:pPr>
      <w:r>
        <w:rPr>
          <w:rFonts w:ascii="Arial" w:cs="Arial" w:eastAsia="Arial" w:hAnsi="Arial"/>
          <w:sz w:val="19"/>
          <w:szCs w:val="19"/>
          <w:u w:val="single" w:color="auto"/>
          <w:color w:val="auto"/>
        </w:rPr>
        <w:t>RSU Subject to Plan and the LLC Agreement</w:t>
      </w:r>
      <w:r>
        <w:rPr>
          <w:rFonts w:ascii="Arial" w:cs="Arial" w:eastAsia="Arial" w:hAnsi="Arial"/>
          <w:sz w:val="19"/>
          <w:szCs w:val="19"/>
          <w:color w:val="auto"/>
        </w:rPr>
        <w:t>. By entering into this Award Agreement, the Participant agrees and acknowledges that a copy of the Plan and the LLC Agreement has been made available to the Participant. The Participant and the Company both acknowledge that the RSU granted hereunder and the underlying Common Shares are subject to the Plan and the LLC Agreement. The terms and provisions of the Plan as it may be amended from time to time are hereby incorporated herein by reference; provided that any amendment to the Plan which significantly impairs the Participant’s rights under this Agreement shall not to that extent be effective without the written consent of the Participant (or the Participant’s estate in the case of his or her death). The terms and provisions of the LLC Agreement may be amended from time to time in accordance with the LLC Agreement and are hereby incorporated herein by reference.</w:t>
      </w:r>
    </w:p>
    <w:p>
      <w:pPr>
        <w:spacing w:after="0" w:line="157" w:lineRule="exact"/>
        <w:rPr>
          <w:sz w:val="20"/>
          <w:szCs w:val="20"/>
          <w:color w:val="auto"/>
        </w:rPr>
      </w:pPr>
    </w:p>
    <w:p>
      <w:pPr>
        <w:jc w:val="both"/>
        <w:ind w:left="4" w:right="20" w:firstLine="644"/>
        <w:spacing w:after="0" w:line="253" w:lineRule="auto"/>
        <w:tabs>
          <w:tab w:leader="none" w:pos="146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Spousal Consent</w:t>
      </w:r>
      <w:r>
        <w:rPr>
          <w:rFonts w:ascii="Arial" w:cs="Arial" w:eastAsia="Arial" w:hAnsi="Arial"/>
          <w:sz w:val="22"/>
          <w:szCs w:val="22"/>
          <w:color w:val="auto"/>
        </w:rPr>
        <w:t>. To the extent the Committee determines such consent is advisable and/or necessary, in connection with and as a condition to the grant of an Award under this Plan, the Committee may require a Participant who is lawfully married to complete a form of spousal consent.</w:t>
      </w:r>
    </w:p>
    <w:p>
      <w:pPr>
        <w:spacing w:after="0" w:line="185" w:lineRule="exact"/>
        <w:rPr>
          <w:rFonts w:ascii="Arial" w:cs="Arial" w:eastAsia="Arial" w:hAnsi="Arial"/>
          <w:sz w:val="22"/>
          <w:szCs w:val="22"/>
          <w:color w:val="auto"/>
        </w:rPr>
      </w:pPr>
    </w:p>
    <w:p>
      <w:pPr>
        <w:ind w:left="4" w:right="20" w:firstLine="644"/>
        <w:spacing w:after="0" w:line="263" w:lineRule="auto"/>
        <w:tabs>
          <w:tab w:leader="none" w:pos="146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Award Agreement may be signed in counterparts, each of which shall be an original, with the same effect as if the signatures thereto and hereto were upon the same instrument.</w:t>
      </w:r>
    </w:p>
    <w:p>
      <w:pPr>
        <w:spacing w:after="0" w:line="174" w:lineRule="exact"/>
        <w:rPr>
          <w:rFonts w:ascii="Arial" w:cs="Arial" w:eastAsia="Arial" w:hAnsi="Arial"/>
          <w:sz w:val="22"/>
          <w:szCs w:val="22"/>
          <w:color w:val="auto"/>
        </w:rPr>
      </w:pPr>
    </w:p>
    <w:p>
      <w:pPr>
        <w:jc w:val="both"/>
        <w:ind w:left="4" w:right="100" w:firstLine="644"/>
        <w:spacing w:after="0" w:line="250" w:lineRule="auto"/>
        <w:tabs>
          <w:tab w:leader="none" w:pos="146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Personal Information</w:t>
      </w:r>
      <w:r>
        <w:rPr>
          <w:rFonts w:ascii="Arial" w:cs="Arial" w:eastAsia="Arial" w:hAnsi="Arial"/>
          <w:sz w:val="22"/>
          <w:szCs w:val="22"/>
          <w:color w:val="auto"/>
        </w:rPr>
        <w:t>. To enable the Company to issue this Award to the Participant, and administer the Plan and any Award, by entering into this Award Agreement the Participant consents to the holding and processing of personal information provided by the Participant to the Company or any Subsidiary, trustee or third party service provider, for all purposes relating to the operation of the Plan.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7" w:lineRule="exact"/>
        <w:rPr>
          <w:rFonts w:ascii="Arial" w:cs="Arial" w:eastAsia="Arial" w:hAnsi="Arial"/>
          <w:sz w:val="22"/>
          <w:szCs w:val="22"/>
          <w:color w:val="auto"/>
        </w:rPr>
      </w:pPr>
    </w:p>
    <w:p>
      <w:pPr>
        <w:ind w:left="5544" w:hanging="96"/>
        <w:spacing w:after="0"/>
        <w:tabs>
          <w:tab w:leader="none" w:pos="55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04"/>
          </w:cols>
          <w:pgMar w:left="356" w:top="37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Employee Incentive Plan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Award Agreement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Private and Confidential</w:t>
      </w:r>
    </w:p>
    <w:p>
      <w:pPr>
        <w:spacing w:after="0" w:line="307" w:lineRule="exact"/>
        <w:rPr>
          <w:sz w:val="20"/>
          <w:szCs w:val="20"/>
          <w:color w:val="auto"/>
        </w:rPr>
      </w:pPr>
    </w:p>
    <w:p>
      <w:pPr>
        <w:ind w:left="120"/>
        <w:spacing w:after="0" w:line="304" w:lineRule="auto"/>
        <w:rPr>
          <w:sz w:val="20"/>
          <w:szCs w:val="20"/>
          <w:color w:val="auto"/>
        </w:rPr>
      </w:pPr>
      <w:r>
        <w:rPr>
          <w:rFonts w:ascii="Arial" w:cs="Arial" w:eastAsia="Arial" w:hAnsi="Arial"/>
          <w:sz w:val="19"/>
          <w:szCs w:val="19"/>
          <w:color w:val="auto"/>
        </w:rPr>
        <w:t>This Award Agreement describes the details under which you (“</w:t>
      </w:r>
      <w:r>
        <w:rPr>
          <w:rFonts w:ascii="Arial" w:cs="Arial" w:eastAsia="Arial" w:hAnsi="Arial"/>
          <w:sz w:val="19"/>
          <w:szCs w:val="19"/>
          <w:u w:val="single" w:color="auto"/>
          <w:color w:val="auto"/>
        </w:rPr>
        <w:t>you</w:t>
      </w:r>
      <w:r>
        <w:rPr>
          <w:rFonts w:ascii="Arial" w:cs="Arial" w:eastAsia="Arial" w:hAnsi="Arial"/>
          <w:sz w:val="19"/>
          <w:szCs w:val="19"/>
          <w:color w:val="auto"/>
        </w:rPr>
        <w:t>” or the “</w:t>
      </w:r>
      <w:r>
        <w:rPr>
          <w:rFonts w:ascii="Arial" w:cs="Arial" w:eastAsia="Arial" w:hAnsi="Arial"/>
          <w:sz w:val="19"/>
          <w:szCs w:val="19"/>
          <w:u w:val="single" w:color="auto"/>
          <w:color w:val="auto"/>
        </w:rPr>
        <w:t>Participant</w:t>
      </w:r>
      <w:r>
        <w:rPr>
          <w:rFonts w:ascii="Arial" w:cs="Arial" w:eastAsia="Arial" w:hAnsi="Arial"/>
          <w:sz w:val="19"/>
          <w:szCs w:val="19"/>
          <w:color w:val="auto"/>
        </w:rPr>
        <w:t>”) are being granted a Stock Option Award (the “</w:t>
      </w:r>
      <w:r>
        <w:rPr>
          <w:rFonts w:ascii="Arial" w:cs="Arial" w:eastAsia="Arial" w:hAnsi="Arial"/>
          <w:sz w:val="19"/>
          <w:szCs w:val="19"/>
          <w:u w:val="single" w:color="auto"/>
          <w:color w:val="auto"/>
        </w:rPr>
        <w:t>Option</w:t>
      </w:r>
      <w:r>
        <w:rPr>
          <w:rFonts w:ascii="Arial" w:cs="Arial" w:eastAsia="Arial" w:hAnsi="Arial"/>
          <w:sz w:val="19"/>
          <w:szCs w:val="19"/>
          <w:color w:val="auto"/>
        </w:rPr>
        <w:t>”) consisting of an option to acquire [</w:t>
      </w:r>
      <w:r>
        <w:rPr>
          <w:rFonts w:ascii="Arial" w:cs="Arial" w:eastAsia="Arial" w:hAnsi="Arial"/>
          <w:sz w:val="11"/>
          <w:szCs w:val="11"/>
          <w:color w:val="auto"/>
        </w:rPr>
        <w:t>l</w:t>
      </w:r>
      <w:r>
        <w:rPr>
          <w:rFonts w:ascii="Arial" w:cs="Arial" w:eastAsia="Arial" w:hAnsi="Arial"/>
          <w:sz w:val="19"/>
          <w:szCs w:val="19"/>
          <w:color w:val="auto"/>
        </w:rPr>
        <w:t>] Class B Common Shares of GM Cruise Holdings LLC, a Delaware limited</w:t>
      </w:r>
    </w:p>
    <w:p>
      <w:pPr>
        <w:ind w:left="120"/>
        <w:spacing w:after="0"/>
        <w:rPr>
          <w:sz w:val="20"/>
          <w:szCs w:val="20"/>
          <w:color w:val="auto"/>
        </w:rPr>
      </w:pPr>
      <w:r>
        <w:rPr>
          <w:rFonts w:ascii="Arial" w:cs="Arial" w:eastAsia="Arial" w:hAnsi="Arial"/>
          <w:sz w:val="21"/>
          <w:szCs w:val="21"/>
          <w:color w:val="auto"/>
        </w:rPr>
        <w:t>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under the 2018 Employee Incentive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231" w:lineRule="exact"/>
        <w:rPr>
          <w:sz w:val="20"/>
          <w:szCs w:val="20"/>
          <w:color w:val="auto"/>
        </w:rPr>
      </w:pPr>
    </w:p>
    <w:p>
      <w:pPr>
        <w:ind w:left="120"/>
        <w:spacing w:after="0" w:line="263" w:lineRule="auto"/>
        <w:rPr>
          <w:sz w:val="20"/>
          <w:szCs w:val="20"/>
          <w:color w:val="auto"/>
        </w:rPr>
      </w:pPr>
      <w:r>
        <w:rPr>
          <w:rFonts w:ascii="Arial" w:cs="Arial" w:eastAsia="Arial" w:hAnsi="Arial"/>
          <w:sz w:val="22"/>
          <w:szCs w:val="22"/>
          <w:color w:val="auto"/>
        </w:rPr>
        <w:t xml:space="preserve">A copy of the Plan can be found on the Solium Shareworks site. Capitalized terms used in this Award Agreement have the meanings given in the Plan unless noted otherwise herein (including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ind w:left="80"/>
        <w:spacing w:after="0" w:line="302" w:lineRule="auto"/>
        <w:rPr>
          <w:sz w:val="20"/>
          <w:szCs w:val="20"/>
          <w:color w:val="auto"/>
        </w:rPr>
      </w:pPr>
      <w:r>
        <w:rPr>
          <w:rFonts w:ascii="Arial" w:cs="Arial" w:eastAsia="Arial" w:hAnsi="Arial"/>
          <w:sz w:val="19"/>
          <w:szCs w:val="19"/>
          <w:color w:val="auto"/>
        </w:rPr>
        <w:t xml:space="preserve">The full terms of your Option are set out in this Award Agreement, the Plan and any policy adopted by the Board in respect of the Plan and the Option that is applicable to this Award Agreement. In the event of any conflict between this Award Agreement and the Plan, the terms of this Award Agreement shall prevail. Further, </w:t>
      </w:r>
      <w:r>
        <w:rPr>
          <w:rFonts w:ascii="Arial" w:cs="Arial" w:eastAsia="Arial" w:hAnsi="Arial"/>
          <w:sz w:val="19"/>
          <w:szCs w:val="19"/>
          <w:u w:val="single" w:color="auto"/>
          <w:color w:val="auto"/>
        </w:rPr>
        <w:t>Section 15(a)</w:t>
      </w:r>
      <w:r>
        <w:rPr>
          <w:rFonts w:ascii="Arial" w:cs="Arial" w:eastAsia="Arial" w:hAnsi="Arial"/>
          <w:sz w:val="19"/>
          <w:szCs w:val="19"/>
          <w:color w:val="auto"/>
        </w:rPr>
        <w:t xml:space="preserve"> of the Plan shall not be applicable to this Award Agreement. This Award Agreement may only be amended in writing with mutual written consent of the Board and the Participant.</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of the Award</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402"/>
        </w:trPr>
        <w:tc>
          <w:tcPr>
            <w:tcW w:w="260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Issuer</w:t>
            </w:r>
          </w:p>
        </w:tc>
        <w:tc>
          <w:tcPr>
            <w:tcW w:w="8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22"/>
                <w:szCs w:val="22"/>
                <w:color w:val="auto"/>
              </w:rPr>
              <w:t>GM Cruise Holdings LLC, a Delaware limited liability company</w:t>
            </w: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Number of Common</w:t>
            </w:r>
          </w:p>
        </w:tc>
        <w:tc>
          <w:tcPr>
            <w:tcW w:w="8560" w:type="dxa"/>
            <w:vAlign w:val="bottom"/>
            <w:tcBorders>
              <w:right w:val="single" w:sz="8" w:color="auto"/>
            </w:tcBorders>
            <w:gridSpan w:val="3"/>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2"/>
                <w:szCs w:val="12"/>
                <w:color w:val="auto"/>
              </w:rPr>
              <w:t>l</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600" w:type="dxa"/>
            <w:vAlign w:val="bottom"/>
            <w:tcBorders>
              <w:left w:val="single" w:sz="8" w:color="auto"/>
              <w:right w:val="single" w:sz="8" w:color="auto"/>
            </w:tcBorders>
          </w:tcPr>
          <w:p>
            <w:pPr>
              <w:ind w:left="220"/>
              <w:spacing w:after="0" w:line="243" w:lineRule="exact"/>
              <w:rPr>
                <w:sz w:val="20"/>
                <w:szCs w:val="20"/>
                <w:color w:val="auto"/>
              </w:rPr>
            </w:pPr>
            <w:r>
              <w:rPr>
                <w:rFonts w:ascii="Arial" w:cs="Arial" w:eastAsia="Arial" w:hAnsi="Arial"/>
                <w:sz w:val="22"/>
                <w:szCs w:val="22"/>
                <w:b w:val="1"/>
                <w:bCs w:val="1"/>
                <w:color w:val="auto"/>
              </w:rPr>
              <w:t>Shares Subject to the</w:t>
            </w:r>
          </w:p>
        </w:tc>
        <w:tc>
          <w:tcPr>
            <w:tcW w:w="4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Option</w:t>
            </w:r>
          </w:p>
        </w:tc>
        <w:tc>
          <w:tcPr>
            <w:tcW w:w="4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2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Grant Date</w:t>
            </w:r>
          </w:p>
        </w:tc>
        <w:tc>
          <w:tcPr>
            <w:tcW w:w="8560" w:type="dxa"/>
            <w:vAlign w:val="bottom"/>
            <w:tcBorders>
              <w:right w:val="single" w:sz="8" w:color="auto"/>
            </w:tcBorders>
            <w:gridSpan w:val="3"/>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2"/>
                <w:szCs w:val="12"/>
                <w:color w:val="auto"/>
              </w:rPr>
              <w:t>l</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2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Exercise Price</w:t>
            </w:r>
          </w:p>
        </w:tc>
        <w:tc>
          <w:tcPr>
            <w:tcW w:w="4800" w:type="dxa"/>
            <w:vAlign w:val="bottom"/>
          </w:tcPr>
          <w:p>
            <w:pPr>
              <w:ind w:left="180"/>
              <w:spacing w:after="0"/>
              <w:rPr>
                <w:sz w:val="20"/>
                <w:szCs w:val="20"/>
                <w:color w:val="auto"/>
              </w:rPr>
            </w:pPr>
            <w:r>
              <w:rPr>
                <w:rFonts w:ascii="Arial" w:cs="Arial" w:eastAsia="Arial" w:hAnsi="Arial"/>
                <w:sz w:val="22"/>
                <w:szCs w:val="22"/>
                <w:color w:val="auto"/>
              </w:rPr>
              <w:t>$1,515</w:t>
            </w:r>
          </w:p>
        </w:tc>
        <w:tc>
          <w:tcPr>
            <w:tcW w:w="78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3"/>
          </w:tcPr>
          <w:p>
            <w:pPr>
              <w:ind w:left="180"/>
              <w:spacing w:after="0" w:line="242" w:lineRule="exact"/>
              <w:rPr>
                <w:sz w:val="20"/>
                <w:szCs w:val="20"/>
                <w:color w:val="auto"/>
              </w:rPr>
            </w:pPr>
            <w:r>
              <w:rPr>
                <w:rFonts w:ascii="Arial" w:cs="Arial" w:eastAsia="Arial" w:hAnsi="Arial"/>
                <w:sz w:val="22"/>
                <w:szCs w:val="22"/>
                <w:color w:val="auto"/>
                <w:w w:val="90"/>
              </w:rPr>
              <w:t>This Option will vest over the ten (10)-year period beginning on the first (1st) anniversary of the</w:t>
            </w:r>
          </w:p>
        </w:tc>
        <w:tc>
          <w:tcPr>
            <w:tcW w:w="0" w:type="dxa"/>
            <w:vAlign w:val="bottom"/>
          </w:tcPr>
          <w:p>
            <w:pPr>
              <w:spacing w:after="0"/>
              <w:rPr>
                <w:sz w:val="1"/>
                <w:szCs w:val="1"/>
                <w:color w:val="auto"/>
              </w:rPr>
            </w:pPr>
          </w:p>
        </w:tc>
      </w:tr>
      <w:tr>
        <w:trPr>
          <w:trHeight w:val="243"/>
        </w:trPr>
        <w:tc>
          <w:tcPr>
            <w:tcW w:w="260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3"/>
          </w:tcPr>
          <w:p>
            <w:pPr>
              <w:ind w:left="180"/>
              <w:spacing w:after="0" w:line="243" w:lineRule="exact"/>
              <w:rPr>
                <w:sz w:val="20"/>
                <w:szCs w:val="20"/>
                <w:color w:val="auto"/>
              </w:rPr>
            </w:pPr>
            <w:r>
              <w:rPr>
                <w:rFonts w:ascii="Arial" w:cs="Arial" w:eastAsia="Arial" w:hAnsi="Arial"/>
                <w:sz w:val="22"/>
                <w:szCs w:val="22"/>
                <w:color w:val="auto"/>
                <w:w w:val="94"/>
              </w:rPr>
              <w:t>Grant Date, with 10% of the Option vesting on [</w:t>
            </w:r>
            <w:r>
              <w:rPr>
                <w:rFonts w:ascii="Arial" w:cs="Arial" w:eastAsia="Arial" w:hAnsi="Arial"/>
                <w:sz w:val="12"/>
                <w:szCs w:val="12"/>
                <w:color w:val="auto"/>
                <w:w w:val="94"/>
              </w:rPr>
              <w:t>l</w:t>
            </w:r>
            <w:r>
              <w:rPr>
                <w:rFonts w:ascii="Arial" w:cs="Arial" w:eastAsia="Arial" w:hAnsi="Arial"/>
                <w:sz w:val="22"/>
                <w:szCs w:val="22"/>
                <w:color w:val="auto"/>
                <w:w w:val="94"/>
              </w:rPr>
              <w:t>], 2.5% of the Option vesting on a quarterly</w:t>
            </w:r>
          </w:p>
        </w:tc>
        <w:tc>
          <w:tcPr>
            <w:tcW w:w="0" w:type="dxa"/>
            <w:vAlign w:val="bottom"/>
          </w:tcPr>
          <w:p>
            <w:pPr>
              <w:spacing w:after="0"/>
              <w:rPr>
                <w:sz w:val="1"/>
                <w:szCs w:val="1"/>
                <w:color w:val="auto"/>
              </w:rPr>
            </w:pPr>
          </w:p>
        </w:tc>
      </w:tr>
      <w:tr>
        <w:trPr>
          <w:trHeight w:val="224"/>
        </w:trPr>
        <w:tc>
          <w:tcPr>
            <w:tcW w:w="26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22"/>
                <w:szCs w:val="22"/>
                <w:b w:val="1"/>
                <w:bCs w:val="1"/>
                <w:color w:val="auto"/>
              </w:rPr>
              <w:t>Vesting</w:t>
            </w:r>
          </w:p>
        </w:tc>
        <w:tc>
          <w:tcPr>
            <w:tcW w:w="8560" w:type="dxa"/>
            <w:vAlign w:val="bottom"/>
            <w:tcBorders>
              <w:right w:val="single" w:sz="8" w:color="auto"/>
            </w:tcBorders>
            <w:gridSpan w:val="3"/>
          </w:tcPr>
          <w:p>
            <w:pPr>
              <w:ind w:left="180"/>
              <w:spacing w:after="0" w:line="224" w:lineRule="exact"/>
              <w:rPr>
                <w:sz w:val="20"/>
                <w:szCs w:val="20"/>
                <w:color w:val="auto"/>
              </w:rPr>
            </w:pPr>
            <w:r>
              <w:rPr>
                <w:rFonts w:ascii="Arial" w:cs="Arial" w:eastAsia="Arial" w:hAnsi="Arial"/>
                <w:sz w:val="22"/>
                <w:szCs w:val="22"/>
                <w:color w:val="auto"/>
                <w:w w:val="98"/>
              </w:rPr>
              <w:t>basis thereafter, and the final 5% vesting on [</w:t>
            </w:r>
            <w:r>
              <w:rPr>
                <w:rFonts w:ascii="Arial" w:cs="Arial" w:eastAsia="Arial" w:hAnsi="Arial"/>
                <w:sz w:val="12"/>
                <w:szCs w:val="12"/>
                <w:color w:val="auto"/>
                <w:w w:val="98"/>
              </w:rPr>
              <w:t>l</w:t>
            </w:r>
            <w:r>
              <w:rPr>
                <w:rFonts w:ascii="Arial" w:cs="Arial" w:eastAsia="Arial" w:hAnsi="Arial"/>
                <w:sz w:val="22"/>
                <w:szCs w:val="22"/>
                <w:color w:val="auto"/>
                <w:w w:val="98"/>
              </w:rPr>
              <w:t>]; provided that you must be continuously</w:t>
            </w:r>
          </w:p>
        </w:tc>
        <w:tc>
          <w:tcPr>
            <w:tcW w:w="0" w:type="dxa"/>
            <w:vAlign w:val="bottom"/>
          </w:tcPr>
          <w:p>
            <w:pPr>
              <w:spacing w:after="0"/>
              <w:rPr>
                <w:sz w:val="1"/>
                <w:szCs w:val="1"/>
                <w:color w:val="auto"/>
              </w:rPr>
            </w:pPr>
          </w:p>
        </w:tc>
      </w:tr>
      <w:tr>
        <w:trPr>
          <w:trHeight w:val="20"/>
        </w:trPr>
        <w:tc>
          <w:tcPr>
            <w:tcW w:w="2600" w:type="dxa"/>
            <w:vAlign w:val="bottom"/>
            <w:tcBorders>
              <w:left w:val="single" w:sz="8" w:color="auto"/>
              <w:right w:val="single" w:sz="8" w:color="auto"/>
            </w:tcBorders>
            <w:vMerge w:val="continu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00" w:type="dxa"/>
            <w:vAlign w:val="bottom"/>
            <w:tcBorders>
              <w:left w:val="single" w:sz="8" w:color="auto"/>
              <w:right w:val="single" w:sz="8" w:color="auto"/>
            </w:tcBorders>
            <w:vMerge w:val="continue"/>
          </w:tcPr>
          <w:p>
            <w:pPr>
              <w:spacing w:after="0"/>
              <w:rPr>
                <w:sz w:val="12"/>
                <w:szCs w:val="12"/>
                <w:color w:val="auto"/>
              </w:rPr>
            </w:pPr>
          </w:p>
        </w:tc>
        <w:tc>
          <w:tcPr>
            <w:tcW w:w="8560" w:type="dxa"/>
            <w:vAlign w:val="bottom"/>
            <w:tcBorders>
              <w:right w:val="single" w:sz="8" w:color="auto"/>
            </w:tcBorders>
            <w:gridSpan w:val="3"/>
            <w:vMerge w:val="restart"/>
          </w:tcPr>
          <w:p>
            <w:pPr>
              <w:ind w:left="180"/>
              <w:spacing w:after="0" w:line="242" w:lineRule="exact"/>
              <w:rPr>
                <w:sz w:val="20"/>
                <w:szCs w:val="20"/>
                <w:color w:val="auto"/>
              </w:rPr>
            </w:pPr>
            <w:r>
              <w:rPr>
                <w:rFonts w:ascii="Arial" w:cs="Arial" w:eastAsia="Arial" w:hAnsi="Arial"/>
                <w:sz w:val="22"/>
                <w:szCs w:val="22"/>
                <w:color w:val="auto"/>
                <w:w w:val="93"/>
              </w:rPr>
              <w:t>employed by the Company or any of its Subsidiaries from the Grant Date through each such</w:t>
            </w:r>
          </w:p>
        </w:tc>
        <w:tc>
          <w:tcPr>
            <w:tcW w:w="0" w:type="dxa"/>
            <w:vAlign w:val="bottom"/>
          </w:tcPr>
          <w:p>
            <w:pPr>
              <w:spacing w:after="0"/>
              <w:rPr>
                <w:sz w:val="1"/>
                <w:szCs w:val="1"/>
                <w:color w:val="auto"/>
              </w:rPr>
            </w:pPr>
          </w:p>
        </w:tc>
      </w:tr>
      <w:tr>
        <w:trPr>
          <w:trHeight w:val="104"/>
        </w:trPr>
        <w:tc>
          <w:tcPr>
            <w:tcW w:w="2600" w:type="dxa"/>
            <w:vAlign w:val="bottom"/>
            <w:tcBorders>
              <w:left w:val="single" w:sz="8" w:color="auto"/>
              <w:right w:val="single" w:sz="8" w:color="auto"/>
            </w:tcBorders>
          </w:tcPr>
          <w:p>
            <w:pPr>
              <w:spacing w:after="0"/>
              <w:rPr>
                <w:sz w:val="9"/>
                <w:szCs w:val="9"/>
                <w:color w:val="auto"/>
              </w:rPr>
            </w:pPr>
          </w:p>
        </w:tc>
        <w:tc>
          <w:tcPr>
            <w:tcW w:w="85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600" w:type="dxa"/>
            <w:vAlign w:val="bottom"/>
            <w:tcBorders>
              <w:left w:val="single" w:sz="8" w:color="auto"/>
              <w:right w:val="single" w:sz="8" w:color="auto"/>
            </w:tcBorders>
          </w:tcPr>
          <w:p>
            <w:pPr>
              <w:spacing w:after="0"/>
              <w:rPr>
                <w:sz w:val="23"/>
                <w:szCs w:val="23"/>
                <w:color w:val="auto"/>
              </w:rPr>
            </w:pPr>
          </w:p>
        </w:tc>
        <w:tc>
          <w:tcPr>
            <w:tcW w:w="8560" w:type="dxa"/>
            <w:vAlign w:val="bottom"/>
            <w:tcBorders>
              <w:right w:val="single" w:sz="8" w:color="auto"/>
            </w:tcBorders>
            <w:gridSpan w:val="3"/>
          </w:tcPr>
          <w:p>
            <w:pPr>
              <w:ind w:left="180"/>
              <w:spacing w:after="0"/>
              <w:rPr>
                <w:sz w:val="20"/>
                <w:szCs w:val="20"/>
                <w:color w:val="auto"/>
              </w:rPr>
            </w:pPr>
            <w:r>
              <w:rPr>
                <w:rFonts w:ascii="Arial" w:cs="Arial" w:eastAsia="Arial" w:hAnsi="Arial"/>
                <w:sz w:val="22"/>
                <w:szCs w:val="22"/>
                <w:color w:val="auto"/>
              </w:rPr>
              <w:t>vesting date.</w:t>
            </w:r>
          </w:p>
        </w:tc>
        <w:tc>
          <w:tcPr>
            <w:tcW w:w="0" w:type="dxa"/>
            <w:vAlign w:val="bottom"/>
          </w:tcPr>
          <w:p>
            <w:pPr>
              <w:spacing w:after="0"/>
              <w:rPr>
                <w:sz w:val="1"/>
                <w:szCs w:val="1"/>
                <w:color w:val="auto"/>
              </w:rPr>
            </w:pPr>
          </w:p>
        </w:tc>
      </w:tr>
      <w:tr>
        <w:trPr>
          <w:trHeight w:val="233"/>
        </w:trPr>
        <w:tc>
          <w:tcPr>
            <w:tcW w:w="2600" w:type="dxa"/>
            <w:vAlign w:val="bottom"/>
            <w:tcBorders>
              <w:left w:val="single" w:sz="8" w:color="auto"/>
              <w:bottom w:val="single" w:sz="8" w:color="auto"/>
              <w:right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6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22"/>
                <w:szCs w:val="22"/>
                <w:b w:val="1"/>
                <w:bCs w:val="1"/>
                <w:color w:val="auto"/>
                <w:w w:val="98"/>
              </w:rPr>
              <w:t>Option Expiration Date</w:t>
            </w:r>
          </w:p>
        </w:tc>
        <w:tc>
          <w:tcPr>
            <w:tcW w:w="8560" w:type="dxa"/>
            <w:vAlign w:val="bottom"/>
            <w:tcBorders>
              <w:right w:val="single" w:sz="8" w:color="auto"/>
            </w:tcBorders>
            <w:gridSpan w:val="3"/>
          </w:tcPr>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12"/>
                <w:szCs w:val="12"/>
                <w:color w:val="auto"/>
              </w:rPr>
              <w:t>l</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right w:val="single" w:sz="8" w:color="auto"/>
            </w:tcBorders>
            <w:vMerge w:val="continue"/>
          </w:tcPr>
          <w:p>
            <w:pPr>
              <w:spacing w:after="0"/>
              <w:rPr>
                <w:sz w:val="9"/>
                <w:szCs w:val="9"/>
                <w:color w:val="auto"/>
              </w:rPr>
            </w:pPr>
          </w:p>
        </w:tc>
        <w:tc>
          <w:tcPr>
            <w:tcW w:w="4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0" w:name="page191"/>
    <w:bookmarkEnd w:id="1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600" w:type="dxa"/>
            <w:vAlign w:val="bottom"/>
            <w:tcBorders>
              <w:top w:val="single" w:sz="8" w:color="auto"/>
              <w:left w:val="single" w:sz="8" w:color="auto"/>
              <w:right w:val="single" w:sz="8" w:color="auto"/>
            </w:tcBorders>
            <w:vMerge w:val="restart"/>
          </w:tcPr>
          <w:p>
            <w:pPr>
              <w:ind w:left="220"/>
              <w:spacing w:after="0"/>
              <w:rPr>
                <w:sz w:val="20"/>
                <w:szCs w:val="20"/>
                <w:color w:val="auto"/>
              </w:rPr>
            </w:pPr>
            <w:r>
              <w:rPr>
                <w:rFonts w:ascii="Arial" w:cs="Arial" w:eastAsia="Arial" w:hAnsi="Arial"/>
                <w:sz w:val="22"/>
                <w:szCs w:val="22"/>
                <w:b w:val="1"/>
                <w:bCs w:val="1"/>
                <w:color w:val="auto"/>
              </w:rPr>
              <w:t>Restrictive Covenants</w:t>
            </w:r>
          </w:p>
        </w:tc>
        <w:tc>
          <w:tcPr>
            <w:tcW w:w="8560" w:type="dxa"/>
            <w:vAlign w:val="bottom"/>
            <w:tcBorders>
              <w:top w:val="single" w:sz="8" w:color="auto"/>
              <w:right w:val="single" w:sz="8" w:color="auto"/>
            </w:tcBorders>
            <w:gridSpan w:val="3"/>
          </w:tcPr>
          <w:p>
            <w:pPr>
              <w:ind w:left="180"/>
              <w:spacing w:after="0" w:line="243" w:lineRule="exact"/>
              <w:rPr>
                <w:sz w:val="20"/>
                <w:szCs w:val="20"/>
                <w:color w:val="auto"/>
              </w:rPr>
            </w:pPr>
            <w:r>
              <w:rPr>
                <w:rFonts w:ascii="Arial" w:cs="Arial" w:eastAsia="Arial" w:hAnsi="Arial"/>
                <w:sz w:val="22"/>
                <w:szCs w:val="22"/>
                <w:color w:val="auto"/>
              </w:rPr>
              <w:t>You will be subject to the restrictive covenants set forth in Exhibit A attached.</w:t>
            </w:r>
          </w:p>
        </w:tc>
        <w:tc>
          <w:tcPr>
            <w:tcW w:w="0" w:type="dxa"/>
            <w:vAlign w:val="bottom"/>
          </w:tcPr>
          <w:p>
            <w:pPr>
              <w:spacing w:after="0"/>
              <w:rPr>
                <w:sz w:val="1"/>
                <w:szCs w:val="1"/>
                <w:color w:val="auto"/>
              </w:rPr>
            </w:pPr>
          </w:p>
        </w:tc>
      </w:tr>
      <w:tr>
        <w:trPr>
          <w:trHeight w:val="139"/>
        </w:trPr>
        <w:tc>
          <w:tcPr>
            <w:tcW w:w="2600" w:type="dxa"/>
            <w:vAlign w:val="bottom"/>
            <w:tcBorders>
              <w:top w:val="single" w:sz="8" w:color="auto"/>
              <w:left w:val="single" w:sz="8" w:color="auto"/>
              <w:right w:val="single" w:sz="8" w:color="auto"/>
            </w:tcBorders>
            <w:vMerge w:val="continue"/>
          </w:tcPr>
          <w:p>
            <w:pPr>
              <w:spacing w:after="0"/>
              <w:rPr>
                <w:sz w:val="12"/>
                <w:szCs w:val="12"/>
                <w:color w:val="auto"/>
              </w:rPr>
            </w:pPr>
          </w:p>
        </w:tc>
        <w:tc>
          <w:tcPr>
            <w:tcW w:w="5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6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22"/>
                <w:szCs w:val="22"/>
                <w:b w:val="1"/>
                <w:bCs w:val="1"/>
                <w:color w:val="auto"/>
              </w:rPr>
              <w:t>Accredited Investor</w:t>
            </w:r>
          </w:p>
        </w:tc>
        <w:tc>
          <w:tcPr>
            <w:tcW w:w="8560" w:type="dxa"/>
            <w:vAlign w:val="bottom"/>
            <w:tcBorders>
              <w:right w:val="single" w:sz="8" w:color="auto"/>
            </w:tcBorders>
            <w:gridSpan w:val="3"/>
          </w:tcPr>
          <w:p>
            <w:pPr>
              <w:ind w:left="180"/>
              <w:spacing w:after="0" w:line="242" w:lineRule="exact"/>
              <w:rPr>
                <w:sz w:val="20"/>
                <w:szCs w:val="20"/>
                <w:color w:val="auto"/>
              </w:rPr>
            </w:pPr>
            <w:r>
              <w:rPr>
                <w:rFonts w:ascii="Arial" w:cs="Arial" w:eastAsia="Arial" w:hAnsi="Arial"/>
                <w:sz w:val="22"/>
                <w:szCs w:val="22"/>
                <w:color w:val="auto"/>
                <w:w w:val="99"/>
              </w:rPr>
              <w:t>If requested by the Committee, you will be required to complete an Accredited Investor</w:t>
            </w:r>
          </w:p>
        </w:tc>
        <w:tc>
          <w:tcPr>
            <w:tcW w:w="0" w:type="dxa"/>
            <w:vAlign w:val="bottom"/>
          </w:tcPr>
          <w:p>
            <w:pPr>
              <w:spacing w:after="0"/>
              <w:rPr>
                <w:sz w:val="1"/>
                <w:szCs w:val="1"/>
                <w:color w:val="auto"/>
              </w:rPr>
            </w:pPr>
          </w:p>
        </w:tc>
      </w:tr>
      <w:tr>
        <w:trPr>
          <w:trHeight w:val="102"/>
        </w:trPr>
        <w:tc>
          <w:tcPr>
            <w:tcW w:w="2600" w:type="dxa"/>
            <w:vAlign w:val="bottom"/>
            <w:tcBorders>
              <w:left w:val="single" w:sz="8" w:color="auto"/>
              <w:right w:val="single" w:sz="8" w:color="auto"/>
            </w:tcBorders>
            <w:vMerge w:val="continue"/>
          </w:tcPr>
          <w:p>
            <w:pPr>
              <w:spacing w:after="0"/>
              <w:rPr>
                <w:sz w:val="8"/>
                <w:szCs w:val="8"/>
                <w:color w:val="auto"/>
              </w:rPr>
            </w:pPr>
          </w:p>
        </w:tc>
        <w:tc>
          <w:tcPr>
            <w:tcW w:w="856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22"/>
                <w:szCs w:val="22"/>
                <w:color w:val="auto"/>
              </w:rPr>
              <w:t>Questionnaire prior to acceptance of the grant.</w:t>
            </w:r>
          </w:p>
        </w:tc>
        <w:tc>
          <w:tcPr>
            <w:tcW w:w="0" w:type="dxa"/>
            <w:vAlign w:val="bottom"/>
          </w:tcPr>
          <w:p>
            <w:pPr>
              <w:spacing w:after="0"/>
              <w:rPr>
                <w:sz w:val="1"/>
                <w:szCs w:val="1"/>
                <w:color w:val="auto"/>
              </w:rPr>
            </w:pPr>
          </w:p>
        </w:tc>
      </w:tr>
      <w:tr>
        <w:trPr>
          <w:trHeight w:val="172"/>
        </w:trPr>
        <w:tc>
          <w:tcPr>
            <w:tcW w:w="26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22"/>
                <w:szCs w:val="22"/>
                <w:b w:val="1"/>
                <w:bCs w:val="1"/>
                <w:color w:val="auto"/>
              </w:rPr>
              <w:t>Questionnaire</w:t>
            </w:r>
          </w:p>
        </w:tc>
        <w:tc>
          <w:tcPr>
            <w:tcW w:w="85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right w:val="single" w:sz="8" w:color="auto"/>
            </w:tcBorders>
            <w:vMerge w:val="continue"/>
          </w:tcPr>
          <w:p>
            <w:pPr>
              <w:spacing w:after="0"/>
              <w:rPr>
                <w:sz w:val="9"/>
                <w:szCs w:val="9"/>
                <w:color w:val="auto"/>
              </w:rPr>
            </w:pPr>
          </w:p>
        </w:tc>
        <w:tc>
          <w:tcPr>
            <w:tcW w:w="5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98" w:right="49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b w:val="1"/>
          <w:bCs w:val="1"/>
          <w:color w:val="auto"/>
        </w:rPr>
        <w:t>Terms and Conditions of the Option</w:t>
      </w:r>
    </w:p>
    <w:p>
      <w:pPr>
        <w:spacing w:after="0" w:line="226" w:lineRule="exact"/>
        <w:rPr>
          <w:sz w:val="20"/>
          <w:szCs w:val="20"/>
          <w:color w:val="auto"/>
        </w:rPr>
      </w:pPr>
    </w:p>
    <w:p>
      <w:pPr>
        <w:ind w:firstLine="644"/>
        <w:spacing w:after="0" w:line="387" w:lineRule="auto"/>
        <w:tabs>
          <w:tab w:leader="none" w:pos="1351"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Grant of Stock Option Award</w:t>
      </w:r>
      <w:r>
        <w:rPr>
          <w:rFonts w:ascii="Arial" w:cs="Arial" w:eastAsia="Arial" w:hAnsi="Arial"/>
          <w:sz w:val="19"/>
          <w:szCs w:val="19"/>
          <w:color w:val="auto"/>
        </w:rPr>
        <w:t>. Effective on the Grant Date, the Company hereby grants an Option to acquire [</w:t>
      </w:r>
      <w:r>
        <w:rPr>
          <w:rFonts w:ascii="Arial" w:cs="Arial" w:eastAsia="Arial" w:hAnsi="Arial"/>
          <w:sz w:val="11"/>
          <w:szCs w:val="11"/>
          <w:color w:val="auto"/>
        </w:rPr>
        <w:t>l</w:t>
      </w:r>
      <w:r>
        <w:rPr>
          <w:rFonts w:ascii="Arial" w:cs="Arial" w:eastAsia="Arial" w:hAnsi="Arial"/>
          <w:sz w:val="19"/>
          <w:szCs w:val="19"/>
          <w:color w:val="auto"/>
        </w:rPr>
        <w:t>] Common Shares of the Company with an Exercise Price of $1,515 subject to adjustment as set forth in the Plan.</w:t>
      </w:r>
    </w:p>
    <w:p>
      <w:pPr>
        <w:spacing w:after="0" w:line="65" w:lineRule="exact"/>
        <w:rPr>
          <w:rFonts w:ascii="Arial" w:cs="Arial" w:eastAsia="Arial" w:hAnsi="Arial"/>
          <w:sz w:val="19"/>
          <w:szCs w:val="19"/>
          <w:color w:val="auto"/>
        </w:rPr>
      </w:pPr>
    </w:p>
    <w:p>
      <w:pPr>
        <w:ind w:left="1340" w:hanging="696"/>
        <w:spacing w:after="0"/>
        <w:tabs>
          <w:tab w:leader="none" w:pos="134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The Option is a non-qualified stock options, and not intended to comply with Section 422 of the Code.</w:t>
      </w:r>
    </w:p>
    <w:p>
      <w:pPr>
        <w:spacing w:after="0" w:line="254" w:lineRule="exact"/>
        <w:rPr>
          <w:rFonts w:ascii="Arial" w:cs="Arial" w:eastAsia="Arial" w:hAnsi="Arial"/>
          <w:sz w:val="19"/>
          <w:szCs w:val="19"/>
          <w:color w:val="auto"/>
        </w:rPr>
      </w:pPr>
    </w:p>
    <w:p>
      <w:pPr>
        <w:jc w:val="both"/>
        <w:ind w:firstLine="644"/>
        <w:spacing w:after="0" w:line="253" w:lineRule="auto"/>
        <w:tabs>
          <w:tab w:leader="none" w:pos="1351"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Participant Acknowledgements</w:t>
      </w:r>
      <w:r>
        <w:rPr>
          <w:rFonts w:ascii="Arial" w:cs="Arial" w:eastAsia="Arial" w:hAnsi="Arial"/>
          <w:sz w:val="22"/>
          <w:szCs w:val="22"/>
          <w:color w:val="auto"/>
        </w:rPr>
        <w:t>. The following terms apply to the grant of the Option hereunder. By accepting the Award the Participant irrevocably agrees and acknowledges in favor of the Company (on its own behalf and as an agent for the Company’s Subsidiaries) that:</w:t>
      </w:r>
    </w:p>
    <w:p>
      <w:pPr>
        <w:spacing w:after="0" w:line="186" w:lineRule="exact"/>
        <w:rPr>
          <w:sz w:val="20"/>
          <w:szCs w:val="20"/>
          <w:color w:val="auto"/>
        </w:rPr>
      </w:pPr>
    </w:p>
    <w:p>
      <w:pPr>
        <w:jc w:val="both"/>
        <w:ind w:firstLine="644"/>
        <w:spacing w:after="0" w:line="248" w:lineRule="auto"/>
        <w:tabs>
          <w:tab w:leader="none" w:pos="142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Participant does not have any claim to be granted any Award under the Plan, and there is no obligation for uniformity of treatment of employees, directors,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Board maintains the right to make available future grants under the Plan.</w:t>
      </w:r>
    </w:p>
    <w:p>
      <w:pPr>
        <w:spacing w:after="0" w:line="192" w:lineRule="exact"/>
        <w:rPr>
          <w:rFonts w:ascii="Arial" w:cs="Arial" w:eastAsia="Arial" w:hAnsi="Arial"/>
          <w:sz w:val="22"/>
          <w:szCs w:val="22"/>
          <w:color w:val="auto"/>
        </w:rPr>
      </w:pPr>
    </w:p>
    <w:p>
      <w:pPr>
        <w:jc w:val="both"/>
        <w:ind w:firstLine="644"/>
        <w:spacing w:after="0" w:line="263" w:lineRule="auto"/>
        <w:tabs>
          <w:tab w:leader="none" w:pos="144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grant of this Option does not give the Participant the right to be retained in the employ of, or to continue to provide services to, the Company or any of its Subsidiaries. The Company or the applicable Subsidiary may at any time dismiss the Participant, free from any liability, or any claim under the Plan, unless otherwise expressly provided in the Plan or in any other agreement binding the Participant and the Company. The Participant’s receipt of this Option under the Plan is not intended to confer any rights to the Participant except as set forth in this Award Agreement.</w:t>
      </w:r>
    </w:p>
    <w:p>
      <w:pPr>
        <w:spacing w:after="0" w:line="175" w:lineRule="exact"/>
        <w:rPr>
          <w:rFonts w:ascii="Arial" w:cs="Arial" w:eastAsia="Arial" w:hAnsi="Arial"/>
          <w:sz w:val="21"/>
          <w:szCs w:val="21"/>
          <w:color w:val="auto"/>
        </w:rPr>
      </w:pPr>
    </w:p>
    <w:p>
      <w:pPr>
        <w:jc w:val="both"/>
        <w:ind w:firstLine="644"/>
        <w:spacing w:after="0" w:line="263" w:lineRule="auto"/>
        <w:tabs>
          <w:tab w:leader="none" w:pos="142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Awards under, and the Participant’s participation in, the Plan do not form part of the Participant’s remuneration for the purposes of determining payments in lieu of notice of termination of the Participant’s employment, severance payments, leave entitlements, or any other compensation payable to the Participant, and no Award, payment, or other right or benefit under the Plan will be taken into account in determining any benefits under any pension, retirement, savings, profit-sharing, group insurance, welfare or benefit plan of the Company or any of its Subsidiaries.</w:t>
      </w:r>
    </w:p>
    <w:p>
      <w:pPr>
        <w:spacing w:after="0" w:line="175" w:lineRule="exact"/>
        <w:rPr>
          <w:rFonts w:ascii="Arial" w:cs="Arial" w:eastAsia="Arial" w:hAnsi="Arial"/>
          <w:sz w:val="21"/>
          <w:szCs w:val="21"/>
          <w:color w:val="auto"/>
        </w:rPr>
      </w:pPr>
    </w:p>
    <w:p>
      <w:pPr>
        <w:jc w:val="both"/>
        <w:ind w:firstLine="644"/>
        <w:spacing w:after="0" w:line="250" w:lineRule="auto"/>
        <w:tabs>
          <w:tab w:leader="none" w:pos="144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Company and its Subsidiaries, their respective affiliates, officers and employees make no representation concerning the financial benefit or taxation consequences of any Award or participation in the Plan and the Participant is strongly advised to seek the Participant’s own professional legal and taxation advice concerning the impact of the Plan and the Participant’s Award.</w:t>
      </w:r>
    </w:p>
    <w:p>
      <w:pPr>
        <w:spacing w:after="0" w:line="188" w:lineRule="exact"/>
        <w:rPr>
          <w:rFonts w:ascii="Arial" w:cs="Arial" w:eastAsia="Arial" w:hAnsi="Arial"/>
          <w:sz w:val="22"/>
          <w:szCs w:val="22"/>
          <w:color w:val="auto"/>
        </w:rPr>
      </w:pPr>
    </w:p>
    <w:p>
      <w:pPr>
        <w:ind w:firstLine="644"/>
        <w:spacing w:after="0" w:line="263" w:lineRule="auto"/>
        <w:tabs>
          <w:tab w:leader="none" w:pos="142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future value of the underlying Common Shares is unknown and cannot be predicted with certainty, and the Common Shares may increase or decrease in value.</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40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Participant has no entitlement to compensation or damages as a result of any loss or diminution in value of Common Shares or any other rights acquired pursuant to the Plan, including, without limitation, as a result of the termination of the Participant’s employment by the</w:t>
      </w:r>
    </w:p>
    <w:p>
      <w:pPr>
        <w:sectPr>
          <w:pgSz w:w="11900" w:h="16838" w:orient="portrait"/>
          <w:cols w:equalWidth="0" w:num="1">
            <w:col w:w="11300"/>
          </w:cols>
          <w:pgMar w:left="360" w:top="436"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Company or any of its Subsidiaries for any reason whatsoever and whether or not in breach of contract.</w:t>
      </w:r>
    </w:p>
    <w:p>
      <w:pPr>
        <w:spacing w:after="0" w:line="220" w:lineRule="exact"/>
        <w:rPr>
          <w:sz w:val="20"/>
          <w:szCs w:val="20"/>
          <w:color w:val="auto"/>
        </w:rPr>
      </w:pPr>
    </w:p>
    <w:p>
      <w:pPr>
        <w:ind w:left="1440" w:hanging="796"/>
        <w:spacing w:after="0"/>
        <w:tabs>
          <w:tab w:leader="none" w:pos="14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Participant has read this Award Agreement, its Exhibits and the Plan carefully and understands their terms.</w:t>
      </w:r>
    </w:p>
    <w:p>
      <w:pPr>
        <w:spacing w:after="0" w:line="254" w:lineRule="exact"/>
        <w:rPr>
          <w:sz w:val="20"/>
          <w:szCs w:val="20"/>
          <w:color w:val="auto"/>
        </w:rPr>
      </w:pPr>
    </w:p>
    <w:p>
      <w:pPr>
        <w:ind w:left="1340" w:hanging="696"/>
        <w:spacing w:after="0"/>
        <w:tabs>
          <w:tab w:leader="none" w:pos="134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20" w:lineRule="exact"/>
        <w:rPr>
          <w:sz w:val="20"/>
          <w:szCs w:val="20"/>
          <w:color w:val="auto"/>
        </w:rPr>
      </w:pPr>
    </w:p>
    <w:p>
      <w:pPr>
        <w:jc w:val="both"/>
        <w:ind w:firstLine="644"/>
        <w:spacing w:after="0" w:line="304" w:lineRule="auto"/>
        <w:tabs>
          <w:tab w:leader="none" w:pos="1428" w:val="left"/>
        </w:tabs>
        <w:numPr>
          <w:ilvl w:val="0"/>
          <w:numId w:val="149"/>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4(b)</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4(c)</w:t>
      </w:r>
      <w:r>
        <w:rPr>
          <w:rFonts w:ascii="Arial" w:cs="Arial" w:eastAsia="Arial" w:hAnsi="Arial"/>
          <w:sz w:val="19"/>
          <w:szCs w:val="19"/>
          <w:i w:val="1"/>
          <w:iCs w:val="1"/>
          <w:color w:val="auto"/>
        </w:rPr>
        <w:t xml:space="preserve"> </w:t>
      </w:r>
      <w:r>
        <w:rPr>
          <w:rFonts w:ascii="Arial" w:cs="Arial" w:eastAsia="Arial" w:hAnsi="Arial"/>
          <w:sz w:val="19"/>
          <w:szCs w:val="19"/>
          <w:color w:val="auto"/>
        </w:rPr>
        <w:t>hereof, the Option shall vest and become exercisable with respect to (i)</w:t>
      </w:r>
      <w:r>
        <w:rPr>
          <w:rFonts w:ascii="Arial" w:cs="Arial" w:eastAsia="Arial" w:hAnsi="Arial"/>
          <w:sz w:val="19"/>
          <w:szCs w:val="19"/>
          <w:i w:val="1"/>
          <w:iCs w:val="1"/>
          <w:color w:val="auto"/>
        </w:rPr>
        <w:t xml:space="preserve"> </w:t>
      </w:r>
      <w:r>
        <w:rPr>
          <w:rFonts w:ascii="Arial" w:cs="Arial" w:eastAsia="Arial" w:hAnsi="Arial"/>
          <w:sz w:val="19"/>
          <w:szCs w:val="19"/>
          <w:color w:val="auto"/>
        </w:rPr>
        <w:t>10% of the aggregate Common Shares covered by the Option on [</w:t>
      </w:r>
      <w:r>
        <w:rPr>
          <w:rFonts w:ascii="Arial" w:cs="Arial" w:eastAsia="Arial" w:hAnsi="Arial"/>
          <w:sz w:val="11"/>
          <w:szCs w:val="11"/>
          <w:color w:val="auto"/>
        </w:rPr>
        <w:t>l</w:t>
      </w:r>
      <w:r>
        <w:rPr>
          <w:rFonts w:ascii="Arial" w:cs="Arial" w:eastAsia="Arial" w:hAnsi="Arial"/>
          <w:sz w:val="19"/>
          <w:szCs w:val="19"/>
          <w:color w:val="auto"/>
        </w:rPr>
        <w:t>], (ii) 2.5% of the aggregate Common Shares covered by the</w:t>
      </w:r>
    </w:p>
    <w:p>
      <w:pPr>
        <w:spacing w:after="0" w:line="304" w:lineRule="auto"/>
        <w:rPr>
          <w:sz w:val="20"/>
          <w:szCs w:val="20"/>
          <w:color w:val="auto"/>
        </w:rPr>
      </w:pPr>
      <w:r>
        <w:rPr>
          <w:rFonts w:ascii="Arial" w:cs="Arial" w:eastAsia="Arial" w:hAnsi="Arial"/>
          <w:sz w:val="19"/>
          <w:szCs w:val="19"/>
          <w:color w:val="auto"/>
        </w:rPr>
        <w:t>Option on the 15th day of each calendar quarter thereafter (for thirty-four (34) successive calendar quarters following the first (1st) anniversary of the Grant Date), and (iii) the final 5% vesting on [</w:t>
      </w:r>
      <w:r>
        <w:rPr>
          <w:rFonts w:ascii="Arial" w:cs="Arial" w:eastAsia="Arial" w:hAnsi="Arial"/>
          <w:sz w:val="11"/>
          <w:szCs w:val="11"/>
          <w:color w:val="auto"/>
        </w:rPr>
        <w:t>l</w:t>
      </w:r>
      <w:r>
        <w:rPr>
          <w:rFonts w:ascii="Arial" w:cs="Arial" w:eastAsia="Arial" w:hAnsi="Arial"/>
          <w:sz w:val="19"/>
          <w:szCs w:val="19"/>
          <w:color w:val="auto"/>
        </w:rPr>
        <w:t>], provided, that the Participant’s Termination Date has not</w:t>
      </w:r>
    </w:p>
    <w:p>
      <w:pPr>
        <w:spacing w:after="0" w:line="263" w:lineRule="auto"/>
        <w:rPr>
          <w:sz w:val="20"/>
          <w:szCs w:val="20"/>
          <w:color w:val="auto"/>
        </w:rPr>
      </w:pPr>
      <w:r>
        <w:rPr>
          <w:rFonts w:ascii="Arial" w:cs="Arial" w:eastAsia="Arial" w:hAnsi="Arial"/>
          <w:sz w:val="22"/>
          <w:szCs w:val="22"/>
          <w:color w:val="auto"/>
        </w:rPr>
        <w:t>occurred prior to each applicable date. The portion of the Option that has at any time become vested and exercisable as described above is hereinafter referred to as the “</w:t>
      </w:r>
      <w:r>
        <w:rPr>
          <w:rFonts w:ascii="Arial" w:cs="Arial" w:eastAsia="Arial" w:hAnsi="Arial"/>
          <w:sz w:val="22"/>
          <w:szCs w:val="22"/>
          <w:u w:val="single" w:color="auto"/>
          <w:color w:val="auto"/>
        </w:rPr>
        <w:t>Vested Portion</w:t>
      </w:r>
      <w:r>
        <w:rPr>
          <w:rFonts w:ascii="Arial" w:cs="Arial" w:eastAsia="Arial" w:hAnsi="Arial"/>
          <w:sz w:val="22"/>
          <w:szCs w:val="22"/>
          <w:color w:val="auto"/>
        </w:rPr>
        <w:t>.”</w:t>
      </w:r>
    </w:p>
    <w:p>
      <w:pPr>
        <w:spacing w:after="0" w:line="175" w:lineRule="exact"/>
        <w:rPr>
          <w:sz w:val="20"/>
          <w:szCs w:val="20"/>
          <w:color w:val="auto"/>
        </w:rPr>
      </w:pPr>
    </w:p>
    <w:p>
      <w:pPr>
        <w:ind w:left="1440" w:hanging="796"/>
        <w:spacing w:after="0"/>
        <w:tabs>
          <w:tab w:leader="none" w:pos="1440" w:val="left"/>
        </w:tabs>
        <w:numPr>
          <w:ilvl w:val="0"/>
          <w:numId w:val="150"/>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41"/>
        <w:spacing w:after="0" w:line="253" w:lineRule="auto"/>
        <w:tabs>
          <w:tab w:leader="none" w:pos="269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4(b)(ii)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4(c)</w:t>
      </w:r>
      <w:r>
        <w:rPr>
          <w:rFonts w:ascii="Arial" w:cs="Arial" w:eastAsia="Arial" w:hAnsi="Arial"/>
          <w:sz w:val="22"/>
          <w:szCs w:val="22"/>
          <w:color w:val="auto"/>
        </w:rPr>
        <w:t xml:space="preserve"> hereof, and subject to the Participant’s delivery and non-revocation of a Release (as defined below), upon a Participant’s involuntary termination not for Cause, the Participant shall be entitled to receive the following:</w:t>
      </w:r>
    </w:p>
    <w:p>
      <w:pPr>
        <w:spacing w:after="0" w:line="185" w:lineRule="exact"/>
        <w:rPr>
          <w:rFonts w:ascii="Arial" w:cs="Arial" w:eastAsia="Arial" w:hAnsi="Arial"/>
          <w:sz w:val="22"/>
          <w:szCs w:val="22"/>
          <w:color w:val="auto"/>
        </w:rPr>
      </w:pPr>
    </w:p>
    <w:p>
      <w:pPr>
        <w:jc w:val="both"/>
        <w:ind w:left="1940" w:firstLine="649"/>
        <w:spacing w:after="0" w:line="289" w:lineRule="auto"/>
        <w:tabs>
          <w:tab w:leader="none" w:pos="3380" w:val="left"/>
        </w:tabs>
        <w:numPr>
          <w:ilvl w:val="2"/>
          <w:numId w:val="150"/>
        </w:numPr>
        <w:rPr>
          <w:rFonts w:ascii="Arial" w:cs="Arial" w:eastAsia="Arial" w:hAnsi="Arial"/>
          <w:sz w:val="19"/>
          <w:szCs w:val="19"/>
          <w:color w:val="auto"/>
        </w:rPr>
      </w:pPr>
      <w:r>
        <w:rPr>
          <w:rFonts w:ascii="Arial" w:cs="Arial" w:eastAsia="Arial" w:hAnsi="Arial"/>
          <w:sz w:val="19"/>
          <w:szCs w:val="19"/>
          <w:color w:val="auto"/>
        </w:rPr>
        <w:t>continued payment of the Participant’s base salary, in substantially equal installments, in accordance with the Company’s normal payroll practices, as in effect on the Participant’s Termination Date (such amounts the “</w:t>
      </w:r>
      <w:r>
        <w:rPr>
          <w:rFonts w:ascii="Arial" w:cs="Arial" w:eastAsia="Arial" w:hAnsi="Arial"/>
          <w:sz w:val="19"/>
          <w:szCs w:val="19"/>
          <w:u w:val="single" w:color="auto"/>
          <w:color w:val="auto"/>
        </w:rPr>
        <w:t>Salary Continuation Payments</w:t>
      </w:r>
      <w:r>
        <w:rPr>
          <w:rFonts w:ascii="Arial" w:cs="Arial" w:eastAsia="Arial" w:hAnsi="Arial"/>
          <w:sz w:val="19"/>
          <w:szCs w:val="19"/>
          <w:color w:val="auto"/>
        </w:rPr>
        <w:t>”), until the 12-month anniversary of the Participant’s Termination Date. The first installment of the Salary Continuation Payments shall be paid to the Participant on the 60th day following the Participant’s Termination Date; provided that the Release has become irrevocable as of such 60th day and shall include all installments that would otherwise have been paid prior to such date. The Participant’s right to such Salary Continuation Payments shall survive until the option expiration date. For the purposes of this Award Agreement, “Release” means a general release of claims in a form acceptable to the Company; and</w:t>
      </w:r>
    </w:p>
    <w:p>
      <w:pPr>
        <w:spacing w:after="0" w:line="157" w:lineRule="exact"/>
        <w:rPr>
          <w:rFonts w:ascii="Arial" w:cs="Arial" w:eastAsia="Arial" w:hAnsi="Arial"/>
          <w:sz w:val="19"/>
          <w:szCs w:val="19"/>
          <w:color w:val="auto"/>
        </w:rPr>
      </w:pPr>
    </w:p>
    <w:p>
      <w:pPr>
        <w:jc w:val="both"/>
        <w:ind w:left="1940" w:firstLine="649"/>
        <w:spacing w:after="0" w:line="248" w:lineRule="auto"/>
        <w:tabs>
          <w:tab w:leader="none" w:pos="3380" w:val="left"/>
        </w:tabs>
        <w:numPr>
          <w:ilvl w:val="2"/>
          <w:numId w:val="150"/>
        </w:numPr>
        <w:rPr>
          <w:rFonts w:ascii="Arial" w:cs="Arial" w:eastAsia="Arial" w:hAnsi="Arial"/>
          <w:sz w:val="22"/>
          <w:szCs w:val="22"/>
          <w:color w:val="auto"/>
        </w:rPr>
      </w:pPr>
      <w:r>
        <w:rPr>
          <w:rFonts w:ascii="Arial" w:cs="Arial" w:eastAsia="Arial" w:hAnsi="Arial"/>
          <w:sz w:val="22"/>
          <w:szCs w:val="22"/>
          <w:color w:val="auto"/>
        </w:rPr>
        <w:t>accelerated vesting and immediate exercisability of the portion of Options held by the Participant on the date of the Participant’s Termination Date with respect to that number of Options that would have become vested and immediately exercisable had the Participant remained continuously employed by the Company for twelve (12) months immediately following the Participant’s Termination Date.</w:t>
      </w:r>
    </w:p>
    <w:p>
      <w:pPr>
        <w:spacing w:after="0" w:line="192" w:lineRule="exact"/>
        <w:rPr>
          <w:rFonts w:ascii="Arial" w:cs="Arial" w:eastAsia="Arial" w:hAnsi="Arial"/>
          <w:sz w:val="22"/>
          <w:szCs w:val="22"/>
          <w:color w:val="auto"/>
        </w:rPr>
      </w:pPr>
    </w:p>
    <w:p>
      <w:pPr>
        <w:jc w:val="both"/>
        <w:ind w:left="1300" w:firstLine="641"/>
        <w:spacing w:after="0" w:line="253" w:lineRule="auto"/>
        <w:tabs>
          <w:tab w:leader="none" w:pos="275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event of the Participant’s Termination Date due to the Participant’s death or Disability, the vesting conditions associated with the Options that would have vested in the ordinary course in the twelve (12) months immediately</w:t>
      </w:r>
    </w:p>
    <w:p>
      <w:pPr>
        <w:sectPr>
          <w:pgSz w:w="11900" w:h="16838" w:orient="portrait"/>
          <w:cols w:equalWidth="0" w:num="1">
            <w:col w:w="11300"/>
          </w:cols>
          <w:pgMar w:left="360" w:top="375" w:right="239" w:bottom="1440" w:gutter="0" w:footer="0" w:header="0"/>
        </w:sectPr>
      </w:pPr>
    </w:p>
    <w:bookmarkStart w:id="193" w:name="page194"/>
    <w:bookmarkEnd w:id="193"/>
    <w:p>
      <w:pPr>
        <w:jc w:val="both"/>
        <w:ind w:left="1304"/>
        <w:spacing w:after="0" w:line="263" w:lineRule="auto"/>
        <w:rPr>
          <w:sz w:val="20"/>
          <w:szCs w:val="20"/>
          <w:color w:val="auto"/>
        </w:rPr>
      </w:pPr>
      <w:r>
        <w:rPr>
          <w:rFonts w:ascii="Arial" w:cs="Arial" w:eastAsia="Arial" w:hAnsi="Arial"/>
          <w:sz w:val="21"/>
          <w:szCs w:val="21"/>
          <w:color w:val="auto"/>
        </w:rPr>
        <w:t>following Participant’s Termination Date due to death or Disability shall be deemed fully satisfied, in each case, for the benefit of the Participant or the Participant’s executor or administrator (as applicable), or the person or persons to whom the Participant’s rights under this Award Agreement shall pass by will or by the laws of descent and distribution as the case may be, to the extent set forth herein or in the Plan. Any heir or legatee of the Participant shall take rights herein granted subject to the terms and conditions hereof.</w:t>
      </w:r>
    </w:p>
    <w:p>
      <w:pPr>
        <w:spacing w:after="0" w:line="176" w:lineRule="exact"/>
        <w:rPr>
          <w:sz w:val="20"/>
          <w:szCs w:val="20"/>
          <w:color w:val="auto"/>
        </w:rPr>
      </w:pPr>
    </w:p>
    <w:p>
      <w:pPr>
        <w:jc w:val="both"/>
        <w:ind w:left="4" w:firstLine="644"/>
        <w:spacing w:after="0" w:line="284" w:lineRule="auto"/>
        <w:tabs>
          <w:tab w:leader="none" w:pos="1432" w:val="left"/>
        </w:tabs>
        <w:numPr>
          <w:ilvl w:val="1"/>
          <w:numId w:val="151"/>
        </w:numPr>
        <w:rPr>
          <w:rFonts w:ascii="Arial" w:cs="Arial" w:eastAsia="Arial" w:hAnsi="Arial"/>
          <w:sz w:val="19"/>
          <w:szCs w:val="19"/>
          <w:color w:val="auto"/>
        </w:rPr>
      </w:pPr>
      <w:r>
        <w:rPr>
          <w:rFonts w:ascii="Arial" w:cs="Arial" w:eastAsia="Arial" w:hAnsi="Arial"/>
          <w:sz w:val="19"/>
          <w:szCs w:val="19"/>
          <w:i w:val="1"/>
          <w:iCs w:val="1"/>
          <w:color w:val="auto"/>
        </w:rPr>
        <w:t>Change in Control</w:t>
      </w:r>
      <w:r>
        <w:rPr>
          <w:rFonts w:ascii="Arial" w:cs="Arial" w:eastAsia="Arial" w:hAnsi="Arial"/>
          <w:sz w:val="19"/>
          <w:szCs w:val="19"/>
          <w:color w:val="auto"/>
        </w:rPr>
        <w:t>. If, upon the occurrence of a Change in Control, the Options are not converted or assumed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such Change in Control, in either case, by a successor entity pursuant to the Plan, then, notwithstanding any other provisions of the Plan to the contrary, the Options shall, to the extent not previously canceled, become fully vested immediately prior to such Change in Control, provided, that the Participant’s Termination Date has not occurred prior to such Change in Control. If, upon the occurrence of a Change in Control, the Options are converted or assumed in connection with such Change in Control, in either case, by a successor entity pursuant to the Plan, then, notwithstanding any other provisions of the Plan to the contrary, if the Participant’s Termination Date occurs by reason of a termination by the Company without Cause or as a result of the Participant’s resignation of employment with the Company for “Good Reason” (as defined below), in each case, within two</w:t>
      </w:r>
    </w:p>
    <w:p>
      <w:pPr>
        <w:spacing w:after="0" w:line="2" w:lineRule="exact"/>
        <w:rPr>
          <w:rFonts w:ascii="Arial" w:cs="Arial" w:eastAsia="Arial" w:hAnsi="Arial"/>
          <w:sz w:val="19"/>
          <w:szCs w:val="19"/>
          <w:color w:val="auto"/>
        </w:rPr>
      </w:pPr>
    </w:p>
    <w:p>
      <w:pPr>
        <w:ind w:left="4" w:hanging="4"/>
        <w:spacing w:after="0" w:line="323" w:lineRule="auto"/>
        <w:tabs>
          <w:tab w:leader="none" w:pos="32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years following such Change in Control, the portion of the Option that has not vested shall not be cancelled and the vesting conditions associated with such converted or assumed Option shall be deemed fully satisfied upon the Termination Date.</w:t>
      </w:r>
    </w:p>
    <w:p>
      <w:pPr>
        <w:spacing w:after="0" w:line="123" w:lineRule="exact"/>
        <w:rPr>
          <w:rFonts w:ascii="Arial" w:cs="Arial" w:eastAsia="Arial" w:hAnsi="Arial"/>
          <w:sz w:val="19"/>
          <w:szCs w:val="19"/>
          <w:color w:val="auto"/>
        </w:rPr>
      </w:pPr>
    </w:p>
    <w:p>
      <w:pPr>
        <w:jc w:val="both"/>
        <w:ind w:left="1304" w:firstLine="641"/>
        <w:spacing w:after="0" w:line="287" w:lineRule="auto"/>
        <w:tabs>
          <w:tab w:leader="none" w:pos="2696" w:val="left"/>
        </w:tabs>
        <w:numPr>
          <w:ilvl w:val="2"/>
          <w:numId w:val="152"/>
        </w:numPr>
        <w:rPr>
          <w:rFonts w:ascii="Arial" w:cs="Arial" w:eastAsia="Arial" w:hAnsi="Arial"/>
          <w:sz w:val="19"/>
          <w:szCs w:val="19"/>
          <w:color w:val="auto"/>
        </w:rPr>
      </w:pPr>
      <w:r>
        <w:rPr>
          <w:rFonts w:ascii="Arial" w:cs="Arial" w:eastAsia="Arial" w:hAnsi="Arial"/>
          <w:sz w:val="19"/>
          <w:szCs w:val="19"/>
          <w:color w:val="auto"/>
        </w:rPr>
        <w:t>A Participant’s resignation of employment for “Good Reason” shall mean Participant’s resignation following any one of the following acts by the Company (or failures by the Company to act): (i) a material negative change in the nature or status of the Participant’s responsibilities from those in effect as of the consummation of the Change in Control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(ii) a material negative change in the Participant’s base salary, except for any across-the-board reduction similarly affecting similarly-situated employees of the Company; or (iii) the relocation of the Participant’s principal place of employment from the Participant’s principal place of employment as of the Closing to a location that results in an increase in the Participant’s daily commute of more than 50 miles in one direction;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(I) the Participant notifies the Company in writing of the circumstances giving the Participant the right to resign for Good Reason within thirty (30) days of the existence of such circumstances, (II) the Company fails to cure such circumstances within thirty (30) days after receipt of such notice, and (III) the Participant then terminates his or her employment within ninety (90) days of such failure to cure. If the Participant does not timely do so, the right to resign for Good Reason shall lapse and be deemed waived with respect to those circumstances.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4" w:firstLine="644"/>
        <w:spacing w:after="0" w:line="253" w:lineRule="auto"/>
        <w:tabs>
          <w:tab w:leader="none" w:pos="1445" w:val="left"/>
        </w:tabs>
        <w:numPr>
          <w:ilvl w:val="1"/>
          <w:numId w:val="152"/>
        </w:numPr>
        <w:rPr>
          <w:rFonts w:ascii="Arial" w:cs="Arial" w:eastAsia="Arial" w:hAnsi="Arial"/>
          <w:sz w:val="22"/>
          <w:szCs w:val="22"/>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For the avoidance of doubt, upon an Initial Public Offering no accelerated vesting shall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occur and upon a Participant’s Termination Date following an Initial Public Offering, all outstanding Options shall be treated in accordance with </w:t>
      </w:r>
      <w:r>
        <w:rPr>
          <w:rFonts w:ascii="Arial" w:cs="Arial" w:eastAsia="Arial" w:hAnsi="Arial"/>
          <w:sz w:val="22"/>
          <w:szCs w:val="22"/>
          <w:u w:val="single" w:color="auto"/>
          <w:color w:val="auto"/>
        </w:rPr>
        <w:t>Section 4(b)</w:t>
      </w:r>
      <w:r>
        <w:rPr>
          <w:rFonts w:ascii="Arial" w:cs="Arial" w:eastAsia="Arial" w:hAnsi="Arial"/>
          <w:sz w:val="22"/>
          <w:szCs w:val="22"/>
          <w:color w:val="auto"/>
        </w:rPr>
        <w:t xml:space="preserve"> hereof.</w:t>
      </w:r>
    </w:p>
    <w:p>
      <w:pPr>
        <w:spacing w:after="0" w:line="186" w:lineRule="exact"/>
        <w:rPr>
          <w:sz w:val="20"/>
          <w:szCs w:val="20"/>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Exercise of the Option</w:t>
      </w:r>
      <w:r>
        <w:rPr>
          <w:rFonts w:ascii="Arial" w:cs="Arial" w:eastAsia="Arial" w:hAnsi="Arial"/>
          <w:sz w:val="22"/>
          <w:szCs w:val="22"/>
          <w:color w:val="auto"/>
        </w:rPr>
        <w:t>.</w:t>
      </w:r>
    </w:p>
    <w:p>
      <w:pPr>
        <w:sectPr>
          <w:pgSz w:w="11900" w:h="16838" w:orient="portrait"/>
          <w:cols w:equalWidth="0" w:num="1">
            <w:col w:w="11304"/>
          </w:cols>
          <w:pgMar w:left="356" w:top="375" w:right="239" w:bottom="1440" w:gutter="0" w:footer="0" w:header="0"/>
        </w:sectPr>
      </w:pPr>
    </w:p>
    <w:bookmarkStart w:id="194" w:name="page195"/>
    <w:bookmarkEnd w:id="194"/>
    <w:p>
      <w:pPr>
        <w:ind w:left="-644" w:right="20" w:firstLine="644"/>
        <w:spacing w:after="0" w:line="263" w:lineRule="auto"/>
        <w:tabs>
          <w:tab w:leader="none" w:pos="78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Period of Exercise</w:t>
      </w:r>
      <w:r>
        <w:rPr>
          <w:rFonts w:ascii="Arial" w:cs="Arial" w:eastAsia="Arial" w:hAnsi="Arial"/>
          <w:sz w:val="22"/>
          <w:szCs w:val="22"/>
          <w:color w:val="auto"/>
        </w:rPr>
        <w:t>. Subject to the provisions of the Plan and this Award Agreement, the Participant may exercise all or any part of the Vested Portion of the Option at any time prior to the earliest to occur of:</w:t>
      </w:r>
    </w:p>
    <w:p>
      <w:pPr>
        <w:spacing w:after="0" w:line="174" w:lineRule="exact"/>
        <w:rPr>
          <w:rFonts w:ascii="Arial" w:cs="Arial" w:eastAsia="Arial" w:hAnsi="Arial"/>
          <w:sz w:val="22"/>
          <w:szCs w:val="22"/>
          <w:color w:val="auto"/>
        </w:rPr>
      </w:pPr>
    </w:p>
    <w:p>
      <w:pPr>
        <w:ind w:left="1296" w:hanging="647"/>
        <w:spacing w:after="0"/>
        <w:tabs>
          <w:tab w:leader="none" w:pos="129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ten (10)-year anniversary of the Grant Date;</w:t>
      </w:r>
    </w:p>
    <w:p>
      <w:pPr>
        <w:spacing w:after="0" w:line="219" w:lineRule="exact"/>
        <w:rPr>
          <w:rFonts w:ascii="Arial" w:cs="Arial" w:eastAsia="Arial" w:hAnsi="Arial"/>
          <w:sz w:val="22"/>
          <w:szCs w:val="22"/>
          <w:color w:val="auto"/>
        </w:rPr>
      </w:pPr>
    </w:p>
    <w:p>
      <w:pPr>
        <w:ind w:left="1296" w:hanging="647"/>
        <w:spacing w:after="0" w:line="263" w:lineRule="auto"/>
        <w:tabs>
          <w:tab w:leader="none" w:pos="129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three (3) years following the Termination Date where termination of employment is due to death or Disability;</w:t>
      </w:r>
    </w:p>
    <w:p>
      <w:pPr>
        <w:spacing w:after="0" w:line="174" w:lineRule="exact"/>
        <w:rPr>
          <w:rFonts w:ascii="Arial" w:cs="Arial" w:eastAsia="Arial" w:hAnsi="Arial"/>
          <w:sz w:val="22"/>
          <w:szCs w:val="22"/>
          <w:color w:val="auto"/>
        </w:rPr>
      </w:pPr>
    </w:p>
    <w:p>
      <w:pPr>
        <w:ind w:left="1296" w:hanging="647"/>
        <w:spacing w:after="0" w:line="287" w:lineRule="auto"/>
        <w:tabs>
          <w:tab w:leader="none" w:pos="1296"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three (3) years following the Termination Date where termination of employment is by the Company without Cause (other than due to death or Disability) or by the Participant for any reason; or</w:t>
      </w:r>
    </w:p>
    <w:p>
      <w:pPr>
        <w:spacing w:after="0" w:line="151" w:lineRule="exact"/>
        <w:rPr>
          <w:rFonts w:ascii="Arial" w:cs="Arial" w:eastAsia="Arial" w:hAnsi="Arial"/>
          <w:sz w:val="21"/>
          <w:szCs w:val="21"/>
          <w:color w:val="auto"/>
        </w:rPr>
      </w:pPr>
    </w:p>
    <w:p>
      <w:pPr>
        <w:jc w:val="both"/>
        <w:ind w:left="1296" w:hanging="647"/>
        <w:spacing w:after="0" w:line="285" w:lineRule="auto"/>
        <w:tabs>
          <w:tab w:leader="none" w:pos="129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the Termination Date where termination of employment is by the Company for Cause or by the Participant if Cause exists at the time of resignation. For the sake of clarity, the entire Option (all vested and unvested portions) shall terminate and expire upon the Participant’s termination under this </w:t>
      </w:r>
      <w:r>
        <w:rPr>
          <w:rFonts w:ascii="Arial" w:cs="Arial" w:eastAsia="Arial" w:hAnsi="Arial"/>
          <w:sz w:val="19"/>
          <w:szCs w:val="19"/>
          <w:u w:val="single" w:color="auto"/>
          <w:color w:val="auto"/>
        </w:rPr>
        <w:t>Section 5(a)(iv)</w:t>
      </w:r>
      <w:r>
        <w:rPr>
          <w:rFonts w:ascii="Arial" w:cs="Arial" w:eastAsia="Arial" w:hAnsi="Arial"/>
          <w:sz w:val="19"/>
          <w:szCs w:val="19"/>
          <w:color w:val="auto"/>
        </w:rPr>
        <w:t xml:space="preserve">. For the purposes of this Award Agreement, a termination of the Participant’s employment for “Cause” shall occur if: (i) the Participant has engaged in intentional acts of fraud, embezzlement, theft, commission of a felony or proven dishonesty in the course of his employment or service or (ii) the Participant has committed a willful material breach of the restrictive covenants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(Nonsolicitation and Noninterference with Business Relationships),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(Nonsolicitation and Noninterference with Covered Persons),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(False Statements of Fact)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(Confidential Information) of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which are legally enforceable under California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that (I) the Company notifies the Participant in writing of the circumstances giving the Company the right to terminate the Participant’s employment for Cause within thirty (30) days of discovery by a majority of the members of the Board of the existence of such circumstances; provided that, prior to the earlier of a Change in Control or Initial Public Offering, such majority consists of all members of the Board who are employees of General Motors Company (“</w:t>
      </w:r>
      <w:r>
        <w:rPr>
          <w:rFonts w:ascii="Arial" w:cs="Arial" w:eastAsia="Arial" w:hAnsi="Arial"/>
          <w:sz w:val="19"/>
          <w:szCs w:val="19"/>
          <w:u w:val="single" w:color="auto"/>
          <w:color w:val="auto"/>
        </w:rPr>
        <w:t>GM</w:t>
      </w:r>
      <w:r>
        <w:rPr>
          <w:rFonts w:ascii="Arial" w:cs="Arial" w:eastAsia="Arial" w:hAnsi="Arial"/>
          <w:sz w:val="19"/>
          <w:szCs w:val="19"/>
          <w:color w:val="auto"/>
        </w:rPr>
        <w:t>”), (II) the Participant fails to cure, if possible, such circumstances within thirty (30) days after receipt of such notice, and (III) the Company then terminates Participant’s employment within ninety (90) days of such failure to cure. If the Company does not timely do so, the right to terminate Participant’s employment for Cause shall lapse and be deemed waived with respect to those circumstances. For the avoidance of doubt, the definition of “Cause” set forth in this Award Agreement shall, solely for purposes of this Award Agreement, supersede any other definition of “Cause” set forth in the Plan or any other agreement between the Participant and the Company.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796" w:hanging="796"/>
        <w:spacing w:after="0"/>
        <w:tabs>
          <w:tab w:leader="none" w:pos="796"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w:t>
      </w:r>
    </w:p>
    <w:p>
      <w:pPr>
        <w:sectPr>
          <w:pgSz w:w="11900" w:h="16838" w:orient="portrait"/>
          <w:cols w:equalWidth="0" w:num="1">
            <w:col w:w="10656"/>
          </w:cols>
          <w:pgMar w:left="1004" w:top="375" w:right="239" w:bottom="1440" w:gutter="0" w:footer="0" w:header="0"/>
        </w:sectPr>
      </w:pPr>
    </w:p>
    <w:bookmarkStart w:id="195" w:name="page196"/>
    <w:bookmarkEnd w:id="195"/>
    <w:p>
      <w:pPr>
        <w:jc w:val="both"/>
        <w:ind w:left="1296" w:hanging="647"/>
        <w:spacing w:after="0" w:line="286" w:lineRule="auto"/>
        <w:tabs>
          <w:tab w:leader="none" w:pos="129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and the terms of this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the Vested Portion of the Option may be exercised by initiating the transaction in Participant’s Solium Shareworks account, or by contacting a Solium representitive;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Option may be exercised with respect to whole Common Shares only. Such notice to Solium shall specify the number of Common Shares for which the Option is being exercised and shall be accompanied by payment in full of the exercise price as follows: (A) in cash or by check, bank draft or money order payable to the order of the Company; or (B) solely to the extent permitted by applicable law, if the Common Shares are traded on a national securities exchange, and the Committee authorizes, through a procedure whereby the Participant delivers irrevocable instructions to a broker reasonably acceptable to the Committee to deliver promptly to the Company an amount equal to the exercise price; (C) at the Participant’s discretion, having the Company withhold Common Shares issuable upon exercise of the Option, or by payment in full or in part in the form of Common Shares owned by the Participant, based on the Fair Market Value of the Common Shares on the payment date as determined by the Committee or (D) on such other terms and conditions as may be acceptable to the Committee. No Common Shares shall be issued until payment therefor, as provided herein, has been made or provided for, and the withholding obligation referred to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herein is satisfied.</w:t>
      </w:r>
    </w:p>
    <w:p>
      <w:pPr>
        <w:spacing w:after="0" w:line="159" w:lineRule="exact"/>
        <w:rPr>
          <w:rFonts w:ascii="Arial" w:cs="Arial" w:eastAsia="Arial" w:hAnsi="Arial"/>
          <w:sz w:val="19"/>
          <w:szCs w:val="19"/>
          <w:color w:val="auto"/>
        </w:rPr>
      </w:pPr>
    </w:p>
    <w:p>
      <w:pPr>
        <w:jc w:val="both"/>
        <w:ind w:left="1296" w:hanging="647"/>
        <w:spacing w:after="0" w:line="271" w:lineRule="auto"/>
        <w:tabs>
          <w:tab w:leader="none" w:pos="129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Upon the Company’s determination that the Option has been validly exercised as to any of the Common Shares, and the withholding obligation referred to in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herein is satisfied, the Company shall issue the Common Shares in the Participant’s name by book-entry registration only.</w:t>
      </w:r>
    </w:p>
    <w:p>
      <w:pPr>
        <w:spacing w:after="0" w:line="168" w:lineRule="exact"/>
        <w:rPr>
          <w:sz w:val="20"/>
          <w:szCs w:val="20"/>
          <w:color w:val="auto"/>
        </w:rPr>
      </w:pPr>
    </w:p>
    <w:p>
      <w:pPr>
        <w:jc w:val="both"/>
        <w:ind w:left="-644" w:firstLine="644"/>
        <w:spacing w:after="0" w:line="265" w:lineRule="auto"/>
        <w:tabs>
          <w:tab w:leader="none" w:pos="784"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In the event of the Participant’s death, the Vested Portion of the Option shall remain exercisable by the Participant’s executor or administrator, or the person or persons to whom the Participant’s rights under this Agreement shall pass by will or by the laws of descent and distribution as the case may be, to the extent set forth herein or in the Plan. Any heir or legatee of the Participant shall take the rights herein granted subject to the terms and conditions hereof.</w:t>
      </w:r>
    </w:p>
    <w:p>
      <w:pPr>
        <w:spacing w:after="0" w:line="176" w:lineRule="exact"/>
        <w:rPr>
          <w:sz w:val="20"/>
          <w:szCs w:val="20"/>
          <w:color w:val="auto"/>
        </w:rPr>
      </w:pPr>
    </w:p>
    <w:p>
      <w:pPr>
        <w:jc w:val="both"/>
        <w:ind w:left="-644" w:firstLine="644"/>
        <w:spacing w:after="0" w:line="297" w:lineRule="auto"/>
        <w:tabs>
          <w:tab w:leader="none" w:pos="70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Legend on Certificates</w:t>
      </w:r>
      <w:r>
        <w:rPr>
          <w:rFonts w:ascii="Arial" w:cs="Arial" w:eastAsia="Arial" w:hAnsi="Arial"/>
          <w:sz w:val="19"/>
          <w:szCs w:val="19"/>
          <w:color w:val="auto"/>
        </w:rPr>
        <w:t>. If stock certificates representing the Common Shares purchased by exercise of the Option are issued, such certificates shall be subject to such stop transfer orders and other restrictions as the Board may deem advisable under the Plan or the rules, regulations, and other requirements of the Securities and Exchange Commission, daily stock exchange upon which such Common Shares are listed, and any applicable Federal or state laws, and the Board may cause a legend or legends to be put on any such certificates to make appropriate reference to such restrictions.</w:t>
      </w:r>
    </w:p>
    <w:p>
      <w:pPr>
        <w:spacing w:after="0" w:line="147" w:lineRule="exact"/>
        <w:rPr>
          <w:rFonts w:ascii="Arial" w:cs="Arial" w:eastAsia="Arial" w:hAnsi="Arial"/>
          <w:sz w:val="19"/>
          <w:szCs w:val="19"/>
          <w:color w:val="auto"/>
        </w:rPr>
      </w:pPr>
    </w:p>
    <w:p>
      <w:pPr>
        <w:jc w:val="both"/>
        <w:ind w:left="-644" w:firstLine="644"/>
        <w:spacing w:after="0" w:line="302" w:lineRule="auto"/>
        <w:tabs>
          <w:tab w:leader="none" w:pos="70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The Option shall be subject to the transfer restrictions as provided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advance written notice to the Company a transfer of the Option shall be permitted in the event of transfers made to the Participant’s family members, to family trusts or to Participant family controlled entities and/or pursuant to lawful domestic relations orders or agreements, in all cases without payment for such transfers to the Participant</w:t>
      </w:r>
    </w:p>
    <w:p>
      <w:pPr>
        <w:sectPr>
          <w:pgSz w:w="11900" w:h="16838" w:orient="portrait"/>
          <w:cols w:equalWidth="0" w:num="1">
            <w:col w:w="10656"/>
          </w:cols>
          <w:pgMar w:left="1004" w:top="375" w:right="2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and pursuant to such form of transfer agreement as the Company may reasonably require.</w:t>
      </w:r>
    </w:p>
    <w:p>
      <w:pPr>
        <w:spacing w:after="0" w:line="220" w:lineRule="exact"/>
        <w:rPr>
          <w:sz w:val="20"/>
          <w:szCs w:val="20"/>
          <w:color w:val="auto"/>
        </w:rPr>
      </w:pPr>
    </w:p>
    <w:p>
      <w:pPr>
        <w:ind w:left="1340" w:hanging="696"/>
        <w:spacing w:after="0"/>
        <w:tabs>
          <w:tab w:leader="none" w:pos="134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20" w:lineRule="exact"/>
        <w:rPr>
          <w:sz w:val="20"/>
          <w:szCs w:val="20"/>
          <w:color w:val="auto"/>
        </w:rPr>
      </w:pPr>
    </w:p>
    <w:p>
      <w:pPr>
        <w:jc w:val="both"/>
        <w:ind w:firstLine="644"/>
        <w:spacing w:after="0" w:line="260" w:lineRule="auto"/>
        <w:tabs>
          <w:tab w:leader="none" w:pos="142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Participant shall be required to pay to the Company or any Affiliate the amount in cash of any applicable withholding taxes due in respect of this Option or its exercise, and this Option and the right to receive any Common Shares in respect thereof shall be terminated if this requirement is not satisfied. The Company or any Affiliate shall have the right and is hereby authorized to (but is not required to) withhold from this Option, any payment due or transfer made under the Option or under the Plan or from any compensation or other amount owing to a Participant the amount (in cash, Common Shares, other securities, other awards or other property) of such withholding taxes and to take such action as may be necessary with respect to the Option to satisfy all obligations for the payment of such taxes.</w:t>
      </w:r>
    </w:p>
    <w:p>
      <w:pPr>
        <w:spacing w:after="0" w:line="181" w:lineRule="exact"/>
        <w:rPr>
          <w:rFonts w:ascii="Arial" w:cs="Arial" w:eastAsia="Arial" w:hAnsi="Arial"/>
          <w:sz w:val="21"/>
          <w:szCs w:val="21"/>
          <w:color w:val="auto"/>
        </w:rPr>
      </w:pPr>
    </w:p>
    <w:p>
      <w:pPr>
        <w:jc w:val="both"/>
        <w:ind w:firstLine="644"/>
        <w:spacing w:after="0" w:line="288" w:lineRule="auto"/>
        <w:tabs>
          <w:tab w:leader="none" w:pos="144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clause (a) above, the Participant may, satisfy, in whole or in part, the foregoing withholding liability by delivery of Common Shares owned by the Participant (which are not subject to any pledge or other security interest), with a Fair Market Value equal to such withholding liability or by having the Company withhold from the number of Common Shares otherwise issuable pursuant to the exercise of the Option a number of Common Shares with a Fair Market Value equal to such withholding liability (but no more than the maximum individual statutory rate for the applicable tax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Participant shall not be entitled to surrender shares to satisfy withholding obligations absent the Board's advance written consent if such withholding obligations would result in an aggregate annual income and employment tax cash deposit obligation by the Company in respect of the Participant’s exercise(s) of all the Participant’s options to purchase Common Shares (whether under this Option or any other Company option to purchase Common Shares held by the Participant) for any single calendar year of more than $50,000,000.</w:t>
      </w:r>
    </w:p>
    <w:p>
      <w:pPr>
        <w:spacing w:after="0" w:line="160" w:lineRule="exact"/>
        <w:rPr>
          <w:sz w:val="20"/>
          <w:szCs w:val="20"/>
          <w:color w:val="auto"/>
        </w:rPr>
      </w:pPr>
    </w:p>
    <w:p>
      <w:pPr>
        <w:jc w:val="both"/>
        <w:ind w:firstLine="644"/>
        <w:spacing w:after="0" w:line="286" w:lineRule="auto"/>
        <w:tabs>
          <w:tab w:leader="none" w:pos="1351"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Restrictive Covenant Violation</w:t>
      </w:r>
      <w:r>
        <w:rPr>
          <w:rFonts w:ascii="Arial" w:cs="Arial" w:eastAsia="Arial" w:hAnsi="Arial"/>
          <w:sz w:val="19"/>
          <w:szCs w:val="19"/>
          <w:color w:val="auto"/>
        </w:rPr>
        <w:t xml:space="preserve">. In the event of a willful material breach with respect to the restrictive covenants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(Nonsolicitation and Noninterference with Business Relationships),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(Nonsolicitation and Noninterference with Covered Persons),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(False Statements of Fact)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(Confidential Information) of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which are legally enforceable under California law, the Board may, in its discretion to the extent provided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terminate and cancel the Option, to the extent outstanding at the time the violation is discovered, and/or require the Participant to promptly return any Common Shares received upon any previous exercise of the Option (or, if the Participant transferred the Common Shares, a payment equal to the current Fair Market Value thereof) in exchange for the lesser of (a) the original exercise price of the Common Share and (b) the Fair Market Value of the Common Share as of the date of repurchase;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each case that the Company seeks to invoke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 the Company first notifies the Participant in writing of the circumstances giving the Company the right to invoke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within thirty (30) days after the violation is discovered by a majority of the members of the Board; provided that, prior to the earlier of a Change in Control or Initial Public Offering, such majority consists of all members of the Board who are employees of GM, (II) the Participant fails to cure, if possible, such violation within thirty (30) days after receipt of such notice, and (III) the Company then determines, in its discretion, whether to terminate and cancel the Option and otherwise enforce its rights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within</w:t>
      </w:r>
    </w:p>
    <w:p>
      <w:pPr>
        <w:sectPr>
          <w:pgSz w:w="11900" w:h="16838" w:orient="portrait"/>
          <w:cols w:equalWidth="0" w:num="1">
            <w:col w:w="11300"/>
          </w:cols>
          <w:pgMar w:left="360" w:top="375" w:right="239" w:bottom="1440" w:gutter="0" w:footer="0" w:header="0"/>
        </w:sectPr>
      </w:pPr>
    </w:p>
    <w:bookmarkStart w:id="197" w:name="page198"/>
    <w:bookmarkEnd w:id="197"/>
    <w:p>
      <w:pPr>
        <w:jc w:val="both"/>
        <w:spacing w:after="0" w:line="263" w:lineRule="auto"/>
        <w:rPr>
          <w:sz w:val="20"/>
          <w:szCs w:val="20"/>
          <w:color w:val="auto"/>
        </w:rPr>
      </w:pPr>
      <w:r>
        <w:rPr>
          <w:rFonts w:ascii="Arial" w:cs="Arial" w:eastAsia="Arial" w:hAnsi="Arial"/>
          <w:sz w:val="22"/>
          <w:szCs w:val="22"/>
          <w:color w:val="auto"/>
        </w:rPr>
        <w:t xml:space="preserve">ninety (90) days of such failure to cure. If the Company does not timely do so, the right to invoke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shall lapse and be deemed waived with respect to such violation.</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Notwithstanding any other provision of the Plan or this Award Agreement to the contrary, the Participant’s obligation to return any Common Shares received upon any previous exercise of the Option (or, if the Participant transferred the Common Shares, a payment equal to the current Fair Market Value thereof) shall in no event exceed the net after-tax number of Common Shares received by Participant upon any previous exercise of the Option after deducting all federal and state income and employment taxes which were payable by Participant upon the receipt of such Common Shares and (if the Participant has previously transferred any Common Shares) upon the transfer of such Common Shares.</w:t>
      </w:r>
    </w:p>
    <w:p>
      <w:pPr>
        <w:spacing w:after="0" w:line="150" w:lineRule="exact"/>
        <w:rPr>
          <w:sz w:val="20"/>
          <w:szCs w:val="20"/>
          <w:color w:val="auto"/>
        </w:rPr>
      </w:pPr>
    </w:p>
    <w:p>
      <w:pPr>
        <w:jc w:val="both"/>
        <w:ind w:firstLine="644"/>
        <w:spacing w:after="0" w:line="285" w:lineRule="auto"/>
        <w:tabs>
          <w:tab w:leader="none" w:pos="145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Conditions Precedent to Award Agreement</w:t>
      </w:r>
      <w:r>
        <w:rPr>
          <w:rFonts w:ascii="Arial" w:cs="Arial" w:eastAsia="Arial" w:hAnsi="Arial"/>
          <w:sz w:val="19"/>
          <w:szCs w:val="19"/>
          <w:color w:val="auto"/>
        </w:rPr>
        <w:t xml:space="preserve">. As a condition precedent to the vesting, exercise, payment or settlement of any portion of the Option at any time prior to a Change in Control, the Participant shall: (i) refrain from engaging in any activity that could reasonably be expected to cause material harm to the Company or is in any manner materially and intentionally inimical or in any way materially detrimental to the Company, in each case as determined by the Board in good faith and (ii) furnish to the Company such information with respect to the satisfaction of the foregoing conditions precedent as the Board may reasonably request. In addition, the Board may require Participant to enter into such agreements as the Board considers appropriate related to the subject matter of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The failure by the Participant to satisfy either of the foregoing conditions precedent shall result in the immediate cancellation of the unvested portion of any Award and any vested Award that has not yet been exercised, paid or settled and the Participant will not be entitled to receive any consideration with respect to such cancellation;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prior to the cancellation of any Award as described in this </w:t>
      </w:r>
      <w:r>
        <w:rPr>
          <w:rFonts w:ascii="Arial" w:cs="Arial" w:eastAsia="Arial" w:hAnsi="Arial"/>
          <w:sz w:val="19"/>
          <w:szCs w:val="19"/>
          <w:u w:val="single" w:color="auto"/>
          <w:color w:val="auto"/>
        </w:rPr>
        <w:t>Section 10</w:t>
      </w:r>
      <w:r>
        <w:rPr>
          <w:rFonts w:ascii="Arial" w:cs="Arial" w:eastAsia="Arial" w:hAnsi="Arial"/>
          <w:sz w:val="19"/>
          <w:szCs w:val="19"/>
          <w:color w:val="auto"/>
        </w:rPr>
        <w:t>, (I) the Board notifies the Participant in writing of the circumstances giving the Company the right to cancel the Option within thirty (30) days after such circumstances are discovered by a majority of the members of the Board; provided that, prior to the earlier of a Change in Control or Initial Public Offering, such majority consists of all members of the Board who are employees of GM, (II) the Participant fails to cure, if possible, such circumstances within thirty (30) days following his receipt of such notice and (III) the Board then cancels the Participant’s Option within ninety (90) days of such failure to cure; provided that, after the discovery of such circumstances giving the Company the right to cancel the Option and before the cancellation of the Option, the Participant is granted an opportunity to meet with the Board (with legal counsel, if desired) to address the existence of such circumstances. If the Board does not timely do so, the right to cancel the Participant’s Option shall lapse and be deemed waived with respect to those circumstances.</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firstLine="644"/>
        <w:spacing w:after="0" w:line="253" w:lineRule="auto"/>
        <w:tabs>
          <w:tab w:leader="none" w:pos="145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Upon the acquisition of any Common Shares pursuant to the exercise of the Option, the Participant will make or enter into such written representations, warranties and agreements as the Board may reasonably request in order to comply with applicable securities laws or with this Award Agreement.</w:t>
      </w:r>
    </w:p>
    <w:p>
      <w:pPr>
        <w:spacing w:after="0" w:line="185" w:lineRule="exact"/>
        <w:rPr>
          <w:rFonts w:ascii="Arial" w:cs="Arial" w:eastAsia="Arial" w:hAnsi="Arial"/>
          <w:sz w:val="22"/>
          <w:szCs w:val="22"/>
          <w:color w:val="auto"/>
        </w:rPr>
      </w:pPr>
    </w:p>
    <w:p>
      <w:pPr>
        <w:jc w:val="both"/>
        <w:ind w:firstLine="644"/>
        <w:spacing w:after="0" w:line="250" w:lineRule="auto"/>
        <w:tabs>
          <w:tab w:leader="none" w:pos="1459"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necessary under this Award Agreement shall be addressed to the Company in care of its General Counsel at the principal executive office of the Company and to the Participant at the address appearing in the personnel records of the Company for the Participant or to either party at such other address as either party hereto may hereafter designate in writing to</w:t>
      </w:r>
    </w:p>
    <w:p>
      <w:pPr>
        <w:sectPr>
          <w:pgSz w:w="11900" w:h="16838" w:orient="portrait"/>
          <w:cols w:equalWidth="0" w:num="1">
            <w:col w:w="11300"/>
          </w:cols>
          <w:pgMar w:left="360" w:top="375"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the other. Any such notice shall be deemed effective upon receipt thereof by the addressee.</w:t>
      </w:r>
    </w:p>
    <w:p>
      <w:pPr>
        <w:spacing w:after="0" w:line="220" w:lineRule="exact"/>
        <w:rPr>
          <w:sz w:val="20"/>
          <w:szCs w:val="20"/>
          <w:color w:val="auto"/>
        </w:rPr>
      </w:pPr>
    </w:p>
    <w:p>
      <w:pPr>
        <w:jc w:val="both"/>
        <w:ind w:firstLine="644"/>
        <w:spacing w:after="0" w:line="253" w:lineRule="auto"/>
        <w:tabs>
          <w:tab w:leader="none" w:pos="1459"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INTERPRETATION, PERFORMANCE AND ENFORCEMENT OF THIS AGREEMENT SHALL BE GOVERNED BY THE LAWS OF THE STATE OF DELAWARE WITHOUT REGARD TO PRINCIPLES OF CONFLICTS OF LAW.</w:t>
      </w:r>
    </w:p>
    <w:p>
      <w:pPr>
        <w:spacing w:after="0" w:line="185" w:lineRule="exact"/>
        <w:rPr>
          <w:rFonts w:ascii="Arial" w:cs="Arial" w:eastAsia="Arial" w:hAnsi="Arial"/>
          <w:sz w:val="22"/>
          <w:szCs w:val="22"/>
          <w:color w:val="auto"/>
        </w:rPr>
      </w:pPr>
    </w:p>
    <w:p>
      <w:pPr>
        <w:jc w:val="both"/>
        <w:ind w:firstLine="644"/>
        <w:spacing w:after="0" w:line="289" w:lineRule="auto"/>
        <w:tabs>
          <w:tab w:leader="none" w:pos="1459"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Option Subject to Plan and the LLC Agreement</w:t>
      </w:r>
      <w:r>
        <w:rPr>
          <w:rFonts w:ascii="Arial" w:cs="Arial" w:eastAsia="Arial" w:hAnsi="Arial"/>
          <w:sz w:val="19"/>
          <w:szCs w:val="19"/>
          <w:color w:val="auto"/>
        </w:rPr>
        <w:t xml:space="preserve">. By entering into this Award Agreement the Participant agrees and acknowledges that a copy of the Plan and the LLC Agreement has been made available to the Participant. The Participant and the Company both acknowledge that the Option granted hereunder and the underlying Common Shares are subject to the Plan and the LLC Agreement. The terms and provisions of the Plan as it may be amended from time to time are hereby incorporated herein by reference;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to the Plan which significantly impairs the Participant’s rights under this Agreement shall not to that extent be effective without the written consent of the Participant (or the Participant’s estate in the case of his or her death). The terms and provisions of the LLC Agreement may be amended from time to time in accordance with the LLC Agreement and are hereby incorporated herein by reference. Upon the exercise of any Option granted hereunder, the Participant will execute a joinder to the LLC Agreement.</w:t>
      </w:r>
    </w:p>
    <w:p>
      <w:pPr>
        <w:spacing w:after="0" w:line="157" w:lineRule="exact"/>
        <w:rPr>
          <w:rFonts w:ascii="Arial" w:cs="Arial" w:eastAsia="Arial" w:hAnsi="Arial"/>
          <w:sz w:val="19"/>
          <w:szCs w:val="19"/>
          <w:color w:val="auto"/>
        </w:rPr>
      </w:pPr>
    </w:p>
    <w:p>
      <w:pPr>
        <w:jc w:val="both"/>
        <w:ind w:right="20" w:firstLine="644"/>
        <w:spacing w:after="0" w:line="253" w:lineRule="auto"/>
        <w:tabs>
          <w:tab w:leader="none" w:pos="1459"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Spousal Consent</w:t>
      </w:r>
      <w:r>
        <w:rPr>
          <w:rFonts w:ascii="Arial" w:cs="Arial" w:eastAsia="Arial" w:hAnsi="Arial"/>
          <w:sz w:val="22"/>
          <w:szCs w:val="22"/>
          <w:color w:val="auto"/>
        </w:rPr>
        <w:t>. To the extent the Committee determines such consent is advisable and/or necessary, in connection with and as a condition to the grant of an Award under this Plan, the Committee may require a Participant who is lawfully married to complete a form of spousal consent.</w:t>
      </w:r>
    </w:p>
    <w:p>
      <w:pPr>
        <w:spacing w:after="0" w:line="185" w:lineRule="exact"/>
        <w:rPr>
          <w:rFonts w:ascii="Arial" w:cs="Arial" w:eastAsia="Arial" w:hAnsi="Arial"/>
          <w:sz w:val="22"/>
          <w:szCs w:val="22"/>
          <w:color w:val="auto"/>
        </w:rPr>
      </w:pPr>
    </w:p>
    <w:p>
      <w:pPr>
        <w:ind w:right="20" w:firstLine="644"/>
        <w:spacing w:after="0" w:line="263" w:lineRule="auto"/>
        <w:tabs>
          <w:tab w:leader="none" w:pos="1459"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Signature in Counterparts</w:t>
      </w:r>
      <w:r>
        <w:rPr>
          <w:rFonts w:ascii="Arial" w:cs="Arial" w:eastAsia="Arial" w:hAnsi="Arial"/>
          <w:sz w:val="22"/>
          <w:szCs w:val="22"/>
          <w:color w:val="auto"/>
        </w:rPr>
        <w:t>. This Award Agreement may be signed in counterparts, each of which shall be an original, with the same effect as if the signatures thereto and hereto were upon the same instrument.</w:t>
      </w:r>
    </w:p>
    <w:p>
      <w:pPr>
        <w:spacing w:after="0" w:line="174" w:lineRule="exact"/>
        <w:rPr>
          <w:rFonts w:ascii="Arial" w:cs="Arial" w:eastAsia="Arial" w:hAnsi="Arial"/>
          <w:sz w:val="22"/>
          <w:szCs w:val="22"/>
          <w:color w:val="auto"/>
        </w:rPr>
      </w:pPr>
    </w:p>
    <w:p>
      <w:pPr>
        <w:jc w:val="both"/>
        <w:ind w:firstLine="644"/>
        <w:spacing w:after="0" w:line="250" w:lineRule="auto"/>
        <w:tabs>
          <w:tab w:leader="none" w:pos="1459"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Personal Information</w:t>
      </w:r>
      <w:r>
        <w:rPr>
          <w:rFonts w:ascii="Arial" w:cs="Arial" w:eastAsia="Arial" w:hAnsi="Arial"/>
          <w:sz w:val="22"/>
          <w:szCs w:val="22"/>
          <w:color w:val="auto"/>
        </w:rPr>
        <w:t>. To enable the Company to issue this Award to the Participant, and administer the Plan and any Award, by entering into this Award Agreement the Participant consents to the holding and processing of personal information provided by the Participant to the Company or any Subsidiary, trustee or third party service provider, for all purposes relating to the operation of the Plan.</w:t>
      </w:r>
    </w:p>
    <w:p>
      <w:pPr>
        <w:spacing w:after="0" w:line="188" w:lineRule="exact"/>
        <w:rPr>
          <w:rFonts w:ascii="Arial" w:cs="Arial" w:eastAsia="Arial" w:hAnsi="Arial"/>
          <w:sz w:val="22"/>
          <w:szCs w:val="22"/>
          <w:color w:val="auto"/>
        </w:rPr>
      </w:pPr>
    </w:p>
    <w:p>
      <w:pPr>
        <w:ind w:left="1460" w:hanging="816"/>
        <w:spacing w:after="0"/>
        <w:tabs>
          <w:tab w:leader="none" w:pos="146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Compliance with IRC Section 409A</w:t>
      </w:r>
    </w:p>
    <w:p>
      <w:pPr>
        <w:spacing w:after="0" w:line="219" w:lineRule="exact"/>
        <w:rPr>
          <w:rFonts w:ascii="Arial" w:cs="Arial" w:eastAsia="Arial" w:hAnsi="Arial"/>
          <w:sz w:val="22"/>
          <w:szCs w:val="22"/>
          <w:color w:val="auto"/>
        </w:rPr>
      </w:pPr>
    </w:p>
    <w:p>
      <w:pPr>
        <w:jc w:val="both"/>
        <w:ind w:firstLine="1293"/>
        <w:spacing w:after="0" w:line="289" w:lineRule="auto"/>
        <w:tabs>
          <w:tab w:leader="none" w:pos="207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To the extent applicable, this Agreement shall be interpreted and applied consistent and in accordance with Section 409A of the Internal Revenue Code of 1986, as amended (the “Code”) and Department of Treasury regulations and other interpretive guidance issued thereunder. If, however, the parties determine that any compensation or benefits payable under this Agreement may be or become subject to Section 409A of the Code, the parties shall cooperate to adopt such amendments to this Agreement or to adopt other policies and procedures (including amendments, policies and procedures with retroactive effect), or take such other actions, as the parties determine to be necessary or appropriate to (i) exempt the compensation and benefits payable under this Agreement from Section 409A of the Code and/or preserve the intended tax treatment of such compensation and benefits, or (ii) comply with the requirements of Section 409A of the Code. Notwithstanding the foregoing, the Company makes no representations that the payments</w:t>
      </w:r>
    </w:p>
    <w:p>
      <w:pPr>
        <w:sectPr>
          <w:pgSz w:w="11900" w:h="16838" w:orient="portrait"/>
          <w:cols w:equalWidth="0" w:num="1">
            <w:col w:w="11300"/>
          </w:cols>
          <w:pgMar w:left="360" w:top="375" w:right="239" w:bottom="1440" w:gutter="0" w:footer="0" w:header="0"/>
        </w:sectPr>
      </w:pPr>
    </w:p>
    <w:bookmarkStart w:id="199" w:name="page200"/>
    <w:bookmarkEnd w:id="199"/>
    <w:p>
      <w:pPr>
        <w:jc w:val="both"/>
        <w:spacing w:after="0" w:line="253" w:lineRule="auto"/>
        <w:rPr>
          <w:sz w:val="20"/>
          <w:szCs w:val="20"/>
          <w:color w:val="auto"/>
        </w:rPr>
      </w:pPr>
      <w:r>
        <w:rPr>
          <w:rFonts w:ascii="Arial" w:cs="Arial" w:eastAsia="Arial" w:hAnsi="Arial"/>
          <w:sz w:val="22"/>
          <w:szCs w:val="22"/>
          <w:color w:val="auto"/>
        </w:rPr>
        <w:t>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86" w:lineRule="exact"/>
        <w:rPr>
          <w:sz w:val="20"/>
          <w:szCs w:val="20"/>
          <w:color w:val="auto"/>
        </w:rPr>
      </w:pPr>
    </w:p>
    <w:p>
      <w:pPr>
        <w:jc w:val="both"/>
        <w:ind w:firstLine="1293"/>
        <w:spacing w:after="0" w:line="287" w:lineRule="auto"/>
        <w:tabs>
          <w:tab w:leader="none" w:pos="208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Notwithstanding anything herein to the contrary, (i) if at the time of the Participant’s termination of employment with the Company, the Participant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the Participant) until the date that is six months following the Participant’s termination of employment with the Company (or the earliest date as is permitted under Section 409A of the Code without any accelerated or additional tax) and (ii) if any other payments of money or other benefits due to the Participant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is reasonably expected not to cause such an accelerated or additional tax.</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firstLine="1293"/>
        <w:spacing w:after="0" w:line="263" w:lineRule="auto"/>
        <w:tabs>
          <w:tab w:leader="none" w:pos="207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For purposes of Section 409A of the Code, each payment made under this Agreement shall be designated as a “separate payment” within the meaning of the Section 409A of the Code.</w:t>
      </w:r>
    </w:p>
    <w:p>
      <w:pPr>
        <w:spacing w:after="0" w:line="174" w:lineRule="exact"/>
        <w:rPr>
          <w:rFonts w:ascii="Arial" w:cs="Arial" w:eastAsia="Arial" w:hAnsi="Arial"/>
          <w:sz w:val="22"/>
          <w:szCs w:val="22"/>
          <w:color w:val="auto"/>
        </w:rPr>
      </w:pPr>
    </w:p>
    <w:p>
      <w:pPr>
        <w:jc w:val="both"/>
        <w:ind w:firstLine="1293"/>
        <w:spacing w:after="0" w:line="248" w:lineRule="auto"/>
        <w:tabs>
          <w:tab w:leader="none" w:pos="208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the extent required by Section 409A of the Code,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ectPr>
          <w:pgSz w:w="11900" w:h="16838" w:orient="portrait"/>
          <w:cols w:equalWidth="0" w:num="1">
            <w:col w:w="11300"/>
          </w:cols>
          <w:pgMar w:left="360" w:top="37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EXECUTIVE SEVERANCE PROGRAM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General Motors LLC, herein referred to as the “Employer”, previously established the </w:t>
      </w:r>
      <w:r>
        <w:rPr>
          <w:rFonts w:ascii="Arial" w:cs="Arial" w:eastAsia="Arial" w:hAnsi="Arial"/>
          <w:sz w:val="22"/>
          <w:szCs w:val="22"/>
          <w:i w:val="1"/>
          <w:iCs w:val="1"/>
          <w:color w:val="auto"/>
        </w:rPr>
        <w:t>General Motors LLC U.S. Executive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Severance Program </w:t>
      </w:r>
      <w:r>
        <w:rPr>
          <w:rFonts w:ascii="Arial" w:cs="Arial" w:eastAsia="Arial" w:hAnsi="Arial"/>
          <w:sz w:val="22"/>
          <w:szCs w:val="22"/>
          <w:color w:val="auto"/>
        </w:rPr>
        <w:t>(the “Program”) effective February 2, 2016. The purpose of the Program is to provide for the payment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severance benefits to eligible executive employees of the Employer. This Program is not intended to alter the status of any executive or participant in the Program as an at-will employee, nor is it intended to create a contract of employment between any executive and General Motors LLC.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AND RESTATEMENT OF THE PROGRAM</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Effective as of February 1, 2019, General Motors LLC amends and restates the </w:t>
      </w:r>
      <w:r>
        <w:rPr>
          <w:rFonts w:ascii="Arial" w:cs="Arial" w:eastAsia="Arial" w:hAnsi="Arial"/>
          <w:sz w:val="21"/>
          <w:szCs w:val="21"/>
          <w:i w:val="1"/>
          <w:iCs w:val="1"/>
          <w:color w:val="auto"/>
        </w:rPr>
        <w:t>General Motors LLC U.S. Executive</w:t>
      </w:r>
      <w:r>
        <w:rPr>
          <w:rFonts w:ascii="Arial" w:cs="Arial" w:eastAsia="Arial" w:hAnsi="Arial"/>
          <w:sz w:val="21"/>
          <w:szCs w:val="21"/>
          <w:color w:val="auto"/>
        </w:rPr>
        <w:t xml:space="preserve"> </w:t>
      </w:r>
      <w:r>
        <w:rPr>
          <w:rFonts w:ascii="Arial" w:cs="Arial" w:eastAsia="Arial" w:hAnsi="Arial"/>
          <w:sz w:val="21"/>
          <w:szCs w:val="21"/>
          <w:i w:val="1"/>
          <w:iCs w:val="1"/>
          <w:color w:val="auto"/>
        </w:rPr>
        <w:t>Severance Program</w:t>
      </w:r>
      <w:r>
        <w:rPr>
          <w:rFonts w:ascii="Arial" w:cs="Arial" w:eastAsia="Arial" w:hAnsi="Arial"/>
          <w:sz w:val="21"/>
          <w:szCs w:val="21"/>
          <w:color w:val="auto"/>
        </w:rPr>
        <w:t>. With respect to any individual who separated from the Employer prior to the effective date of this amended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restated Program, such individual will continue to be bound by the terms of their existing separation arrangement, if any, and such individual will have no right or claim to separation pay under this amended and restated Program. Executives who are eligible for the Program and who are selected to participate in the Program are ineligible for severance benefits provided under any other severance program provided by the Company and its affiliates including the Employer, including the </w:t>
      </w:r>
      <w:r>
        <w:rPr>
          <w:rFonts w:ascii="Arial" w:cs="Arial" w:eastAsia="Arial" w:hAnsi="Arial"/>
          <w:sz w:val="21"/>
          <w:szCs w:val="21"/>
          <w:i w:val="1"/>
          <w:iCs w:val="1"/>
          <w:color w:val="auto"/>
        </w:rPr>
        <w:t>General Motors 2018</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Executive Severance Program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GM Severance Program</w:t>
      </w:r>
      <w:r>
        <w:rPr>
          <w:rFonts w:ascii="Arial" w:cs="Arial" w:eastAsia="Arial" w:hAnsi="Arial"/>
          <w:sz w:val="21"/>
          <w:szCs w:val="21"/>
          <w:color w:val="auto"/>
        </w:rPr>
        <w:t>.</w:t>
      </w:r>
    </w:p>
    <w:p>
      <w:pPr>
        <w:spacing w:after="0" w:line="17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used herein, the following words and phrases shall have the meanings set forth below unless the context clearly indicates otherwise.</w:t>
      </w:r>
    </w:p>
    <w:p>
      <w:pPr>
        <w:spacing w:after="0" w:line="3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Benefits Continuation</w:t>
      </w:r>
      <w:r>
        <w:rPr>
          <w:rFonts w:ascii="Arial" w:cs="Arial" w:eastAsia="Arial" w:hAnsi="Arial"/>
          <w:sz w:val="19"/>
          <w:szCs w:val="19"/>
          <w:color w:val="auto"/>
        </w:rPr>
        <w:t>” means the continuation of a Participant’s healthcare coverage in accordance with applicable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w:t>
      </w:r>
    </w:p>
    <w:p>
      <w:pPr>
        <w:spacing w:after="0" w:line="112" w:lineRule="exact"/>
        <w:rPr>
          <w:sz w:val="20"/>
          <w:szCs w:val="20"/>
          <w:color w:val="auto"/>
        </w:rPr>
      </w:pPr>
    </w:p>
    <w:p>
      <w:pPr>
        <w:ind w:left="3480" w:hanging="973"/>
        <w:spacing w:after="0"/>
        <w:tabs>
          <w:tab w:leader="none" w:pos="3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Executive’s commission of, or plea of guilty or no contest to, a felony;</w:t>
      </w:r>
    </w:p>
    <w:p>
      <w:pPr>
        <w:spacing w:after="0" w:line="219" w:lineRule="exact"/>
        <w:rPr>
          <w:rFonts w:ascii="Arial" w:cs="Arial" w:eastAsia="Arial" w:hAnsi="Arial"/>
          <w:sz w:val="22"/>
          <w:szCs w:val="22"/>
          <w:color w:val="auto"/>
        </w:rPr>
      </w:pPr>
    </w:p>
    <w:p>
      <w:pPr>
        <w:ind w:left="1860" w:firstLine="647"/>
        <w:spacing w:after="0" w:line="263" w:lineRule="auto"/>
        <w:tabs>
          <w:tab w:leader="none" w:pos="349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Executive’s gross negligence or willful misconduct that is materially injurious to the Company or any of its Subsidiaries, including but not limited to the Employer; or</w:t>
      </w:r>
    </w:p>
    <w:p>
      <w:pPr>
        <w:sectPr>
          <w:pgSz w:w="11900" w:h="16838" w:orient="portrait"/>
          <w:cols w:equalWidth="0" w:num="1">
            <w:col w:w="11420"/>
          </w:cols>
          <w:pgMar w:left="240" w:top="121" w:right="239" w:bottom="1440" w:gutter="0" w:footer="0" w:header="0"/>
        </w:sectPr>
      </w:pPr>
    </w:p>
    <w:bookmarkStart w:id="201" w:name="page202"/>
    <w:bookmarkEnd w:id="201"/>
    <w:p>
      <w:pPr>
        <w:ind w:left="2820" w:hanging="973"/>
        <w:spacing w:after="0"/>
        <w:tabs>
          <w:tab w:leader="none" w:pos="28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Executive’s material violation of state or Federal securities law.</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3.4  “</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one or more of the following events:</w:t>
      </w:r>
    </w:p>
    <w:p>
      <w:pPr>
        <w:spacing w:after="0" w:line="220" w:lineRule="exact"/>
        <w:rPr>
          <w:sz w:val="20"/>
          <w:szCs w:val="20"/>
          <w:color w:val="auto"/>
        </w:rPr>
      </w:pPr>
    </w:p>
    <w:p>
      <w:pPr>
        <w:jc w:val="both"/>
        <w:ind w:left="1200" w:firstLine="647"/>
        <w:spacing w:after="0" w:line="288" w:lineRule="auto"/>
        <w:tabs>
          <w:tab w:leader="none" w:pos="281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such Person becomes the beneficial owner of 40 percent of the total combined voting power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154" w:lineRule="exact"/>
        <w:rPr>
          <w:rFonts w:ascii="Arial" w:cs="Arial" w:eastAsia="Arial" w:hAnsi="Arial"/>
          <w:sz w:val="19"/>
          <w:szCs w:val="19"/>
          <w:color w:val="auto"/>
        </w:rPr>
      </w:pPr>
    </w:p>
    <w:p>
      <w:pPr>
        <w:jc w:val="both"/>
        <w:ind w:left="1200" w:firstLine="647"/>
        <w:spacing w:after="0" w:line="297" w:lineRule="auto"/>
        <w:tabs>
          <w:tab w:leader="none" w:pos="283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 majority of members of the Board;</w:t>
      </w:r>
    </w:p>
    <w:p>
      <w:pPr>
        <w:spacing w:after="0" w:line="147" w:lineRule="exact"/>
        <w:rPr>
          <w:rFonts w:ascii="Arial" w:cs="Arial" w:eastAsia="Arial" w:hAnsi="Arial"/>
          <w:sz w:val="19"/>
          <w:szCs w:val="19"/>
          <w:color w:val="auto"/>
        </w:rPr>
      </w:pPr>
    </w:p>
    <w:p>
      <w:pPr>
        <w:jc w:val="both"/>
        <w:ind w:left="1200" w:firstLine="647"/>
        <w:spacing w:after="0" w:line="259" w:lineRule="auto"/>
        <w:tabs>
          <w:tab w:leader="none" w:pos="2817"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180" w:lineRule="exact"/>
        <w:rPr>
          <w:rFonts w:ascii="Arial" w:cs="Arial" w:eastAsia="Arial" w:hAnsi="Arial"/>
          <w:sz w:val="21"/>
          <w:szCs w:val="21"/>
          <w:color w:val="auto"/>
        </w:rPr>
      </w:pPr>
    </w:p>
    <w:p>
      <w:pPr>
        <w:jc w:val="both"/>
        <w:ind w:left="1200" w:firstLine="647"/>
        <w:spacing w:after="0" w:line="253" w:lineRule="auto"/>
        <w:tabs>
          <w:tab w:leader="none" w:pos="283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consummation of any sale, lease, exchange or other transfer to any Person (other than a Subsidiary or affiliate of the Company) of assets of the Company and/or any of its Subsidiaries, in one transaction or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375" w:right="239" w:bottom="1440" w:gutter="0" w:footer="0" w:header="0"/>
        </w:sectPr>
      </w:pPr>
    </w:p>
    <w:bookmarkStart w:id="202" w:name="page203"/>
    <w:bookmarkEnd w:id="202"/>
    <w:p>
      <w:pPr>
        <w:jc w:val="both"/>
        <w:ind w:left="1860"/>
        <w:spacing w:after="0" w:line="253" w:lineRule="auto"/>
        <w:rPr>
          <w:sz w:val="20"/>
          <w:szCs w:val="20"/>
          <w:color w:val="auto"/>
        </w:rPr>
      </w:pPr>
      <w:r>
        <w:rPr>
          <w:rFonts w:ascii="Arial" w:cs="Arial" w:eastAsia="Arial" w:hAnsi="Arial"/>
          <w:sz w:val="22"/>
          <w:szCs w:val="22"/>
          <w:color w:val="auto"/>
        </w:rPr>
        <w:t>a series of related transactions within a 12-month period, having an aggregate fair market value of more than 50 percent of the fair market value of the Company and its Subsidiaries immediately prior to such transaction(s).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Notwithstanding the foregoing in this Section 3.4, in no event shall a Change in Control be deemed to have occurred (A) as a result of the formation of a Holding Company, (B) if the Executive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3.5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24-month period commencing on the earliest to occur of the following (subject to the final paragraph of Section 3.4):</w:t>
      </w:r>
    </w:p>
    <w:p>
      <w:pPr>
        <w:spacing w:after="0" w:line="175" w:lineRule="exact"/>
        <w:rPr>
          <w:sz w:val="20"/>
          <w:szCs w:val="20"/>
          <w:color w:val="auto"/>
        </w:rPr>
      </w:pPr>
    </w:p>
    <w:p>
      <w:pPr>
        <w:jc w:val="both"/>
        <w:ind w:left="1860" w:firstLine="647"/>
        <w:spacing w:after="0" w:line="250" w:lineRule="auto"/>
        <w:tabs>
          <w:tab w:leader="none" w:pos="347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date when the occurrence of an event described in Section 3.4 shall be (or should have been) disclosed in a Schedule 13D or an amendment thereto or other such similar or successor form promulgated by the U.S. Securities and Exchange Commission, filed with the U.S. Securities and Exchange Commission;</w:t>
      </w:r>
    </w:p>
    <w:p>
      <w:pPr>
        <w:spacing w:after="0" w:line="188" w:lineRule="exact"/>
        <w:rPr>
          <w:rFonts w:ascii="Arial" w:cs="Arial" w:eastAsia="Arial" w:hAnsi="Arial"/>
          <w:sz w:val="22"/>
          <w:szCs w:val="22"/>
          <w:color w:val="auto"/>
        </w:rPr>
      </w:pPr>
    </w:p>
    <w:p>
      <w:pPr>
        <w:ind w:left="1860" w:right="20" w:firstLine="647"/>
        <w:spacing w:after="0" w:line="263" w:lineRule="auto"/>
        <w:tabs>
          <w:tab w:leader="none" w:pos="349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first date on which at least a majority of the members of the Incumbent Board described in Section 3.4(c) first cease to constitute at least a majority of the Board; or</w:t>
      </w:r>
    </w:p>
    <w:p>
      <w:pPr>
        <w:spacing w:after="0" w:line="174" w:lineRule="exact"/>
        <w:rPr>
          <w:rFonts w:ascii="Arial" w:cs="Arial" w:eastAsia="Arial" w:hAnsi="Arial"/>
          <w:sz w:val="22"/>
          <w:szCs w:val="22"/>
          <w:color w:val="auto"/>
        </w:rPr>
      </w:pPr>
    </w:p>
    <w:p>
      <w:pPr>
        <w:ind w:left="3480" w:hanging="973"/>
        <w:spacing w:after="0"/>
        <w:tabs>
          <w:tab w:leader="none" w:pos="348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date on which a transaction described in Section 3.4(c) or Section 3.4(d) of this</w:t>
      </w:r>
    </w:p>
    <w:p>
      <w:pPr>
        <w:spacing w:after="0" w:line="33" w:lineRule="exact"/>
        <w:rPr>
          <w:rFonts w:ascii="Arial" w:cs="Arial" w:eastAsia="Arial" w:hAnsi="Arial"/>
          <w:sz w:val="21"/>
          <w:szCs w:val="21"/>
          <w:color w:val="auto"/>
        </w:rPr>
      </w:pPr>
    </w:p>
    <w:p>
      <w:pPr>
        <w:ind w:left="1860"/>
        <w:spacing w:after="0"/>
        <w:rPr>
          <w:rFonts w:ascii="Arial" w:cs="Arial" w:eastAsia="Arial" w:hAnsi="Arial"/>
          <w:sz w:val="21"/>
          <w:szCs w:val="21"/>
          <w:color w:val="auto"/>
        </w:rPr>
      </w:pPr>
      <w:r>
        <w:rPr>
          <w:rFonts w:ascii="Arial" w:cs="Arial" w:eastAsia="Arial" w:hAnsi="Arial"/>
          <w:sz w:val="22"/>
          <w:szCs w:val="22"/>
          <w:color w:val="auto"/>
        </w:rPr>
        <w:t>Program closes.</w:t>
      </w:r>
    </w:p>
    <w:p>
      <w:pPr>
        <w:spacing w:after="0" w:line="202" w:lineRule="exact"/>
        <w:rPr>
          <w:sz w:val="20"/>
          <w:szCs w:val="20"/>
          <w:color w:val="auto"/>
        </w:rPr>
      </w:pPr>
    </w:p>
    <w:p>
      <w:pPr>
        <w:ind w:right="600" w:firstLine="648"/>
        <w:spacing w:after="0" w:line="343" w:lineRule="auto"/>
        <w:rPr>
          <w:sz w:val="20"/>
          <w:szCs w:val="20"/>
          <w:color w:val="auto"/>
        </w:rPr>
      </w:pPr>
      <w:r>
        <w:rPr>
          <w:rFonts w:ascii="Arial" w:cs="Arial" w:eastAsia="Arial" w:hAnsi="Arial"/>
          <w:sz w:val="19"/>
          <w:szCs w:val="19"/>
          <w:color w:val="auto"/>
        </w:rPr>
        <w:t>3.6 “</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 and the rules, regulations and guidance thereunder. Any reference to a provision in the Code shall include any successor provisions thereto.</w:t>
      </w:r>
    </w:p>
    <w:p>
      <w:pPr>
        <w:spacing w:after="0" w:line="10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Covered Payments</w:t>
      </w:r>
      <w:r>
        <w:rPr>
          <w:rFonts w:ascii="Arial" w:cs="Arial" w:eastAsia="Arial" w:hAnsi="Arial"/>
          <w:sz w:val="19"/>
          <w:szCs w:val="19"/>
          <w:color w:val="auto"/>
        </w:rPr>
        <w:t>” has the meaning assigned to it in Section 5.4.</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General Motors Company, a Delaware corporation.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3.9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Executive Compensation Committee of the Board of Directors of the Company, or any similar committee of the Board of Directors of the Company.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3.10 “</w:t>
      </w:r>
      <w:r>
        <w:rPr>
          <w:rFonts w:ascii="Arial" w:cs="Arial" w:eastAsia="Arial" w:hAnsi="Arial"/>
          <w:sz w:val="22"/>
          <w:szCs w:val="22"/>
          <w:u w:val="single" w:color="auto"/>
          <w:color w:val="auto"/>
        </w:rPr>
        <w:t>Disability</w:t>
      </w:r>
      <w:r>
        <w:rPr>
          <w:rFonts w:ascii="Arial" w:cs="Arial" w:eastAsia="Arial" w:hAnsi="Arial"/>
          <w:sz w:val="22"/>
          <w:szCs w:val="22"/>
          <w:color w:val="auto"/>
        </w:rPr>
        <w:t>” means the Executive’s inability to engage in any gainful activity by reason of any medically determinable physical or mental impairment that can be expected to result in death or can be expected to last for a continuous period of not less than 12 months.</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February 1, 2019, the effective date of the amended and restated Program.</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General Motors LLC.</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203" w:name="page204"/>
    <w:bookmarkEnd w:id="203"/>
    <w:p>
      <w:pPr>
        <w:jc w:val="both"/>
        <w:ind w:firstLine="648"/>
        <w:spacing w:after="0" w:line="343" w:lineRule="auto"/>
        <w:rPr>
          <w:sz w:val="20"/>
          <w:szCs w:val="20"/>
          <w:color w:val="auto"/>
        </w:rPr>
      </w:pPr>
      <w:r>
        <w:rPr>
          <w:rFonts w:ascii="Arial" w:cs="Arial" w:eastAsia="Arial" w:hAnsi="Arial"/>
          <w:sz w:val="19"/>
          <w:szCs w:val="19"/>
          <w:color w:val="auto"/>
        </w:rPr>
        <w:t>3.13 “</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Employer Retirement Income Security Act of 1974, as amended from time to time, and the rules, regulations and guidance thereunder. Any reference to a provision in ERISA shall include any successor provisions thereto.</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3.14 “</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8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Excise Tax</w:t>
      </w:r>
      <w:r>
        <w:rPr>
          <w:rFonts w:ascii="Arial" w:cs="Arial" w:eastAsia="Arial" w:hAnsi="Arial"/>
          <w:sz w:val="19"/>
          <w:szCs w:val="19"/>
          <w:color w:val="auto"/>
        </w:rPr>
        <w:t>” has the meaning assigned to it in Section 5.4.</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3.16 “</w:t>
      </w:r>
      <w:r>
        <w:rPr>
          <w:rFonts w:ascii="Arial" w:cs="Arial" w:eastAsia="Arial" w:hAnsi="Arial"/>
          <w:sz w:val="22"/>
          <w:szCs w:val="22"/>
          <w:u w:val="single" w:color="auto"/>
          <w:color w:val="auto"/>
        </w:rPr>
        <w:t>Excluded Person</w:t>
      </w:r>
      <w:r>
        <w:rPr>
          <w:rFonts w:ascii="Arial" w:cs="Arial" w:eastAsia="Arial" w:hAnsi="Arial"/>
          <w:sz w:val="22"/>
          <w:szCs w:val="22"/>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3.17 “</w:t>
      </w:r>
      <w:r>
        <w:rPr>
          <w:rFonts w:ascii="Arial" w:cs="Arial" w:eastAsia="Arial" w:hAnsi="Arial"/>
          <w:sz w:val="19"/>
          <w:szCs w:val="19"/>
          <w:u w:val="single" w:color="auto"/>
          <w:color w:val="auto"/>
        </w:rPr>
        <w:t>Executive</w:t>
      </w:r>
      <w:r>
        <w:rPr>
          <w:rFonts w:ascii="Arial" w:cs="Arial" w:eastAsia="Arial" w:hAnsi="Arial"/>
          <w:sz w:val="19"/>
          <w:szCs w:val="19"/>
          <w:color w:val="auto"/>
        </w:rPr>
        <w:t>” means a full-time or part-time/flex employee of the Employer classified by the Employer as an Executive, or individuals in such other executive-equivalent classifications as identified by the Employer who are employed by the Employer. Individuals who are classified as “independent contractors”, “leased employees”, “bundled service employees”, “contract employees”, or such other similar classification, are not Executives for purposes of the Program regardless of their status as a common law employee or their reclassification by a court of competent jurisdiction or an administrative agency as such. Only Compensation Committee covered executives are eligible to participate in the Program.</w:t>
      </w:r>
    </w:p>
    <w:p>
      <w:pPr>
        <w:spacing w:after="0" w:line="15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w:t>
      </w:r>
    </w:p>
    <w:p>
      <w:pPr>
        <w:spacing w:after="0" w:line="220" w:lineRule="exact"/>
        <w:rPr>
          <w:sz w:val="20"/>
          <w:szCs w:val="20"/>
          <w:color w:val="auto"/>
        </w:rPr>
      </w:pPr>
    </w:p>
    <w:p>
      <w:pPr>
        <w:ind w:left="3480" w:hanging="973"/>
        <w:spacing w:after="0"/>
        <w:tabs>
          <w:tab w:leader="none" w:pos="34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 material reduction of the Participant’s base salary and target incentive compensation;</w:t>
      </w:r>
    </w:p>
    <w:p>
      <w:pPr>
        <w:spacing w:after="0" w:line="254" w:lineRule="exact"/>
        <w:rPr>
          <w:rFonts w:ascii="Arial" w:cs="Arial" w:eastAsia="Arial" w:hAnsi="Arial"/>
          <w:sz w:val="19"/>
          <w:szCs w:val="19"/>
          <w:color w:val="auto"/>
        </w:rPr>
      </w:pPr>
    </w:p>
    <w:p>
      <w:pPr>
        <w:ind w:left="1860" w:right="20" w:firstLine="647"/>
        <w:spacing w:after="0" w:line="263" w:lineRule="auto"/>
        <w:tabs>
          <w:tab w:leader="none" w:pos="349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 involuntary relocation of the geographic location of the Participant’s principal place of employment by more than 100 miles; or</w:t>
      </w:r>
    </w:p>
    <w:p>
      <w:pPr>
        <w:spacing w:after="0" w:line="174" w:lineRule="exact"/>
        <w:rPr>
          <w:rFonts w:ascii="Arial" w:cs="Arial" w:eastAsia="Arial" w:hAnsi="Arial"/>
          <w:sz w:val="22"/>
          <w:szCs w:val="22"/>
          <w:color w:val="auto"/>
        </w:rPr>
      </w:pPr>
    </w:p>
    <w:p>
      <w:pPr>
        <w:ind w:left="3520" w:hanging="1013"/>
        <w:spacing w:after="0"/>
        <w:tabs>
          <w:tab w:leader="none" w:pos="35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 material diminution of the Participant’s authority, duties, or responsibilities.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each case, if the Participant desires to terminate his or her employment or service with the Employer for Good Reason, he or she must first give written notice within 90 days of the initial existence of the facts and circumstances providing the basis for Good Reason to the Employer, and allow the Employer 60 days from the date of such notice to rectify the situation giving rise to Good Reason, and in the absence of any such rectification, the Participant, in order to be eligible for payments hereunder, must terminate his or her employment or service for such Good Reason within 120 days after delivery of such written notice.</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3.19 “</w:t>
      </w:r>
      <w:r>
        <w:rPr>
          <w:rFonts w:ascii="Arial" w:cs="Arial" w:eastAsia="Arial" w:hAnsi="Arial"/>
          <w:sz w:val="22"/>
          <w:szCs w:val="22"/>
          <w:u w:val="single" w:color="auto"/>
          <w:color w:val="auto"/>
        </w:rPr>
        <w:t>Holding Company</w:t>
      </w:r>
      <w:r>
        <w:rPr>
          <w:rFonts w:ascii="Arial" w:cs="Arial" w:eastAsia="Arial" w:hAnsi="Arial"/>
          <w:sz w:val="22"/>
          <w:szCs w:val="22"/>
          <w:color w:val="auto"/>
        </w:rPr>
        <w:t>” means an entity that becomes a holding company for the Company or its businesses as part of any reorganization, merger, consolidation or other transaction,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204" w:name="page205"/>
    <w:bookmarkEnd w:id="204"/>
    <w:p>
      <w:pPr>
        <w:jc w:val="both"/>
        <w:spacing w:after="0" w:line="294" w:lineRule="auto"/>
        <w:rPr>
          <w:sz w:val="20"/>
          <w:szCs w:val="20"/>
          <w:color w:val="auto"/>
        </w:rPr>
      </w:pPr>
      <w:r>
        <w:rPr>
          <w:rFonts w:ascii="Arial" w:cs="Arial" w:eastAsia="Arial" w:hAnsi="Arial"/>
          <w:sz w:val="19"/>
          <w:szCs w:val="19"/>
          <w:color w:val="auto"/>
        </w:rPr>
        <w:t>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5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Incumbent Board</w:t>
      </w:r>
      <w:r>
        <w:rPr>
          <w:rFonts w:ascii="Arial" w:cs="Arial" w:eastAsia="Arial" w:hAnsi="Arial"/>
          <w:sz w:val="19"/>
          <w:szCs w:val="19"/>
          <w:color w:val="auto"/>
        </w:rPr>
        <w:t>” has the meaning assigned to it in Section 3.4(b).</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Internal Revenue Service.</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3.22 “</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Executive whose compensation and terms of employment are within the purview of the Compensation Committee who is identified as eligible to participate in the Program in accordance with Article IV.</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3.23 “</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or entity, including any two or more Persons deemed to be one “person” as used in Sections 13(d)(3) and 14(d)(2) of the Exchange Act.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Program</w:t>
      </w:r>
      <w:r>
        <w:rPr>
          <w:rFonts w:ascii="Arial" w:cs="Arial" w:eastAsia="Arial" w:hAnsi="Arial"/>
          <w:sz w:val="19"/>
          <w:szCs w:val="19"/>
          <w:color w:val="auto"/>
        </w:rPr>
        <w:t xml:space="preserve">” means this </w:t>
      </w:r>
      <w:r>
        <w:rPr>
          <w:rFonts w:ascii="Arial" w:cs="Arial" w:eastAsia="Arial" w:hAnsi="Arial"/>
          <w:sz w:val="19"/>
          <w:szCs w:val="19"/>
          <w:i w:val="1"/>
          <w:iCs w:val="1"/>
          <w:color w:val="auto"/>
        </w:rPr>
        <w:t>General Motors LLC U.S. Executive Severance Program</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3.25 “</w:t>
      </w:r>
      <w:r>
        <w:rPr>
          <w:rFonts w:ascii="Arial" w:cs="Arial" w:eastAsia="Arial" w:hAnsi="Arial"/>
          <w:sz w:val="21"/>
          <w:szCs w:val="21"/>
          <w:u w:val="single" w:color="auto"/>
          <w:color w:val="auto"/>
        </w:rPr>
        <w:t>Restrictive Covenant</w:t>
      </w:r>
      <w:r>
        <w:rPr>
          <w:rFonts w:ascii="Arial" w:cs="Arial" w:eastAsia="Arial" w:hAnsi="Arial"/>
          <w:sz w:val="21"/>
          <w:szCs w:val="21"/>
          <w:color w:val="auto"/>
        </w:rPr>
        <w:t>” means a restrictive covenant, such as a non-compete or non-soliciation agreement, entered into between the Company or its Subsidiaries, including the Employer and a Participant as a condition of receipt of Separation Pay under this Program, which such covenant may be included in an applicable Waiver and Release.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3.26 “</w:t>
      </w:r>
      <w:r>
        <w:rPr>
          <w:rFonts w:ascii="Arial" w:cs="Arial" w:eastAsia="Arial" w:hAnsi="Arial"/>
          <w:sz w:val="22"/>
          <w:szCs w:val="22"/>
          <w:u w:val="single" w:color="auto"/>
          <w:color w:val="auto"/>
        </w:rPr>
        <w:t>Separation Pay</w:t>
      </w:r>
      <w:r>
        <w:rPr>
          <w:rFonts w:ascii="Arial" w:cs="Arial" w:eastAsia="Arial" w:hAnsi="Arial"/>
          <w:sz w:val="22"/>
          <w:szCs w:val="22"/>
          <w:color w:val="auto"/>
        </w:rPr>
        <w:t>” means the amount payable to a Participant as a result of Participant’s Termination of Employment as described in Section 5.1.</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3.27 “</w:t>
      </w:r>
      <w:r>
        <w:rPr>
          <w:rFonts w:ascii="Arial" w:cs="Arial" w:eastAsia="Arial" w:hAnsi="Arial"/>
          <w:sz w:val="22"/>
          <w:szCs w:val="22"/>
          <w:u w:val="single" w:color="auto"/>
          <w:color w:val="auto"/>
        </w:rPr>
        <w:t>Structure Equity</w:t>
      </w:r>
      <w:r>
        <w:rPr>
          <w:rFonts w:ascii="Arial" w:cs="Arial" w:eastAsia="Arial" w:hAnsi="Arial"/>
          <w:sz w:val="22"/>
          <w:szCs w:val="22"/>
          <w:color w:val="auto"/>
        </w:rPr>
        <w:t>” means regularly scheduled equity grants, such as annual grants, and does not include special, one-time or discretionary equity grants made at the discretion of the Compensation Committee or senior management. For purposes of clarification, annual grants of all of Performance Share Units, Restricted Stock Units and Options under the Long-Term Incentive Plans maintained by the Company constitute Structure Equity.</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3.28 “</w:t>
      </w:r>
      <w:r>
        <w:rPr>
          <w:rFonts w:ascii="Arial" w:cs="Arial" w:eastAsia="Arial" w:hAnsi="Arial"/>
          <w:sz w:val="19"/>
          <w:szCs w:val="19"/>
          <w:u w:val="single" w:color="auto"/>
          <w:color w:val="auto"/>
        </w:rPr>
        <w:t>Subsidiary</w:t>
      </w:r>
      <w:r>
        <w:rPr>
          <w:rFonts w:ascii="Arial" w:cs="Arial" w:eastAsia="Arial" w:hAnsi="Arial"/>
          <w:sz w:val="19"/>
          <w:szCs w:val="19"/>
          <w:color w:val="auto"/>
        </w:rPr>
        <w:t>” means an entity of which the Company directly or indirectly holds all or a majority of the value of the outstanding equity interests of such entity or a majority of the voting power with respect to the Voting Securities of such entity.</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3.29 “</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last day of the Participant’s active service to the Company and its Subsidiaries, including the Employer.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3.30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means the Participant’s cessation of employment with the Company and its Subsidiaries, including the Employer.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205" w:name="page206"/>
    <w:bookmarkEnd w:id="205"/>
    <w:p>
      <w:pPr>
        <w:jc w:val="both"/>
        <w:ind w:firstLine="648"/>
        <w:spacing w:after="0" w:line="253" w:lineRule="auto"/>
        <w:rPr>
          <w:sz w:val="20"/>
          <w:szCs w:val="20"/>
          <w:color w:val="auto"/>
        </w:rPr>
      </w:pPr>
      <w:r>
        <w:rPr>
          <w:rFonts w:ascii="Arial" w:cs="Arial" w:eastAsia="Arial" w:hAnsi="Arial"/>
          <w:sz w:val="22"/>
          <w:szCs w:val="22"/>
          <w:color w:val="auto"/>
        </w:rPr>
        <w:t>3.31 “</w:t>
      </w:r>
      <w:r>
        <w:rPr>
          <w:rFonts w:ascii="Arial" w:cs="Arial" w:eastAsia="Arial" w:hAnsi="Arial"/>
          <w:sz w:val="22"/>
          <w:szCs w:val="22"/>
          <w:u w:val="single" w:color="auto"/>
          <w:color w:val="auto"/>
        </w:rPr>
        <w:t>Voting Securities</w:t>
      </w:r>
      <w:r>
        <w:rPr>
          <w:rFonts w:ascii="Arial" w:cs="Arial" w:eastAsia="Arial" w:hAnsi="Arial"/>
          <w:sz w:val="22"/>
          <w:szCs w:val="22"/>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3.32 “</w:t>
      </w:r>
      <w:r>
        <w:rPr>
          <w:rFonts w:ascii="Arial" w:cs="Arial" w:eastAsia="Arial" w:hAnsi="Arial"/>
          <w:sz w:val="22"/>
          <w:szCs w:val="22"/>
          <w:u w:val="single" w:color="auto"/>
          <w:color w:val="auto"/>
        </w:rPr>
        <w:t>Waiver and Release</w:t>
      </w:r>
      <w:r>
        <w:rPr>
          <w:rFonts w:ascii="Arial" w:cs="Arial" w:eastAsia="Arial" w:hAnsi="Arial"/>
          <w:sz w:val="22"/>
          <w:szCs w:val="22"/>
          <w:color w:val="auto"/>
        </w:rPr>
        <w:t>” means a validly executed waiver and release of claims and causes of action for the benefit of the Employer and the Company and its Subsidiaries, including their officers and directors, in the form required by the Employer, the Company or its successors.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ELIGIBILITY &amp; PARTICIPTION</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Eligibility and Participation</w:t>
      </w:r>
      <w:r>
        <w:rPr>
          <w:rFonts w:ascii="Arial" w:cs="Arial" w:eastAsia="Arial" w:hAnsi="Arial"/>
          <w:sz w:val="21"/>
          <w:szCs w:val="21"/>
          <w:color w:val="auto"/>
        </w:rPr>
        <w:t>. Executives with one or more years of service who are working in the United States or who are U.S.-based executives working for the Employer outside of the United States (e.g., ISP assignments) are eligible to participate in the Program. In accordance with the terms of this Program, the Company may designate executives either individually or as a class of employees as eligible to receive Separation Pay under the Program.</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 Executive will neither be entitled to participate in the Program nor to receive Separation Pay if the Executive is subject to an individual agreement with the Company or its Subsidiaries, including the Employer, that provides for post-employment separation pay or benefits. For purposes of clarification only, participation in Company or Employer-sponsored executive compensation or benefit plans with a severance or change in control provision, such as the General Motors Long-Term Incentive Plan or the General Motors Executive Retirement Plan, by itself will not preclude an Executive from participation in this Program.</w:t>
      </w:r>
    </w:p>
    <w:p>
      <w:pPr>
        <w:spacing w:after="0" w:line="147"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Duration of Participation</w:t>
      </w:r>
      <w:r>
        <w:rPr>
          <w:rFonts w:ascii="Arial" w:cs="Arial" w:eastAsia="Arial" w:hAnsi="Arial"/>
          <w:sz w:val="19"/>
          <w:szCs w:val="19"/>
          <w:color w:val="auto"/>
        </w:rPr>
        <w:t>. Once an Executive becomes a Participant in the Program, subject to the other terms and conditions of the Program, the Executive will remain a Participant in the Program until the first to occur of the following:</w:t>
      </w:r>
    </w:p>
    <w:p>
      <w:pPr>
        <w:spacing w:after="0" w:line="105" w:lineRule="exact"/>
        <w:rPr>
          <w:sz w:val="20"/>
          <w:szCs w:val="20"/>
          <w:color w:val="auto"/>
        </w:rPr>
      </w:pPr>
    </w:p>
    <w:p>
      <w:pPr>
        <w:ind w:left="1300" w:hanging="320"/>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Executive’s Termination of Employment due to Disability;</w:t>
      </w:r>
    </w:p>
    <w:p>
      <w:pPr>
        <w:spacing w:after="0" w:line="219"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Executive’s movement into a position that is excluded from participation in the Program on its own or as a member of a class of employees that is not eligible to participate in the Program, other than following a Change in Control;</w:t>
      </w:r>
    </w:p>
    <w:p>
      <w:pPr>
        <w:spacing w:after="0" w:line="185"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Executive’s involuntary Termination of Employment by the Employer other than by reason of the Executive’s position elimination resulting from a reduction in force, a reorganization or a staffing reduction or a mutually agreed separation on terms satisfactory to the Employer;</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Executive’s voluntary Termination of Employment in any case in which there is not a Change in Control;</w:t>
      </w:r>
    </w:p>
    <w:p>
      <w:pPr>
        <w:spacing w:after="0" w:line="231" w:lineRule="exact"/>
        <w:rPr>
          <w:rFonts w:ascii="Arial" w:cs="Arial" w:eastAsia="Arial" w:hAnsi="Arial"/>
          <w:sz w:val="21"/>
          <w:szCs w:val="21"/>
          <w:color w:val="auto"/>
        </w:rPr>
      </w:pPr>
    </w:p>
    <w:p>
      <w:pPr>
        <w:ind w:left="1300" w:hanging="320"/>
        <w:spacing w:after="0"/>
        <w:tabs>
          <w:tab w:leader="none" w:pos="13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Executive’s voluntary Termination of Employment without Good Reason following a change in control;</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206" w:name="page207"/>
    <w:bookmarkEnd w:id="206"/>
    <w:p>
      <w:pPr>
        <w:ind w:left="1300" w:hanging="320"/>
        <w:spacing w:after="0"/>
        <w:tabs>
          <w:tab w:leader="none" w:pos="13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Executive’s involuntary Termination of Employment by the Employer for Cause;</w:t>
      </w:r>
    </w:p>
    <w:p>
      <w:pPr>
        <w:spacing w:after="0" w:line="219"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Executive’s exclusion from participation in the Program by the Company in accordance with the terms of the Program; or</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termination of the Program.</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Subject to Sections 4.3 and 5.6 and the terms of an applicable Waiver and Release, the Company will not take action to reduce or eliminate Separation Pay once a Participant has been separated under this Program and becomes eligible for or commences receipt of Separation Pay, without the Participant’s written consent. In no event will any Participant in the Program during the six-month period prior to the occurrence of a Change in Control be eliminated from participation during that period unless the Employer reasonably demonstrates that the elimination (a) was not at the request of a third party who has indicated an intention or taken steps reasonably calculated to effect a Change in Control, or (b) otherwise arose in connection with the Employer’s ordinary operation of its business and without regard to the Change in Control which was threatened or proposed. Other than in the event of the Participant’s voluntary Termination of Employment other than for Good Reason following a Change in Control, no Participant in the Program on the day immediately prior to the occurrence of a Change in Control can be eliminated from participation in the Program during the 24-month period commencing on the date of the Change in Control without the Participant’s consent.</w:t>
      </w:r>
    </w:p>
    <w:p>
      <w:pPr>
        <w:spacing w:after="0" w:line="1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Employees Offered Other Comparable Employment</w:t>
      </w:r>
      <w:r>
        <w:rPr>
          <w:rFonts w:ascii="Arial" w:cs="Arial" w:eastAsia="Arial" w:hAnsi="Arial"/>
          <w:sz w:val="22"/>
          <w:szCs w:val="22"/>
          <w:color w:val="auto"/>
        </w:rPr>
        <w:t>. If leadership extends continuing employment opportunities with the Company or its Subsidiaries, including the Employer, to a Participant who is eligible for Separation Pay under Section 5.1.1 at the same or at a comparable employment grade or level and at a level of compensation and benefits that are substantially similar in the aggregate to those provided in the Participant’s prior role, the Participant is expected to accept such offer of employment. Failure to accept such offer of employment will result in the affected Participant being ineligible for any further Separation Pay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ARTILCE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BENEFITS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Participant may be eligible for the Separation Pay and benefits described herein in the event of the Participant’s Termination of Employment under certain circumstances, including as a result of a Change in Control.</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Separation Pay</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Position Elimination and Mutually Agreed Separations Other than Following a Change in Control</w:t>
      </w:r>
      <w:r>
        <w:rPr>
          <w:rFonts w:ascii="Arial" w:cs="Arial" w:eastAsia="Arial" w:hAnsi="Arial"/>
          <w:sz w:val="19"/>
          <w:szCs w:val="19"/>
          <w:color w:val="auto"/>
        </w:rPr>
        <w:t>. If the Participant’s employment is involuntarily terminated by the Employer due to the elimination of the Participant’s role with the Employer as a result of a reduction in force, a reorganization or a staffing reduction, or if the Employer and the Participant mutually agree to the Participant’s Termination of Employment on terms satisfactory to the Employer, the Employer shall pay to the Participant in accordance with Section 5.3, a single payment in cash equal to (1) the specified multiple below times the Participant’s annual base salary, plus (2) the specified multiple below times the Participant’s annual target bonus amount, plus (3) the specified healthcare equivalent payment multiple below times the COBRA cost for the coverage level as most recently in effect for the Participant. The Employer shall also pay the Equity Equivalent amount identified below at or as soon as practicable following the time that the applicable equity vesting would occur had the Participant remained employed by the Employer during the 12 months following the Termination Date. The Participant will also receive 12 months of outplacement assistance. If a Participant’s Termination of Employment occurs under the circumstances described in this paragraph in March or April of a particular year, the Employer shall pay to the Participant in accordance with Section 5.3, a single payment in cash equal to (1) the specified multiple below times the Participant’s annual base salary, and (2) the specified healthcare equivalent multiple below times the COBRA cost for the coverage level as most recently in effect for the Participant. In the situation described in the preceding sentence, the Participant will receive neither the annual target bonus amount nor the Equity Equivalent amount identified below for equity vesting within the 12 months following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230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22"/>
                <w:szCs w:val="22"/>
                <w:b w:val="1"/>
                <w:bCs w:val="1"/>
                <w:color w:val="auto"/>
              </w:rPr>
              <w:t>Level</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Base Salary Multiple</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STIP Target Multiple</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5"/>
              </w:rPr>
              <w:t>Healthcare Equivalent</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Equity Equivalent</w:t>
            </w:r>
          </w:p>
        </w:tc>
        <w:tc>
          <w:tcPr>
            <w:tcW w:w="20" w:type="dxa"/>
            <w:vAlign w:val="bottom"/>
          </w:tcPr>
          <w:p>
            <w:pPr>
              <w:spacing w:after="0"/>
              <w:rPr>
                <w:sz w:val="22"/>
                <w:szCs w:val="22"/>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Payment Multiple</w:t>
            </w:r>
          </w:p>
        </w:tc>
        <w:tc>
          <w:tcPr>
            <w:tcW w:w="22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300" w:type="dxa"/>
            <w:vAlign w:val="bottom"/>
            <w:tcBorders>
              <w:left w:val="single" w:sz="8" w:color="auto"/>
              <w:right w:val="single" w:sz="8" w:color="auto"/>
            </w:tcBorders>
            <w:gridSpan w:val="4"/>
          </w:tcPr>
          <w:p>
            <w:pPr>
              <w:ind w:left="40"/>
              <w:spacing w:after="0" w:line="229" w:lineRule="exact"/>
              <w:rPr>
                <w:sz w:val="20"/>
                <w:szCs w:val="20"/>
                <w:color w:val="auto"/>
              </w:rPr>
            </w:pPr>
            <w:r>
              <w:rPr>
                <w:rFonts w:ascii="Arial" w:cs="Arial" w:eastAsia="Arial" w:hAnsi="Arial"/>
                <w:sz w:val="22"/>
                <w:szCs w:val="22"/>
                <w:color w:val="auto"/>
              </w:rPr>
              <w:t>CEO</w:t>
            </w:r>
          </w:p>
        </w:tc>
        <w:tc>
          <w:tcPr>
            <w:tcW w:w="226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2"/>
                <w:szCs w:val="22"/>
                <w:color w:val="auto"/>
              </w:rPr>
              <w:t>2X</w:t>
            </w:r>
          </w:p>
        </w:tc>
        <w:tc>
          <w:tcPr>
            <w:tcW w:w="2280" w:type="dxa"/>
            <w:vAlign w:val="bottom"/>
            <w:tcBorders>
              <w:right w:val="single" w:sz="8" w:color="auto"/>
            </w:tcBorders>
          </w:tcPr>
          <w:p>
            <w:pPr>
              <w:ind w:left="1000"/>
              <w:spacing w:after="0" w:line="229" w:lineRule="exact"/>
              <w:rPr>
                <w:sz w:val="20"/>
                <w:szCs w:val="20"/>
                <w:color w:val="auto"/>
              </w:rPr>
            </w:pPr>
            <w:r>
              <w:rPr>
                <w:rFonts w:ascii="Arial" w:cs="Arial" w:eastAsia="Arial" w:hAnsi="Arial"/>
                <w:sz w:val="22"/>
                <w:szCs w:val="22"/>
                <w:color w:val="auto"/>
              </w:rPr>
              <w:t>1X</w:t>
            </w:r>
          </w:p>
        </w:tc>
        <w:tc>
          <w:tcPr>
            <w:tcW w:w="2260" w:type="dxa"/>
            <w:vAlign w:val="bottom"/>
            <w:tcBorders>
              <w:right w:val="single" w:sz="8" w:color="auto"/>
            </w:tcBorders>
          </w:tcPr>
          <w:p>
            <w:pPr>
              <w:ind w:left="660"/>
              <w:spacing w:after="0" w:line="229" w:lineRule="exact"/>
              <w:rPr>
                <w:sz w:val="20"/>
                <w:szCs w:val="20"/>
                <w:color w:val="auto"/>
              </w:rPr>
            </w:pPr>
            <w:r>
              <w:rPr>
                <w:rFonts w:ascii="Arial" w:cs="Arial" w:eastAsia="Arial" w:hAnsi="Arial"/>
                <w:sz w:val="22"/>
                <w:szCs w:val="22"/>
                <w:color w:val="auto"/>
              </w:rPr>
              <w:t>24 Months</w:t>
            </w:r>
          </w:p>
        </w:tc>
        <w:tc>
          <w:tcPr>
            <w:tcW w:w="2260" w:type="dxa"/>
            <w:vAlign w:val="bottom"/>
            <w:tcBorders>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88"/>
              </w:rPr>
              <w:t>Cash equivalent of</w:t>
            </w:r>
          </w:p>
        </w:tc>
        <w:tc>
          <w:tcPr>
            <w:tcW w:w="20" w:type="dxa"/>
            <w:vAlign w:val="bottom"/>
          </w:tcPr>
          <w:p>
            <w:pPr>
              <w:spacing w:after="0"/>
              <w:rPr>
                <w:sz w:val="19"/>
                <w:szCs w:val="19"/>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0"/>
              </w:rPr>
              <w:t>Structure Equity vesting</w:t>
            </w:r>
          </w:p>
        </w:tc>
        <w:tc>
          <w:tcPr>
            <w:tcW w:w="20" w:type="dxa"/>
            <w:vAlign w:val="bottom"/>
          </w:tcPr>
          <w:p>
            <w:pPr>
              <w:spacing w:after="0"/>
              <w:rPr>
                <w:sz w:val="21"/>
                <w:szCs w:val="21"/>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line="238" w:lineRule="exact"/>
              <w:rPr>
                <w:sz w:val="20"/>
                <w:szCs w:val="20"/>
                <w:color w:val="auto"/>
              </w:rPr>
            </w:pPr>
            <w:r>
              <w:rPr>
                <w:rFonts w:ascii="Arial" w:cs="Arial" w:eastAsia="Arial" w:hAnsi="Arial"/>
                <w:sz w:val="22"/>
                <w:szCs w:val="22"/>
                <w:color w:val="auto"/>
                <w:w w:val="91"/>
              </w:rPr>
              <w:t>within the 12 months</w:t>
            </w:r>
          </w:p>
        </w:tc>
        <w:tc>
          <w:tcPr>
            <w:tcW w:w="20" w:type="dxa"/>
            <w:vAlign w:val="bottom"/>
          </w:tcPr>
          <w:p>
            <w:pPr>
              <w:spacing w:after="0"/>
              <w:rPr>
                <w:sz w:val="20"/>
                <w:szCs w:val="20"/>
                <w:color w:val="auto"/>
              </w:rPr>
            </w:pPr>
          </w:p>
        </w:tc>
      </w:tr>
      <w:tr>
        <w:trPr>
          <w:trHeight w:val="223"/>
        </w:trPr>
        <w:tc>
          <w:tcPr>
            <w:tcW w:w="2300" w:type="dxa"/>
            <w:vAlign w:val="bottom"/>
            <w:tcBorders>
              <w:left w:val="single" w:sz="8" w:color="auto"/>
              <w:right w:val="single" w:sz="8" w:color="auto"/>
            </w:tcBorders>
            <w:gridSpan w:val="4"/>
          </w:tcPr>
          <w:p>
            <w:pPr>
              <w:ind w:left="40"/>
              <w:spacing w:after="0" w:line="223" w:lineRule="exact"/>
              <w:rPr>
                <w:sz w:val="20"/>
                <w:szCs w:val="20"/>
                <w:color w:val="auto"/>
              </w:rPr>
            </w:pPr>
            <w:r>
              <w:rPr>
                <w:rFonts w:ascii="Arial" w:cs="Arial" w:eastAsia="Arial" w:hAnsi="Arial"/>
                <w:sz w:val="22"/>
                <w:szCs w:val="22"/>
                <w:color w:val="auto"/>
              </w:rPr>
              <w:t>SVP&amp; Above</w:t>
            </w:r>
          </w:p>
        </w:tc>
        <w:tc>
          <w:tcPr>
            <w:tcW w:w="22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7"/>
              </w:rPr>
              <w:t>1.5X</w:t>
            </w:r>
          </w:p>
        </w:tc>
        <w:tc>
          <w:tcPr>
            <w:tcW w:w="2280" w:type="dxa"/>
            <w:vAlign w:val="bottom"/>
            <w:tcBorders>
              <w:right w:val="single" w:sz="8" w:color="auto"/>
            </w:tcBorders>
          </w:tcPr>
          <w:p>
            <w:pPr>
              <w:ind w:left="1000"/>
              <w:spacing w:after="0" w:line="223" w:lineRule="exact"/>
              <w:rPr>
                <w:sz w:val="20"/>
                <w:szCs w:val="20"/>
                <w:color w:val="auto"/>
              </w:rPr>
            </w:pPr>
            <w:r>
              <w:rPr>
                <w:rFonts w:ascii="Arial" w:cs="Arial" w:eastAsia="Arial" w:hAnsi="Arial"/>
                <w:sz w:val="22"/>
                <w:szCs w:val="22"/>
                <w:color w:val="auto"/>
              </w:rPr>
              <w:t>1X</w:t>
            </w:r>
          </w:p>
        </w:tc>
        <w:tc>
          <w:tcPr>
            <w:tcW w:w="2260" w:type="dxa"/>
            <w:vAlign w:val="bottom"/>
            <w:tcBorders>
              <w:right w:val="single" w:sz="8" w:color="auto"/>
            </w:tcBorders>
          </w:tcPr>
          <w:p>
            <w:pPr>
              <w:ind w:left="660"/>
              <w:spacing w:after="0" w:line="223" w:lineRule="exact"/>
              <w:rPr>
                <w:sz w:val="20"/>
                <w:szCs w:val="20"/>
                <w:color w:val="auto"/>
              </w:rPr>
            </w:pPr>
            <w:r>
              <w:rPr>
                <w:rFonts w:ascii="Arial" w:cs="Arial" w:eastAsia="Arial" w:hAnsi="Arial"/>
                <w:sz w:val="22"/>
                <w:szCs w:val="22"/>
                <w:color w:val="auto"/>
              </w:rPr>
              <w:t>18 Months</w:t>
            </w:r>
          </w:p>
        </w:tc>
        <w:tc>
          <w:tcPr>
            <w:tcW w:w="22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3"/>
              </w:rPr>
              <w:t>following Termination of</w:t>
            </w:r>
          </w:p>
        </w:tc>
        <w:tc>
          <w:tcPr>
            <w:tcW w:w="20" w:type="dxa"/>
            <w:vAlign w:val="bottom"/>
          </w:tcPr>
          <w:p>
            <w:pPr>
              <w:spacing w:after="0"/>
              <w:rPr>
                <w:sz w:val="19"/>
                <w:szCs w:val="19"/>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Employment</w:t>
            </w:r>
          </w:p>
        </w:tc>
        <w:tc>
          <w:tcPr>
            <w:tcW w:w="20" w:type="dxa"/>
            <w:vAlign w:val="bottom"/>
          </w:tcPr>
          <w:p>
            <w:pPr>
              <w:spacing w:after="0"/>
              <w:rPr>
                <w:sz w:val="22"/>
                <w:szCs w:val="22"/>
                <w:color w:val="auto"/>
              </w:rPr>
            </w:pPr>
          </w:p>
        </w:tc>
      </w:tr>
      <w:tr>
        <w:trPr>
          <w:trHeight w:val="220"/>
        </w:trPr>
        <w:tc>
          <w:tcPr>
            <w:tcW w:w="40" w:type="dxa"/>
            <w:vAlign w:val="bottom"/>
            <w:tcBorders>
              <w:left w:val="single" w:sz="8" w:color="auto"/>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669"/>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369" w:right="239" w:bottom="1440" w:gutter="0" w:footer="0" w:header="0"/>
        </w:sectPr>
      </w:pPr>
    </w:p>
    <w:bookmarkStart w:id="208" w:name="page209"/>
    <w:bookmarkEnd w:id="208"/>
    <w:p>
      <w:pPr>
        <w:jc w:val="both"/>
        <w:ind w:firstLine="648"/>
        <w:spacing w:after="0" w:line="285"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Termination During the Change in Control Period</w:t>
      </w:r>
      <w:r>
        <w:rPr>
          <w:rFonts w:ascii="Arial" w:cs="Arial" w:eastAsia="Arial" w:hAnsi="Arial"/>
          <w:sz w:val="19"/>
          <w:szCs w:val="19"/>
          <w:color w:val="auto"/>
        </w:rPr>
        <w:t>. With respect to any Participant, if, during the Change in Control Period, the Participant’s employment is terminated by the Company (or its successor) or its Subsidiaries, including the Employer for any reason other than Cause, or if the Participant voluntarily terminates their employment for Good Reason, the Employer shall pay to the Participant in accordance with Section 5.3(e), a single payment in cash equal to (1) the specified multiple below times the Participant’s annual base salary, plus (2) the specified multiple below times the Participant’s annual target bonus amount, plus</w:t>
      </w:r>
    </w:p>
    <w:p>
      <w:pPr>
        <w:spacing w:after="0" w:line="4" w:lineRule="exact"/>
        <w:rPr>
          <w:sz w:val="20"/>
          <w:szCs w:val="20"/>
          <w:color w:val="auto"/>
        </w:rPr>
      </w:pPr>
    </w:p>
    <w:p>
      <w:pPr>
        <w:ind w:firstLine="8"/>
        <w:spacing w:after="0" w:line="246" w:lineRule="auto"/>
        <w:tabs>
          <w:tab w:leader="none" w:pos="32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specified healthcare equivalent payment multiple below times the COBRA cost for the coverage level as most recently in effect for the Participant.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40" w:type="dxa"/>
            <w:vAlign w:val="bottom"/>
            <w:tcBorders>
              <w:top w:val="single" w:sz="8" w:color="auto"/>
              <w:left w:val="single" w:sz="8" w:color="auto"/>
            </w:tcBorders>
          </w:tcPr>
          <w:p>
            <w:pPr>
              <w:spacing w:after="0"/>
              <w:rPr>
                <w:sz w:val="22"/>
                <w:szCs w:val="22"/>
                <w:color w:val="auto"/>
              </w:rPr>
            </w:pPr>
          </w:p>
        </w:tc>
        <w:tc>
          <w:tcPr>
            <w:tcW w:w="22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2"/>
                <w:szCs w:val="22"/>
                <w:b w:val="1"/>
                <w:bCs w:val="1"/>
                <w:color w:val="auto"/>
              </w:rPr>
              <w:t>Level</w:t>
            </w:r>
          </w:p>
        </w:tc>
        <w:tc>
          <w:tcPr>
            <w:tcW w:w="2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Base Salary Multiple</w:t>
            </w:r>
          </w:p>
        </w:tc>
        <w:tc>
          <w:tcPr>
            <w:tcW w:w="2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STIP Target Multiple</w:t>
            </w:r>
          </w:p>
        </w:tc>
        <w:tc>
          <w:tcPr>
            <w:tcW w:w="3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Healthcare Equivalent Payment</w:t>
            </w:r>
          </w:p>
        </w:tc>
      </w:tr>
      <w:tr>
        <w:trPr>
          <w:trHeight w:val="281"/>
        </w:trPr>
        <w:tc>
          <w:tcPr>
            <w:tcW w:w="4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Multiple</w:t>
            </w:r>
          </w:p>
        </w:tc>
      </w:tr>
      <w:tr>
        <w:trPr>
          <w:trHeight w:val="233"/>
        </w:trPr>
        <w:tc>
          <w:tcPr>
            <w:tcW w:w="40" w:type="dxa"/>
            <w:vAlign w:val="bottom"/>
            <w:tcBorders>
              <w:left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2260" w:type="dxa"/>
            <w:vAlign w:val="bottom"/>
            <w:tcBorders>
              <w:right w:val="single" w:sz="8" w:color="auto"/>
            </w:tcBorders>
            <w:gridSpan w:val="3"/>
          </w:tcPr>
          <w:p>
            <w:pPr>
              <w:spacing w:after="0" w:line="223" w:lineRule="exact"/>
              <w:rPr>
                <w:sz w:val="20"/>
                <w:szCs w:val="20"/>
                <w:color w:val="auto"/>
              </w:rPr>
            </w:pPr>
            <w:r>
              <w:rPr>
                <w:rFonts w:ascii="Arial" w:cs="Arial" w:eastAsia="Arial" w:hAnsi="Arial"/>
                <w:sz w:val="22"/>
                <w:szCs w:val="22"/>
                <w:color w:val="auto"/>
              </w:rPr>
              <w:t>CEO</w:t>
            </w:r>
          </w:p>
        </w:tc>
        <w:tc>
          <w:tcPr>
            <w:tcW w:w="25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6"/>
              </w:rPr>
              <w:t>2X</w:t>
            </w:r>
          </w:p>
        </w:tc>
        <w:tc>
          <w:tcPr>
            <w:tcW w:w="2940" w:type="dxa"/>
            <w:vAlign w:val="bottom"/>
            <w:tcBorders>
              <w:right w:val="single" w:sz="8" w:color="auto"/>
            </w:tcBorders>
          </w:tcPr>
          <w:p>
            <w:pPr>
              <w:ind w:left="1320"/>
              <w:spacing w:after="0" w:line="223" w:lineRule="exact"/>
              <w:rPr>
                <w:sz w:val="20"/>
                <w:szCs w:val="20"/>
                <w:color w:val="auto"/>
              </w:rPr>
            </w:pPr>
            <w:r>
              <w:rPr>
                <w:rFonts w:ascii="Arial" w:cs="Arial" w:eastAsia="Arial" w:hAnsi="Arial"/>
                <w:sz w:val="22"/>
                <w:szCs w:val="22"/>
                <w:color w:val="auto"/>
              </w:rPr>
              <w:t>1X</w:t>
            </w:r>
          </w:p>
        </w:tc>
        <w:tc>
          <w:tcPr>
            <w:tcW w:w="3640" w:type="dxa"/>
            <w:vAlign w:val="bottom"/>
            <w:tcBorders>
              <w:right w:val="single" w:sz="8" w:color="auto"/>
            </w:tcBorders>
          </w:tcPr>
          <w:p>
            <w:pPr>
              <w:ind w:left="1340"/>
              <w:spacing w:after="0" w:line="223" w:lineRule="exact"/>
              <w:rPr>
                <w:sz w:val="20"/>
                <w:szCs w:val="20"/>
                <w:color w:val="auto"/>
              </w:rPr>
            </w:pPr>
            <w:r>
              <w:rPr>
                <w:rFonts w:ascii="Arial" w:cs="Arial" w:eastAsia="Arial" w:hAnsi="Arial"/>
                <w:sz w:val="22"/>
                <w:szCs w:val="22"/>
                <w:color w:val="auto"/>
              </w:rPr>
              <w:t>24 Months</w:t>
            </w:r>
          </w:p>
        </w:tc>
      </w:tr>
      <w:tr>
        <w:trPr>
          <w:trHeight w:val="264"/>
        </w:trPr>
        <w:tc>
          <w:tcPr>
            <w:tcW w:w="40" w:type="dxa"/>
            <w:vAlign w:val="bottom"/>
            <w:tcBorders>
              <w:left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right w:val="single" w:sz="8" w:color="auto"/>
            </w:tcBorders>
          </w:tcPr>
          <w:p>
            <w:pPr>
              <w:spacing w:after="0"/>
              <w:rPr>
                <w:sz w:val="22"/>
                <w:szCs w:val="22"/>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2260" w:type="dxa"/>
            <w:vAlign w:val="bottom"/>
            <w:tcBorders>
              <w:right w:val="single" w:sz="8" w:color="auto"/>
            </w:tcBorders>
            <w:gridSpan w:val="3"/>
          </w:tcPr>
          <w:p>
            <w:pPr>
              <w:spacing w:after="0" w:line="223" w:lineRule="exact"/>
              <w:rPr>
                <w:sz w:val="20"/>
                <w:szCs w:val="20"/>
                <w:color w:val="auto"/>
              </w:rPr>
            </w:pPr>
            <w:r>
              <w:rPr>
                <w:rFonts w:ascii="Arial" w:cs="Arial" w:eastAsia="Arial" w:hAnsi="Arial"/>
                <w:sz w:val="22"/>
                <w:szCs w:val="22"/>
                <w:color w:val="auto"/>
              </w:rPr>
              <w:t>SVP&amp; Above</w:t>
            </w:r>
          </w:p>
        </w:tc>
        <w:tc>
          <w:tcPr>
            <w:tcW w:w="25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2"/>
              </w:rPr>
              <w:t>1.5X</w:t>
            </w:r>
          </w:p>
        </w:tc>
        <w:tc>
          <w:tcPr>
            <w:tcW w:w="2940" w:type="dxa"/>
            <w:vAlign w:val="bottom"/>
            <w:tcBorders>
              <w:right w:val="single" w:sz="8" w:color="auto"/>
            </w:tcBorders>
          </w:tcPr>
          <w:p>
            <w:pPr>
              <w:ind w:left="1320"/>
              <w:spacing w:after="0" w:line="223" w:lineRule="exact"/>
              <w:rPr>
                <w:sz w:val="20"/>
                <w:szCs w:val="20"/>
                <w:color w:val="auto"/>
              </w:rPr>
            </w:pPr>
            <w:r>
              <w:rPr>
                <w:rFonts w:ascii="Arial" w:cs="Arial" w:eastAsia="Arial" w:hAnsi="Arial"/>
                <w:sz w:val="22"/>
                <w:szCs w:val="22"/>
                <w:color w:val="auto"/>
              </w:rPr>
              <w:t>1X</w:t>
            </w:r>
          </w:p>
        </w:tc>
        <w:tc>
          <w:tcPr>
            <w:tcW w:w="3640" w:type="dxa"/>
            <w:vAlign w:val="bottom"/>
            <w:tcBorders>
              <w:right w:val="single" w:sz="8" w:color="auto"/>
            </w:tcBorders>
          </w:tcPr>
          <w:p>
            <w:pPr>
              <w:ind w:left="1340"/>
              <w:spacing w:after="0" w:line="223" w:lineRule="exact"/>
              <w:rPr>
                <w:sz w:val="20"/>
                <w:szCs w:val="20"/>
                <w:color w:val="auto"/>
              </w:rPr>
            </w:pPr>
            <w:r>
              <w:rPr>
                <w:rFonts w:ascii="Arial" w:cs="Arial" w:eastAsia="Arial" w:hAnsi="Arial"/>
                <w:sz w:val="22"/>
                <w:szCs w:val="22"/>
                <w:color w:val="auto"/>
              </w:rPr>
              <w:t>18 Months</w:t>
            </w:r>
          </w:p>
        </w:tc>
      </w:tr>
      <w:tr>
        <w:trPr>
          <w:trHeight w:val="264"/>
        </w:trPr>
        <w:tc>
          <w:tcPr>
            <w:tcW w:w="40" w:type="dxa"/>
            <w:vAlign w:val="bottom"/>
            <w:tcBorders>
              <w:left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Termination Prior to a Change in Control</w:t>
      </w:r>
      <w:r>
        <w:rPr>
          <w:rFonts w:ascii="Arial" w:cs="Arial" w:eastAsia="Arial" w:hAnsi="Arial"/>
          <w:sz w:val="19"/>
          <w:szCs w:val="19"/>
          <w:color w:val="auto"/>
        </w:rPr>
        <w:t>. With respect to any Participant, if the Participant’s employment is terminated by the Employer without Cause during the six-month period immediately prior to the date of a Change in Control, and the Participant is not otherwise eligible for Separation Pay under Section 5.1.1 or did not otherwise enter into an agreement with the Employer providing for the payment of separation pay following Termination of Employment, the Participant shall be entitled to the same Separation Pay as the Participant would have received pursuant to Section 5.1.2 above had such termination occurred during the Change in Control Period, unless the Employer reasonably demonstrates that the termination (a) was not at the request of a third party who indicated an intention or who had taken steps reasonably calculated to effect a Change in Control, or</w:t>
      </w:r>
    </w:p>
    <w:p>
      <w:pPr>
        <w:spacing w:after="0" w:line="4" w:lineRule="exact"/>
        <w:rPr>
          <w:sz w:val="20"/>
          <w:szCs w:val="20"/>
          <w:color w:val="auto"/>
        </w:rPr>
      </w:pPr>
    </w:p>
    <w:p>
      <w:pPr>
        <w:ind w:right="20" w:firstLine="8"/>
        <w:spacing w:after="0" w:line="246" w:lineRule="auto"/>
        <w:tabs>
          <w:tab w:leader="none" w:pos="33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otherwise arose in connection with the Employer’s ordinary operation of its business and without regard to the Change in Control which was threatened or proposed.</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Benefits Continuation</w:t>
      </w:r>
      <w:r>
        <w:rPr>
          <w:rFonts w:ascii="Arial" w:cs="Arial" w:eastAsia="Arial" w:hAnsi="Arial"/>
          <w:sz w:val="22"/>
          <w:szCs w:val="22"/>
          <w:color w:val="auto"/>
        </w:rPr>
        <w:t>. At the time of a Participant’s Termination of Employment, the Participant shall be eligible to enroll in healthcare continuation coverage in accordance with COBRA, or other applicable equivalent, and provision of Separation Pay attributable to the healthcare equivalent payment multiple will not impact the Participant’s eligibility to enroll in healthcare continuation coverage.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Separation Pay Conditions</w:t>
      </w:r>
      <w:r>
        <w:rPr>
          <w:rFonts w:ascii="Arial" w:cs="Arial" w:eastAsia="Arial" w:hAnsi="Arial"/>
          <w:sz w:val="22"/>
          <w:szCs w:val="22"/>
          <w:color w:val="auto"/>
        </w:rPr>
        <w:t>. The receipt of payments as set forth under Sections 5.1.1, 5.1.2 and Section 5.1.3 above is subject to the following conditions:</w:t>
      </w:r>
    </w:p>
    <w:p>
      <w:pPr>
        <w:spacing w:after="0" w:line="175" w:lineRule="exact"/>
        <w:rPr>
          <w:sz w:val="20"/>
          <w:szCs w:val="20"/>
          <w:color w:val="auto"/>
        </w:rPr>
      </w:pPr>
    </w:p>
    <w:p>
      <w:pPr>
        <w:ind w:left="1220" w:firstLine="638"/>
        <w:spacing w:after="0" w:line="263" w:lineRule="auto"/>
        <w:tabs>
          <w:tab w:leader="none" w:pos="283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In exchange for the Separation Pay described herein, Participant shall be required to execute and deliver to Employer a Waiver and Release, unless such</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209" w:name="page210"/>
    <w:bookmarkEnd w:id="209"/>
    <w:p>
      <w:pPr>
        <w:ind w:left="1220"/>
        <w:spacing w:after="0" w:line="287" w:lineRule="auto"/>
        <w:rPr>
          <w:sz w:val="20"/>
          <w:szCs w:val="20"/>
          <w:color w:val="auto"/>
        </w:rPr>
      </w:pPr>
      <w:r>
        <w:rPr>
          <w:rFonts w:ascii="Arial" w:cs="Arial" w:eastAsia="Arial" w:hAnsi="Arial"/>
          <w:sz w:val="21"/>
          <w:szCs w:val="21"/>
          <w:color w:val="auto"/>
        </w:rPr>
        <w:t>requirement is waived by the Company or it Subsidiaries, including the Employer. The Employer shall provide a form for such Waiver and Release to the Participant within 30 days following the Termination Date.</w:t>
      </w:r>
    </w:p>
    <w:p>
      <w:pPr>
        <w:spacing w:after="0" w:line="152" w:lineRule="exact"/>
        <w:rPr>
          <w:sz w:val="20"/>
          <w:szCs w:val="20"/>
          <w:color w:val="auto"/>
        </w:rPr>
      </w:pPr>
    </w:p>
    <w:p>
      <w:pPr>
        <w:ind w:left="1220" w:firstLine="638"/>
        <w:spacing w:after="0" w:line="263" w:lineRule="auto"/>
        <w:tabs>
          <w:tab w:leader="none" w:pos="284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Participant shall remain in compliance with all Restrictive Covenants required of Participant as a condition of receipt of Separation Pay.</w:t>
      </w:r>
    </w:p>
    <w:p>
      <w:pPr>
        <w:spacing w:after="0" w:line="174" w:lineRule="exact"/>
        <w:rPr>
          <w:rFonts w:ascii="Arial" w:cs="Arial" w:eastAsia="Arial" w:hAnsi="Arial"/>
          <w:sz w:val="22"/>
          <w:szCs w:val="22"/>
          <w:color w:val="auto"/>
        </w:rPr>
      </w:pPr>
    </w:p>
    <w:p>
      <w:pPr>
        <w:jc w:val="both"/>
        <w:ind w:left="1220" w:firstLine="638"/>
        <w:spacing w:after="0" w:line="271" w:lineRule="auto"/>
        <w:tabs>
          <w:tab w:leader="none" w:pos="283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The Participant’s Termination of Employment under this Agreement constitutes a “separation from service” within the meaning of Section 409A of the Code with the Employer and all persons with whom the Employer would be considered a single employer under Sections 414(b) and (c) of the Code.</w:t>
      </w:r>
    </w:p>
    <w:p>
      <w:pPr>
        <w:spacing w:after="0" w:line="167" w:lineRule="exact"/>
        <w:rPr>
          <w:rFonts w:ascii="Arial" w:cs="Arial" w:eastAsia="Arial" w:hAnsi="Arial"/>
          <w:sz w:val="21"/>
          <w:szCs w:val="21"/>
          <w:color w:val="auto"/>
        </w:rPr>
      </w:pPr>
    </w:p>
    <w:p>
      <w:pPr>
        <w:jc w:val="both"/>
        <w:ind w:left="1220" w:firstLine="638"/>
        <w:spacing w:after="0" w:line="246" w:lineRule="auto"/>
        <w:tabs>
          <w:tab w:leader="none" w:pos="284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the Participant is a “specified employee” (within the meaning of Section 409A of the Code and the Treasury Regulations promulgated thereunder and as determined under the Employer’s policy for determining specified employees) on the Participant’s Termination Date, and the Participant is entitled to a payment under this Program that is required to be delayed pursuant to Section 409A(a)(2)(B)(i) of the Code, then such payment, shall not be paid or provided (or begin to be paid or provided) until the first business day of the seventh month following the Participant’s Termination Date in the case of a termination covered by Section 5.1. or Section 5.1.2, or the first business day of the seventh month following the Change in Control in the case of a termination covered by Section 5.1.3.</w:t>
      </w:r>
    </w:p>
    <w:p>
      <w:pPr>
        <w:spacing w:after="0" w:line="194" w:lineRule="exact"/>
        <w:rPr>
          <w:rFonts w:ascii="Arial" w:cs="Arial" w:eastAsia="Arial" w:hAnsi="Arial"/>
          <w:sz w:val="22"/>
          <w:szCs w:val="22"/>
          <w:color w:val="auto"/>
        </w:rPr>
      </w:pPr>
    </w:p>
    <w:p>
      <w:pPr>
        <w:jc w:val="both"/>
        <w:ind w:left="1220" w:firstLine="638"/>
        <w:spacing w:after="0" w:line="258" w:lineRule="auto"/>
        <w:tabs>
          <w:tab w:leader="none" w:pos="283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Payment of amounts owing under this Agreement shall commence or be made on the following dates (or if not a business day, on the business day immediately following): (i) if the Participant is a “specified employee” as described in Section 5.3(d), on the date specified in Section 5.3(d); (ii) if the Participant is not a specified employee, and the Employer has requested a Waiver and Release, within 60 days following the date such Waiver and Release is effective as provided in Section 5.3(a) or the later Termination Date; and (iii) if the Participant is not a specified employee and the Employer has not requested a Waiver and Release, on or around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Termination Date, in the case of a payment due under Section 5.1.1 or 5.1.2, or on or around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effective date of the Change in Control, in the case of a payment due under Section 5.1.3. For Participants who are terminated under Section 5.3(e)(ii) above on and after November 15 of a particular year and for Participants who are terminated under Section 5.3(e)(iii) above on and after November 1 of a particular year, payment will be made at the latter of the second pay period in January or as soon as practicable following the date of the expiration of the review and revocation period under an applicable Waiver and Release, but in no event later than March 15 of the year following the year in which such termination occurred.</w:t>
      </w:r>
    </w:p>
    <w:p>
      <w:pPr>
        <w:spacing w:after="0" w:line="1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Payments Treated as Parachute Payments.</w:t>
      </w:r>
      <w:r>
        <w:rPr>
          <w:rFonts w:ascii="Arial" w:cs="Arial" w:eastAsia="Arial" w:hAnsi="Arial"/>
          <w:sz w:val="19"/>
          <w:szCs w:val="19"/>
          <w:color w:val="auto"/>
        </w:rPr>
        <w:t xml:space="preserve"> Notwithstanding any other provision of this Program or any other plan, arrangement or agreement to the contrary, if any of the payments provided or to be provided by the Employer or its affiliates to the Participant or for the Participant’s benefit pursuant to the terms of this Program or otherwise (“</w:t>
      </w:r>
      <w:r>
        <w:rPr>
          <w:rFonts w:ascii="Arial" w:cs="Arial" w:eastAsia="Arial" w:hAnsi="Arial"/>
          <w:sz w:val="19"/>
          <w:szCs w:val="19"/>
          <w:u w:val="single" w:color="auto"/>
          <w:color w:val="auto"/>
        </w:rPr>
        <w:t>Covered Payments</w:t>
      </w:r>
      <w:r>
        <w:rPr>
          <w:rFonts w:ascii="Arial" w:cs="Arial" w:eastAsia="Arial" w:hAnsi="Arial"/>
          <w:sz w:val="19"/>
          <w:szCs w:val="19"/>
          <w:color w:val="auto"/>
        </w:rPr>
        <w:t>”) are determined</w:t>
      </w:r>
    </w:p>
    <w:p>
      <w:pPr>
        <w:spacing w:after="0" w:line="3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75" w:right="239" w:bottom="1440" w:gutter="0" w:footer="0" w:header="0"/>
        </w:sectPr>
      </w:pPr>
    </w:p>
    <w:bookmarkStart w:id="210" w:name="page211"/>
    <w:bookmarkEnd w:id="210"/>
    <w:p>
      <w:pPr>
        <w:jc w:val="both"/>
        <w:spacing w:after="0" w:line="290" w:lineRule="auto"/>
        <w:rPr>
          <w:sz w:val="20"/>
          <w:szCs w:val="20"/>
          <w:color w:val="auto"/>
        </w:rPr>
      </w:pPr>
      <w:r>
        <w:rPr>
          <w:rFonts w:ascii="Arial" w:cs="Arial" w:eastAsia="Arial" w:hAnsi="Arial"/>
          <w:sz w:val="19"/>
          <w:szCs w:val="19"/>
          <w:color w:val="auto"/>
        </w:rPr>
        <w:t>to be parachute payments within the meaning of Section 280G of the Code, with the effect that Participant is or would be liable for the payment of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Compensation Committee shall determine the appropriate treatment of payments under this Program in its sole discretion consistent with the requirements of Section 409A of the Code that produces the most advantageous economic outcome for the Participant, and its determination shall be final and binding on the Participant. The Employer shall provide detailed supporting calculations to the Participant not later than 60 days following to the Termination Date, in the case of payments due under Section 5.1.1 or Section 5.1.2, or 60 days following the effective date of the Change in Control, in the case of payments due under Section 5.1.3.</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Additional Payments Following a Reduction</w:t>
      </w:r>
      <w:r>
        <w:rPr>
          <w:rFonts w:ascii="Arial" w:cs="Arial" w:eastAsia="Arial" w:hAnsi="Arial"/>
          <w:sz w:val="22"/>
          <w:szCs w:val="22"/>
          <w:color w:val="auto"/>
        </w:rPr>
        <w:t>. If the Participant is required by the IRS or another agency to make a payment or payments of Excise Tax with respect to such Covered Payments, the Participant shall remain solely responsible for such payment and the Employer shall bear no responsibility for such Excise Tax.</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No Mitigation Other than Re-Employment</w:t>
      </w:r>
      <w:r>
        <w:rPr>
          <w:rFonts w:ascii="Arial" w:cs="Arial" w:eastAsia="Arial" w:hAnsi="Arial"/>
          <w:sz w:val="21"/>
          <w:szCs w:val="21"/>
          <w:color w:val="auto"/>
        </w:rPr>
        <w:t>. Subject to Section 4.3 above, the Participant shall not be required to mitigate the amount of any payment provided for in this Program by seeking other employment or otherwise and no payment hereunder shall be offset or reduced by the amount of any compensation provided to the Participant in any subsequent employment. However, if a Participant commences re-employment with the Employer following a Termination of Employment described in Section 5.1.1, and continues to be eligible for Separation Pay in accordance with Section 5.1.1, the portion of Separation Pay attributable to the base salary multiple, short-term incentive plan targert multiple, and healthcare equivalent payment multiple will cease upon Participant’s reemployment and Participant will be required to repay a prorated portion of Separation Pay based on the ratio of the number of days remaining in the 12-month period commencing on Participant’s Termination Date to 365. For example, a Participant who is re-employed following 200 days of separation will be required to repay 45.2% (165/365) of the applicable Separation Pay received</w:t>
      </w:r>
      <w:r>
        <w:rPr>
          <w:rFonts w:ascii="Arial" w:cs="Arial" w:eastAsia="Arial" w:hAnsi="Arial"/>
          <w:sz w:val="21"/>
          <w:szCs w:val="21"/>
          <w:b w:val="1"/>
          <w:bCs w:val="1"/>
          <w:color w:val="auto"/>
        </w:rPr>
        <w:t>.</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Exclusion from Annual and Long-Term Incentive Program Resulting from Separation Agreement</w:t>
      </w:r>
      <w:r>
        <w:rPr>
          <w:rFonts w:ascii="Arial" w:cs="Arial" w:eastAsia="Arial" w:hAnsi="Arial"/>
          <w:sz w:val="19"/>
          <w:szCs w:val="19"/>
          <w:color w:val="auto"/>
        </w:rPr>
        <w:t>. A Termination of Employment resulting in a Participant’s receipt of Separation Pay under Sections 5.1.1, 5.1.2 or 5.1.3 of the Program constitutes a “termination of service pursuant to an approved separation agreement” for purposes of the General Motors Short-Term Incentive Plan. In no case is a Participant eligible to receive Separation Pay under Sections 5.1.1, 5.1.2 or 5.1.3 of the Program and payment of a full-year or part-year annual incentive payment. With respect to the General Motors Long-Term Incentive Plan, a Termination of Employment resulting in a Participant’s receipt of Separation Pay under Section 5.1.1 of the Program constitutes a “termination of service pursuant to an approved separation agreement”. A Termination of Employment under Section 5.1.2 or 5.1.3 that results in the receipt of Separation Pay shall not constitute a “termination of service pursuant to an approved separation agreement” under the General Motors Long-Term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75"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u w:val="single" w:color="auto"/>
          <w:color w:val="auto"/>
        </w:rPr>
        <w:t>SUCCESOR TO COMPANY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Program shall inure to the benefit of and be binding upon the Company and its successors. The Company shall require any corporation, entity, individual or other person who is the successor (whether directly or indirectly by purchase, merger, consolidation, reorganization or otherwise) to all or substantially all the business and/or assets of the Company, to expressly assume and agree to perform, by a written agreement in form and in substance satisfactory to the Company, all of the obligations of the Company and the Employer under this Program.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DURATION, AMENDMENT AND TERMINATION</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Duration</w:t>
      </w:r>
      <w:r>
        <w:rPr>
          <w:rFonts w:ascii="Arial" w:cs="Arial" w:eastAsia="Arial" w:hAnsi="Arial"/>
          <w:sz w:val="19"/>
          <w:szCs w:val="19"/>
          <w:color w:val="auto"/>
        </w:rPr>
        <w:t>. This Program shall remain in effect until the date that is three years from the Effective Date; provided that upon each annual anniversary of the Effective Date (the “Renewal Date”), the Program shall extend for an additional year, unless pursuant to a resolution adopted by the Compensation Committee prior to the Renewal Date, the Company determines not to extend the term of the Program. If a Change in Control occurs while this Program is in effect, the Program shall continue in full force and effect for a period of at least two years following such Change in Control, and shall not expire until after all Participants who have become entitled to any payments or benefits hereunder have received such payments and benefits in full.</w:t>
      </w:r>
    </w:p>
    <w:p>
      <w:pPr>
        <w:spacing w:after="0" w:line="1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Company reserves the right to amend, modify, suspend or terminate the Program at any time by action of its Compensation Committee. No amendment, modification, suspension or termination that has the effect of reducing or diminishing the rights of a Participant who is receiving Separation Pay under the Program shall be effective without the written consent of the Participant. No amendment, modification, suspension or termination that has the effect of reducing or diminishing the right of any Participant shall be effective without the written consent of such Participant for a period of two years following a Change in Control. Any amendment, modification, suspension or termination of this Program adopted after a Change in Control or in anticipation of a Change in Control shall not affect the right of any Participant to payments or benefits to be paid or provided as a result of events that occur prior to the second anniversary of the Change in Control.</w:t>
      </w:r>
    </w:p>
    <w:p>
      <w:pPr>
        <w:spacing w:after="0" w:line="1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Procedure for Extension, Amendment or Termination</w:t>
      </w:r>
      <w:r>
        <w:rPr>
          <w:rFonts w:ascii="Arial" w:cs="Arial" w:eastAsia="Arial" w:hAnsi="Arial"/>
          <w:sz w:val="19"/>
          <w:szCs w:val="19"/>
          <w:color w:val="auto"/>
        </w:rPr>
        <w:t>. Any extension, amendment or termination of the Program by the Compensation Committee in accordance with this Article VII shall be made by action of the Compensation Committee in accordance with the Company’s Charter and By-laws, any applicable delegation of authority and applicable law.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Program Administration.</w:t>
      </w:r>
      <w:r>
        <w:rPr>
          <w:rFonts w:ascii="Arial" w:cs="Arial" w:eastAsia="Arial" w:hAnsi="Arial"/>
          <w:sz w:val="19"/>
          <w:szCs w:val="19"/>
          <w:color w:val="auto"/>
        </w:rPr>
        <w:t xml:space="preserve"> This Program shall be administered by the Compensation Committee or a delegate duly appointed by the Compensation Committee, provided that in the event of an impending Change in Control, the Compensation Committee may appoint a person or persons independent of the third-party effectuating the Change in Control to act in place of the Compensation Committee effective upon the occurrence of the Change in Control (the “CIC Committee”), and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9" w:right="239" w:bottom="1440" w:gutter="0" w:footer="0" w:header="0"/>
        </w:sectPr>
      </w:pPr>
    </w:p>
    <w:bookmarkStart w:id="212" w:name="page213"/>
    <w:bookmarkEnd w:id="212"/>
    <w:p>
      <w:pPr>
        <w:jc w:val="both"/>
        <w:spacing w:after="0" w:line="292" w:lineRule="auto"/>
        <w:rPr>
          <w:sz w:val="20"/>
          <w:szCs w:val="20"/>
          <w:color w:val="auto"/>
        </w:rPr>
      </w:pPr>
      <w:r>
        <w:rPr>
          <w:rFonts w:ascii="Arial" w:cs="Arial" w:eastAsia="Arial" w:hAnsi="Arial"/>
          <w:sz w:val="19"/>
          <w:szCs w:val="19"/>
          <w:color w:val="auto"/>
        </w:rPr>
        <w:t>the CIC Committee shall not be removed or modified following the Change in Control, other than at its own initiative. The Compensation Committee retains the sole authority to interpret the provisions of the Program, either directly or through action of its delegate, and any interpretation of the Compensation Committee or its delegate regarding the terms of the Program or their application to one or more Participants is final and binding on all parties. The Compensation Committee, in its sole discretion, may take action or cause its delegate to take action that it deems appropriate to administer the Program as intended, including equal treatment of similarly situated Participants and other similarly situated officers and executives of the Company. The Compensation Committee or its delegate may establish administrative rules and procedures regarding the operation of the Program.</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Determination of Participating Executives</w:t>
      </w:r>
      <w:r>
        <w:rPr>
          <w:rFonts w:ascii="Arial" w:cs="Arial" w:eastAsia="Arial" w:hAnsi="Arial"/>
          <w:sz w:val="22"/>
          <w:szCs w:val="22"/>
          <w:color w:val="auto"/>
        </w:rPr>
        <w:t>. Any clarifications or determinations regarding the eligibility of an Executive to participate in the Program shall be made by the Compensation Committee with respect to Compensation Committee covered executives.</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Conditions Precedent and Recoupment</w:t>
      </w:r>
      <w:r>
        <w:rPr>
          <w:rFonts w:ascii="Arial" w:cs="Arial" w:eastAsia="Arial" w:hAnsi="Arial"/>
          <w:sz w:val="19"/>
          <w:szCs w:val="19"/>
          <w:color w:val="auto"/>
        </w:rPr>
        <w:t>. As a condition precedent to the payment of all or any portion of Separation Pay, each Participant shall (a) refrain from engaging in any activity which will cause damage to the Company and its Subsidiaries, including the Employer, or is in any manner inimical or in any way contrary to the best interests of such entities, as determined in the sole discretion of the Compensation Committee with respect to the Chief Executive Officer, and the Company’s Chief Executive Officer or chief human resources officer (or such individuals holding a comparable role in the event of a restructuring of positions or re-designation of titles) with respect to all other Participants; and (b) furnish to the Employer such information with respect to the satisfaction of the foregoing condition precedent as the Employer may reasonably request. The failure by any Participant to satisfy any of the foregoing conditions precedent shall result in the immediate cancellation of any unpaid portion of the Separation Pay, and such Participant will not be entitled to receive any consideration with respect to such cancellation. Notwithstanding anything to the contrary in this Program, payments made under the Program may be subject to any recoupment, recovery or claw-back policy (including any recoupment policy relating to performance-based compensation adopted by the Board) as in effect or that was binding on the Executive immediately prior to a Change in Control Period.</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required or permitted to be given or delivered under this Program to the Employer or to the Executive, which notices or communications must be in writing, shall be deemed to have been given if delivered by hand, or by nationally recognized overnight courier service (with confirmation of delivery) or delivered by e-mail of a PDF document (with confirmation of receipt) addressed as follows: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Employer,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Chief Human Resources Officer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Motors LLC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General Motors Company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Detroit, Michigan 48243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Global Director Executive Compensation</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213" w:name="page214"/>
    <w:bookmarkEnd w:id="213"/>
    <w:p>
      <w:pPr>
        <w:ind w:left="1300"/>
        <w:spacing w:after="0"/>
        <w:rPr>
          <w:sz w:val="20"/>
          <w:szCs w:val="20"/>
          <w:color w:val="auto"/>
        </w:rPr>
      </w:pPr>
      <w:r>
        <w:rPr>
          <w:rFonts w:ascii="Arial" w:cs="Arial" w:eastAsia="Arial" w:hAnsi="Arial"/>
          <w:sz w:val="22"/>
          <w:szCs w:val="22"/>
          <w:color w:val="auto"/>
        </w:rPr>
        <w:t>E-mail: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Motors Company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Detroit, Michigan 48243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 to the address most recently on file with the Employer.</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Employer or the Executive may, by notice given to the other from time to time, designate a different address for the giving of notices or other communications required or permitted to be given to the party designating such new address.</w:t>
      </w:r>
    </w:p>
    <w:p>
      <w:pPr>
        <w:spacing w:after="0" w:line="15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Withholding</w:t>
      </w:r>
      <w:r>
        <w:rPr>
          <w:rFonts w:ascii="Arial" w:cs="Arial" w:eastAsia="Arial" w:hAnsi="Arial"/>
          <w:sz w:val="21"/>
          <w:szCs w:val="21"/>
          <w:color w:val="auto"/>
        </w:rPr>
        <w:t>. Any payment required or permitted to be made or given to a Participant pursuant to this Program shall be subject to the withholding and other requirements of applicable laws, and to the deduction requirements of any benefit plan maintained by the Employer in which the Participant is a participant, and to all reporting, filing and other requirements in respect of such payments, and the Employer shall promptly satisfy all such requirements.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Program shall be governed by the laws of the State of Delaware, without application of the conflicts of law provisions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contained in this Program are included only for convenience of reference and do not define, limit, explain or modify this Program or its interpretation, construction or meaning.</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Program or the application of any provision to any person or any circumstances shall be determined to be invalid or unenforceable, then such determination shall not affect any other provision of this Program or the application of said provision to any other person or circumstance, all of which other provisions shall remain in full force and effect. It is the intention of the Employer that if any provision of this Program is susceptible of two or more constructions, one of which would render the provision enforceable and other or others of which would render the provision unenforceable, then the provision shall have the meaning which renders it enforceable.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Number and Gender</w:t>
      </w:r>
      <w:r>
        <w:rPr>
          <w:rFonts w:ascii="Arial" w:cs="Arial" w:eastAsia="Arial" w:hAnsi="Arial"/>
          <w:sz w:val="22"/>
          <w:szCs w:val="22"/>
          <w:color w:val="auto"/>
        </w:rPr>
        <w:t>. When used in this Program, the number and gender of each pronoun shall be construed to be such number and gender as the context, circumstances or its antecedent may require.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Effect on Other Plans, Agreements and Benefits</w:t>
      </w:r>
      <w:r>
        <w:rPr>
          <w:rFonts w:ascii="Arial" w:cs="Arial" w:eastAsia="Arial" w:hAnsi="Arial"/>
          <w:sz w:val="22"/>
          <w:szCs w:val="22"/>
          <w:color w:val="auto"/>
        </w:rPr>
        <w:t>. Except to the extent expressly set forth herein, any benefit or compensation to which a Participant is or may be entitled under any agreement between the Participant and the Company and its Subsidiaries, including the Employer, or any plan, program or arrangement maintained by such entity in which Participant participates or</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214" w:name="page215"/>
    <w:bookmarkEnd w:id="214"/>
    <w:p>
      <w:pPr>
        <w:jc w:val="both"/>
        <w:spacing w:after="0" w:line="285" w:lineRule="auto"/>
        <w:rPr>
          <w:sz w:val="20"/>
          <w:szCs w:val="20"/>
          <w:color w:val="auto"/>
        </w:rPr>
      </w:pPr>
      <w:r>
        <w:rPr>
          <w:rFonts w:ascii="Arial" w:cs="Arial" w:eastAsia="Arial" w:hAnsi="Arial"/>
          <w:sz w:val="19"/>
          <w:szCs w:val="19"/>
          <w:color w:val="auto"/>
        </w:rPr>
        <w:t>participated shall not be modified or lessened in any way by operation of the Program, but shall be payable in accordance with the terms of the applicable plan, program or arrangement. Nothing in this Program is intended to guarantee that the benefit levels or costs will remain unchanged in the future under any plan, program or arrangement of the Company and its Subsidiaries, including the Employer, and the applicable plan sponsor reserves the right to amend, modify, suspend, terminate or discontinue any other plan, program or arrangement maintained by such plan sponsor in accordance with the terms of that plan, program or arrangement. Notwithstanding the foregoing, including the eligibility provisions of Section 4.1, a Participant’s eligibility for severance under this Program is mutually exclusive with severance available to the Participant through any plan, program, or arrangement between the Participant or the Company or its Subsidiaries and the Participant, or pursuant to local statute. If a Participant is entitled to severance under this Program and any other arrangement between the Participant and the Employer or the Company or its Subsidiaries, or pursuant to the application of local statute, and the Participant is not otherwise excluded from participation in this Program pursuant to Section 4.1, or otherwise, the Participant will receive the greater of the severance under this Program or the other applicable severance. Any severance to which Participant becomes entitled will first be paid under this Program upon the requirement that Participant waive their claim to the other severance; provided, however, that if Participant’s entitlement to such other severance cannot be waived, the amount of Separation Pay hereunder will be offset by the amount of such other required severance, but not below zero. Upon the Participant’s Termination of Employment resulting in Separation Pay in accordance with Section 5.1.2 or Section 5.1.3, all non-competion arrangements applicable to a Participant, either pursuant to a Restrictive Covenant or otherwise, shall no longer apply to the Participant, and the Employer (or its successor) shall enter into a written agreement with the terminated Participant evidencing this point. For purposes of clarification, non-solicitation, non-disclosure, confidentiality and other provisions of applicable restrictive covenants will continue to apply to the Participant.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It is intended that any amounts payable under this Program shall comply with the provisions of Section 409A of the Code and the Treasury Regulations promulgated thereunder, to the extent applicable, and this Program will be interpreted, administered and operated accordingly. Any payments (including reimbursements) under this Program that may be excluded from Section 409A either as separation pay due to an involuntary separation from service or as a short-term deferral shall be excluded from Section 409A to the maximum extent possible. Neither the Employer nor the Compensation Committee or the Board shall have any liability to the Executive with respect to any failure to comply with the requirements of Section 409A of the Code.</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u w:val="single" w:color="auto"/>
          <w:color w:val="auto"/>
        </w:rPr>
        <w:t>Application of ERISA</w:t>
      </w:r>
      <w:r>
        <w:rPr>
          <w:rFonts w:ascii="Arial" w:cs="Arial" w:eastAsia="Arial" w:hAnsi="Arial"/>
          <w:sz w:val="22"/>
          <w:szCs w:val="22"/>
          <w:color w:val="auto"/>
        </w:rPr>
        <w:t>. The Program is intended to be an ERISA welfare benefit plan, and this Program document is intended to constitute the plan document and the summary plan description for the Program.</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u w:val="single" w:color="auto"/>
          <w:color w:val="auto"/>
        </w:rPr>
        <w:t>8.13 Claims for Benefits</w:t>
      </w:r>
      <w:r>
        <w:rPr>
          <w:rFonts w:ascii="Arial" w:cs="Arial" w:eastAsia="Arial" w:hAnsi="Arial"/>
          <w:sz w:val="21"/>
          <w:szCs w:val="21"/>
          <w:color w:val="auto"/>
        </w:rPr>
        <w:t>. If you are a Participant in the Program and become eligible to receive Separation Pay under the Program, you will receive the amounts set forth under Section 5 of the Program for which you are entitled, provided you otherwise satisfy the conditions of the Progam for the receipt of such Separation Pay. If you feel you have not been provided with all benefits to which you are entitled under the Program, you may file a written claim with the Global</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215" w:name="page216"/>
    <w:bookmarkEnd w:id="215"/>
    <w:p>
      <w:pPr>
        <w:jc w:val="both"/>
        <w:spacing w:after="0" w:line="248" w:lineRule="auto"/>
        <w:rPr>
          <w:sz w:val="20"/>
          <w:szCs w:val="20"/>
          <w:color w:val="auto"/>
        </w:rPr>
      </w:pPr>
      <w:r>
        <w:rPr>
          <w:rFonts w:ascii="Arial" w:cs="Arial" w:eastAsia="Arial" w:hAnsi="Arial"/>
          <w:sz w:val="22"/>
          <w:szCs w:val="22"/>
          <w:color w:val="auto"/>
        </w:rPr>
        <w:t>Director of Executive Compensation, who is the “Claims Administrator”, with respect to your rights to receive benefits from the Program. You will be informed of the Claims Administrator's decision with respect to your claim within 90 days after it is filed. Under special circumstances, the Claims Administrator may require an additional period of not more than 90 days to review your claim. If this occurs, you will be notified in writing as to the length of the extension, the reason for the extension, and any other information needed in order to process your claim.</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your claim is denied, in whole or in part, you will be notified in writing of the specific reason for the denial, the exact Program provision on which the decision was based, what additional material or information is relevant to your claim, and what procedure you should follow to get your claim reviewed again. If you are not notified within the 90-day (or 180-day, if so extended) period, you may consider your claim to be denied. In either case, you then have 60 days to appeal the decision to the Senior Vice President of Human Resources, who is the “Appeal Administrator”.</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Your appeal must be submitted in writing. You may submit a written statement of issues and comments. A decision as to your appeal will be made within 60 days after the appeal is received. Under special circumstances, the Appeal Administrator may require an additional period of not more than 60 days to review your appeal. If this occurs, you will be notified in writing as to the length of the extension, not to exceed 120 days from the day on which your appeal was received.</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your appeal is denied, in whole or in part, you will be notified in writing of the specific reason for the denial and the exact Program provision on which the decision was based. The decision on your appeal will be final and binding on all parties and persons affected thereby. If you are not notified within the 60-day (or 120-day, if extended) period you may consider your appeal as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7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10.33</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October 3, 2018</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SHARES REPRESENTED BY THIS SECOND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OF THE SHARES REPRESENTED BY THIS SECOND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420"/>
          </w:cols>
          <w:pgMar w:left="240" w:top="121"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6080" w:type="dxa"/>
            <w:vAlign w:val="bottom"/>
          </w:tcPr>
          <w:p>
            <w:pPr>
              <w:ind w:left="3400"/>
              <w:spacing w:after="0"/>
              <w:rPr>
                <w:sz w:val="20"/>
                <w:szCs w:val="20"/>
                <w:color w:val="auto"/>
              </w:rPr>
            </w:pPr>
            <w:r>
              <w:rPr>
                <w:rFonts w:ascii="Arial" w:cs="Arial" w:eastAsia="Arial" w:hAnsi="Arial"/>
                <w:sz w:val="22"/>
                <w:szCs w:val="22"/>
                <w:b w:val="1"/>
                <w:bCs w:val="1"/>
                <w:color w:val="auto"/>
              </w:rPr>
              <w:t>TABLE OF CONTENTS</w:t>
            </w:r>
          </w:p>
        </w:tc>
        <w:tc>
          <w:tcPr>
            <w:tcW w:w="820" w:type="dxa"/>
            <w:vAlign w:val="bottom"/>
          </w:tcPr>
          <w:p>
            <w:pPr>
              <w:spacing w:after="0"/>
              <w:rPr>
                <w:sz w:val="24"/>
                <w:szCs w:val="24"/>
                <w:color w:val="auto"/>
              </w:rPr>
            </w:pPr>
          </w:p>
        </w:tc>
      </w:tr>
      <w:tr>
        <w:trPr>
          <w:trHeight w:val="770"/>
        </w:trPr>
        <w:tc>
          <w:tcPr>
            <w:tcW w:w="1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22"/>
                <w:szCs w:val="22"/>
                <w:b w:val="1"/>
                <w:bCs w:val="1"/>
                <w:color w:val="auto"/>
                <w:w w:val="79"/>
              </w:rPr>
              <w:t>Page</w:t>
            </w:r>
          </w:p>
        </w:tc>
      </w:tr>
      <w:tr>
        <w:trPr>
          <w:trHeight w:val="297"/>
        </w:trPr>
        <w:tc>
          <w:tcPr>
            <w:tcW w:w="7200" w:type="dxa"/>
            <w:vAlign w:val="bottom"/>
            <w:gridSpan w:val="2"/>
          </w:tcPr>
          <w:p>
            <w:pPr>
              <w:spacing w:after="0"/>
              <w:rPr>
                <w:sz w:val="20"/>
                <w:szCs w:val="20"/>
                <w:color w:val="auto"/>
              </w:rPr>
            </w:pPr>
            <w:r>
              <w:rPr>
                <w:rFonts w:ascii="Arial" w:cs="Arial" w:eastAsia="Arial" w:hAnsi="Arial"/>
                <w:sz w:val="22"/>
                <w:szCs w:val="22"/>
                <w:color w:val="auto"/>
              </w:rPr>
              <w:t>ARTICLE I ORGANIZATION MATTERS AND CERTAIN DEFINITIONS</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1.01</w:t>
            </w:r>
          </w:p>
        </w:tc>
        <w:tc>
          <w:tcPr>
            <w:tcW w:w="6080" w:type="dxa"/>
            <w:vAlign w:val="bottom"/>
          </w:tcPr>
          <w:p>
            <w:pPr>
              <w:ind w:left="120"/>
              <w:spacing w:after="0"/>
              <w:rPr>
                <w:sz w:val="20"/>
                <w:szCs w:val="20"/>
                <w:color w:val="auto"/>
              </w:rPr>
            </w:pPr>
            <w:r>
              <w:rPr>
                <w:rFonts w:ascii="Arial" w:cs="Arial" w:eastAsia="Arial" w:hAnsi="Arial"/>
                <w:sz w:val="22"/>
                <w:szCs w:val="22"/>
                <w:color w:val="auto"/>
              </w:rPr>
              <w:t>Organization of Company</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1.02</w:t>
            </w:r>
          </w:p>
        </w:tc>
        <w:tc>
          <w:tcPr>
            <w:tcW w:w="6080" w:type="dxa"/>
            <w:vAlign w:val="bottom"/>
          </w:tcPr>
          <w:p>
            <w:pPr>
              <w:ind w:left="120"/>
              <w:spacing w:after="0"/>
              <w:rPr>
                <w:sz w:val="20"/>
                <w:szCs w:val="20"/>
                <w:color w:val="auto"/>
              </w:rPr>
            </w:pPr>
            <w:r>
              <w:rPr>
                <w:rFonts w:ascii="Arial" w:cs="Arial" w:eastAsia="Arial" w:hAnsi="Arial"/>
                <w:sz w:val="22"/>
                <w:szCs w:val="22"/>
                <w:color w:val="auto"/>
              </w:rPr>
              <w:t>Legal Status</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1.03</w:t>
            </w:r>
          </w:p>
        </w:tc>
        <w:tc>
          <w:tcPr>
            <w:tcW w:w="6080" w:type="dxa"/>
            <w:vAlign w:val="bottom"/>
          </w:tcPr>
          <w:p>
            <w:pPr>
              <w:ind w:left="120"/>
              <w:spacing w:after="0"/>
              <w:rPr>
                <w:sz w:val="20"/>
                <w:szCs w:val="20"/>
                <w:color w:val="auto"/>
              </w:rPr>
            </w:pPr>
            <w:r>
              <w:rPr>
                <w:rFonts w:ascii="Arial" w:cs="Arial" w:eastAsia="Arial" w:hAnsi="Arial"/>
                <w:sz w:val="22"/>
                <w:szCs w:val="22"/>
                <w:color w:val="auto"/>
              </w:rPr>
              <w:t>Name</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1.04</w:t>
            </w:r>
          </w:p>
        </w:tc>
        <w:tc>
          <w:tcPr>
            <w:tcW w:w="6080" w:type="dxa"/>
            <w:vAlign w:val="bottom"/>
          </w:tcPr>
          <w:p>
            <w:pPr>
              <w:ind w:left="120"/>
              <w:spacing w:after="0"/>
              <w:rPr>
                <w:sz w:val="20"/>
                <w:szCs w:val="20"/>
                <w:color w:val="auto"/>
              </w:rPr>
            </w:pPr>
            <w:r>
              <w:rPr>
                <w:rFonts w:ascii="Arial" w:cs="Arial" w:eastAsia="Arial" w:hAnsi="Arial"/>
                <w:sz w:val="22"/>
                <w:szCs w:val="22"/>
                <w:color w:val="auto"/>
              </w:rPr>
              <w:t>Registered Office and Registered Agent; Principal Office</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1.05</w:t>
            </w:r>
          </w:p>
        </w:tc>
        <w:tc>
          <w:tcPr>
            <w:tcW w:w="6080" w:type="dxa"/>
            <w:vAlign w:val="bottom"/>
          </w:tcPr>
          <w:p>
            <w:pPr>
              <w:ind w:left="120"/>
              <w:spacing w:after="0"/>
              <w:rPr>
                <w:sz w:val="20"/>
                <w:szCs w:val="20"/>
                <w:color w:val="auto"/>
              </w:rPr>
            </w:pPr>
            <w:r>
              <w:rPr>
                <w:rFonts w:ascii="Arial" w:cs="Arial" w:eastAsia="Arial" w:hAnsi="Arial"/>
                <w:sz w:val="22"/>
                <w:szCs w:val="22"/>
                <w:color w:val="auto"/>
              </w:rPr>
              <w:t>Purpose</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1.06</w:t>
            </w:r>
          </w:p>
        </w:tc>
        <w:tc>
          <w:tcPr>
            <w:tcW w:w="6080" w:type="dxa"/>
            <w:vAlign w:val="bottom"/>
          </w:tcPr>
          <w:p>
            <w:pPr>
              <w:ind w:left="120"/>
              <w:spacing w:after="0"/>
              <w:rPr>
                <w:sz w:val="20"/>
                <w:szCs w:val="20"/>
                <w:color w:val="auto"/>
              </w:rPr>
            </w:pPr>
            <w:r>
              <w:rPr>
                <w:rFonts w:ascii="Arial" w:cs="Arial" w:eastAsia="Arial" w:hAnsi="Arial"/>
                <w:sz w:val="22"/>
                <w:szCs w:val="22"/>
                <w:color w:val="auto"/>
              </w:rPr>
              <w:t>Term</w:t>
            </w:r>
          </w:p>
        </w:tc>
        <w:tc>
          <w:tcPr>
            <w:tcW w:w="820" w:type="dxa"/>
            <w:vAlign w:val="bottom"/>
          </w:tcPr>
          <w:p>
            <w:pPr>
              <w:ind w:left="380"/>
              <w:spacing w:after="0"/>
              <w:rPr>
                <w:sz w:val="20"/>
                <w:szCs w:val="20"/>
                <w:color w:val="auto"/>
              </w:rPr>
            </w:pPr>
            <w:r>
              <w:rPr>
                <w:rFonts w:ascii="Arial" w:cs="Arial" w:eastAsia="Arial" w:hAnsi="Arial"/>
                <w:sz w:val="22"/>
                <w:szCs w:val="22"/>
                <w:color w:val="auto"/>
              </w:rPr>
              <w:t>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1.07</w:t>
            </w:r>
          </w:p>
        </w:tc>
        <w:tc>
          <w:tcPr>
            <w:tcW w:w="6080" w:type="dxa"/>
            <w:vAlign w:val="bottom"/>
          </w:tcPr>
          <w:p>
            <w:pPr>
              <w:ind w:left="120"/>
              <w:spacing w:after="0"/>
              <w:rPr>
                <w:sz w:val="20"/>
                <w:szCs w:val="20"/>
                <w:color w:val="auto"/>
              </w:rPr>
            </w:pPr>
            <w:r>
              <w:rPr>
                <w:rFonts w:ascii="Arial" w:cs="Arial" w:eastAsia="Arial" w:hAnsi="Arial"/>
                <w:sz w:val="22"/>
                <w:szCs w:val="22"/>
                <w:color w:val="auto"/>
              </w:rPr>
              <w:t>Certain Definitions</w:t>
            </w:r>
          </w:p>
        </w:tc>
        <w:tc>
          <w:tcPr>
            <w:tcW w:w="820" w:type="dxa"/>
            <w:vAlign w:val="bottom"/>
          </w:tcPr>
          <w:p>
            <w:pPr>
              <w:ind w:left="380"/>
              <w:spacing w:after="0"/>
              <w:rPr>
                <w:sz w:val="20"/>
                <w:szCs w:val="20"/>
                <w:color w:val="auto"/>
              </w:rPr>
            </w:pPr>
            <w:r>
              <w:rPr>
                <w:rFonts w:ascii="Arial" w:cs="Arial" w:eastAsia="Arial" w:hAnsi="Arial"/>
                <w:sz w:val="22"/>
                <w:szCs w:val="22"/>
                <w:color w:val="auto"/>
              </w:rPr>
              <w:t>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1.08</w:t>
            </w:r>
          </w:p>
        </w:tc>
        <w:tc>
          <w:tcPr>
            <w:tcW w:w="6080" w:type="dxa"/>
            <w:vAlign w:val="bottom"/>
          </w:tcPr>
          <w:p>
            <w:pPr>
              <w:ind w:left="120"/>
              <w:spacing w:after="0" w:line="253" w:lineRule="exact"/>
              <w:rPr>
                <w:sz w:val="20"/>
                <w:szCs w:val="20"/>
                <w:color w:val="auto"/>
              </w:rPr>
            </w:pPr>
            <w:r>
              <w:rPr>
                <w:rFonts w:ascii="Arial" w:cs="Arial" w:eastAsia="Arial" w:hAnsi="Arial"/>
                <w:sz w:val="22"/>
                <w:szCs w:val="22"/>
                <w:color w:val="auto"/>
              </w:rPr>
              <w:t>No State</w:t>
            </w:r>
            <w:r>
              <w:rPr>
                <w:rFonts w:ascii="MS PGothic" w:cs="MS PGothic" w:eastAsia="MS PGothic" w:hAnsi="MS PGothic"/>
                <w:sz w:val="22"/>
                <w:szCs w:val="22"/>
                <w:color w:val="auto"/>
              </w:rPr>
              <w:t>‑</w:t>
            </w:r>
            <w:r>
              <w:rPr>
                <w:rFonts w:ascii="Arial" w:cs="Arial" w:eastAsia="Arial" w:hAnsi="Arial"/>
                <w:sz w:val="22"/>
                <w:szCs w:val="22"/>
                <w:color w:val="auto"/>
              </w:rPr>
              <w:t>Law Partnership</w:t>
            </w:r>
          </w:p>
        </w:tc>
        <w:tc>
          <w:tcPr>
            <w:tcW w:w="820" w:type="dxa"/>
            <w:vAlign w:val="bottom"/>
          </w:tcPr>
          <w:p>
            <w:pPr>
              <w:ind w:left="380"/>
              <w:spacing w:after="0"/>
              <w:rPr>
                <w:sz w:val="20"/>
                <w:szCs w:val="20"/>
                <w:color w:val="auto"/>
              </w:rPr>
            </w:pPr>
            <w:r>
              <w:rPr>
                <w:rFonts w:ascii="Arial" w:cs="Arial" w:eastAsia="Arial" w:hAnsi="Arial"/>
                <w:sz w:val="22"/>
                <w:szCs w:val="22"/>
                <w:color w:val="auto"/>
              </w:rPr>
              <w:t>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1.09</w:t>
            </w:r>
          </w:p>
        </w:tc>
        <w:tc>
          <w:tcPr>
            <w:tcW w:w="6080" w:type="dxa"/>
            <w:vAlign w:val="bottom"/>
          </w:tcPr>
          <w:p>
            <w:pPr>
              <w:ind w:left="120"/>
              <w:spacing w:after="0"/>
              <w:rPr>
                <w:sz w:val="20"/>
                <w:szCs w:val="20"/>
                <w:color w:val="auto"/>
              </w:rPr>
            </w:pPr>
            <w:r>
              <w:rPr>
                <w:rFonts w:ascii="Arial" w:cs="Arial" w:eastAsia="Arial" w:hAnsi="Arial"/>
                <w:sz w:val="22"/>
                <w:szCs w:val="22"/>
                <w:color w:val="auto"/>
              </w:rPr>
              <w:t>Limited Liability Company Agreement</w:t>
            </w:r>
          </w:p>
        </w:tc>
        <w:tc>
          <w:tcPr>
            <w:tcW w:w="820" w:type="dxa"/>
            <w:vAlign w:val="bottom"/>
          </w:tcPr>
          <w:p>
            <w:pPr>
              <w:ind w:left="380"/>
              <w:spacing w:after="0"/>
              <w:rPr>
                <w:sz w:val="20"/>
                <w:szCs w:val="20"/>
                <w:color w:val="auto"/>
              </w:rPr>
            </w:pPr>
            <w:r>
              <w:rPr>
                <w:rFonts w:ascii="Arial" w:cs="Arial" w:eastAsia="Arial" w:hAnsi="Arial"/>
                <w:sz w:val="22"/>
                <w:szCs w:val="22"/>
                <w:color w:val="auto"/>
              </w:rPr>
              <w:t>6</w:t>
            </w:r>
          </w:p>
        </w:tc>
      </w:tr>
      <w:tr>
        <w:trPr>
          <w:trHeight w:val="513"/>
        </w:trPr>
        <w:tc>
          <w:tcPr>
            <w:tcW w:w="7200" w:type="dxa"/>
            <w:vAlign w:val="bottom"/>
            <w:gridSpan w:val="2"/>
          </w:tcPr>
          <w:p>
            <w:pPr>
              <w:spacing w:after="0"/>
              <w:rPr>
                <w:sz w:val="20"/>
                <w:szCs w:val="20"/>
                <w:color w:val="auto"/>
              </w:rPr>
            </w:pPr>
            <w:r>
              <w:rPr>
                <w:rFonts w:ascii="Arial" w:cs="Arial" w:eastAsia="Arial" w:hAnsi="Arial"/>
                <w:sz w:val="22"/>
                <w:szCs w:val="22"/>
                <w:color w:val="auto"/>
              </w:rPr>
              <w:t>ARTICLE II CAPITAL CONTRIBUTIONS; ISSUANCES OF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2.01</w:t>
            </w:r>
          </w:p>
        </w:tc>
        <w:tc>
          <w:tcPr>
            <w:tcW w:w="6080" w:type="dxa"/>
            <w:vAlign w:val="bottom"/>
          </w:tcPr>
          <w:p>
            <w:pPr>
              <w:ind w:left="120"/>
              <w:spacing w:after="0"/>
              <w:rPr>
                <w:sz w:val="20"/>
                <w:szCs w:val="20"/>
                <w:color w:val="auto"/>
              </w:rPr>
            </w:pPr>
            <w:r>
              <w:rPr>
                <w:rFonts w:ascii="Arial" w:cs="Arial" w:eastAsia="Arial" w:hAnsi="Arial"/>
                <w:sz w:val="22"/>
                <w:szCs w:val="22"/>
                <w:color w:val="auto"/>
              </w:rPr>
              <w:t>Shares Generally</w:t>
            </w:r>
          </w:p>
        </w:tc>
        <w:tc>
          <w:tcPr>
            <w:tcW w:w="820" w:type="dxa"/>
            <w:vAlign w:val="bottom"/>
          </w:tcPr>
          <w:p>
            <w:pPr>
              <w:ind w:left="380"/>
              <w:spacing w:after="0"/>
              <w:rPr>
                <w:sz w:val="20"/>
                <w:szCs w:val="20"/>
                <w:color w:val="auto"/>
              </w:rPr>
            </w:pPr>
            <w:r>
              <w:rPr>
                <w:rFonts w:ascii="Arial" w:cs="Arial" w:eastAsia="Arial" w:hAnsi="Arial"/>
                <w:sz w:val="22"/>
                <w:szCs w:val="22"/>
                <w:color w:val="auto"/>
              </w:rPr>
              <w:t>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2.02</w:t>
            </w:r>
          </w:p>
        </w:tc>
        <w:tc>
          <w:tcPr>
            <w:tcW w:w="6080" w:type="dxa"/>
            <w:vAlign w:val="bottom"/>
          </w:tcPr>
          <w:p>
            <w:pPr>
              <w:ind w:left="120"/>
              <w:spacing w:after="0"/>
              <w:rPr>
                <w:sz w:val="20"/>
                <w:szCs w:val="20"/>
                <w:color w:val="auto"/>
              </w:rPr>
            </w:pPr>
            <w:r>
              <w:rPr>
                <w:rFonts w:ascii="Arial" w:cs="Arial" w:eastAsia="Arial" w:hAnsi="Arial"/>
                <w:sz w:val="22"/>
                <w:szCs w:val="22"/>
                <w:color w:val="auto"/>
              </w:rPr>
              <w:t>Class A Preferred Shares; Class C Common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7</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2.03</w:t>
            </w:r>
          </w:p>
        </w:tc>
        <w:tc>
          <w:tcPr>
            <w:tcW w:w="6080" w:type="dxa"/>
            <w:vAlign w:val="bottom"/>
          </w:tcPr>
          <w:p>
            <w:pPr>
              <w:ind w:left="120"/>
              <w:spacing w:after="0"/>
              <w:rPr>
                <w:sz w:val="20"/>
                <w:szCs w:val="20"/>
                <w:color w:val="auto"/>
              </w:rPr>
            </w:pPr>
            <w:r>
              <w:rPr>
                <w:rFonts w:ascii="Arial" w:cs="Arial" w:eastAsia="Arial" w:hAnsi="Arial"/>
                <w:sz w:val="22"/>
                <w:szCs w:val="22"/>
                <w:color w:val="auto"/>
              </w:rPr>
              <w:t>Class B Common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10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2.04</w:t>
            </w:r>
          </w:p>
        </w:tc>
        <w:tc>
          <w:tcPr>
            <w:tcW w:w="6080" w:type="dxa"/>
            <w:vAlign w:val="bottom"/>
          </w:tcPr>
          <w:p>
            <w:pPr>
              <w:ind w:left="120"/>
              <w:spacing w:after="0"/>
              <w:rPr>
                <w:sz w:val="20"/>
                <w:szCs w:val="20"/>
                <w:color w:val="auto"/>
              </w:rPr>
            </w:pPr>
            <w:r>
              <w:rPr>
                <w:rFonts w:ascii="Arial" w:cs="Arial" w:eastAsia="Arial" w:hAnsi="Arial"/>
                <w:sz w:val="22"/>
                <w:szCs w:val="22"/>
                <w:color w:val="auto"/>
              </w:rPr>
              <w:t>Class E Common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11</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2.05</w:t>
            </w:r>
          </w:p>
        </w:tc>
        <w:tc>
          <w:tcPr>
            <w:tcW w:w="6080" w:type="dxa"/>
            <w:vAlign w:val="bottom"/>
          </w:tcPr>
          <w:p>
            <w:pPr>
              <w:ind w:left="120"/>
              <w:spacing w:after="0"/>
              <w:rPr>
                <w:sz w:val="20"/>
                <w:szCs w:val="20"/>
                <w:color w:val="auto"/>
              </w:rPr>
            </w:pPr>
            <w:r>
              <w:rPr>
                <w:rFonts w:ascii="Arial" w:cs="Arial" w:eastAsia="Arial" w:hAnsi="Arial"/>
                <w:sz w:val="22"/>
                <w:szCs w:val="22"/>
                <w:color w:val="auto"/>
              </w:rPr>
              <w:t>Other Contributions</w:t>
            </w:r>
          </w:p>
        </w:tc>
        <w:tc>
          <w:tcPr>
            <w:tcW w:w="820" w:type="dxa"/>
            <w:vAlign w:val="bottom"/>
          </w:tcPr>
          <w:p>
            <w:pPr>
              <w:ind w:left="380"/>
              <w:spacing w:after="0"/>
              <w:rPr>
                <w:sz w:val="20"/>
                <w:szCs w:val="20"/>
                <w:color w:val="auto"/>
              </w:rPr>
            </w:pPr>
            <w:r>
              <w:rPr>
                <w:rFonts w:ascii="Arial" w:cs="Arial" w:eastAsia="Arial" w:hAnsi="Arial"/>
                <w:sz w:val="22"/>
                <w:szCs w:val="22"/>
                <w:color w:val="auto"/>
              </w:rPr>
              <w:t>11</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2.06</w:t>
            </w:r>
          </w:p>
        </w:tc>
        <w:tc>
          <w:tcPr>
            <w:tcW w:w="6080" w:type="dxa"/>
            <w:vAlign w:val="bottom"/>
          </w:tcPr>
          <w:p>
            <w:pPr>
              <w:ind w:left="120"/>
              <w:spacing w:after="0"/>
              <w:rPr>
                <w:sz w:val="20"/>
                <w:szCs w:val="20"/>
                <w:color w:val="auto"/>
              </w:rPr>
            </w:pPr>
            <w:r>
              <w:rPr>
                <w:rFonts w:ascii="Arial" w:cs="Arial" w:eastAsia="Arial" w:hAnsi="Arial"/>
                <w:sz w:val="22"/>
                <w:szCs w:val="22"/>
                <w:color w:val="auto"/>
              </w:rPr>
              <w:t>Issuances of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11</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2.07</w:t>
            </w:r>
          </w:p>
        </w:tc>
        <w:tc>
          <w:tcPr>
            <w:tcW w:w="6080" w:type="dxa"/>
            <w:vAlign w:val="bottom"/>
          </w:tcPr>
          <w:p>
            <w:pPr>
              <w:ind w:left="120"/>
              <w:spacing w:after="0"/>
              <w:rPr>
                <w:sz w:val="20"/>
                <w:szCs w:val="20"/>
                <w:color w:val="auto"/>
              </w:rPr>
            </w:pPr>
            <w:r>
              <w:rPr>
                <w:rFonts w:ascii="Arial" w:cs="Arial" w:eastAsia="Arial" w:hAnsi="Arial"/>
                <w:sz w:val="22"/>
                <w:szCs w:val="22"/>
                <w:color w:val="auto"/>
              </w:rPr>
              <w:t>Preemptive Rights</w:t>
            </w:r>
          </w:p>
        </w:tc>
        <w:tc>
          <w:tcPr>
            <w:tcW w:w="820" w:type="dxa"/>
            <w:vAlign w:val="bottom"/>
          </w:tcPr>
          <w:p>
            <w:pPr>
              <w:ind w:left="380"/>
              <w:spacing w:after="0"/>
              <w:rPr>
                <w:sz w:val="20"/>
                <w:szCs w:val="20"/>
                <w:color w:val="auto"/>
              </w:rPr>
            </w:pPr>
            <w:r>
              <w:rPr>
                <w:rFonts w:ascii="Arial" w:cs="Arial" w:eastAsia="Arial" w:hAnsi="Arial"/>
                <w:sz w:val="22"/>
                <w:szCs w:val="22"/>
                <w:color w:val="auto"/>
              </w:rPr>
              <w:t>12</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2.08</w:t>
            </w:r>
          </w:p>
        </w:tc>
        <w:tc>
          <w:tcPr>
            <w:tcW w:w="6080" w:type="dxa"/>
            <w:vAlign w:val="bottom"/>
          </w:tcPr>
          <w:p>
            <w:pPr>
              <w:ind w:left="120"/>
              <w:spacing w:after="0"/>
              <w:rPr>
                <w:sz w:val="20"/>
                <w:szCs w:val="20"/>
                <w:color w:val="auto"/>
              </w:rPr>
            </w:pPr>
            <w:r>
              <w:rPr>
                <w:rFonts w:ascii="Arial" w:cs="Arial" w:eastAsia="Arial" w:hAnsi="Arial"/>
                <w:sz w:val="22"/>
                <w:szCs w:val="22"/>
                <w:color w:val="auto"/>
              </w:rPr>
              <w:t>Certificates</w:t>
            </w:r>
          </w:p>
        </w:tc>
        <w:tc>
          <w:tcPr>
            <w:tcW w:w="820" w:type="dxa"/>
            <w:vAlign w:val="bottom"/>
          </w:tcPr>
          <w:p>
            <w:pPr>
              <w:ind w:left="380"/>
              <w:spacing w:after="0"/>
              <w:rPr>
                <w:sz w:val="20"/>
                <w:szCs w:val="20"/>
                <w:color w:val="auto"/>
              </w:rPr>
            </w:pPr>
            <w:r>
              <w:rPr>
                <w:rFonts w:ascii="Arial" w:cs="Arial" w:eastAsia="Arial" w:hAnsi="Arial"/>
                <w:sz w:val="22"/>
                <w:szCs w:val="22"/>
                <w:color w:val="auto"/>
              </w:rPr>
              <w:t>14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2.09</w:t>
            </w:r>
          </w:p>
        </w:tc>
        <w:tc>
          <w:tcPr>
            <w:tcW w:w="6080" w:type="dxa"/>
            <w:vAlign w:val="bottom"/>
          </w:tcPr>
          <w:p>
            <w:pPr>
              <w:ind w:left="120"/>
              <w:spacing w:after="0"/>
              <w:rPr>
                <w:sz w:val="20"/>
                <w:szCs w:val="20"/>
                <w:color w:val="auto"/>
              </w:rPr>
            </w:pPr>
            <w:r>
              <w:rPr>
                <w:rFonts w:ascii="Arial" w:cs="Arial" w:eastAsia="Arial" w:hAnsi="Arial"/>
                <w:sz w:val="22"/>
                <w:szCs w:val="22"/>
                <w:color w:val="auto"/>
              </w:rPr>
              <w:t>Repurchase Rights</w:t>
            </w:r>
          </w:p>
        </w:tc>
        <w:tc>
          <w:tcPr>
            <w:tcW w:w="820" w:type="dxa"/>
            <w:vAlign w:val="bottom"/>
          </w:tcPr>
          <w:p>
            <w:pPr>
              <w:ind w:left="380"/>
              <w:spacing w:after="0"/>
              <w:rPr>
                <w:sz w:val="20"/>
                <w:szCs w:val="20"/>
                <w:color w:val="auto"/>
              </w:rPr>
            </w:pPr>
            <w:r>
              <w:rPr>
                <w:rFonts w:ascii="Arial" w:cs="Arial" w:eastAsia="Arial" w:hAnsi="Arial"/>
                <w:sz w:val="22"/>
                <w:szCs w:val="22"/>
                <w:color w:val="auto"/>
              </w:rPr>
              <w:t>14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2.10</w:t>
            </w:r>
          </w:p>
        </w:tc>
        <w:tc>
          <w:tcPr>
            <w:tcW w:w="6080" w:type="dxa"/>
            <w:vAlign w:val="bottom"/>
          </w:tcPr>
          <w:p>
            <w:pPr>
              <w:ind w:left="120"/>
              <w:spacing w:after="0"/>
              <w:rPr>
                <w:sz w:val="20"/>
                <w:szCs w:val="20"/>
                <w:color w:val="auto"/>
              </w:rPr>
            </w:pPr>
            <w:r>
              <w:rPr>
                <w:rFonts w:ascii="Arial" w:cs="Arial" w:eastAsia="Arial" w:hAnsi="Arial"/>
                <w:sz w:val="22"/>
                <w:szCs w:val="22"/>
                <w:color w:val="auto"/>
              </w:rPr>
              <w:t>Optional A-1 Conversion</w:t>
            </w:r>
          </w:p>
        </w:tc>
        <w:tc>
          <w:tcPr>
            <w:tcW w:w="820" w:type="dxa"/>
            <w:vAlign w:val="bottom"/>
          </w:tcPr>
          <w:p>
            <w:pPr>
              <w:ind w:left="380"/>
              <w:spacing w:after="0"/>
              <w:rPr>
                <w:sz w:val="20"/>
                <w:szCs w:val="20"/>
                <w:color w:val="auto"/>
              </w:rPr>
            </w:pPr>
            <w:r>
              <w:rPr>
                <w:rFonts w:ascii="Arial" w:cs="Arial" w:eastAsia="Arial" w:hAnsi="Arial"/>
                <w:sz w:val="22"/>
                <w:szCs w:val="22"/>
                <w:color w:val="auto"/>
              </w:rPr>
              <w:t>14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2.11</w:t>
            </w:r>
          </w:p>
        </w:tc>
        <w:tc>
          <w:tcPr>
            <w:tcW w:w="6080" w:type="dxa"/>
            <w:vAlign w:val="bottom"/>
          </w:tcPr>
          <w:p>
            <w:pPr>
              <w:ind w:left="100"/>
              <w:spacing w:after="0"/>
              <w:rPr>
                <w:sz w:val="20"/>
                <w:szCs w:val="20"/>
                <w:color w:val="auto"/>
              </w:rPr>
            </w:pPr>
            <w:r>
              <w:rPr>
                <w:rFonts w:ascii="Arial" w:cs="Arial" w:eastAsia="Arial" w:hAnsi="Arial"/>
                <w:sz w:val="22"/>
                <w:szCs w:val="22"/>
                <w:color w:val="auto"/>
              </w:rPr>
              <w:t>Optional A-2 Conversion</w:t>
            </w:r>
          </w:p>
        </w:tc>
        <w:tc>
          <w:tcPr>
            <w:tcW w:w="820" w:type="dxa"/>
            <w:vAlign w:val="bottom"/>
          </w:tcPr>
          <w:p>
            <w:pPr>
              <w:ind w:left="380"/>
              <w:spacing w:after="0"/>
              <w:rPr>
                <w:sz w:val="20"/>
                <w:szCs w:val="20"/>
                <w:color w:val="auto"/>
              </w:rPr>
            </w:pPr>
            <w:r>
              <w:rPr>
                <w:rFonts w:ascii="Arial" w:cs="Arial" w:eastAsia="Arial" w:hAnsi="Arial"/>
                <w:sz w:val="22"/>
                <w:szCs w:val="22"/>
                <w:color w:val="auto"/>
              </w:rPr>
              <w:t>14</w:t>
            </w:r>
          </w:p>
        </w:tc>
      </w:tr>
      <w:tr>
        <w:trPr>
          <w:trHeight w:val="513"/>
        </w:trPr>
        <w:tc>
          <w:tcPr>
            <w:tcW w:w="7200" w:type="dxa"/>
            <w:vAlign w:val="bottom"/>
            <w:gridSpan w:val="2"/>
          </w:tcPr>
          <w:p>
            <w:pPr>
              <w:spacing w:after="0"/>
              <w:rPr>
                <w:sz w:val="20"/>
                <w:szCs w:val="20"/>
                <w:color w:val="auto"/>
              </w:rPr>
            </w:pPr>
            <w:r>
              <w:rPr>
                <w:rFonts w:ascii="Arial" w:cs="Arial" w:eastAsia="Arial" w:hAnsi="Arial"/>
                <w:sz w:val="22"/>
                <w:szCs w:val="22"/>
                <w:color w:val="auto"/>
              </w:rPr>
              <w:t>ARTICLE III DISTRIBUTIONS</w:t>
            </w:r>
          </w:p>
        </w:tc>
        <w:tc>
          <w:tcPr>
            <w:tcW w:w="820" w:type="dxa"/>
            <w:vAlign w:val="bottom"/>
          </w:tcPr>
          <w:p>
            <w:pPr>
              <w:ind w:left="380"/>
              <w:spacing w:after="0"/>
              <w:rPr>
                <w:sz w:val="20"/>
                <w:szCs w:val="20"/>
                <w:color w:val="auto"/>
              </w:rPr>
            </w:pPr>
            <w:r>
              <w:rPr>
                <w:rFonts w:ascii="Arial" w:cs="Arial" w:eastAsia="Arial" w:hAnsi="Arial"/>
                <w:sz w:val="22"/>
                <w:szCs w:val="22"/>
                <w:color w:val="auto"/>
              </w:rPr>
              <w:t>15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3.01</w:t>
            </w:r>
          </w:p>
        </w:tc>
        <w:tc>
          <w:tcPr>
            <w:tcW w:w="6080" w:type="dxa"/>
            <w:vAlign w:val="bottom"/>
          </w:tcPr>
          <w:p>
            <w:pPr>
              <w:ind w:left="120"/>
              <w:spacing w:after="0"/>
              <w:rPr>
                <w:sz w:val="20"/>
                <w:szCs w:val="20"/>
                <w:color w:val="auto"/>
              </w:rPr>
            </w:pPr>
            <w:r>
              <w:rPr>
                <w:rFonts w:ascii="Arial" w:cs="Arial" w:eastAsia="Arial" w:hAnsi="Arial"/>
                <w:sz w:val="22"/>
                <w:szCs w:val="22"/>
                <w:color w:val="auto"/>
              </w:rPr>
              <w:t>Distributions</w:t>
            </w:r>
          </w:p>
        </w:tc>
        <w:tc>
          <w:tcPr>
            <w:tcW w:w="820" w:type="dxa"/>
            <w:vAlign w:val="bottom"/>
          </w:tcPr>
          <w:p>
            <w:pPr>
              <w:ind w:left="380"/>
              <w:spacing w:after="0"/>
              <w:rPr>
                <w:sz w:val="20"/>
                <w:szCs w:val="20"/>
                <w:color w:val="auto"/>
              </w:rPr>
            </w:pPr>
            <w:r>
              <w:rPr>
                <w:rFonts w:ascii="Arial" w:cs="Arial" w:eastAsia="Arial" w:hAnsi="Arial"/>
                <w:sz w:val="22"/>
                <w:szCs w:val="22"/>
                <w:color w:val="auto"/>
              </w:rPr>
              <w:t>15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3.02</w:t>
            </w:r>
          </w:p>
        </w:tc>
        <w:tc>
          <w:tcPr>
            <w:tcW w:w="6080" w:type="dxa"/>
            <w:vAlign w:val="bottom"/>
          </w:tcPr>
          <w:p>
            <w:pPr>
              <w:ind w:left="120"/>
              <w:spacing w:after="0"/>
              <w:rPr>
                <w:sz w:val="20"/>
                <w:szCs w:val="20"/>
                <w:color w:val="auto"/>
              </w:rPr>
            </w:pPr>
            <w:r>
              <w:rPr>
                <w:rFonts w:ascii="Arial" w:cs="Arial" w:eastAsia="Arial" w:hAnsi="Arial"/>
                <w:sz w:val="22"/>
                <w:szCs w:val="22"/>
                <w:color w:val="auto"/>
                <w:w w:val="98"/>
              </w:rPr>
              <w:t>Distributions Upon Liquidation or a Deemed Liquidation Event</w:t>
            </w:r>
          </w:p>
        </w:tc>
        <w:tc>
          <w:tcPr>
            <w:tcW w:w="820" w:type="dxa"/>
            <w:vAlign w:val="bottom"/>
          </w:tcPr>
          <w:p>
            <w:pPr>
              <w:ind w:left="380"/>
              <w:spacing w:after="0"/>
              <w:rPr>
                <w:sz w:val="20"/>
                <w:szCs w:val="20"/>
                <w:color w:val="auto"/>
              </w:rPr>
            </w:pPr>
            <w:r>
              <w:rPr>
                <w:rFonts w:ascii="Arial" w:cs="Arial" w:eastAsia="Arial" w:hAnsi="Arial"/>
                <w:sz w:val="22"/>
                <w:szCs w:val="22"/>
                <w:color w:val="auto"/>
              </w:rPr>
              <w:t>16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3.03</w:t>
            </w:r>
          </w:p>
        </w:tc>
        <w:tc>
          <w:tcPr>
            <w:tcW w:w="6080" w:type="dxa"/>
            <w:vAlign w:val="bottom"/>
          </w:tcPr>
          <w:p>
            <w:pPr>
              <w:ind w:left="120"/>
              <w:spacing w:after="0"/>
              <w:rPr>
                <w:sz w:val="20"/>
                <w:szCs w:val="20"/>
                <w:color w:val="auto"/>
              </w:rPr>
            </w:pPr>
            <w:r>
              <w:rPr>
                <w:rFonts w:ascii="Arial" w:cs="Arial" w:eastAsia="Arial" w:hAnsi="Arial"/>
                <w:sz w:val="22"/>
                <w:szCs w:val="22"/>
                <w:color w:val="auto"/>
              </w:rPr>
              <w:t>Unvested Class B Common Shares</w:t>
            </w:r>
          </w:p>
        </w:tc>
        <w:tc>
          <w:tcPr>
            <w:tcW w:w="820" w:type="dxa"/>
            <w:vAlign w:val="bottom"/>
          </w:tcPr>
          <w:p>
            <w:pPr>
              <w:ind w:left="380"/>
              <w:spacing w:after="0"/>
              <w:rPr>
                <w:sz w:val="20"/>
                <w:szCs w:val="20"/>
                <w:color w:val="auto"/>
              </w:rPr>
            </w:pPr>
            <w:r>
              <w:rPr>
                <w:rFonts w:ascii="Arial" w:cs="Arial" w:eastAsia="Arial" w:hAnsi="Arial"/>
                <w:sz w:val="22"/>
                <w:szCs w:val="22"/>
                <w:color w:val="auto"/>
              </w:rPr>
              <w:t>17</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3.04</w:t>
            </w:r>
          </w:p>
        </w:tc>
        <w:tc>
          <w:tcPr>
            <w:tcW w:w="6080" w:type="dxa"/>
            <w:vAlign w:val="bottom"/>
          </w:tcPr>
          <w:p>
            <w:pPr>
              <w:ind w:left="120"/>
              <w:spacing w:after="0"/>
              <w:rPr>
                <w:sz w:val="20"/>
                <w:szCs w:val="20"/>
                <w:color w:val="auto"/>
              </w:rPr>
            </w:pPr>
            <w:r>
              <w:rPr>
                <w:rFonts w:ascii="Arial" w:cs="Arial" w:eastAsia="Arial" w:hAnsi="Arial"/>
                <w:sz w:val="22"/>
                <w:szCs w:val="22"/>
                <w:color w:val="auto"/>
              </w:rPr>
              <w:t>Distributions In-Kind</w:t>
            </w:r>
          </w:p>
        </w:tc>
        <w:tc>
          <w:tcPr>
            <w:tcW w:w="820" w:type="dxa"/>
            <w:vAlign w:val="bottom"/>
          </w:tcPr>
          <w:p>
            <w:pPr>
              <w:ind w:left="380"/>
              <w:spacing w:after="0"/>
              <w:rPr>
                <w:sz w:val="20"/>
                <w:szCs w:val="20"/>
                <w:color w:val="auto"/>
              </w:rPr>
            </w:pPr>
            <w:r>
              <w:rPr>
                <w:rFonts w:ascii="Arial" w:cs="Arial" w:eastAsia="Arial" w:hAnsi="Arial"/>
                <w:sz w:val="22"/>
                <w:szCs w:val="22"/>
                <w:color w:val="auto"/>
              </w:rPr>
              <w:t>17</w:t>
            </w:r>
          </w:p>
        </w:tc>
      </w:tr>
      <w:tr>
        <w:trPr>
          <w:trHeight w:val="513"/>
        </w:trPr>
        <w:tc>
          <w:tcPr>
            <w:tcW w:w="7200" w:type="dxa"/>
            <w:vAlign w:val="bottom"/>
            <w:gridSpan w:val="2"/>
          </w:tcPr>
          <w:p>
            <w:pPr>
              <w:spacing w:after="0"/>
              <w:rPr>
                <w:sz w:val="20"/>
                <w:szCs w:val="20"/>
                <w:color w:val="auto"/>
              </w:rPr>
            </w:pPr>
            <w:r>
              <w:rPr>
                <w:rFonts w:ascii="Arial" w:cs="Arial" w:eastAsia="Arial" w:hAnsi="Arial"/>
                <w:sz w:val="22"/>
                <w:szCs w:val="22"/>
                <w:color w:val="auto"/>
              </w:rPr>
              <w:t>ARTICLE IV TAX MATTERS</w:t>
            </w:r>
          </w:p>
        </w:tc>
        <w:tc>
          <w:tcPr>
            <w:tcW w:w="820" w:type="dxa"/>
            <w:vAlign w:val="bottom"/>
          </w:tcPr>
          <w:p>
            <w:pPr>
              <w:ind w:left="380"/>
              <w:spacing w:after="0"/>
              <w:rPr>
                <w:sz w:val="20"/>
                <w:szCs w:val="20"/>
                <w:color w:val="auto"/>
              </w:rPr>
            </w:pPr>
            <w:r>
              <w:rPr>
                <w:rFonts w:ascii="Arial" w:cs="Arial" w:eastAsia="Arial" w:hAnsi="Arial"/>
                <w:sz w:val="22"/>
                <w:szCs w:val="22"/>
                <w:color w:val="auto"/>
              </w:rPr>
              <w:t>18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4.01</w:t>
            </w:r>
          </w:p>
        </w:tc>
        <w:tc>
          <w:tcPr>
            <w:tcW w:w="6080" w:type="dxa"/>
            <w:vAlign w:val="bottom"/>
          </w:tcPr>
          <w:p>
            <w:pPr>
              <w:ind w:left="120"/>
              <w:spacing w:after="0"/>
              <w:rPr>
                <w:sz w:val="20"/>
                <w:szCs w:val="20"/>
                <w:color w:val="auto"/>
              </w:rPr>
            </w:pPr>
            <w:r>
              <w:rPr>
                <w:rFonts w:ascii="Arial" w:cs="Arial" w:eastAsia="Arial" w:hAnsi="Arial"/>
                <w:sz w:val="22"/>
                <w:szCs w:val="22"/>
                <w:color w:val="auto"/>
              </w:rPr>
              <w:t>Corporate Status</w:t>
            </w:r>
          </w:p>
        </w:tc>
        <w:tc>
          <w:tcPr>
            <w:tcW w:w="820" w:type="dxa"/>
            <w:vAlign w:val="bottom"/>
          </w:tcPr>
          <w:p>
            <w:pPr>
              <w:ind w:left="380"/>
              <w:spacing w:after="0"/>
              <w:rPr>
                <w:sz w:val="20"/>
                <w:szCs w:val="20"/>
                <w:color w:val="auto"/>
              </w:rPr>
            </w:pPr>
            <w:r>
              <w:rPr>
                <w:rFonts w:ascii="Arial" w:cs="Arial" w:eastAsia="Arial" w:hAnsi="Arial"/>
                <w:sz w:val="22"/>
                <w:szCs w:val="22"/>
                <w:color w:val="auto"/>
              </w:rPr>
              <w:t>18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4.02</w:t>
            </w:r>
          </w:p>
        </w:tc>
        <w:tc>
          <w:tcPr>
            <w:tcW w:w="6080" w:type="dxa"/>
            <w:vAlign w:val="bottom"/>
          </w:tcPr>
          <w:p>
            <w:pPr>
              <w:ind w:left="120"/>
              <w:spacing w:after="0"/>
              <w:rPr>
                <w:sz w:val="20"/>
                <w:szCs w:val="20"/>
                <w:color w:val="auto"/>
              </w:rPr>
            </w:pPr>
            <w:r>
              <w:rPr>
                <w:rFonts w:ascii="Arial" w:cs="Arial" w:eastAsia="Arial" w:hAnsi="Arial"/>
                <w:sz w:val="22"/>
                <w:szCs w:val="22"/>
                <w:color w:val="auto"/>
              </w:rPr>
              <w:t>Withholding</w:t>
            </w:r>
          </w:p>
        </w:tc>
        <w:tc>
          <w:tcPr>
            <w:tcW w:w="820" w:type="dxa"/>
            <w:vAlign w:val="bottom"/>
          </w:tcPr>
          <w:p>
            <w:pPr>
              <w:ind w:left="380"/>
              <w:spacing w:after="0"/>
              <w:rPr>
                <w:sz w:val="20"/>
                <w:szCs w:val="20"/>
                <w:color w:val="auto"/>
              </w:rPr>
            </w:pPr>
            <w:r>
              <w:rPr>
                <w:rFonts w:ascii="Arial" w:cs="Arial" w:eastAsia="Arial" w:hAnsi="Arial"/>
                <w:sz w:val="22"/>
                <w:szCs w:val="22"/>
                <w:color w:val="auto"/>
              </w:rPr>
              <w:t>18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4.03</w:t>
            </w:r>
          </w:p>
        </w:tc>
        <w:tc>
          <w:tcPr>
            <w:tcW w:w="6080" w:type="dxa"/>
            <w:vAlign w:val="bottom"/>
          </w:tcPr>
          <w:p>
            <w:pPr>
              <w:ind w:left="120"/>
              <w:spacing w:after="0"/>
              <w:rPr>
                <w:sz w:val="20"/>
                <w:szCs w:val="20"/>
                <w:color w:val="auto"/>
              </w:rPr>
            </w:pPr>
            <w:r>
              <w:rPr>
                <w:rFonts w:ascii="Arial" w:cs="Arial" w:eastAsia="Arial" w:hAnsi="Arial"/>
                <w:sz w:val="22"/>
                <w:szCs w:val="22"/>
                <w:color w:val="auto"/>
              </w:rPr>
              <w:t>Tax Sharing</w:t>
            </w:r>
          </w:p>
        </w:tc>
        <w:tc>
          <w:tcPr>
            <w:tcW w:w="820" w:type="dxa"/>
            <w:vAlign w:val="bottom"/>
          </w:tcPr>
          <w:p>
            <w:pPr>
              <w:ind w:left="380"/>
              <w:spacing w:after="0"/>
              <w:rPr>
                <w:sz w:val="20"/>
                <w:szCs w:val="20"/>
                <w:color w:val="auto"/>
              </w:rPr>
            </w:pPr>
            <w:r>
              <w:rPr>
                <w:rFonts w:ascii="Arial" w:cs="Arial" w:eastAsia="Arial" w:hAnsi="Arial"/>
                <w:sz w:val="22"/>
                <w:szCs w:val="22"/>
                <w:color w:val="auto"/>
              </w:rPr>
              <w:t>18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4.04</w:t>
            </w:r>
          </w:p>
        </w:tc>
        <w:tc>
          <w:tcPr>
            <w:tcW w:w="6080" w:type="dxa"/>
            <w:vAlign w:val="bottom"/>
          </w:tcPr>
          <w:p>
            <w:pPr>
              <w:ind w:left="120"/>
              <w:spacing w:after="0"/>
              <w:rPr>
                <w:sz w:val="20"/>
                <w:szCs w:val="20"/>
                <w:color w:val="auto"/>
              </w:rPr>
            </w:pPr>
            <w:r>
              <w:rPr>
                <w:rFonts w:ascii="Arial" w:cs="Arial" w:eastAsia="Arial" w:hAnsi="Arial"/>
                <w:sz w:val="22"/>
                <w:szCs w:val="22"/>
                <w:color w:val="auto"/>
              </w:rPr>
              <w:t>Transfer Taxes</w:t>
            </w:r>
          </w:p>
        </w:tc>
        <w:tc>
          <w:tcPr>
            <w:tcW w:w="820" w:type="dxa"/>
            <w:vAlign w:val="bottom"/>
          </w:tcPr>
          <w:p>
            <w:pPr>
              <w:ind w:left="380"/>
              <w:spacing w:after="0"/>
              <w:rPr>
                <w:sz w:val="20"/>
                <w:szCs w:val="20"/>
                <w:color w:val="auto"/>
              </w:rPr>
            </w:pPr>
            <w:r>
              <w:rPr>
                <w:rFonts w:ascii="Arial" w:cs="Arial" w:eastAsia="Arial" w:hAnsi="Arial"/>
                <w:sz w:val="22"/>
                <w:szCs w:val="22"/>
                <w:color w:val="auto"/>
              </w:rPr>
              <w:t>24</w:t>
            </w:r>
          </w:p>
        </w:tc>
      </w:tr>
      <w:tr>
        <w:trPr>
          <w:trHeight w:val="513"/>
        </w:trPr>
        <w:tc>
          <w:tcPr>
            <w:tcW w:w="7200" w:type="dxa"/>
            <w:vAlign w:val="bottom"/>
            <w:gridSpan w:val="2"/>
          </w:tcPr>
          <w:p>
            <w:pPr>
              <w:spacing w:after="0"/>
              <w:rPr>
                <w:sz w:val="20"/>
                <w:szCs w:val="20"/>
                <w:color w:val="auto"/>
              </w:rPr>
            </w:pPr>
            <w:r>
              <w:rPr>
                <w:rFonts w:ascii="Arial" w:cs="Arial" w:eastAsia="Arial" w:hAnsi="Arial"/>
                <w:sz w:val="22"/>
                <w:szCs w:val="22"/>
                <w:color w:val="auto"/>
              </w:rPr>
              <w:t>ARTICLE V MEMBERS</w:t>
            </w:r>
          </w:p>
        </w:tc>
        <w:tc>
          <w:tcPr>
            <w:tcW w:w="820" w:type="dxa"/>
            <w:vAlign w:val="bottom"/>
          </w:tcPr>
          <w:p>
            <w:pPr>
              <w:ind w:left="380"/>
              <w:spacing w:after="0"/>
              <w:rPr>
                <w:sz w:val="20"/>
                <w:szCs w:val="20"/>
                <w:color w:val="auto"/>
              </w:rPr>
            </w:pPr>
            <w:r>
              <w:rPr>
                <w:rFonts w:ascii="Arial" w:cs="Arial" w:eastAsia="Arial" w:hAnsi="Arial"/>
                <w:sz w:val="22"/>
                <w:szCs w:val="22"/>
                <w:color w:val="auto"/>
              </w:rPr>
              <w:t>25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5.01</w:t>
            </w:r>
          </w:p>
        </w:tc>
        <w:tc>
          <w:tcPr>
            <w:tcW w:w="6080" w:type="dxa"/>
            <w:vAlign w:val="bottom"/>
          </w:tcPr>
          <w:p>
            <w:pPr>
              <w:ind w:left="120"/>
              <w:spacing w:after="0"/>
              <w:rPr>
                <w:sz w:val="20"/>
                <w:szCs w:val="20"/>
                <w:color w:val="auto"/>
              </w:rPr>
            </w:pPr>
            <w:r>
              <w:rPr>
                <w:rFonts w:ascii="Arial" w:cs="Arial" w:eastAsia="Arial" w:hAnsi="Arial"/>
                <w:sz w:val="22"/>
                <w:szCs w:val="22"/>
                <w:color w:val="auto"/>
              </w:rPr>
              <w:t>Voting Rights of Members</w:t>
            </w:r>
          </w:p>
        </w:tc>
        <w:tc>
          <w:tcPr>
            <w:tcW w:w="820" w:type="dxa"/>
            <w:vAlign w:val="bottom"/>
          </w:tcPr>
          <w:p>
            <w:pPr>
              <w:ind w:left="380"/>
              <w:spacing w:after="0"/>
              <w:rPr>
                <w:sz w:val="20"/>
                <w:szCs w:val="20"/>
                <w:color w:val="auto"/>
              </w:rPr>
            </w:pPr>
            <w:r>
              <w:rPr>
                <w:rFonts w:ascii="Arial" w:cs="Arial" w:eastAsia="Arial" w:hAnsi="Arial"/>
                <w:sz w:val="22"/>
                <w:szCs w:val="22"/>
                <w:color w:val="auto"/>
              </w:rPr>
              <w:t>25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5.02</w:t>
            </w:r>
          </w:p>
        </w:tc>
        <w:tc>
          <w:tcPr>
            <w:tcW w:w="6080" w:type="dxa"/>
            <w:vAlign w:val="bottom"/>
          </w:tcPr>
          <w:p>
            <w:pPr>
              <w:ind w:left="120"/>
              <w:spacing w:after="0"/>
              <w:rPr>
                <w:sz w:val="20"/>
                <w:szCs w:val="20"/>
                <w:color w:val="auto"/>
              </w:rPr>
            </w:pPr>
            <w:r>
              <w:rPr>
                <w:rFonts w:ascii="Arial" w:cs="Arial" w:eastAsia="Arial" w:hAnsi="Arial"/>
                <w:sz w:val="22"/>
                <w:szCs w:val="22"/>
                <w:color w:val="auto"/>
              </w:rPr>
              <w:t>Quorum; Voting</w:t>
            </w:r>
          </w:p>
        </w:tc>
        <w:tc>
          <w:tcPr>
            <w:tcW w:w="820" w:type="dxa"/>
            <w:vAlign w:val="bottom"/>
          </w:tcPr>
          <w:p>
            <w:pPr>
              <w:ind w:left="380"/>
              <w:spacing w:after="0"/>
              <w:rPr>
                <w:sz w:val="20"/>
                <w:szCs w:val="20"/>
                <w:color w:val="auto"/>
              </w:rPr>
            </w:pPr>
            <w:r>
              <w:rPr>
                <w:rFonts w:ascii="Arial" w:cs="Arial" w:eastAsia="Arial" w:hAnsi="Arial"/>
                <w:sz w:val="22"/>
                <w:szCs w:val="22"/>
                <w:color w:val="auto"/>
              </w:rPr>
              <w:t>25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5.03</w:t>
            </w:r>
          </w:p>
        </w:tc>
        <w:tc>
          <w:tcPr>
            <w:tcW w:w="6080" w:type="dxa"/>
            <w:vAlign w:val="bottom"/>
          </w:tcPr>
          <w:p>
            <w:pPr>
              <w:ind w:left="120"/>
              <w:spacing w:after="0"/>
              <w:rPr>
                <w:sz w:val="20"/>
                <w:szCs w:val="20"/>
                <w:color w:val="auto"/>
              </w:rPr>
            </w:pPr>
            <w:r>
              <w:rPr>
                <w:rFonts w:ascii="Arial" w:cs="Arial" w:eastAsia="Arial" w:hAnsi="Arial"/>
                <w:sz w:val="22"/>
                <w:szCs w:val="22"/>
                <w:color w:val="auto"/>
              </w:rPr>
              <w:t>Written Consent</w:t>
            </w:r>
          </w:p>
        </w:tc>
        <w:tc>
          <w:tcPr>
            <w:tcW w:w="820" w:type="dxa"/>
            <w:vAlign w:val="bottom"/>
          </w:tcPr>
          <w:p>
            <w:pPr>
              <w:ind w:left="380"/>
              <w:spacing w:after="0"/>
              <w:rPr>
                <w:sz w:val="20"/>
                <w:szCs w:val="20"/>
                <w:color w:val="auto"/>
              </w:rPr>
            </w:pPr>
            <w:r>
              <w:rPr>
                <w:rFonts w:ascii="Arial" w:cs="Arial" w:eastAsia="Arial" w:hAnsi="Arial"/>
                <w:sz w:val="22"/>
                <w:szCs w:val="22"/>
                <w:color w:val="auto"/>
              </w:rPr>
              <w:t>26</w:t>
            </w:r>
          </w:p>
        </w:tc>
      </w:tr>
    </w:tbl>
    <w:p>
      <w:pPr>
        <w:spacing w:after="0" w:line="25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79"/>
          </w:cols>
          <w:pgMar w:left="280" w:top="369" w:right="1440"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6440" w:type="dxa"/>
            <w:vAlign w:val="bottom"/>
          </w:tcPr>
          <w:p>
            <w:pPr>
              <w:ind w:left="1820"/>
              <w:spacing w:after="0"/>
              <w:rPr>
                <w:sz w:val="20"/>
                <w:szCs w:val="20"/>
                <w:color w:val="auto"/>
              </w:rPr>
            </w:pPr>
            <w:r>
              <w:rPr>
                <w:rFonts w:ascii="Arial" w:cs="Arial" w:eastAsia="Arial" w:hAnsi="Arial"/>
                <w:sz w:val="22"/>
                <w:szCs w:val="22"/>
                <w:b w:val="1"/>
                <w:bCs w:val="1"/>
                <w:color w:val="auto"/>
              </w:rPr>
              <w:t>TABLE OF CONTENTS</w:t>
            </w:r>
          </w:p>
        </w:tc>
        <w:tc>
          <w:tcPr>
            <w:tcW w:w="46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440" w:type="dxa"/>
            <w:vAlign w:val="bottom"/>
          </w:tcPr>
          <w:p>
            <w:pPr>
              <w:ind w:left="2440"/>
              <w:spacing w:after="0"/>
              <w:rPr>
                <w:sz w:val="20"/>
                <w:szCs w:val="20"/>
                <w:color w:val="auto"/>
              </w:rPr>
            </w:pPr>
            <w:r>
              <w:rPr>
                <w:rFonts w:ascii="Arial" w:cs="Arial" w:eastAsia="Arial" w:hAnsi="Arial"/>
                <w:sz w:val="22"/>
                <w:szCs w:val="22"/>
                <w:b w:val="1"/>
                <w:bCs w:val="1"/>
                <w:color w:val="auto"/>
              </w:rPr>
              <w:t>(continued)</w:t>
            </w:r>
          </w:p>
        </w:tc>
        <w:tc>
          <w:tcPr>
            <w:tcW w:w="460" w:type="dxa"/>
            <w:vAlign w:val="bottom"/>
          </w:tcPr>
          <w:p>
            <w:pPr>
              <w:ind w:left="20"/>
              <w:spacing w:after="0"/>
              <w:rPr>
                <w:sz w:val="20"/>
                <w:szCs w:val="20"/>
                <w:color w:val="auto"/>
              </w:rPr>
            </w:pPr>
            <w:r>
              <w:rPr>
                <w:rFonts w:ascii="Arial" w:cs="Arial" w:eastAsia="Arial" w:hAnsi="Arial"/>
                <w:sz w:val="22"/>
                <w:szCs w:val="22"/>
                <w:b w:val="1"/>
                <w:bCs w:val="1"/>
                <w:color w:val="auto"/>
                <w:w w:val="79"/>
              </w:rPr>
              <w:t>Page</w:t>
            </w:r>
          </w:p>
        </w:tc>
      </w:tr>
      <w:tr>
        <w:trPr>
          <w:trHeight w:val="513"/>
        </w:trPr>
        <w:tc>
          <w:tcPr>
            <w:tcW w:w="1120" w:type="dxa"/>
            <w:vAlign w:val="bottom"/>
          </w:tcPr>
          <w:p>
            <w:pPr>
              <w:ind w:left="640"/>
              <w:spacing w:after="0"/>
              <w:rPr>
                <w:sz w:val="20"/>
                <w:szCs w:val="20"/>
                <w:color w:val="auto"/>
              </w:rPr>
            </w:pPr>
            <w:r>
              <w:rPr>
                <w:rFonts w:ascii="Arial" w:cs="Arial" w:eastAsia="Arial" w:hAnsi="Arial"/>
                <w:sz w:val="22"/>
                <w:szCs w:val="22"/>
                <w:color w:val="auto"/>
              </w:rPr>
              <w:t>5.04</w:t>
            </w:r>
          </w:p>
        </w:tc>
        <w:tc>
          <w:tcPr>
            <w:tcW w:w="6440" w:type="dxa"/>
            <w:vAlign w:val="bottom"/>
          </w:tcPr>
          <w:p>
            <w:pPr>
              <w:ind w:left="120"/>
              <w:spacing w:after="0"/>
              <w:rPr>
                <w:sz w:val="20"/>
                <w:szCs w:val="20"/>
                <w:color w:val="auto"/>
              </w:rPr>
            </w:pPr>
            <w:r>
              <w:rPr>
                <w:rFonts w:ascii="Arial" w:cs="Arial" w:eastAsia="Arial" w:hAnsi="Arial"/>
                <w:sz w:val="22"/>
                <w:szCs w:val="22"/>
                <w:color w:val="auto"/>
              </w:rPr>
              <w:t>Meetings</w:t>
            </w:r>
          </w:p>
        </w:tc>
        <w:tc>
          <w:tcPr>
            <w:tcW w:w="460" w:type="dxa"/>
            <w:vAlign w:val="bottom"/>
          </w:tcPr>
          <w:p>
            <w:pPr>
              <w:ind w:left="20"/>
              <w:spacing w:after="0"/>
              <w:rPr>
                <w:sz w:val="20"/>
                <w:szCs w:val="20"/>
                <w:color w:val="auto"/>
              </w:rPr>
            </w:pPr>
            <w:r>
              <w:rPr>
                <w:rFonts w:ascii="Arial" w:cs="Arial" w:eastAsia="Arial" w:hAnsi="Arial"/>
                <w:sz w:val="22"/>
                <w:szCs w:val="22"/>
                <w:color w:val="auto"/>
              </w:rPr>
              <w:t>26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5.05</w:t>
            </w:r>
          </w:p>
        </w:tc>
        <w:tc>
          <w:tcPr>
            <w:tcW w:w="6440" w:type="dxa"/>
            <w:vAlign w:val="bottom"/>
          </w:tcPr>
          <w:p>
            <w:pPr>
              <w:ind w:left="120"/>
              <w:spacing w:after="0"/>
              <w:rPr>
                <w:sz w:val="20"/>
                <w:szCs w:val="20"/>
                <w:color w:val="auto"/>
              </w:rPr>
            </w:pPr>
            <w:r>
              <w:rPr>
                <w:rFonts w:ascii="Arial" w:cs="Arial" w:eastAsia="Arial" w:hAnsi="Arial"/>
                <w:sz w:val="22"/>
                <w:szCs w:val="22"/>
                <w:color w:val="auto"/>
              </w:rPr>
              <w:t>Place of Meeting</w:t>
            </w:r>
          </w:p>
        </w:tc>
        <w:tc>
          <w:tcPr>
            <w:tcW w:w="460" w:type="dxa"/>
            <w:vAlign w:val="bottom"/>
          </w:tcPr>
          <w:p>
            <w:pPr>
              <w:ind w:left="20"/>
              <w:spacing w:after="0"/>
              <w:rPr>
                <w:sz w:val="20"/>
                <w:szCs w:val="20"/>
                <w:color w:val="auto"/>
              </w:rPr>
            </w:pPr>
            <w:r>
              <w:rPr>
                <w:rFonts w:ascii="Arial" w:cs="Arial" w:eastAsia="Arial" w:hAnsi="Arial"/>
                <w:sz w:val="22"/>
                <w:szCs w:val="22"/>
                <w:color w:val="auto"/>
              </w:rPr>
              <w:t>26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5.06</w:t>
            </w:r>
          </w:p>
        </w:tc>
        <w:tc>
          <w:tcPr>
            <w:tcW w:w="6440" w:type="dxa"/>
            <w:vAlign w:val="bottom"/>
          </w:tcPr>
          <w:p>
            <w:pPr>
              <w:ind w:left="120"/>
              <w:spacing w:after="0"/>
              <w:rPr>
                <w:sz w:val="20"/>
                <w:szCs w:val="20"/>
                <w:color w:val="auto"/>
              </w:rPr>
            </w:pPr>
            <w:r>
              <w:rPr>
                <w:rFonts w:ascii="Arial" w:cs="Arial" w:eastAsia="Arial" w:hAnsi="Arial"/>
                <w:sz w:val="22"/>
                <w:szCs w:val="22"/>
                <w:color w:val="auto"/>
              </w:rPr>
              <w:t>Notice of Meeting</w:t>
            </w:r>
          </w:p>
        </w:tc>
        <w:tc>
          <w:tcPr>
            <w:tcW w:w="460" w:type="dxa"/>
            <w:vAlign w:val="bottom"/>
          </w:tcPr>
          <w:p>
            <w:pPr>
              <w:ind w:left="20"/>
              <w:spacing w:after="0"/>
              <w:rPr>
                <w:sz w:val="20"/>
                <w:szCs w:val="20"/>
                <w:color w:val="auto"/>
              </w:rPr>
            </w:pPr>
            <w:r>
              <w:rPr>
                <w:rFonts w:ascii="Arial" w:cs="Arial" w:eastAsia="Arial" w:hAnsi="Arial"/>
                <w:sz w:val="22"/>
                <w:szCs w:val="22"/>
                <w:color w:val="auto"/>
              </w:rPr>
              <w:t>26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5.07</w:t>
            </w:r>
          </w:p>
        </w:tc>
        <w:tc>
          <w:tcPr>
            <w:tcW w:w="6440" w:type="dxa"/>
            <w:vAlign w:val="bottom"/>
          </w:tcPr>
          <w:p>
            <w:pPr>
              <w:ind w:left="120"/>
              <w:spacing w:after="0"/>
              <w:rPr>
                <w:sz w:val="20"/>
                <w:szCs w:val="20"/>
                <w:color w:val="auto"/>
              </w:rPr>
            </w:pPr>
            <w:r>
              <w:rPr>
                <w:rFonts w:ascii="Arial" w:cs="Arial" w:eastAsia="Arial" w:hAnsi="Arial"/>
                <w:sz w:val="22"/>
                <w:szCs w:val="22"/>
                <w:color w:val="auto"/>
              </w:rPr>
              <w:t>Withdrawal; Partition</w:t>
            </w:r>
          </w:p>
        </w:tc>
        <w:tc>
          <w:tcPr>
            <w:tcW w:w="460" w:type="dxa"/>
            <w:vAlign w:val="bottom"/>
          </w:tcPr>
          <w:p>
            <w:pPr>
              <w:ind w:left="20"/>
              <w:spacing w:after="0"/>
              <w:rPr>
                <w:sz w:val="20"/>
                <w:szCs w:val="20"/>
                <w:color w:val="auto"/>
              </w:rPr>
            </w:pPr>
            <w:r>
              <w:rPr>
                <w:rFonts w:ascii="Arial" w:cs="Arial" w:eastAsia="Arial" w:hAnsi="Arial"/>
                <w:sz w:val="22"/>
                <w:szCs w:val="22"/>
                <w:color w:val="auto"/>
              </w:rPr>
              <w:t>26</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5.08</w:t>
            </w:r>
          </w:p>
        </w:tc>
        <w:tc>
          <w:tcPr>
            <w:tcW w:w="6440" w:type="dxa"/>
            <w:vAlign w:val="bottom"/>
          </w:tcPr>
          <w:p>
            <w:pPr>
              <w:ind w:left="120"/>
              <w:spacing w:after="0"/>
              <w:rPr>
                <w:sz w:val="20"/>
                <w:szCs w:val="20"/>
                <w:color w:val="auto"/>
              </w:rPr>
            </w:pPr>
            <w:r>
              <w:rPr>
                <w:rFonts w:ascii="Arial" w:cs="Arial" w:eastAsia="Arial" w:hAnsi="Arial"/>
                <w:sz w:val="22"/>
                <w:szCs w:val="22"/>
                <w:color w:val="auto"/>
              </w:rPr>
              <w:t>Business Opportunities; Performance of Duties</w:t>
            </w:r>
          </w:p>
        </w:tc>
        <w:tc>
          <w:tcPr>
            <w:tcW w:w="460" w:type="dxa"/>
            <w:vAlign w:val="bottom"/>
          </w:tcPr>
          <w:p>
            <w:pPr>
              <w:ind w:left="20"/>
              <w:spacing w:after="0"/>
              <w:rPr>
                <w:sz w:val="20"/>
                <w:szCs w:val="20"/>
                <w:color w:val="auto"/>
              </w:rPr>
            </w:pPr>
            <w:r>
              <w:rPr>
                <w:rFonts w:ascii="Arial" w:cs="Arial" w:eastAsia="Arial" w:hAnsi="Arial"/>
                <w:sz w:val="22"/>
                <w:szCs w:val="22"/>
                <w:color w:val="auto"/>
              </w:rPr>
              <w:t>27</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5.09</w:t>
            </w:r>
          </w:p>
        </w:tc>
        <w:tc>
          <w:tcPr>
            <w:tcW w:w="6440" w:type="dxa"/>
            <w:vAlign w:val="bottom"/>
          </w:tcPr>
          <w:p>
            <w:pPr>
              <w:ind w:left="120"/>
              <w:spacing w:after="0"/>
              <w:rPr>
                <w:sz w:val="20"/>
                <w:szCs w:val="20"/>
                <w:color w:val="auto"/>
              </w:rPr>
            </w:pPr>
            <w:r>
              <w:rPr>
                <w:rFonts w:ascii="Arial" w:cs="Arial" w:eastAsia="Arial" w:hAnsi="Arial"/>
                <w:sz w:val="22"/>
                <w:szCs w:val="22"/>
                <w:color w:val="auto"/>
              </w:rPr>
              <w:t>Limitation of Liability</w:t>
            </w:r>
          </w:p>
        </w:tc>
        <w:tc>
          <w:tcPr>
            <w:tcW w:w="460" w:type="dxa"/>
            <w:vAlign w:val="bottom"/>
          </w:tcPr>
          <w:p>
            <w:pPr>
              <w:ind w:left="20"/>
              <w:spacing w:after="0"/>
              <w:rPr>
                <w:sz w:val="20"/>
                <w:szCs w:val="20"/>
                <w:color w:val="auto"/>
              </w:rPr>
            </w:pPr>
            <w:r>
              <w:rPr>
                <w:rFonts w:ascii="Arial" w:cs="Arial" w:eastAsia="Arial" w:hAnsi="Arial"/>
                <w:sz w:val="22"/>
                <w:szCs w:val="22"/>
                <w:color w:val="auto"/>
              </w:rPr>
              <w:t>28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5.10</w:t>
            </w:r>
          </w:p>
        </w:tc>
        <w:tc>
          <w:tcPr>
            <w:tcW w:w="6440" w:type="dxa"/>
            <w:vAlign w:val="bottom"/>
          </w:tcPr>
          <w:p>
            <w:pPr>
              <w:ind w:left="100"/>
              <w:spacing w:after="0"/>
              <w:rPr>
                <w:sz w:val="20"/>
                <w:szCs w:val="20"/>
                <w:color w:val="auto"/>
              </w:rPr>
            </w:pPr>
            <w:r>
              <w:rPr>
                <w:rFonts w:ascii="Arial" w:cs="Arial" w:eastAsia="Arial" w:hAnsi="Arial"/>
                <w:sz w:val="22"/>
                <w:szCs w:val="22"/>
                <w:color w:val="auto"/>
              </w:rPr>
              <w:t>Authority</w:t>
            </w:r>
          </w:p>
        </w:tc>
        <w:tc>
          <w:tcPr>
            <w:tcW w:w="460" w:type="dxa"/>
            <w:vAlign w:val="bottom"/>
          </w:tcPr>
          <w:p>
            <w:pPr>
              <w:ind w:left="20"/>
              <w:spacing w:after="0"/>
              <w:rPr>
                <w:sz w:val="20"/>
                <w:szCs w:val="20"/>
                <w:color w:val="auto"/>
              </w:rPr>
            </w:pPr>
            <w:r>
              <w:rPr>
                <w:rFonts w:ascii="Arial" w:cs="Arial" w:eastAsia="Arial" w:hAnsi="Arial"/>
                <w:sz w:val="22"/>
                <w:szCs w:val="22"/>
                <w:color w:val="auto"/>
              </w:rPr>
              <w:t>29</w:t>
            </w:r>
          </w:p>
        </w:tc>
      </w:tr>
      <w:tr>
        <w:trPr>
          <w:trHeight w:val="297"/>
        </w:trPr>
        <w:tc>
          <w:tcPr>
            <w:tcW w:w="7560" w:type="dxa"/>
            <w:vAlign w:val="bottom"/>
            <w:gridSpan w:val="2"/>
          </w:tcPr>
          <w:p>
            <w:pPr>
              <w:ind w:left="640"/>
              <w:spacing w:after="0"/>
              <w:rPr>
                <w:sz w:val="20"/>
                <w:szCs w:val="20"/>
                <w:color w:val="auto"/>
              </w:rPr>
            </w:pPr>
            <w:r>
              <w:rPr>
                <w:rFonts w:ascii="Arial" w:cs="Arial" w:eastAsia="Arial" w:hAnsi="Arial"/>
                <w:sz w:val="22"/>
                <w:szCs w:val="22"/>
                <w:color w:val="auto"/>
              </w:rPr>
              <w:t>5.11  Sale of the Company; IPO</w:t>
            </w:r>
          </w:p>
        </w:tc>
        <w:tc>
          <w:tcPr>
            <w:tcW w:w="460" w:type="dxa"/>
            <w:vAlign w:val="bottom"/>
          </w:tcPr>
          <w:p>
            <w:pPr>
              <w:ind w:left="20"/>
              <w:spacing w:after="0"/>
              <w:rPr>
                <w:sz w:val="20"/>
                <w:szCs w:val="20"/>
                <w:color w:val="auto"/>
              </w:rPr>
            </w:pPr>
            <w:r>
              <w:rPr>
                <w:rFonts w:ascii="Arial" w:cs="Arial" w:eastAsia="Arial" w:hAnsi="Arial"/>
                <w:sz w:val="22"/>
                <w:szCs w:val="22"/>
                <w:color w:val="auto"/>
              </w:rPr>
              <w:t>29</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5.12</w:t>
            </w:r>
          </w:p>
        </w:tc>
        <w:tc>
          <w:tcPr>
            <w:tcW w:w="6440" w:type="dxa"/>
            <w:vAlign w:val="bottom"/>
          </w:tcPr>
          <w:p>
            <w:pPr>
              <w:ind w:left="120"/>
              <w:spacing w:after="0"/>
              <w:rPr>
                <w:sz w:val="20"/>
                <w:szCs w:val="20"/>
                <w:color w:val="auto"/>
              </w:rPr>
            </w:pPr>
            <w:r>
              <w:rPr>
                <w:rFonts w:ascii="Arial" w:cs="Arial" w:eastAsia="Arial" w:hAnsi="Arial"/>
                <w:sz w:val="22"/>
                <w:szCs w:val="22"/>
                <w:color w:val="auto"/>
              </w:rPr>
              <w:t>Honda Minority Consent Right</w:t>
            </w:r>
          </w:p>
        </w:tc>
        <w:tc>
          <w:tcPr>
            <w:tcW w:w="460" w:type="dxa"/>
            <w:vAlign w:val="bottom"/>
          </w:tcPr>
          <w:p>
            <w:pPr>
              <w:ind w:left="20"/>
              <w:spacing w:after="0"/>
              <w:rPr>
                <w:sz w:val="20"/>
                <w:szCs w:val="20"/>
                <w:color w:val="auto"/>
              </w:rPr>
            </w:pPr>
            <w:r>
              <w:rPr>
                <w:rFonts w:ascii="Arial" w:cs="Arial" w:eastAsia="Arial" w:hAnsi="Arial"/>
                <w:sz w:val="22"/>
                <w:szCs w:val="22"/>
                <w:color w:val="auto"/>
              </w:rPr>
              <w:t>29</w:t>
            </w:r>
          </w:p>
        </w:tc>
      </w:tr>
      <w:tr>
        <w:trPr>
          <w:trHeight w:val="513"/>
        </w:trPr>
        <w:tc>
          <w:tcPr>
            <w:tcW w:w="7560" w:type="dxa"/>
            <w:vAlign w:val="bottom"/>
            <w:gridSpan w:val="2"/>
          </w:tcPr>
          <w:p>
            <w:pPr>
              <w:spacing w:after="0"/>
              <w:rPr>
                <w:sz w:val="20"/>
                <w:szCs w:val="20"/>
                <w:color w:val="auto"/>
              </w:rPr>
            </w:pPr>
            <w:r>
              <w:rPr>
                <w:rFonts w:ascii="Arial" w:cs="Arial" w:eastAsia="Arial" w:hAnsi="Arial"/>
                <w:sz w:val="22"/>
                <w:szCs w:val="22"/>
                <w:color w:val="auto"/>
              </w:rPr>
              <w:t>ARTICLE VI MANAGEMENT</w:t>
            </w:r>
          </w:p>
        </w:tc>
        <w:tc>
          <w:tcPr>
            <w:tcW w:w="460" w:type="dxa"/>
            <w:vAlign w:val="bottom"/>
          </w:tcPr>
          <w:p>
            <w:pPr>
              <w:ind w:left="20"/>
              <w:spacing w:after="0"/>
              <w:rPr>
                <w:sz w:val="20"/>
                <w:szCs w:val="20"/>
                <w:color w:val="auto"/>
              </w:rPr>
            </w:pPr>
            <w:r>
              <w:rPr>
                <w:rFonts w:ascii="Arial" w:cs="Arial" w:eastAsia="Arial" w:hAnsi="Arial"/>
                <w:sz w:val="22"/>
                <w:szCs w:val="22"/>
                <w:color w:val="auto"/>
              </w:rPr>
              <w:t>29</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6.01</w:t>
            </w:r>
          </w:p>
        </w:tc>
        <w:tc>
          <w:tcPr>
            <w:tcW w:w="6440" w:type="dxa"/>
            <w:vAlign w:val="bottom"/>
          </w:tcPr>
          <w:p>
            <w:pPr>
              <w:ind w:left="120"/>
              <w:spacing w:after="0"/>
              <w:rPr>
                <w:sz w:val="20"/>
                <w:szCs w:val="20"/>
                <w:color w:val="auto"/>
              </w:rPr>
            </w:pPr>
            <w:r>
              <w:rPr>
                <w:rFonts w:ascii="Arial" w:cs="Arial" w:eastAsia="Arial" w:hAnsi="Arial"/>
                <w:sz w:val="22"/>
                <w:szCs w:val="22"/>
                <w:color w:val="auto"/>
              </w:rPr>
              <w:t>Management</w:t>
            </w:r>
          </w:p>
        </w:tc>
        <w:tc>
          <w:tcPr>
            <w:tcW w:w="460" w:type="dxa"/>
            <w:vAlign w:val="bottom"/>
          </w:tcPr>
          <w:p>
            <w:pPr>
              <w:ind w:left="20"/>
              <w:spacing w:after="0"/>
              <w:rPr>
                <w:sz w:val="20"/>
                <w:szCs w:val="20"/>
                <w:color w:val="auto"/>
              </w:rPr>
            </w:pPr>
            <w:r>
              <w:rPr>
                <w:rFonts w:ascii="Arial" w:cs="Arial" w:eastAsia="Arial" w:hAnsi="Arial"/>
                <w:sz w:val="22"/>
                <w:szCs w:val="22"/>
                <w:color w:val="auto"/>
              </w:rPr>
              <w:t>29</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6.02</w:t>
            </w:r>
          </w:p>
        </w:tc>
        <w:tc>
          <w:tcPr>
            <w:tcW w:w="6440" w:type="dxa"/>
            <w:vAlign w:val="bottom"/>
          </w:tcPr>
          <w:p>
            <w:pPr>
              <w:ind w:left="120"/>
              <w:spacing w:after="0"/>
              <w:rPr>
                <w:sz w:val="20"/>
                <w:szCs w:val="20"/>
                <w:color w:val="auto"/>
              </w:rPr>
            </w:pPr>
            <w:r>
              <w:rPr>
                <w:rFonts w:ascii="Arial" w:cs="Arial" w:eastAsia="Arial" w:hAnsi="Arial"/>
                <w:sz w:val="22"/>
                <w:szCs w:val="22"/>
                <w:color w:val="auto"/>
              </w:rPr>
              <w:t>Number of Directors</w:t>
            </w:r>
          </w:p>
        </w:tc>
        <w:tc>
          <w:tcPr>
            <w:tcW w:w="460" w:type="dxa"/>
            <w:vAlign w:val="bottom"/>
          </w:tcPr>
          <w:p>
            <w:pPr>
              <w:ind w:left="20"/>
              <w:spacing w:after="0"/>
              <w:rPr>
                <w:sz w:val="20"/>
                <w:szCs w:val="20"/>
                <w:color w:val="auto"/>
              </w:rPr>
            </w:pPr>
            <w:r>
              <w:rPr>
                <w:rFonts w:ascii="Arial" w:cs="Arial" w:eastAsia="Arial" w:hAnsi="Arial"/>
                <w:sz w:val="22"/>
                <w:szCs w:val="22"/>
                <w:color w:val="auto"/>
              </w:rPr>
              <w:t>30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6.03</w:t>
            </w:r>
          </w:p>
        </w:tc>
        <w:tc>
          <w:tcPr>
            <w:tcW w:w="6440" w:type="dxa"/>
            <w:vAlign w:val="bottom"/>
          </w:tcPr>
          <w:p>
            <w:pPr>
              <w:ind w:left="120"/>
              <w:spacing w:after="0"/>
              <w:rPr>
                <w:sz w:val="20"/>
                <w:szCs w:val="20"/>
                <w:color w:val="auto"/>
              </w:rPr>
            </w:pPr>
            <w:r>
              <w:rPr>
                <w:rFonts w:ascii="Arial" w:cs="Arial" w:eastAsia="Arial" w:hAnsi="Arial"/>
                <w:sz w:val="22"/>
                <w:szCs w:val="22"/>
                <w:color w:val="auto"/>
              </w:rPr>
              <w:t>Board Designation Rights and Composition; Proxies</w:t>
            </w:r>
          </w:p>
        </w:tc>
        <w:tc>
          <w:tcPr>
            <w:tcW w:w="460" w:type="dxa"/>
            <w:vAlign w:val="bottom"/>
          </w:tcPr>
          <w:p>
            <w:pPr>
              <w:ind w:left="20"/>
              <w:spacing w:after="0"/>
              <w:rPr>
                <w:sz w:val="20"/>
                <w:szCs w:val="20"/>
                <w:color w:val="auto"/>
              </w:rPr>
            </w:pPr>
            <w:r>
              <w:rPr>
                <w:rFonts w:ascii="Arial" w:cs="Arial" w:eastAsia="Arial" w:hAnsi="Arial"/>
                <w:sz w:val="22"/>
                <w:szCs w:val="22"/>
                <w:color w:val="auto"/>
              </w:rPr>
              <w:t>30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6.04</w:t>
            </w:r>
          </w:p>
        </w:tc>
        <w:tc>
          <w:tcPr>
            <w:tcW w:w="6440" w:type="dxa"/>
            <w:vAlign w:val="bottom"/>
          </w:tcPr>
          <w:p>
            <w:pPr>
              <w:ind w:left="120"/>
              <w:spacing w:after="0"/>
              <w:rPr>
                <w:sz w:val="20"/>
                <w:szCs w:val="20"/>
                <w:color w:val="auto"/>
              </w:rPr>
            </w:pPr>
            <w:r>
              <w:rPr>
                <w:rFonts w:ascii="Arial" w:cs="Arial" w:eastAsia="Arial" w:hAnsi="Arial"/>
                <w:sz w:val="22"/>
                <w:szCs w:val="22"/>
                <w:color w:val="auto"/>
              </w:rPr>
              <w:t>Board Observer</w:t>
            </w:r>
          </w:p>
        </w:tc>
        <w:tc>
          <w:tcPr>
            <w:tcW w:w="460" w:type="dxa"/>
            <w:vAlign w:val="bottom"/>
          </w:tcPr>
          <w:p>
            <w:pPr>
              <w:ind w:left="20"/>
              <w:spacing w:after="0"/>
              <w:rPr>
                <w:sz w:val="20"/>
                <w:szCs w:val="20"/>
                <w:color w:val="auto"/>
              </w:rPr>
            </w:pPr>
            <w:r>
              <w:rPr>
                <w:rFonts w:ascii="Arial" w:cs="Arial" w:eastAsia="Arial" w:hAnsi="Arial"/>
                <w:sz w:val="22"/>
                <w:szCs w:val="22"/>
                <w:color w:val="auto"/>
              </w:rPr>
              <w:t>31</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6.05</w:t>
            </w:r>
          </w:p>
        </w:tc>
        <w:tc>
          <w:tcPr>
            <w:tcW w:w="6440" w:type="dxa"/>
            <w:vAlign w:val="bottom"/>
          </w:tcPr>
          <w:p>
            <w:pPr>
              <w:ind w:left="120"/>
              <w:spacing w:after="0"/>
              <w:rPr>
                <w:sz w:val="20"/>
                <w:szCs w:val="20"/>
                <w:color w:val="auto"/>
              </w:rPr>
            </w:pPr>
            <w:r>
              <w:rPr>
                <w:rFonts w:ascii="Arial" w:cs="Arial" w:eastAsia="Arial" w:hAnsi="Arial"/>
                <w:sz w:val="22"/>
                <w:szCs w:val="22"/>
                <w:color w:val="auto"/>
              </w:rPr>
              <w:t>Director Appointee Screening</w:t>
            </w:r>
          </w:p>
        </w:tc>
        <w:tc>
          <w:tcPr>
            <w:tcW w:w="460" w:type="dxa"/>
            <w:vAlign w:val="bottom"/>
          </w:tcPr>
          <w:p>
            <w:pPr>
              <w:ind w:left="20"/>
              <w:spacing w:after="0"/>
              <w:rPr>
                <w:sz w:val="20"/>
                <w:szCs w:val="20"/>
                <w:color w:val="auto"/>
              </w:rPr>
            </w:pPr>
            <w:r>
              <w:rPr>
                <w:rFonts w:ascii="Arial" w:cs="Arial" w:eastAsia="Arial" w:hAnsi="Arial"/>
                <w:sz w:val="22"/>
                <w:szCs w:val="22"/>
                <w:color w:val="auto"/>
              </w:rPr>
              <w:t>32</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6.06</w:t>
            </w:r>
          </w:p>
        </w:tc>
        <w:tc>
          <w:tcPr>
            <w:tcW w:w="6440" w:type="dxa"/>
            <w:vAlign w:val="bottom"/>
          </w:tcPr>
          <w:p>
            <w:pPr>
              <w:ind w:left="120"/>
              <w:spacing w:after="0"/>
              <w:rPr>
                <w:sz w:val="20"/>
                <w:szCs w:val="20"/>
                <w:color w:val="auto"/>
              </w:rPr>
            </w:pPr>
            <w:r>
              <w:rPr>
                <w:rFonts w:ascii="Arial" w:cs="Arial" w:eastAsia="Arial" w:hAnsi="Arial"/>
                <w:sz w:val="22"/>
                <w:szCs w:val="22"/>
                <w:color w:val="auto"/>
              </w:rPr>
              <w:t>Tenure of Directors</w:t>
            </w:r>
          </w:p>
        </w:tc>
        <w:tc>
          <w:tcPr>
            <w:tcW w:w="460" w:type="dxa"/>
            <w:vAlign w:val="bottom"/>
          </w:tcPr>
          <w:p>
            <w:pPr>
              <w:ind w:left="20"/>
              <w:spacing w:after="0"/>
              <w:rPr>
                <w:sz w:val="20"/>
                <w:szCs w:val="20"/>
                <w:color w:val="auto"/>
              </w:rPr>
            </w:pPr>
            <w:r>
              <w:rPr>
                <w:rFonts w:ascii="Arial" w:cs="Arial" w:eastAsia="Arial" w:hAnsi="Arial"/>
                <w:sz w:val="22"/>
                <w:szCs w:val="22"/>
                <w:color w:val="auto"/>
              </w:rPr>
              <w:t>33</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6.07</w:t>
            </w:r>
          </w:p>
        </w:tc>
        <w:tc>
          <w:tcPr>
            <w:tcW w:w="6440" w:type="dxa"/>
            <w:vAlign w:val="bottom"/>
          </w:tcPr>
          <w:p>
            <w:pPr>
              <w:ind w:left="120"/>
              <w:spacing w:after="0"/>
              <w:rPr>
                <w:sz w:val="20"/>
                <w:szCs w:val="20"/>
                <w:color w:val="auto"/>
              </w:rPr>
            </w:pPr>
            <w:r>
              <w:rPr>
                <w:rFonts w:ascii="Arial" w:cs="Arial" w:eastAsia="Arial" w:hAnsi="Arial"/>
                <w:sz w:val="22"/>
                <w:szCs w:val="22"/>
                <w:color w:val="auto"/>
              </w:rPr>
              <w:t>Committees</w:t>
            </w:r>
          </w:p>
        </w:tc>
        <w:tc>
          <w:tcPr>
            <w:tcW w:w="460" w:type="dxa"/>
            <w:vAlign w:val="bottom"/>
          </w:tcPr>
          <w:p>
            <w:pPr>
              <w:ind w:left="20"/>
              <w:spacing w:after="0"/>
              <w:rPr>
                <w:sz w:val="20"/>
                <w:szCs w:val="20"/>
                <w:color w:val="auto"/>
              </w:rPr>
            </w:pPr>
            <w:r>
              <w:rPr>
                <w:rFonts w:ascii="Arial" w:cs="Arial" w:eastAsia="Arial" w:hAnsi="Arial"/>
                <w:sz w:val="22"/>
                <w:szCs w:val="22"/>
                <w:color w:val="auto"/>
              </w:rPr>
              <w:t>33</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6.08</w:t>
            </w:r>
          </w:p>
        </w:tc>
        <w:tc>
          <w:tcPr>
            <w:tcW w:w="6440" w:type="dxa"/>
            <w:vAlign w:val="bottom"/>
          </w:tcPr>
          <w:p>
            <w:pPr>
              <w:ind w:left="120"/>
              <w:spacing w:after="0"/>
              <w:rPr>
                <w:sz w:val="20"/>
                <w:szCs w:val="20"/>
                <w:color w:val="auto"/>
              </w:rPr>
            </w:pPr>
            <w:r>
              <w:rPr>
                <w:rFonts w:ascii="Arial" w:cs="Arial" w:eastAsia="Arial" w:hAnsi="Arial"/>
                <w:sz w:val="22"/>
                <w:szCs w:val="22"/>
                <w:color w:val="auto"/>
              </w:rPr>
              <w:t>Director Compensation</w:t>
            </w:r>
          </w:p>
        </w:tc>
        <w:tc>
          <w:tcPr>
            <w:tcW w:w="460" w:type="dxa"/>
            <w:vAlign w:val="bottom"/>
          </w:tcPr>
          <w:p>
            <w:pPr>
              <w:ind w:left="20"/>
              <w:spacing w:after="0"/>
              <w:rPr>
                <w:sz w:val="20"/>
                <w:szCs w:val="20"/>
                <w:color w:val="auto"/>
              </w:rPr>
            </w:pPr>
            <w:r>
              <w:rPr>
                <w:rFonts w:ascii="Arial" w:cs="Arial" w:eastAsia="Arial" w:hAnsi="Arial"/>
                <w:sz w:val="22"/>
                <w:szCs w:val="22"/>
                <w:color w:val="auto"/>
              </w:rPr>
              <w:t>34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6.09</w:t>
            </w:r>
          </w:p>
        </w:tc>
        <w:tc>
          <w:tcPr>
            <w:tcW w:w="6440" w:type="dxa"/>
            <w:vAlign w:val="bottom"/>
          </w:tcPr>
          <w:p>
            <w:pPr>
              <w:ind w:left="120"/>
              <w:spacing w:after="0"/>
              <w:rPr>
                <w:sz w:val="20"/>
                <w:szCs w:val="20"/>
                <w:color w:val="auto"/>
              </w:rPr>
            </w:pPr>
            <w:r>
              <w:rPr>
                <w:rFonts w:ascii="Arial" w:cs="Arial" w:eastAsia="Arial" w:hAnsi="Arial"/>
                <w:sz w:val="22"/>
                <w:szCs w:val="22"/>
                <w:color w:val="auto"/>
              </w:rPr>
              <w:t>Director Resignation</w:t>
            </w:r>
          </w:p>
        </w:tc>
        <w:tc>
          <w:tcPr>
            <w:tcW w:w="460" w:type="dxa"/>
            <w:vAlign w:val="bottom"/>
          </w:tcPr>
          <w:p>
            <w:pPr>
              <w:ind w:left="20"/>
              <w:spacing w:after="0"/>
              <w:rPr>
                <w:sz w:val="20"/>
                <w:szCs w:val="20"/>
                <w:color w:val="auto"/>
              </w:rPr>
            </w:pPr>
            <w:r>
              <w:rPr>
                <w:rFonts w:ascii="Arial" w:cs="Arial" w:eastAsia="Arial" w:hAnsi="Arial"/>
                <w:sz w:val="22"/>
                <w:szCs w:val="22"/>
                <w:color w:val="auto"/>
              </w:rPr>
              <w:t>34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6.10</w:t>
            </w:r>
          </w:p>
        </w:tc>
        <w:tc>
          <w:tcPr>
            <w:tcW w:w="6440" w:type="dxa"/>
            <w:vAlign w:val="bottom"/>
          </w:tcPr>
          <w:p>
            <w:pPr>
              <w:ind w:left="120"/>
              <w:spacing w:after="0"/>
              <w:rPr>
                <w:sz w:val="20"/>
                <w:szCs w:val="20"/>
                <w:color w:val="auto"/>
              </w:rPr>
            </w:pPr>
            <w:r>
              <w:rPr>
                <w:rFonts w:ascii="Arial" w:cs="Arial" w:eastAsia="Arial" w:hAnsi="Arial"/>
                <w:sz w:val="22"/>
                <w:szCs w:val="22"/>
                <w:color w:val="auto"/>
              </w:rPr>
              <w:t>Vacancies</w:t>
            </w:r>
          </w:p>
        </w:tc>
        <w:tc>
          <w:tcPr>
            <w:tcW w:w="460" w:type="dxa"/>
            <w:vAlign w:val="bottom"/>
          </w:tcPr>
          <w:p>
            <w:pPr>
              <w:ind w:left="20"/>
              <w:spacing w:after="0"/>
              <w:rPr>
                <w:sz w:val="20"/>
                <w:szCs w:val="20"/>
                <w:color w:val="auto"/>
              </w:rPr>
            </w:pPr>
            <w:r>
              <w:rPr>
                <w:rFonts w:ascii="Arial" w:cs="Arial" w:eastAsia="Arial" w:hAnsi="Arial"/>
                <w:sz w:val="22"/>
                <w:szCs w:val="22"/>
                <w:color w:val="auto"/>
              </w:rPr>
              <w:t>34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6.11</w:t>
            </w:r>
          </w:p>
        </w:tc>
        <w:tc>
          <w:tcPr>
            <w:tcW w:w="6440" w:type="dxa"/>
            <w:vAlign w:val="bottom"/>
          </w:tcPr>
          <w:p>
            <w:pPr>
              <w:ind w:left="100"/>
              <w:spacing w:after="0"/>
              <w:rPr>
                <w:sz w:val="20"/>
                <w:szCs w:val="20"/>
                <w:color w:val="auto"/>
              </w:rPr>
            </w:pPr>
            <w:r>
              <w:rPr>
                <w:rFonts w:ascii="Arial" w:cs="Arial" w:eastAsia="Arial" w:hAnsi="Arial"/>
                <w:sz w:val="22"/>
                <w:szCs w:val="22"/>
                <w:color w:val="auto"/>
              </w:rPr>
              <w:t>Meetings</w:t>
            </w:r>
          </w:p>
        </w:tc>
        <w:tc>
          <w:tcPr>
            <w:tcW w:w="460" w:type="dxa"/>
            <w:vAlign w:val="bottom"/>
          </w:tcPr>
          <w:p>
            <w:pPr>
              <w:ind w:left="20"/>
              <w:spacing w:after="0"/>
              <w:rPr>
                <w:sz w:val="20"/>
                <w:szCs w:val="20"/>
                <w:color w:val="auto"/>
              </w:rPr>
            </w:pPr>
            <w:r>
              <w:rPr>
                <w:rFonts w:ascii="Arial" w:cs="Arial" w:eastAsia="Arial" w:hAnsi="Arial"/>
                <w:sz w:val="22"/>
                <w:szCs w:val="22"/>
                <w:color w:val="auto"/>
              </w:rPr>
              <w:t>34</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6.12</w:t>
            </w:r>
          </w:p>
        </w:tc>
        <w:tc>
          <w:tcPr>
            <w:tcW w:w="6440" w:type="dxa"/>
            <w:vAlign w:val="bottom"/>
          </w:tcPr>
          <w:p>
            <w:pPr>
              <w:ind w:left="120"/>
              <w:spacing w:after="0"/>
              <w:rPr>
                <w:sz w:val="20"/>
                <w:szCs w:val="20"/>
                <w:color w:val="auto"/>
              </w:rPr>
            </w:pPr>
            <w:r>
              <w:rPr>
                <w:rFonts w:ascii="Arial" w:cs="Arial" w:eastAsia="Arial" w:hAnsi="Arial"/>
                <w:sz w:val="22"/>
                <w:szCs w:val="22"/>
                <w:color w:val="auto"/>
              </w:rPr>
              <w:t>Meetings by Telephone</w:t>
            </w:r>
          </w:p>
        </w:tc>
        <w:tc>
          <w:tcPr>
            <w:tcW w:w="460" w:type="dxa"/>
            <w:vAlign w:val="bottom"/>
          </w:tcPr>
          <w:p>
            <w:pPr>
              <w:ind w:left="20"/>
              <w:spacing w:after="0"/>
              <w:rPr>
                <w:sz w:val="20"/>
                <w:szCs w:val="20"/>
                <w:color w:val="auto"/>
              </w:rPr>
            </w:pPr>
            <w:r>
              <w:rPr>
                <w:rFonts w:ascii="Arial" w:cs="Arial" w:eastAsia="Arial" w:hAnsi="Arial"/>
                <w:sz w:val="22"/>
                <w:szCs w:val="22"/>
                <w:color w:val="auto"/>
              </w:rPr>
              <w:t>35</w:t>
            </w:r>
          </w:p>
        </w:tc>
      </w:tr>
      <w:tr>
        <w:trPr>
          <w:trHeight w:val="266"/>
        </w:trPr>
        <w:tc>
          <w:tcPr>
            <w:tcW w:w="1120" w:type="dxa"/>
            <w:vAlign w:val="bottom"/>
          </w:tcPr>
          <w:p>
            <w:pPr>
              <w:ind w:left="640"/>
              <w:spacing w:after="0"/>
              <w:rPr>
                <w:sz w:val="20"/>
                <w:szCs w:val="20"/>
                <w:color w:val="auto"/>
              </w:rPr>
            </w:pPr>
            <w:r>
              <w:rPr>
                <w:rFonts w:ascii="Arial" w:cs="Arial" w:eastAsia="Arial" w:hAnsi="Arial"/>
                <w:sz w:val="22"/>
                <w:szCs w:val="22"/>
                <w:color w:val="auto"/>
              </w:rPr>
              <w:t>6.13</w:t>
            </w:r>
          </w:p>
        </w:tc>
        <w:tc>
          <w:tcPr>
            <w:tcW w:w="6440" w:type="dxa"/>
            <w:vAlign w:val="bottom"/>
          </w:tcPr>
          <w:p>
            <w:pPr>
              <w:ind w:left="240"/>
              <w:spacing w:after="0"/>
              <w:rPr>
                <w:sz w:val="20"/>
                <w:szCs w:val="20"/>
                <w:color w:val="auto"/>
              </w:rPr>
            </w:pPr>
            <w:r>
              <w:rPr>
                <w:rFonts w:ascii="Arial" w:cs="Arial" w:eastAsia="Arial" w:hAnsi="Arial"/>
                <w:sz w:val="22"/>
                <w:szCs w:val="22"/>
                <w:color w:val="auto"/>
                <w:w w:val="95"/>
              </w:rPr>
              <w:t>Quorum; Actions of Board of Directors; SoftBank Minority Consent</w:t>
            </w:r>
          </w:p>
        </w:tc>
        <w:tc>
          <w:tcPr>
            <w:tcW w:w="460" w:type="dxa"/>
            <w:vAlign w:val="bottom"/>
          </w:tcPr>
          <w:p>
            <w:pPr>
              <w:spacing w:after="0"/>
              <w:rPr>
                <w:sz w:val="23"/>
                <w:szCs w:val="23"/>
                <w:color w:val="auto"/>
              </w:rPr>
            </w:pPr>
          </w:p>
        </w:tc>
      </w:tr>
      <w:tr>
        <w:trPr>
          <w:trHeight w:val="275"/>
        </w:trPr>
        <w:tc>
          <w:tcPr>
            <w:tcW w:w="112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22"/>
                <w:szCs w:val="22"/>
                <w:color w:val="auto"/>
              </w:rPr>
              <w:t>Rights</w:t>
            </w:r>
          </w:p>
        </w:tc>
        <w:tc>
          <w:tcPr>
            <w:tcW w:w="460" w:type="dxa"/>
            <w:vAlign w:val="bottom"/>
          </w:tcPr>
          <w:p>
            <w:pPr>
              <w:ind w:left="20"/>
              <w:spacing w:after="0"/>
              <w:rPr>
                <w:sz w:val="20"/>
                <w:szCs w:val="20"/>
                <w:color w:val="auto"/>
              </w:rPr>
            </w:pPr>
            <w:r>
              <w:rPr>
                <w:rFonts w:ascii="Arial" w:cs="Arial" w:eastAsia="Arial" w:hAnsi="Arial"/>
                <w:sz w:val="22"/>
                <w:szCs w:val="22"/>
                <w:color w:val="auto"/>
              </w:rPr>
              <w:t>35</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6.14</w:t>
            </w:r>
          </w:p>
        </w:tc>
        <w:tc>
          <w:tcPr>
            <w:tcW w:w="6440" w:type="dxa"/>
            <w:vAlign w:val="bottom"/>
          </w:tcPr>
          <w:p>
            <w:pPr>
              <w:ind w:left="120"/>
              <w:spacing w:after="0"/>
              <w:rPr>
                <w:sz w:val="20"/>
                <w:szCs w:val="20"/>
                <w:color w:val="auto"/>
              </w:rPr>
            </w:pPr>
            <w:r>
              <w:rPr>
                <w:rFonts w:ascii="Arial" w:cs="Arial" w:eastAsia="Arial" w:hAnsi="Arial"/>
                <w:sz w:val="22"/>
                <w:szCs w:val="22"/>
                <w:color w:val="auto"/>
              </w:rPr>
              <w:t>Competitively Sensitive Information</w:t>
            </w:r>
          </w:p>
        </w:tc>
        <w:tc>
          <w:tcPr>
            <w:tcW w:w="460" w:type="dxa"/>
            <w:vAlign w:val="bottom"/>
          </w:tcPr>
          <w:p>
            <w:pPr>
              <w:ind w:left="20"/>
              <w:spacing w:after="0"/>
              <w:rPr>
                <w:sz w:val="20"/>
                <w:szCs w:val="20"/>
                <w:color w:val="auto"/>
              </w:rPr>
            </w:pPr>
            <w:r>
              <w:rPr>
                <w:rFonts w:ascii="Arial" w:cs="Arial" w:eastAsia="Arial" w:hAnsi="Arial"/>
                <w:sz w:val="22"/>
                <w:szCs w:val="22"/>
                <w:color w:val="auto"/>
              </w:rPr>
              <w:t>37</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6.15</w:t>
            </w:r>
          </w:p>
        </w:tc>
        <w:tc>
          <w:tcPr>
            <w:tcW w:w="6440" w:type="dxa"/>
            <w:vAlign w:val="bottom"/>
          </w:tcPr>
          <w:p>
            <w:pPr>
              <w:ind w:left="120"/>
              <w:spacing w:after="0"/>
              <w:rPr>
                <w:sz w:val="20"/>
                <w:szCs w:val="20"/>
                <w:color w:val="auto"/>
              </w:rPr>
            </w:pPr>
            <w:r>
              <w:rPr>
                <w:rFonts w:ascii="Arial" w:cs="Arial" w:eastAsia="Arial" w:hAnsi="Arial"/>
                <w:sz w:val="22"/>
                <w:szCs w:val="22"/>
                <w:color w:val="auto"/>
              </w:rPr>
              <w:t>Officers</w:t>
            </w:r>
          </w:p>
        </w:tc>
        <w:tc>
          <w:tcPr>
            <w:tcW w:w="460" w:type="dxa"/>
            <w:vAlign w:val="bottom"/>
          </w:tcPr>
          <w:p>
            <w:pPr>
              <w:ind w:left="20"/>
              <w:spacing w:after="0"/>
              <w:rPr>
                <w:sz w:val="20"/>
                <w:szCs w:val="20"/>
                <w:color w:val="auto"/>
              </w:rPr>
            </w:pPr>
            <w:r>
              <w:rPr>
                <w:rFonts w:ascii="Arial" w:cs="Arial" w:eastAsia="Arial" w:hAnsi="Arial"/>
                <w:sz w:val="22"/>
                <w:szCs w:val="22"/>
                <w:color w:val="auto"/>
              </w:rPr>
              <w:t>37</w:t>
            </w:r>
          </w:p>
        </w:tc>
      </w:tr>
      <w:tr>
        <w:trPr>
          <w:trHeight w:val="513"/>
        </w:trPr>
        <w:tc>
          <w:tcPr>
            <w:tcW w:w="7560" w:type="dxa"/>
            <w:vAlign w:val="bottom"/>
            <w:gridSpan w:val="2"/>
          </w:tcPr>
          <w:p>
            <w:pPr>
              <w:spacing w:after="0"/>
              <w:rPr>
                <w:sz w:val="20"/>
                <w:szCs w:val="20"/>
                <w:color w:val="auto"/>
              </w:rPr>
            </w:pPr>
            <w:r>
              <w:rPr>
                <w:rFonts w:ascii="Arial" w:cs="Arial" w:eastAsia="Arial" w:hAnsi="Arial"/>
                <w:sz w:val="22"/>
                <w:szCs w:val="22"/>
                <w:color w:val="auto"/>
              </w:rPr>
              <w:t>ARTICLE VII EXCULPATION AND INDEMNIFICATION</w:t>
            </w:r>
          </w:p>
        </w:tc>
        <w:tc>
          <w:tcPr>
            <w:tcW w:w="460" w:type="dxa"/>
            <w:vAlign w:val="bottom"/>
          </w:tcPr>
          <w:p>
            <w:pPr>
              <w:ind w:left="20"/>
              <w:spacing w:after="0"/>
              <w:rPr>
                <w:sz w:val="20"/>
                <w:szCs w:val="20"/>
                <w:color w:val="auto"/>
              </w:rPr>
            </w:pPr>
            <w:r>
              <w:rPr>
                <w:rFonts w:ascii="Arial" w:cs="Arial" w:eastAsia="Arial" w:hAnsi="Arial"/>
                <w:sz w:val="22"/>
                <w:szCs w:val="22"/>
                <w:color w:val="auto"/>
              </w:rPr>
              <w:t>38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7.01</w:t>
            </w:r>
          </w:p>
        </w:tc>
        <w:tc>
          <w:tcPr>
            <w:tcW w:w="6440" w:type="dxa"/>
            <w:vAlign w:val="bottom"/>
          </w:tcPr>
          <w:p>
            <w:pPr>
              <w:ind w:left="120"/>
              <w:spacing w:after="0"/>
              <w:rPr>
                <w:sz w:val="20"/>
                <w:szCs w:val="20"/>
                <w:color w:val="auto"/>
              </w:rPr>
            </w:pPr>
            <w:r>
              <w:rPr>
                <w:rFonts w:ascii="Arial" w:cs="Arial" w:eastAsia="Arial" w:hAnsi="Arial"/>
                <w:sz w:val="22"/>
                <w:szCs w:val="22"/>
                <w:color w:val="auto"/>
              </w:rPr>
              <w:t>Exculpation</w:t>
            </w:r>
          </w:p>
        </w:tc>
        <w:tc>
          <w:tcPr>
            <w:tcW w:w="460" w:type="dxa"/>
            <w:vAlign w:val="bottom"/>
          </w:tcPr>
          <w:p>
            <w:pPr>
              <w:ind w:left="20"/>
              <w:spacing w:after="0"/>
              <w:rPr>
                <w:sz w:val="20"/>
                <w:szCs w:val="20"/>
                <w:color w:val="auto"/>
              </w:rPr>
            </w:pPr>
            <w:r>
              <w:rPr>
                <w:rFonts w:ascii="Arial" w:cs="Arial" w:eastAsia="Arial" w:hAnsi="Arial"/>
                <w:sz w:val="22"/>
                <w:szCs w:val="22"/>
                <w:color w:val="auto"/>
              </w:rPr>
              <w:t>38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7.02</w:t>
            </w:r>
          </w:p>
        </w:tc>
        <w:tc>
          <w:tcPr>
            <w:tcW w:w="6440" w:type="dxa"/>
            <w:vAlign w:val="bottom"/>
          </w:tcPr>
          <w:p>
            <w:pPr>
              <w:ind w:left="120"/>
              <w:spacing w:after="0"/>
              <w:rPr>
                <w:sz w:val="20"/>
                <w:szCs w:val="20"/>
                <w:color w:val="auto"/>
              </w:rPr>
            </w:pPr>
            <w:r>
              <w:rPr>
                <w:rFonts w:ascii="Arial" w:cs="Arial" w:eastAsia="Arial" w:hAnsi="Arial"/>
                <w:sz w:val="22"/>
                <w:szCs w:val="22"/>
                <w:color w:val="auto"/>
              </w:rPr>
              <w:t>Indemnification</w:t>
            </w:r>
          </w:p>
        </w:tc>
        <w:tc>
          <w:tcPr>
            <w:tcW w:w="460" w:type="dxa"/>
            <w:vAlign w:val="bottom"/>
          </w:tcPr>
          <w:p>
            <w:pPr>
              <w:ind w:left="20"/>
              <w:spacing w:after="0"/>
              <w:rPr>
                <w:sz w:val="20"/>
                <w:szCs w:val="20"/>
                <w:color w:val="auto"/>
              </w:rPr>
            </w:pPr>
            <w:r>
              <w:rPr>
                <w:rFonts w:ascii="Arial" w:cs="Arial" w:eastAsia="Arial" w:hAnsi="Arial"/>
                <w:sz w:val="22"/>
                <w:szCs w:val="22"/>
                <w:color w:val="auto"/>
              </w:rPr>
              <w:t>38</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7.03</w:t>
            </w:r>
          </w:p>
        </w:tc>
        <w:tc>
          <w:tcPr>
            <w:tcW w:w="6440" w:type="dxa"/>
            <w:vAlign w:val="bottom"/>
          </w:tcPr>
          <w:p>
            <w:pPr>
              <w:ind w:left="120"/>
              <w:spacing w:after="0"/>
              <w:rPr>
                <w:sz w:val="20"/>
                <w:szCs w:val="20"/>
                <w:color w:val="auto"/>
              </w:rPr>
            </w:pPr>
            <w:r>
              <w:rPr>
                <w:rFonts w:ascii="Arial" w:cs="Arial" w:eastAsia="Arial" w:hAnsi="Arial"/>
                <w:sz w:val="22"/>
                <w:szCs w:val="22"/>
                <w:color w:val="auto"/>
              </w:rPr>
              <w:t>No Personal Liability</w:t>
            </w:r>
          </w:p>
        </w:tc>
        <w:tc>
          <w:tcPr>
            <w:tcW w:w="460" w:type="dxa"/>
            <w:vAlign w:val="bottom"/>
          </w:tcPr>
          <w:p>
            <w:pPr>
              <w:ind w:left="20"/>
              <w:spacing w:after="0"/>
              <w:rPr>
                <w:sz w:val="20"/>
                <w:szCs w:val="20"/>
                <w:color w:val="auto"/>
              </w:rPr>
            </w:pPr>
            <w:r>
              <w:rPr>
                <w:rFonts w:ascii="Arial" w:cs="Arial" w:eastAsia="Arial" w:hAnsi="Arial"/>
                <w:sz w:val="22"/>
                <w:szCs w:val="22"/>
                <w:color w:val="auto"/>
              </w:rPr>
              <w:t>40</w:t>
            </w:r>
          </w:p>
        </w:tc>
      </w:tr>
      <w:tr>
        <w:trPr>
          <w:trHeight w:val="482"/>
        </w:trPr>
        <w:tc>
          <w:tcPr>
            <w:tcW w:w="7560" w:type="dxa"/>
            <w:vAlign w:val="bottom"/>
            <w:gridSpan w:val="2"/>
          </w:tcPr>
          <w:p>
            <w:pPr>
              <w:spacing w:after="0"/>
              <w:rPr>
                <w:sz w:val="20"/>
                <w:szCs w:val="20"/>
                <w:color w:val="auto"/>
              </w:rPr>
            </w:pPr>
            <w:r>
              <w:rPr>
                <w:rFonts w:ascii="Arial" w:cs="Arial" w:eastAsia="Arial" w:hAnsi="Arial"/>
                <w:sz w:val="22"/>
                <w:szCs w:val="22"/>
                <w:color w:val="auto"/>
                <w:w w:val="96"/>
              </w:rPr>
              <w:t>ARTICLE VIII BOOKS AND RECORDS; INFORMATION; RELATED MATTERS;</w:t>
            </w:r>
          </w:p>
        </w:tc>
        <w:tc>
          <w:tcPr>
            <w:tcW w:w="460" w:type="dxa"/>
            <w:vAlign w:val="bottom"/>
          </w:tcPr>
          <w:p>
            <w:pPr>
              <w:spacing w:after="0"/>
              <w:rPr>
                <w:sz w:val="24"/>
                <w:szCs w:val="24"/>
                <w:color w:val="auto"/>
              </w:rPr>
            </w:pPr>
          </w:p>
        </w:tc>
      </w:tr>
      <w:tr>
        <w:trPr>
          <w:trHeight w:val="275"/>
        </w:trPr>
        <w:tc>
          <w:tcPr>
            <w:tcW w:w="7560" w:type="dxa"/>
            <w:vAlign w:val="bottom"/>
            <w:gridSpan w:val="2"/>
          </w:tcPr>
          <w:p>
            <w:pPr>
              <w:ind w:left="640"/>
              <w:spacing w:after="0"/>
              <w:rPr>
                <w:sz w:val="20"/>
                <w:szCs w:val="20"/>
                <w:color w:val="auto"/>
              </w:rPr>
            </w:pPr>
            <w:r>
              <w:rPr>
                <w:rFonts w:ascii="Arial" w:cs="Arial" w:eastAsia="Arial" w:hAnsi="Arial"/>
                <w:sz w:val="22"/>
                <w:szCs w:val="22"/>
                <w:color w:val="auto"/>
              </w:rPr>
              <w:t>COMPLIANCE</w:t>
            </w:r>
          </w:p>
        </w:tc>
        <w:tc>
          <w:tcPr>
            <w:tcW w:w="460" w:type="dxa"/>
            <w:vAlign w:val="bottom"/>
          </w:tcPr>
          <w:p>
            <w:pPr>
              <w:ind w:left="20"/>
              <w:spacing w:after="0"/>
              <w:rPr>
                <w:sz w:val="20"/>
                <w:szCs w:val="20"/>
                <w:color w:val="auto"/>
              </w:rPr>
            </w:pPr>
            <w:r>
              <w:rPr>
                <w:rFonts w:ascii="Arial" w:cs="Arial" w:eastAsia="Arial" w:hAnsi="Arial"/>
                <w:sz w:val="22"/>
                <w:szCs w:val="22"/>
                <w:color w:val="auto"/>
              </w:rPr>
              <w:t>40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8.01</w:t>
            </w:r>
          </w:p>
        </w:tc>
        <w:tc>
          <w:tcPr>
            <w:tcW w:w="6440" w:type="dxa"/>
            <w:vAlign w:val="bottom"/>
          </w:tcPr>
          <w:p>
            <w:pPr>
              <w:ind w:left="120"/>
              <w:spacing w:after="0"/>
              <w:rPr>
                <w:sz w:val="20"/>
                <w:szCs w:val="20"/>
                <w:color w:val="auto"/>
              </w:rPr>
            </w:pPr>
            <w:r>
              <w:rPr>
                <w:rFonts w:ascii="Arial" w:cs="Arial" w:eastAsia="Arial" w:hAnsi="Arial"/>
                <w:sz w:val="22"/>
                <w:szCs w:val="22"/>
                <w:color w:val="auto"/>
              </w:rPr>
              <w:t>Generally</w:t>
            </w:r>
          </w:p>
        </w:tc>
        <w:tc>
          <w:tcPr>
            <w:tcW w:w="460" w:type="dxa"/>
            <w:vAlign w:val="bottom"/>
          </w:tcPr>
          <w:p>
            <w:pPr>
              <w:ind w:left="20"/>
              <w:spacing w:after="0"/>
              <w:rPr>
                <w:sz w:val="20"/>
                <w:szCs w:val="20"/>
                <w:color w:val="auto"/>
              </w:rPr>
            </w:pPr>
            <w:r>
              <w:rPr>
                <w:rFonts w:ascii="Arial" w:cs="Arial" w:eastAsia="Arial" w:hAnsi="Arial"/>
                <w:sz w:val="22"/>
                <w:szCs w:val="22"/>
                <w:color w:val="auto"/>
              </w:rPr>
              <w:t>40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8.02</w:t>
            </w:r>
          </w:p>
        </w:tc>
        <w:tc>
          <w:tcPr>
            <w:tcW w:w="6440" w:type="dxa"/>
            <w:vAlign w:val="bottom"/>
          </w:tcPr>
          <w:p>
            <w:pPr>
              <w:ind w:left="120"/>
              <w:spacing w:after="0"/>
              <w:rPr>
                <w:sz w:val="20"/>
                <w:szCs w:val="20"/>
                <w:color w:val="auto"/>
              </w:rPr>
            </w:pPr>
            <w:r>
              <w:rPr>
                <w:rFonts w:ascii="Arial" w:cs="Arial" w:eastAsia="Arial" w:hAnsi="Arial"/>
                <w:sz w:val="22"/>
                <w:szCs w:val="22"/>
                <w:color w:val="auto"/>
              </w:rPr>
              <w:t>Delivery of Financial Information</w:t>
            </w:r>
          </w:p>
        </w:tc>
        <w:tc>
          <w:tcPr>
            <w:tcW w:w="460" w:type="dxa"/>
            <w:vAlign w:val="bottom"/>
          </w:tcPr>
          <w:p>
            <w:pPr>
              <w:ind w:left="20"/>
              <w:spacing w:after="0"/>
              <w:rPr>
                <w:sz w:val="20"/>
                <w:szCs w:val="20"/>
                <w:color w:val="auto"/>
              </w:rPr>
            </w:pPr>
            <w:r>
              <w:rPr>
                <w:rFonts w:ascii="Arial" w:cs="Arial" w:eastAsia="Arial" w:hAnsi="Arial"/>
                <w:sz w:val="22"/>
                <w:szCs w:val="22"/>
                <w:color w:val="auto"/>
              </w:rPr>
              <w:t>40</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8.03</w:t>
            </w:r>
          </w:p>
        </w:tc>
        <w:tc>
          <w:tcPr>
            <w:tcW w:w="6440" w:type="dxa"/>
            <w:vAlign w:val="bottom"/>
          </w:tcPr>
          <w:p>
            <w:pPr>
              <w:ind w:left="120"/>
              <w:spacing w:after="0"/>
              <w:rPr>
                <w:sz w:val="20"/>
                <w:szCs w:val="20"/>
                <w:color w:val="auto"/>
              </w:rPr>
            </w:pPr>
            <w:r>
              <w:rPr>
                <w:rFonts w:ascii="Arial" w:cs="Arial" w:eastAsia="Arial" w:hAnsi="Arial"/>
                <w:sz w:val="22"/>
                <w:szCs w:val="22"/>
                <w:color w:val="auto"/>
              </w:rPr>
              <w:t>Technical Information</w:t>
            </w:r>
          </w:p>
        </w:tc>
        <w:tc>
          <w:tcPr>
            <w:tcW w:w="460" w:type="dxa"/>
            <w:vAlign w:val="bottom"/>
          </w:tcPr>
          <w:p>
            <w:pPr>
              <w:ind w:left="20"/>
              <w:spacing w:after="0"/>
              <w:rPr>
                <w:sz w:val="20"/>
                <w:szCs w:val="20"/>
                <w:color w:val="auto"/>
              </w:rPr>
            </w:pPr>
            <w:r>
              <w:rPr>
                <w:rFonts w:ascii="Arial" w:cs="Arial" w:eastAsia="Arial" w:hAnsi="Arial"/>
                <w:sz w:val="22"/>
                <w:szCs w:val="22"/>
                <w:color w:val="auto"/>
              </w:rPr>
              <w:t>41</w:t>
            </w:r>
          </w:p>
        </w:tc>
      </w:tr>
      <w:tr>
        <w:trPr>
          <w:trHeight w:val="297"/>
        </w:trPr>
        <w:tc>
          <w:tcPr>
            <w:tcW w:w="1120" w:type="dxa"/>
            <w:vAlign w:val="bottom"/>
          </w:tcPr>
          <w:p>
            <w:pPr>
              <w:ind w:left="640"/>
              <w:spacing w:after="0"/>
              <w:rPr>
                <w:sz w:val="20"/>
                <w:szCs w:val="20"/>
                <w:color w:val="auto"/>
              </w:rPr>
            </w:pPr>
            <w:r>
              <w:rPr>
                <w:rFonts w:ascii="Arial" w:cs="Arial" w:eastAsia="Arial" w:hAnsi="Arial"/>
                <w:sz w:val="22"/>
                <w:szCs w:val="22"/>
                <w:color w:val="auto"/>
              </w:rPr>
              <w:t>8.04</w:t>
            </w:r>
          </w:p>
        </w:tc>
        <w:tc>
          <w:tcPr>
            <w:tcW w:w="6440" w:type="dxa"/>
            <w:vAlign w:val="bottom"/>
          </w:tcPr>
          <w:p>
            <w:pPr>
              <w:ind w:left="100"/>
              <w:spacing w:after="0"/>
              <w:rPr>
                <w:sz w:val="20"/>
                <w:szCs w:val="20"/>
                <w:color w:val="auto"/>
              </w:rPr>
            </w:pPr>
            <w:r>
              <w:rPr>
                <w:rFonts w:ascii="Arial" w:cs="Arial" w:eastAsia="Arial" w:hAnsi="Arial"/>
                <w:sz w:val="22"/>
                <w:szCs w:val="22"/>
                <w:color w:val="auto"/>
              </w:rPr>
              <w:t>Applicable ABAC/AML/Trade Laws</w:t>
            </w:r>
          </w:p>
        </w:tc>
        <w:tc>
          <w:tcPr>
            <w:tcW w:w="460" w:type="dxa"/>
            <w:vAlign w:val="bottom"/>
          </w:tcPr>
          <w:p>
            <w:pPr>
              <w:ind w:left="20"/>
              <w:spacing w:after="0"/>
              <w:rPr>
                <w:sz w:val="20"/>
                <w:szCs w:val="20"/>
                <w:color w:val="auto"/>
              </w:rPr>
            </w:pPr>
            <w:r>
              <w:rPr>
                <w:rFonts w:ascii="Arial" w:cs="Arial" w:eastAsia="Arial" w:hAnsi="Arial"/>
                <w:sz w:val="22"/>
                <w:szCs w:val="22"/>
                <w:color w:val="auto"/>
              </w:rPr>
              <w:t>41</w:t>
            </w:r>
          </w:p>
        </w:tc>
      </w:tr>
    </w:tbl>
    <w:p>
      <w:pPr>
        <w:spacing w:after="0" w:line="25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79"/>
          </w:cols>
          <w:pgMar w:left="280" w:top="841"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4"/>
                <w:szCs w:val="24"/>
                <w:color w:val="auto"/>
              </w:rPr>
            </w:pPr>
          </w:p>
        </w:tc>
        <w:tc>
          <w:tcPr>
            <w:tcW w:w="6380" w:type="dxa"/>
            <w:vAlign w:val="bottom"/>
          </w:tcPr>
          <w:p>
            <w:pPr>
              <w:ind w:left="1760"/>
              <w:spacing w:after="0"/>
              <w:rPr>
                <w:sz w:val="20"/>
                <w:szCs w:val="20"/>
                <w:color w:val="auto"/>
              </w:rPr>
            </w:pPr>
            <w:r>
              <w:rPr>
                <w:rFonts w:ascii="Arial" w:cs="Arial" w:eastAsia="Arial" w:hAnsi="Arial"/>
                <w:sz w:val="22"/>
                <w:szCs w:val="22"/>
                <w:b w:val="1"/>
                <w:bCs w:val="1"/>
                <w:color w:val="auto"/>
              </w:rPr>
              <w:t>TABLE OF CONTENTS</w:t>
            </w:r>
          </w:p>
        </w:tc>
        <w:tc>
          <w:tcPr>
            <w:tcW w:w="460" w:type="dxa"/>
            <w:vAlign w:val="bottom"/>
          </w:tcPr>
          <w:p>
            <w:pPr>
              <w:spacing w:after="0"/>
              <w:rPr>
                <w:sz w:val="24"/>
                <w:szCs w:val="24"/>
                <w:color w:val="auto"/>
              </w:rPr>
            </w:pPr>
          </w:p>
        </w:tc>
      </w:tr>
      <w:tr>
        <w:trPr>
          <w:trHeight w:val="459"/>
        </w:trPr>
        <w:tc>
          <w:tcPr>
            <w:tcW w:w="1180" w:type="dxa"/>
            <w:vAlign w:val="bottom"/>
          </w:tcPr>
          <w:p>
            <w:pPr>
              <w:spacing w:after="0"/>
              <w:rPr>
                <w:sz w:val="24"/>
                <w:szCs w:val="24"/>
                <w:color w:val="auto"/>
              </w:rPr>
            </w:pPr>
          </w:p>
        </w:tc>
        <w:tc>
          <w:tcPr>
            <w:tcW w:w="6380" w:type="dxa"/>
            <w:vAlign w:val="bottom"/>
          </w:tcPr>
          <w:p>
            <w:pPr>
              <w:ind w:left="2380"/>
              <w:spacing w:after="0"/>
              <w:rPr>
                <w:sz w:val="20"/>
                <w:szCs w:val="20"/>
                <w:color w:val="auto"/>
              </w:rPr>
            </w:pPr>
            <w:r>
              <w:rPr>
                <w:rFonts w:ascii="Arial" w:cs="Arial" w:eastAsia="Arial" w:hAnsi="Arial"/>
                <w:sz w:val="22"/>
                <w:szCs w:val="22"/>
                <w:b w:val="1"/>
                <w:bCs w:val="1"/>
                <w:color w:val="auto"/>
              </w:rPr>
              <w:t>(continued)</w:t>
            </w:r>
          </w:p>
        </w:tc>
        <w:tc>
          <w:tcPr>
            <w:tcW w:w="460" w:type="dxa"/>
            <w:vAlign w:val="bottom"/>
          </w:tcPr>
          <w:p>
            <w:pPr>
              <w:ind w:left="20"/>
              <w:spacing w:after="0"/>
              <w:rPr>
                <w:sz w:val="20"/>
                <w:szCs w:val="20"/>
                <w:color w:val="auto"/>
              </w:rPr>
            </w:pPr>
            <w:r>
              <w:rPr>
                <w:rFonts w:ascii="Arial" w:cs="Arial" w:eastAsia="Arial" w:hAnsi="Arial"/>
                <w:sz w:val="22"/>
                <w:szCs w:val="22"/>
                <w:b w:val="1"/>
                <w:bCs w:val="1"/>
                <w:color w:val="auto"/>
                <w:w w:val="79"/>
              </w:rPr>
              <w:t>Page</w:t>
            </w:r>
          </w:p>
        </w:tc>
      </w:tr>
      <w:tr>
        <w:trPr>
          <w:trHeight w:val="513"/>
        </w:trPr>
        <w:tc>
          <w:tcPr>
            <w:tcW w:w="1180" w:type="dxa"/>
            <w:vAlign w:val="bottom"/>
          </w:tcPr>
          <w:p>
            <w:pPr>
              <w:ind w:left="640"/>
              <w:spacing w:after="0"/>
              <w:rPr>
                <w:sz w:val="20"/>
                <w:szCs w:val="20"/>
                <w:color w:val="auto"/>
              </w:rPr>
            </w:pPr>
            <w:r>
              <w:rPr>
                <w:rFonts w:ascii="Arial" w:cs="Arial" w:eastAsia="Arial" w:hAnsi="Arial"/>
                <w:sz w:val="22"/>
                <w:szCs w:val="22"/>
                <w:color w:val="auto"/>
              </w:rPr>
              <w:t>8.05</w:t>
            </w:r>
          </w:p>
        </w:tc>
        <w:tc>
          <w:tcPr>
            <w:tcW w:w="6380" w:type="dxa"/>
            <w:vAlign w:val="bottom"/>
          </w:tcPr>
          <w:p>
            <w:pPr>
              <w:ind w:left="60"/>
              <w:spacing w:after="0"/>
              <w:rPr>
                <w:sz w:val="20"/>
                <w:szCs w:val="20"/>
                <w:color w:val="auto"/>
              </w:rPr>
            </w:pPr>
            <w:r>
              <w:rPr>
                <w:rFonts w:ascii="Arial" w:cs="Arial" w:eastAsia="Arial" w:hAnsi="Arial"/>
                <w:sz w:val="22"/>
                <w:szCs w:val="22"/>
                <w:color w:val="auto"/>
              </w:rPr>
              <w:t>Notice to Honda of an OEM Investment</w:t>
            </w:r>
          </w:p>
        </w:tc>
        <w:tc>
          <w:tcPr>
            <w:tcW w:w="460" w:type="dxa"/>
            <w:vAlign w:val="bottom"/>
          </w:tcPr>
          <w:p>
            <w:pPr>
              <w:ind w:left="20"/>
              <w:spacing w:after="0"/>
              <w:rPr>
                <w:sz w:val="20"/>
                <w:szCs w:val="20"/>
                <w:color w:val="auto"/>
              </w:rPr>
            </w:pPr>
            <w:r>
              <w:rPr>
                <w:rFonts w:ascii="Arial" w:cs="Arial" w:eastAsia="Arial" w:hAnsi="Arial"/>
                <w:sz w:val="22"/>
                <w:szCs w:val="22"/>
                <w:color w:val="auto"/>
              </w:rPr>
              <w:t>42</w:t>
            </w:r>
          </w:p>
        </w:tc>
      </w:tr>
      <w:tr>
        <w:trPr>
          <w:trHeight w:val="482"/>
        </w:trPr>
        <w:tc>
          <w:tcPr>
            <w:tcW w:w="7560" w:type="dxa"/>
            <w:vAlign w:val="bottom"/>
            <w:gridSpan w:val="2"/>
          </w:tcPr>
          <w:p>
            <w:pPr>
              <w:spacing w:after="0"/>
              <w:rPr>
                <w:sz w:val="20"/>
                <w:szCs w:val="20"/>
                <w:color w:val="auto"/>
              </w:rPr>
            </w:pPr>
            <w:r>
              <w:rPr>
                <w:rFonts w:ascii="Arial" w:cs="Arial" w:eastAsia="Arial" w:hAnsi="Arial"/>
                <w:sz w:val="22"/>
                <w:szCs w:val="22"/>
                <w:color w:val="auto"/>
                <w:w w:val="97"/>
              </w:rPr>
              <w:t>ARTICLE IX TRANSFERS OF COMPANY INTERESTS; ADMISSION OF NEW</w:t>
            </w:r>
          </w:p>
        </w:tc>
        <w:tc>
          <w:tcPr>
            <w:tcW w:w="460" w:type="dxa"/>
            <w:vAlign w:val="bottom"/>
          </w:tcPr>
          <w:p>
            <w:pPr>
              <w:spacing w:after="0"/>
              <w:rPr>
                <w:sz w:val="24"/>
                <w:szCs w:val="24"/>
                <w:color w:val="auto"/>
              </w:rPr>
            </w:pPr>
          </w:p>
        </w:tc>
      </w:tr>
      <w:tr>
        <w:trPr>
          <w:trHeight w:val="275"/>
        </w:trPr>
        <w:tc>
          <w:tcPr>
            <w:tcW w:w="7560" w:type="dxa"/>
            <w:vAlign w:val="bottom"/>
            <w:gridSpan w:val="2"/>
          </w:tcPr>
          <w:p>
            <w:pPr>
              <w:ind w:left="640"/>
              <w:spacing w:after="0"/>
              <w:rPr>
                <w:sz w:val="20"/>
                <w:szCs w:val="20"/>
                <w:color w:val="auto"/>
              </w:rPr>
            </w:pPr>
            <w:r>
              <w:rPr>
                <w:rFonts w:ascii="Arial" w:cs="Arial" w:eastAsia="Arial" w:hAnsi="Arial"/>
                <w:sz w:val="22"/>
                <w:szCs w:val="22"/>
                <w:color w:val="auto"/>
              </w:rPr>
              <w:t>MEMBERS; GM CALL</w:t>
            </w:r>
          </w:p>
        </w:tc>
        <w:tc>
          <w:tcPr>
            <w:tcW w:w="460" w:type="dxa"/>
            <w:vAlign w:val="bottom"/>
          </w:tcPr>
          <w:p>
            <w:pPr>
              <w:ind w:left="20"/>
              <w:spacing w:after="0"/>
              <w:rPr>
                <w:sz w:val="20"/>
                <w:szCs w:val="20"/>
                <w:color w:val="auto"/>
              </w:rPr>
            </w:pPr>
            <w:r>
              <w:rPr>
                <w:rFonts w:ascii="Arial" w:cs="Arial" w:eastAsia="Arial" w:hAnsi="Arial"/>
                <w:sz w:val="22"/>
                <w:szCs w:val="22"/>
                <w:color w:val="auto"/>
              </w:rPr>
              <w:t>42</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9.01</w:t>
            </w:r>
          </w:p>
        </w:tc>
        <w:tc>
          <w:tcPr>
            <w:tcW w:w="6380" w:type="dxa"/>
            <w:vAlign w:val="bottom"/>
          </w:tcPr>
          <w:p>
            <w:pPr>
              <w:ind w:left="60"/>
              <w:spacing w:after="0"/>
              <w:rPr>
                <w:sz w:val="20"/>
                <w:szCs w:val="20"/>
                <w:color w:val="auto"/>
              </w:rPr>
            </w:pPr>
            <w:r>
              <w:rPr>
                <w:rFonts w:ascii="Arial" w:cs="Arial" w:eastAsia="Arial" w:hAnsi="Arial"/>
                <w:sz w:val="22"/>
                <w:szCs w:val="22"/>
                <w:color w:val="auto"/>
              </w:rPr>
              <w:t>Limitations on Transfer</w:t>
            </w:r>
          </w:p>
        </w:tc>
        <w:tc>
          <w:tcPr>
            <w:tcW w:w="460" w:type="dxa"/>
            <w:vAlign w:val="bottom"/>
          </w:tcPr>
          <w:p>
            <w:pPr>
              <w:ind w:left="20"/>
              <w:spacing w:after="0"/>
              <w:rPr>
                <w:sz w:val="20"/>
                <w:szCs w:val="20"/>
                <w:color w:val="auto"/>
              </w:rPr>
            </w:pPr>
            <w:r>
              <w:rPr>
                <w:rFonts w:ascii="Arial" w:cs="Arial" w:eastAsia="Arial" w:hAnsi="Arial"/>
                <w:sz w:val="22"/>
                <w:szCs w:val="22"/>
                <w:color w:val="auto"/>
              </w:rPr>
              <w:t>42</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9.02</w:t>
            </w:r>
          </w:p>
        </w:tc>
        <w:tc>
          <w:tcPr>
            <w:tcW w:w="6380" w:type="dxa"/>
            <w:vAlign w:val="bottom"/>
          </w:tcPr>
          <w:p>
            <w:pPr>
              <w:ind w:left="60"/>
              <w:spacing w:after="0"/>
              <w:rPr>
                <w:sz w:val="20"/>
                <w:szCs w:val="20"/>
                <w:color w:val="auto"/>
              </w:rPr>
            </w:pPr>
            <w:r>
              <w:rPr>
                <w:rFonts w:ascii="Arial" w:cs="Arial" w:eastAsia="Arial" w:hAnsi="Arial"/>
                <w:sz w:val="22"/>
                <w:szCs w:val="22"/>
                <w:color w:val="auto"/>
              </w:rPr>
              <w:t>Permitted Transfers</w:t>
            </w:r>
          </w:p>
        </w:tc>
        <w:tc>
          <w:tcPr>
            <w:tcW w:w="460" w:type="dxa"/>
            <w:vAlign w:val="bottom"/>
          </w:tcPr>
          <w:p>
            <w:pPr>
              <w:ind w:left="20"/>
              <w:spacing w:after="0"/>
              <w:rPr>
                <w:sz w:val="20"/>
                <w:szCs w:val="20"/>
                <w:color w:val="auto"/>
              </w:rPr>
            </w:pPr>
            <w:r>
              <w:rPr>
                <w:rFonts w:ascii="Arial" w:cs="Arial" w:eastAsia="Arial" w:hAnsi="Arial"/>
                <w:sz w:val="22"/>
                <w:szCs w:val="22"/>
                <w:color w:val="auto"/>
              </w:rPr>
              <w:t>45</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9.03</w:t>
            </w:r>
          </w:p>
        </w:tc>
        <w:tc>
          <w:tcPr>
            <w:tcW w:w="6380" w:type="dxa"/>
            <w:vAlign w:val="bottom"/>
          </w:tcPr>
          <w:p>
            <w:pPr>
              <w:ind w:left="40"/>
              <w:spacing w:after="0"/>
              <w:rPr>
                <w:sz w:val="20"/>
                <w:szCs w:val="20"/>
                <w:color w:val="auto"/>
              </w:rPr>
            </w:pPr>
            <w:r>
              <w:rPr>
                <w:rFonts w:ascii="Arial" w:cs="Arial" w:eastAsia="Arial" w:hAnsi="Arial"/>
                <w:sz w:val="22"/>
                <w:szCs w:val="22"/>
                <w:color w:val="auto"/>
              </w:rPr>
              <w:t>Assignee’s Rights and Obligations</w:t>
            </w:r>
          </w:p>
        </w:tc>
        <w:tc>
          <w:tcPr>
            <w:tcW w:w="460" w:type="dxa"/>
            <w:vAlign w:val="bottom"/>
          </w:tcPr>
          <w:p>
            <w:pPr>
              <w:ind w:left="20"/>
              <w:spacing w:after="0"/>
              <w:rPr>
                <w:sz w:val="20"/>
                <w:szCs w:val="20"/>
                <w:color w:val="auto"/>
              </w:rPr>
            </w:pPr>
            <w:r>
              <w:rPr>
                <w:rFonts w:ascii="Arial" w:cs="Arial" w:eastAsia="Arial" w:hAnsi="Arial"/>
                <w:sz w:val="22"/>
                <w:szCs w:val="22"/>
                <w:color w:val="auto"/>
              </w:rPr>
              <w:t>45</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9.04</w:t>
            </w:r>
          </w:p>
        </w:tc>
        <w:tc>
          <w:tcPr>
            <w:tcW w:w="6380" w:type="dxa"/>
            <w:vAlign w:val="bottom"/>
          </w:tcPr>
          <w:p>
            <w:pPr>
              <w:ind w:left="40"/>
              <w:spacing w:after="0"/>
              <w:rPr>
                <w:sz w:val="20"/>
                <w:szCs w:val="20"/>
                <w:color w:val="auto"/>
              </w:rPr>
            </w:pPr>
            <w:r>
              <w:rPr>
                <w:rFonts w:ascii="Arial" w:cs="Arial" w:eastAsia="Arial" w:hAnsi="Arial"/>
                <w:sz w:val="22"/>
                <w:szCs w:val="22"/>
                <w:color w:val="auto"/>
              </w:rPr>
              <w:t>Admission of Members</w:t>
            </w:r>
          </w:p>
        </w:tc>
        <w:tc>
          <w:tcPr>
            <w:tcW w:w="460" w:type="dxa"/>
            <w:vAlign w:val="bottom"/>
          </w:tcPr>
          <w:p>
            <w:pPr>
              <w:ind w:left="20"/>
              <w:spacing w:after="0"/>
              <w:rPr>
                <w:sz w:val="20"/>
                <w:szCs w:val="20"/>
                <w:color w:val="auto"/>
              </w:rPr>
            </w:pPr>
            <w:r>
              <w:rPr>
                <w:rFonts w:ascii="Arial" w:cs="Arial" w:eastAsia="Arial" w:hAnsi="Arial"/>
                <w:sz w:val="22"/>
                <w:szCs w:val="22"/>
                <w:color w:val="auto"/>
              </w:rPr>
              <w:t>46</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9.05</w:t>
            </w:r>
          </w:p>
        </w:tc>
        <w:tc>
          <w:tcPr>
            <w:tcW w:w="6380" w:type="dxa"/>
            <w:vAlign w:val="bottom"/>
          </w:tcPr>
          <w:p>
            <w:pPr>
              <w:ind w:left="60"/>
              <w:spacing w:after="0"/>
              <w:rPr>
                <w:sz w:val="20"/>
                <w:szCs w:val="20"/>
                <w:color w:val="auto"/>
              </w:rPr>
            </w:pPr>
            <w:r>
              <w:rPr>
                <w:rFonts w:ascii="Arial" w:cs="Arial" w:eastAsia="Arial" w:hAnsi="Arial"/>
                <w:sz w:val="22"/>
                <w:szCs w:val="22"/>
                <w:color w:val="auto"/>
              </w:rPr>
              <w:t>Certain Requirements of Prospective Members</w:t>
            </w:r>
          </w:p>
        </w:tc>
        <w:tc>
          <w:tcPr>
            <w:tcW w:w="460" w:type="dxa"/>
            <w:vAlign w:val="bottom"/>
          </w:tcPr>
          <w:p>
            <w:pPr>
              <w:ind w:left="20"/>
              <w:spacing w:after="0"/>
              <w:rPr>
                <w:sz w:val="20"/>
                <w:szCs w:val="20"/>
                <w:color w:val="auto"/>
              </w:rPr>
            </w:pPr>
            <w:r>
              <w:rPr>
                <w:rFonts w:ascii="Arial" w:cs="Arial" w:eastAsia="Arial" w:hAnsi="Arial"/>
                <w:sz w:val="22"/>
                <w:szCs w:val="22"/>
                <w:color w:val="auto"/>
              </w:rPr>
              <w:t>46</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9.06</w:t>
            </w:r>
          </w:p>
        </w:tc>
        <w:tc>
          <w:tcPr>
            <w:tcW w:w="6380" w:type="dxa"/>
            <w:vAlign w:val="bottom"/>
          </w:tcPr>
          <w:p>
            <w:pPr>
              <w:ind w:left="60"/>
              <w:spacing w:after="0"/>
              <w:rPr>
                <w:sz w:val="20"/>
                <w:szCs w:val="20"/>
                <w:color w:val="auto"/>
              </w:rPr>
            </w:pPr>
            <w:r>
              <w:rPr>
                <w:rFonts w:ascii="Arial" w:cs="Arial" w:eastAsia="Arial" w:hAnsi="Arial"/>
                <w:sz w:val="22"/>
                <w:szCs w:val="22"/>
                <w:color w:val="auto"/>
              </w:rPr>
              <w:t>Status of Transferred Shares</w:t>
            </w:r>
          </w:p>
        </w:tc>
        <w:tc>
          <w:tcPr>
            <w:tcW w:w="460" w:type="dxa"/>
            <w:vAlign w:val="bottom"/>
          </w:tcPr>
          <w:p>
            <w:pPr>
              <w:ind w:left="20"/>
              <w:spacing w:after="0"/>
              <w:rPr>
                <w:sz w:val="20"/>
                <w:szCs w:val="20"/>
                <w:color w:val="auto"/>
              </w:rPr>
            </w:pPr>
            <w:r>
              <w:rPr>
                <w:rFonts w:ascii="Arial" w:cs="Arial" w:eastAsia="Arial" w:hAnsi="Arial"/>
                <w:sz w:val="22"/>
                <w:szCs w:val="22"/>
                <w:color w:val="auto"/>
              </w:rPr>
              <w:t>47</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9.07</w:t>
            </w:r>
          </w:p>
        </w:tc>
        <w:tc>
          <w:tcPr>
            <w:tcW w:w="6380" w:type="dxa"/>
            <w:vAlign w:val="bottom"/>
          </w:tcPr>
          <w:p>
            <w:pPr>
              <w:ind w:left="60"/>
              <w:spacing w:after="0"/>
              <w:rPr>
                <w:sz w:val="20"/>
                <w:szCs w:val="20"/>
                <w:color w:val="auto"/>
              </w:rPr>
            </w:pPr>
            <w:r>
              <w:rPr>
                <w:rFonts w:ascii="Arial" w:cs="Arial" w:eastAsia="Arial" w:hAnsi="Arial"/>
                <w:sz w:val="22"/>
                <w:szCs w:val="22"/>
                <w:color w:val="auto"/>
              </w:rPr>
              <w:t>Tag-Along Rights</w:t>
            </w:r>
          </w:p>
        </w:tc>
        <w:tc>
          <w:tcPr>
            <w:tcW w:w="460" w:type="dxa"/>
            <w:vAlign w:val="bottom"/>
          </w:tcPr>
          <w:p>
            <w:pPr>
              <w:ind w:left="20"/>
              <w:spacing w:after="0"/>
              <w:rPr>
                <w:sz w:val="20"/>
                <w:szCs w:val="20"/>
                <w:color w:val="auto"/>
              </w:rPr>
            </w:pPr>
            <w:r>
              <w:rPr>
                <w:rFonts w:ascii="Arial" w:cs="Arial" w:eastAsia="Arial" w:hAnsi="Arial"/>
                <w:sz w:val="22"/>
                <w:szCs w:val="22"/>
                <w:color w:val="auto"/>
              </w:rPr>
              <w:t>47</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9.08</w:t>
            </w:r>
          </w:p>
        </w:tc>
        <w:tc>
          <w:tcPr>
            <w:tcW w:w="6380" w:type="dxa"/>
            <w:vAlign w:val="bottom"/>
          </w:tcPr>
          <w:p>
            <w:pPr>
              <w:ind w:left="60"/>
              <w:spacing w:after="0"/>
              <w:rPr>
                <w:sz w:val="20"/>
                <w:szCs w:val="20"/>
                <w:color w:val="auto"/>
              </w:rPr>
            </w:pPr>
            <w:r>
              <w:rPr>
                <w:rFonts w:ascii="Arial" w:cs="Arial" w:eastAsia="Arial" w:hAnsi="Arial"/>
                <w:sz w:val="22"/>
                <w:szCs w:val="22"/>
                <w:color w:val="auto"/>
              </w:rPr>
              <w:t>Sale of the Company</w:t>
            </w:r>
          </w:p>
        </w:tc>
        <w:tc>
          <w:tcPr>
            <w:tcW w:w="460" w:type="dxa"/>
            <w:vAlign w:val="bottom"/>
          </w:tcPr>
          <w:p>
            <w:pPr>
              <w:ind w:left="20"/>
              <w:spacing w:after="0"/>
              <w:rPr>
                <w:sz w:val="20"/>
                <w:szCs w:val="20"/>
                <w:color w:val="auto"/>
              </w:rPr>
            </w:pPr>
            <w:r>
              <w:rPr>
                <w:rFonts w:ascii="Arial" w:cs="Arial" w:eastAsia="Arial" w:hAnsi="Arial"/>
                <w:sz w:val="22"/>
                <w:szCs w:val="22"/>
                <w:color w:val="auto"/>
              </w:rPr>
              <w:t>49</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9.09</w:t>
            </w:r>
          </w:p>
        </w:tc>
        <w:tc>
          <w:tcPr>
            <w:tcW w:w="6380" w:type="dxa"/>
            <w:vAlign w:val="bottom"/>
          </w:tcPr>
          <w:p>
            <w:pPr>
              <w:ind w:left="60"/>
              <w:spacing w:after="0"/>
              <w:rPr>
                <w:sz w:val="20"/>
                <w:szCs w:val="20"/>
                <w:color w:val="auto"/>
              </w:rPr>
            </w:pPr>
            <w:r>
              <w:rPr>
                <w:rFonts w:ascii="Arial" w:cs="Arial" w:eastAsia="Arial" w:hAnsi="Arial"/>
                <w:sz w:val="22"/>
                <w:szCs w:val="22"/>
                <w:color w:val="auto"/>
              </w:rPr>
              <w:t>Drag-Along</w:t>
            </w:r>
          </w:p>
        </w:tc>
        <w:tc>
          <w:tcPr>
            <w:tcW w:w="460" w:type="dxa"/>
            <w:vAlign w:val="bottom"/>
          </w:tcPr>
          <w:p>
            <w:pPr>
              <w:ind w:left="20"/>
              <w:spacing w:after="0"/>
              <w:rPr>
                <w:sz w:val="20"/>
                <w:szCs w:val="20"/>
                <w:color w:val="auto"/>
              </w:rPr>
            </w:pPr>
            <w:r>
              <w:rPr>
                <w:rFonts w:ascii="Arial" w:cs="Arial" w:eastAsia="Arial" w:hAnsi="Arial"/>
                <w:sz w:val="22"/>
                <w:szCs w:val="22"/>
                <w:color w:val="auto"/>
              </w:rPr>
              <w:t>52</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9.10</w:t>
            </w:r>
          </w:p>
        </w:tc>
        <w:tc>
          <w:tcPr>
            <w:tcW w:w="6380" w:type="dxa"/>
            <w:vAlign w:val="bottom"/>
          </w:tcPr>
          <w:p>
            <w:pPr>
              <w:ind w:left="60"/>
              <w:spacing w:after="0"/>
              <w:rPr>
                <w:sz w:val="20"/>
                <w:szCs w:val="20"/>
                <w:color w:val="auto"/>
              </w:rPr>
            </w:pPr>
            <w:r>
              <w:rPr>
                <w:rFonts w:ascii="Arial" w:cs="Arial" w:eastAsia="Arial" w:hAnsi="Arial"/>
                <w:sz w:val="22"/>
                <w:szCs w:val="22"/>
                <w:color w:val="auto"/>
              </w:rPr>
              <w:t>Public Offering</w:t>
            </w:r>
          </w:p>
        </w:tc>
        <w:tc>
          <w:tcPr>
            <w:tcW w:w="460" w:type="dxa"/>
            <w:vAlign w:val="bottom"/>
          </w:tcPr>
          <w:p>
            <w:pPr>
              <w:ind w:left="20"/>
              <w:spacing w:after="0"/>
              <w:rPr>
                <w:sz w:val="20"/>
                <w:szCs w:val="20"/>
                <w:color w:val="auto"/>
              </w:rPr>
            </w:pPr>
            <w:r>
              <w:rPr>
                <w:rFonts w:ascii="Arial" w:cs="Arial" w:eastAsia="Arial" w:hAnsi="Arial"/>
                <w:sz w:val="22"/>
                <w:szCs w:val="22"/>
                <w:color w:val="auto"/>
              </w:rPr>
              <w:t>53</w:t>
            </w:r>
          </w:p>
        </w:tc>
      </w:tr>
      <w:tr>
        <w:trPr>
          <w:trHeight w:val="266"/>
        </w:trPr>
        <w:tc>
          <w:tcPr>
            <w:tcW w:w="1180" w:type="dxa"/>
            <w:vAlign w:val="bottom"/>
          </w:tcPr>
          <w:p>
            <w:pPr>
              <w:ind w:left="640"/>
              <w:spacing w:after="0"/>
              <w:rPr>
                <w:sz w:val="20"/>
                <w:szCs w:val="20"/>
                <w:color w:val="auto"/>
              </w:rPr>
            </w:pPr>
            <w:r>
              <w:rPr>
                <w:rFonts w:ascii="Arial" w:cs="Arial" w:eastAsia="Arial" w:hAnsi="Arial"/>
                <w:sz w:val="22"/>
                <w:szCs w:val="22"/>
                <w:color w:val="auto"/>
              </w:rPr>
              <w:t>9.11</w:t>
            </w:r>
          </w:p>
        </w:tc>
        <w:tc>
          <w:tcPr>
            <w:tcW w:w="6380" w:type="dxa"/>
            <w:vAlign w:val="bottom"/>
          </w:tcPr>
          <w:p>
            <w:pPr>
              <w:ind w:left="480"/>
              <w:spacing w:after="0"/>
              <w:rPr>
                <w:sz w:val="20"/>
                <w:szCs w:val="20"/>
                <w:color w:val="auto"/>
              </w:rPr>
            </w:pPr>
            <w:r>
              <w:rPr>
                <w:rFonts w:ascii="Arial" w:cs="Arial" w:eastAsia="Arial" w:hAnsi="Arial"/>
                <w:sz w:val="22"/>
                <w:szCs w:val="22"/>
                <w:color w:val="auto"/>
                <w:w w:val="96"/>
              </w:rPr>
              <w:t>Registration  Rights;  “Market  Stand-Off”  Agreement;  Volume</w:t>
            </w:r>
          </w:p>
        </w:tc>
        <w:tc>
          <w:tcPr>
            <w:tcW w:w="460" w:type="dxa"/>
            <w:vAlign w:val="bottom"/>
          </w:tcPr>
          <w:p>
            <w:pPr>
              <w:spacing w:after="0"/>
              <w:rPr>
                <w:sz w:val="23"/>
                <w:szCs w:val="23"/>
                <w:color w:val="auto"/>
              </w:rPr>
            </w:pPr>
          </w:p>
        </w:tc>
      </w:tr>
      <w:tr>
        <w:trPr>
          <w:trHeight w:val="275"/>
        </w:trPr>
        <w:tc>
          <w:tcPr>
            <w:tcW w:w="1180" w:type="dxa"/>
            <w:vAlign w:val="bottom"/>
          </w:tcPr>
          <w:p>
            <w:pPr>
              <w:spacing w:after="0"/>
              <w:rPr>
                <w:sz w:val="23"/>
                <w:szCs w:val="23"/>
                <w:color w:val="auto"/>
              </w:rPr>
            </w:pPr>
          </w:p>
        </w:tc>
        <w:tc>
          <w:tcPr>
            <w:tcW w:w="6380" w:type="dxa"/>
            <w:vAlign w:val="bottom"/>
          </w:tcPr>
          <w:p>
            <w:pPr>
              <w:ind w:left="120"/>
              <w:spacing w:after="0"/>
              <w:rPr>
                <w:sz w:val="20"/>
                <w:szCs w:val="20"/>
                <w:color w:val="auto"/>
              </w:rPr>
            </w:pPr>
            <w:r>
              <w:rPr>
                <w:rFonts w:ascii="Arial" w:cs="Arial" w:eastAsia="Arial" w:hAnsi="Arial"/>
                <w:sz w:val="22"/>
                <w:szCs w:val="22"/>
                <w:color w:val="auto"/>
              </w:rPr>
              <w:t>Restrictions</w:t>
            </w:r>
          </w:p>
        </w:tc>
        <w:tc>
          <w:tcPr>
            <w:tcW w:w="460" w:type="dxa"/>
            <w:vAlign w:val="bottom"/>
          </w:tcPr>
          <w:p>
            <w:pPr>
              <w:ind w:left="20"/>
              <w:spacing w:after="0"/>
              <w:rPr>
                <w:sz w:val="20"/>
                <w:szCs w:val="20"/>
                <w:color w:val="auto"/>
              </w:rPr>
            </w:pPr>
            <w:r>
              <w:rPr>
                <w:rFonts w:ascii="Arial" w:cs="Arial" w:eastAsia="Arial" w:hAnsi="Arial"/>
                <w:sz w:val="22"/>
                <w:szCs w:val="22"/>
                <w:color w:val="auto"/>
              </w:rPr>
              <w:t>55</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9.12</w:t>
            </w:r>
          </w:p>
        </w:tc>
        <w:tc>
          <w:tcPr>
            <w:tcW w:w="6380" w:type="dxa"/>
            <w:vAlign w:val="bottom"/>
          </w:tcPr>
          <w:p>
            <w:pPr>
              <w:ind w:left="60"/>
              <w:spacing w:after="0"/>
              <w:rPr>
                <w:sz w:val="20"/>
                <w:szCs w:val="20"/>
                <w:color w:val="auto"/>
              </w:rPr>
            </w:pPr>
            <w:r>
              <w:rPr>
                <w:rFonts w:ascii="Arial" w:cs="Arial" w:eastAsia="Arial" w:hAnsi="Arial"/>
                <w:sz w:val="22"/>
                <w:szCs w:val="22"/>
                <w:color w:val="auto"/>
              </w:rPr>
              <w:t>GM Call Right</w:t>
            </w:r>
          </w:p>
        </w:tc>
        <w:tc>
          <w:tcPr>
            <w:tcW w:w="460" w:type="dxa"/>
            <w:vAlign w:val="bottom"/>
          </w:tcPr>
          <w:p>
            <w:pPr>
              <w:ind w:left="20"/>
              <w:spacing w:after="0"/>
              <w:rPr>
                <w:sz w:val="20"/>
                <w:szCs w:val="20"/>
                <w:color w:val="auto"/>
              </w:rPr>
            </w:pPr>
            <w:r>
              <w:rPr>
                <w:rFonts w:ascii="Arial" w:cs="Arial" w:eastAsia="Arial" w:hAnsi="Arial"/>
                <w:sz w:val="22"/>
                <w:szCs w:val="22"/>
                <w:color w:val="auto"/>
              </w:rPr>
              <w:t>56</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rPr>
              <w:t>9.13</w:t>
            </w:r>
          </w:p>
        </w:tc>
        <w:tc>
          <w:tcPr>
            <w:tcW w:w="6380" w:type="dxa"/>
            <w:vAlign w:val="bottom"/>
          </w:tcPr>
          <w:p>
            <w:pPr>
              <w:ind w:left="60"/>
              <w:spacing w:after="0"/>
              <w:rPr>
                <w:sz w:val="20"/>
                <w:szCs w:val="20"/>
                <w:color w:val="auto"/>
              </w:rPr>
            </w:pPr>
            <w:r>
              <w:rPr>
                <w:rFonts w:ascii="Arial" w:cs="Arial" w:eastAsia="Arial" w:hAnsi="Arial"/>
                <w:sz w:val="22"/>
                <w:szCs w:val="22"/>
                <w:color w:val="auto"/>
              </w:rPr>
              <w:t>Optional SoftBank Conversion</w:t>
            </w:r>
          </w:p>
        </w:tc>
        <w:tc>
          <w:tcPr>
            <w:tcW w:w="460" w:type="dxa"/>
            <w:vAlign w:val="bottom"/>
          </w:tcPr>
          <w:p>
            <w:pPr>
              <w:ind w:left="20"/>
              <w:spacing w:after="0"/>
              <w:rPr>
                <w:sz w:val="20"/>
                <w:szCs w:val="20"/>
                <w:color w:val="auto"/>
              </w:rPr>
            </w:pPr>
            <w:r>
              <w:rPr>
                <w:rFonts w:ascii="Arial" w:cs="Arial" w:eastAsia="Arial" w:hAnsi="Arial"/>
                <w:sz w:val="22"/>
                <w:szCs w:val="22"/>
                <w:color w:val="auto"/>
              </w:rPr>
              <w:t>58</w:t>
            </w:r>
          </w:p>
        </w:tc>
      </w:tr>
      <w:tr>
        <w:trPr>
          <w:trHeight w:val="513"/>
        </w:trPr>
        <w:tc>
          <w:tcPr>
            <w:tcW w:w="7560" w:type="dxa"/>
            <w:vAlign w:val="bottom"/>
            <w:gridSpan w:val="2"/>
          </w:tcPr>
          <w:p>
            <w:pPr>
              <w:spacing w:after="0"/>
              <w:rPr>
                <w:sz w:val="20"/>
                <w:szCs w:val="20"/>
                <w:color w:val="auto"/>
              </w:rPr>
            </w:pPr>
            <w:r>
              <w:rPr>
                <w:rFonts w:ascii="Arial" w:cs="Arial" w:eastAsia="Arial" w:hAnsi="Arial"/>
                <w:sz w:val="22"/>
                <w:szCs w:val="22"/>
                <w:color w:val="auto"/>
              </w:rPr>
              <w:t>ARTICLE X DISSOLUTION</w:t>
            </w:r>
          </w:p>
        </w:tc>
        <w:tc>
          <w:tcPr>
            <w:tcW w:w="460" w:type="dxa"/>
            <w:vAlign w:val="bottom"/>
          </w:tcPr>
          <w:p>
            <w:pPr>
              <w:ind w:left="20"/>
              <w:spacing w:after="0"/>
              <w:rPr>
                <w:sz w:val="20"/>
                <w:szCs w:val="20"/>
                <w:color w:val="auto"/>
              </w:rPr>
            </w:pPr>
            <w:r>
              <w:rPr>
                <w:rFonts w:ascii="Arial" w:cs="Arial" w:eastAsia="Arial" w:hAnsi="Arial"/>
                <w:sz w:val="22"/>
                <w:szCs w:val="22"/>
                <w:color w:val="auto"/>
              </w:rPr>
              <w:t>59</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10.01</w:t>
            </w:r>
          </w:p>
        </w:tc>
        <w:tc>
          <w:tcPr>
            <w:tcW w:w="6380" w:type="dxa"/>
            <w:vAlign w:val="bottom"/>
          </w:tcPr>
          <w:p>
            <w:pPr>
              <w:ind w:left="160"/>
              <w:spacing w:after="0"/>
              <w:rPr>
                <w:sz w:val="20"/>
                <w:szCs w:val="20"/>
                <w:color w:val="auto"/>
              </w:rPr>
            </w:pPr>
            <w:r>
              <w:rPr>
                <w:rFonts w:ascii="Arial" w:cs="Arial" w:eastAsia="Arial" w:hAnsi="Arial"/>
                <w:sz w:val="22"/>
                <w:szCs w:val="22"/>
                <w:color w:val="auto"/>
              </w:rPr>
              <w:t>Events of Dissolution</w:t>
            </w:r>
          </w:p>
        </w:tc>
        <w:tc>
          <w:tcPr>
            <w:tcW w:w="460" w:type="dxa"/>
            <w:vAlign w:val="bottom"/>
          </w:tcPr>
          <w:p>
            <w:pPr>
              <w:ind w:left="20"/>
              <w:spacing w:after="0"/>
              <w:rPr>
                <w:sz w:val="20"/>
                <w:szCs w:val="20"/>
                <w:color w:val="auto"/>
              </w:rPr>
            </w:pPr>
            <w:r>
              <w:rPr>
                <w:rFonts w:ascii="Arial" w:cs="Arial" w:eastAsia="Arial" w:hAnsi="Arial"/>
                <w:sz w:val="22"/>
                <w:szCs w:val="22"/>
                <w:color w:val="auto"/>
              </w:rPr>
              <w:t>59</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10.02</w:t>
            </w:r>
          </w:p>
        </w:tc>
        <w:tc>
          <w:tcPr>
            <w:tcW w:w="6380" w:type="dxa"/>
            <w:vAlign w:val="bottom"/>
          </w:tcPr>
          <w:p>
            <w:pPr>
              <w:ind w:left="160"/>
              <w:spacing w:after="0"/>
              <w:rPr>
                <w:sz w:val="20"/>
                <w:szCs w:val="20"/>
                <w:color w:val="auto"/>
              </w:rPr>
            </w:pPr>
            <w:r>
              <w:rPr>
                <w:rFonts w:ascii="Arial" w:cs="Arial" w:eastAsia="Arial" w:hAnsi="Arial"/>
                <w:sz w:val="22"/>
                <w:szCs w:val="22"/>
                <w:color w:val="auto"/>
              </w:rPr>
              <w:t>Liquidation and Termination</w:t>
            </w:r>
          </w:p>
        </w:tc>
        <w:tc>
          <w:tcPr>
            <w:tcW w:w="460" w:type="dxa"/>
            <w:vAlign w:val="bottom"/>
          </w:tcPr>
          <w:p>
            <w:pPr>
              <w:ind w:left="20"/>
              <w:spacing w:after="0"/>
              <w:rPr>
                <w:sz w:val="20"/>
                <w:szCs w:val="20"/>
                <w:color w:val="auto"/>
              </w:rPr>
            </w:pPr>
            <w:r>
              <w:rPr>
                <w:rFonts w:ascii="Arial" w:cs="Arial" w:eastAsia="Arial" w:hAnsi="Arial"/>
                <w:sz w:val="22"/>
                <w:szCs w:val="22"/>
                <w:color w:val="auto"/>
              </w:rPr>
              <w:t>60</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10.03</w:t>
            </w:r>
          </w:p>
        </w:tc>
        <w:tc>
          <w:tcPr>
            <w:tcW w:w="6380" w:type="dxa"/>
            <w:vAlign w:val="bottom"/>
          </w:tcPr>
          <w:p>
            <w:pPr>
              <w:ind w:left="160"/>
              <w:spacing w:after="0"/>
              <w:rPr>
                <w:sz w:val="20"/>
                <w:szCs w:val="20"/>
                <w:color w:val="auto"/>
              </w:rPr>
            </w:pPr>
            <w:r>
              <w:rPr>
                <w:rFonts w:ascii="Arial" w:cs="Arial" w:eastAsia="Arial" w:hAnsi="Arial"/>
                <w:sz w:val="22"/>
                <w:szCs w:val="22"/>
                <w:color w:val="auto"/>
              </w:rPr>
              <w:t>Cancellation of Certificate</w:t>
            </w:r>
          </w:p>
        </w:tc>
        <w:tc>
          <w:tcPr>
            <w:tcW w:w="460" w:type="dxa"/>
            <w:vAlign w:val="bottom"/>
          </w:tcPr>
          <w:p>
            <w:pPr>
              <w:ind w:left="20"/>
              <w:spacing w:after="0"/>
              <w:rPr>
                <w:sz w:val="20"/>
                <w:szCs w:val="20"/>
                <w:color w:val="auto"/>
              </w:rPr>
            </w:pPr>
            <w:r>
              <w:rPr>
                <w:rFonts w:ascii="Arial" w:cs="Arial" w:eastAsia="Arial" w:hAnsi="Arial"/>
                <w:sz w:val="22"/>
                <w:szCs w:val="22"/>
                <w:color w:val="auto"/>
              </w:rPr>
              <w:t>61</w:t>
            </w:r>
          </w:p>
        </w:tc>
      </w:tr>
      <w:tr>
        <w:trPr>
          <w:trHeight w:val="513"/>
        </w:trPr>
        <w:tc>
          <w:tcPr>
            <w:tcW w:w="7560" w:type="dxa"/>
            <w:vAlign w:val="bottom"/>
            <w:gridSpan w:val="2"/>
          </w:tcPr>
          <w:p>
            <w:pPr>
              <w:spacing w:after="0"/>
              <w:rPr>
                <w:sz w:val="20"/>
                <w:szCs w:val="20"/>
                <w:color w:val="auto"/>
              </w:rPr>
            </w:pPr>
            <w:r>
              <w:rPr>
                <w:rFonts w:ascii="Arial" w:cs="Arial" w:eastAsia="Arial" w:hAnsi="Arial"/>
                <w:sz w:val="22"/>
                <w:szCs w:val="22"/>
                <w:color w:val="auto"/>
              </w:rPr>
              <w:t>ARTICLE XI EXCLUSIVITY; NON-COMPETE</w:t>
            </w:r>
          </w:p>
        </w:tc>
        <w:tc>
          <w:tcPr>
            <w:tcW w:w="460" w:type="dxa"/>
            <w:vAlign w:val="bottom"/>
          </w:tcPr>
          <w:p>
            <w:pPr>
              <w:ind w:left="20"/>
              <w:spacing w:after="0"/>
              <w:rPr>
                <w:sz w:val="20"/>
                <w:szCs w:val="20"/>
                <w:color w:val="auto"/>
              </w:rPr>
            </w:pPr>
            <w:r>
              <w:rPr>
                <w:rFonts w:ascii="Arial" w:cs="Arial" w:eastAsia="Arial" w:hAnsi="Arial"/>
                <w:sz w:val="22"/>
                <w:szCs w:val="22"/>
                <w:color w:val="auto"/>
              </w:rPr>
              <w:t>61</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11.01</w:t>
            </w:r>
          </w:p>
        </w:tc>
        <w:tc>
          <w:tcPr>
            <w:tcW w:w="6380" w:type="dxa"/>
            <w:vAlign w:val="bottom"/>
          </w:tcPr>
          <w:p>
            <w:pPr>
              <w:ind w:left="160"/>
              <w:spacing w:after="0"/>
              <w:rPr>
                <w:sz w:val="20"/>
                <w:szCs w:val="20"/>
                <w:color w:val="auto"/>
              </w:rPr>
            </w:pPr>
            <w:r>
              <w:rPr>
                <w:rFonts w:ascii="Arial" w:cs="Arial" w:eastAsia="Arial" w:hAnsi="Arial"/>
                <w:sz w:val="22"/>
                <w:szCs w:val="22"/>
                <w:color w:val="auto"/>
              </w:rPr>
              <w:t>Exclusivity</w:t>
            </w:r>
          </w:p>
        </w:tc>
        <w:tc>
          <w:tcPr>
            <w:tcW w:w="460" w:type="dxa"/>
            <w:vAlign w:val="bottom"/>
          </w:tcPr>
          <w:p>
            <w:pPr>
              <w:ind w:left="20"/>
              <w:spacing w:after="0"/>
              <w:rPr>
                <w:sz w:val="20"/>
                <w:szCs w:val="20"/>
                <w:color w:val="auto"/>
              </w:rPr>
            </w:pPr>
            <w:r>
              <w:rPr>
                <w:rFonts w:ascii="Arial" w:cs="Arial" w:eastAsia="Arial" w:hAnsi="Arial"/>
                <w:sz w:val="22"/>
                <w:szCs w:val="22"/>
                <w:color w:val="auto"/>
              </w:rPr>
              <w:t>61</w:t>
            </w:r>
          </w:p>
        </w:tc>
      </w:tr>
      <w:tr>
        <w:trPr>
          <w:trHeight w:val="297"/>
        </w:trPr>
        <w:tc>
          <w:tcPr>
            <w:tcW w:w="7560" w:type="dxa"/>
            <w:vAlign w:val="bottom"/>
            <w:gridSpan w:val="2"/>
          </w:tcPr>
          <w:p>
            <w:pPr>
              <w:ind w:left="640"/>
              <w:spacing w:after="0"/>
              <w:rPr>
                <w:sz w:val="20"/>
                <w:szCs w:val="20"/>
                <w:color w:val="auto"/>
              </w:rPr>
            </w:pPr>
            <w:r>
              <w:rPr>
                <w:rFonts w:ascii="Arial" w:cs="Arial" w:eastAsia="Arial" w:hAnsi="Arial"/>
                <w:sz w:val="22"/>
                <w:szCs w:val="22"/>
                <w:color w:val="auto"/>
              </w:rPr>
              <w:t>11.02  Non-Compete</w:t>
            </w:r>
          </w:p>
        </w:tc>
        <w:tc>
          <w:tcPr>
            <w:tcW w:w="460" w:type="dxa"/>
            <w:vAlign w:val="bottom"/>
          </w:tcPr>
          <w:p>
            <w:pPr>
              <w:ind w:left="20"/>
              <w:spacing w:after="0"/>
              <w:rPr>
                <w:sz w:val="20"/>
                <w:szCs w:val="20"/>
                <w:color w:val="auto"/>
              </w:rPr>
            </w:pPr>
            <w:r>
              <w:rPr>
                <w:rFonts w:ascii="Arial" w:cs="Arial" w:eastAsia="Arial" w:hAnsi="Arial"/>
                <w:sz w:val="22"/>
                <w:szCs w:val="22"/>
                <w:color w:val="auto"/>
              </w:rPr>
              <w:t>61</w:t>
            </w:r>
          </w:p>
        </w:tc>
      </w:tr>
      <w:tr>
        <w:trPr>
          <w:trHeight w:val="513"/>
        </w:trPr>
        <w:tc>
          <w:tcPr>
            <w:tcW w:w="7560" w:type="dxa"/>
            <w:vAlign w:val="bottom"/>
            <w:gridSpan w:val="2"/>
          </w:tcPr>
          <w:p>
            <w:pPr>
              <w:spacing w:after="0"/>
              <w:rPr>
                <w:sz w:val="20"/>
                <w:szCs w:val="20"/>
                <w:color w:val="auto"/>
              </w:rPr>
            </w:pPr>
            <w:r>
              <w:rPr>
                <w:rFonts w:ascii="Arial" w:cs="Arial" w:eastAsia="Arial" w:hAnsi="Arial"/>
                <w:sz w:val="22"/>
                <w:szCs w:val="22"/>
                <w:color w:val="auto"/>
              </w:rPr>
              <w:t>ARTICLE XII GENERAL PROVISIONS</w:t>
            </w:r>
          </w:p>
        </w:tc>
        <w:tc>
          <w:tcPr>
            <w:tcW w:w="460" w:type="dxa"/>
            <w:vAlign w:val="bottom"/>
          </w:tcPr>
          <w:p>
            <w:pPr>
              <w:ind w:left="20"/>
              <w:spacing w:after="0"/>
              <w:rPr>
                <w:sz w:val="20"/>
                <w:szCs w:val="20"/>
                <w:color w:val="auto"/>
              </w:rPr>
            </w:pPr>
            <w:r>
              <w:rPr>
                <w:rFonts w:ascii="Arial" w:cs="Arial" w:eastAsia="Arial" w:hAnsi="Arial"/>
                <w:sz w:val="22"/>
                <w:szCs w:val="22"/>
                <w:color w:val="auto"/>
              </w:rPr>
              <w:t>63</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12.01</w:t>
            </w:r>
          </w:p>
        </w:tc>
        <w:tc>
          <w:tcPr>
            <w:tcW w:w="6380" w:type="dxa"/>
            <w:vAlign w:val="bottom"/>
          </w:tcPr>
          <w:p>
            <w:pPr>
              <w:ind w:left="160"/>
              <w:spacing w:after="0"/>
              <w:rPr>
                <w:sz w:val="20"/>
                <w:szCs w:val="20"/>
                <w:color w:val="auto"/>
              </w:rPr>
            </w:pPr>
            <w:r>
              <w:rPr>
                <w:rFonts w:ascii="Arial" w:cs="Arial" w:eastAsia="Arial" w:hAnsi="Arial"/>
                <w:sz w:val="22"/>
                <w:szCs w:val="22"/>
                <w:color w:val="auto"/>
              </w:rPr>
              <w:t>Expenses</w:t>
            </w:r>
          </w:p>
        </w:tc>
        <w:tc>
          <w:tcPr>
            <w:tcW w:w="460" w:type="dxa"/>
            <w:vAlign w:val="bottom"/>
          </w:tcPr>
          <w:p>
            <w:pPr>
              <w:ind w:left="20"/>
              <w:spacing w:after="0"/>
              <w:rPr>
                <w:sz w:val="20"/>
                <w:szCs w:val="20"/>
                <w:color w:val="auto"/>
              </w:rPr>
            </w:pPr>
            <w:r>
              <w:rPr>
                <w:rFonts w:ascii="Arial" w:cs="Arial" w:eastAsia="Arial" w:hAnsi="Arial"/>
                <w:sz w:val="22"/>
                <w:szCs w:val="22"/>
                <w:color w:val="auto"/>
              </w:rPr>
              <w:t>63</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12.02</w:t>
            </w:r>
          </w:p>
        </w:tc>
        <w:tc>
          <w:tcPr>
            <w:tcW w:w="6380" w:type="dxa"/>
            <w:vAlign w:val="bottom"/>
          </w:tcPr>
          <w:p>
            <w:pPr>
              <w:ind w:left="160"/>
              <w:spacing w:after="0"/>
              <w:rPr>
                <w:sz w:val="20"/>
                <w:szCs w:val="20"/>
                <w:color w:val="auto"/>
              </w:rPr>
            </w:pPr>
            <w:r>
              <w:rPr>
                <w:rFonts w:ascii="Arial" w:cs="Arial" w:eastAsia="Arial" w:hAnsi="Arial"/>
                <w:sz w:val="22"/>
                <w:szCs w:val="22"/>
                <w:color w:val="auto"/>
              </w:rPr>
              <w:t>No Third-Party Rights</w:t>
            </w:r>
          </w:p>
        </w:tc>
        <w:tc>
          <w:tcPr>
            <w:tcW w:w="460" w:type="dxa"/>
            <w:vAlign w:val="bottom"/>
          </w:tcPr>
          <w:p>
            <w:pPr>
              <w:ind w:left="20"/>
              <w:spacing w:after="0"/>
              <w:rPr>
                <w:sz w:val="20"/>
                <w:szCs w:val="20"/>
                <w:color w:val="auto"/>
              </w:rPr>
            </w:pPr>
            <w:r>
              <w:rPr>
                <w:rFonts w:ascii="Arial" w:cs="Arial" w:eastAsia="Arial" w:hAnsi="Arial"/>
                <w:sz w:val="22"/>
                <w:szCs w:val="22"/>
                <w:color w:val="auto"/>
              </w:rPr>
              <w:t>63</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12.03</w:t>
            </w:r>
          </w:p>
        </w:tc>
        <w:tc>
          <w:tcPr>
            <w:tcW w:w="6380" w:type="dxa"/>
            <w:vAlign w:val="bottom"/>
          </w:tcPr>
          <w:p>
            <w:pPr>
              <w:ind w:left="160"/>
              <w:spacing w:after="0"/>
              <w:rPr>
                <w:sz w:val="20"/>
                <w:szCs w:val="20"/>
                <w:color w:val="auto"/>
              </w:rPr>
            </w:pPr>
            <w:r>
              <w:rPr>
                <w:rFonts w:ascii="Arial" w:cs="Arial" w:eastAsia="Arial" w:hAnsi="Arial"/>
                <w:sz w:val="22"/>
                <w:szCs w:val="22"/>
                <w:color w:val="auto"/>
              </w:rPr>
              <w:t>Legend on Certificates for Certificated Shares</w:t>
            </w:r>
          </w:p>
        </w:tc>
        <w:tc>
          <w:tcPr>
            <w:tcW w:w="460" w:type="dxa"/>
            <w:vAlign w:val="bottom"/>
          </w:tcPr>
          <w:p>
            <w:pPr>
              <w:ind w:left="20"/>
              <w:spacing w:after="0"/>
              <w:rPr>
                <w:sz w:val="20"/>
                <w:szCs w:val="20"/>
                <w:color w:val="auto"/>
              </w:rPr>
            </w:pPr>
            <w:r>
              <w:rPr>
                <w:rFonts w:ascii="Arial" w:cs="Arial" w:eastAsia="Arial" w:hAnsi="Arial"/>
                <w:sz w:val="22"/>
                <w:szCs w:val="22"/>
                <w:color w:val="auto"/>
              </w:rPr>
              <w:t>63</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12.04</w:t>
            </w:r>
          </w:p>
        </w:tc>
        <w:tc>
          <w:tcPr>
            <w:tcW w:w="6380" w:type="dxa"/>
            <w:vAlign w:val="bottom"/>
          </w:tcPr>
          <w:p>
            <w:pPr>
              <w:ind w:left="160"/>
              <w:spacing w:after="0"/>
              <w:rPr>
                <w:sz w:val="20"/>
                <w:szCs w:val="20"/>
                <w:color w:val="auto"/>
              </w:rPr>
            </w:pPr>
            <w:r>
              <w:rPr>
                <w:rFonts w:ascii="Arial" w:cs="Arial" w:eastAsia="Arial" w:hAnsi="Arial"/>
                <w:sz w:val="22"/>
                <w:szCs w:val="22"/>
                <w:color w:val="auto"/>
              </w:rPr>
              <w:t>Confidentiality</w:t>
            </w:r>
          </w:p>
        </w:tc>
        <w:tc>
          <w:tcPr>
            <w:tcW w:w="460" w:type="dxa"/>
            <w:vAlign w:val="bottom"/>
          </w:tcPr>
          <w:p>
            <w:pPr>
              <w:ind w:left="20"/>
              <w:spacing w:after="0"/>
              <w:rPr>
                <w:sz w:val="20"/>
                <w:szCs w:val="20"/>
                <w:color w:val="auto"/>
              </w:rPr>
            </w:pPr>
            <w:r>
              <w:rPr>
                <w:rFonts w:ascii="Arial" w:cs="Arial" w:eastAsia="Arial" w:hAnsi="Arial"/>
                <w:sz w:val="22"/>
                <w:szCs w:val="22"/>
                <w:color w:val="auto"/>
              </w:rPr>
              <w:t>64</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12.05</w:t>
            </w:r>
          </w:p>
        </w:tc>
        <w:tc>
          <w:tcPr>
            <w:tcW w:w="6380" w:type="dxa"/>
            <w:vAlign w:val="bottom"/>
          </w:tcPr>
          <w:p>
            <w:pPr>
              <w:ind w:left="160"/>
              <w:spacing w:after="0"/>
              <w:rPr>
                <w:sz w:val="20"/>
                <w:szCs w:val="20"/>
                <w:color w:val="auto"/>
              </w:rPr>
            </w:pPr>
            <w:r>
              <w:rPr>
                <w:rFonts w:ascii="Arial" w:cs="Arial" w:eastAsia="Arial" w:hAnsi="Arial"/>
                <w:sz w:val="22"/>
                <w:szCs w:val="22"/>
                <w:color w:val="auto"/>
              </w:rPr>
              <w:t>Power of Attorney</w:t>
            </w:r>
          </w:p>
        </w:tc>
        <w:tc>
          <w:tcPr>
            <w:tcW w:w="460" w:type="dxa"/>
            <w:vAlign w:val="bottom"/>
          </w:tcPr>
          <w:p>
            <w:pPr>
              <w:ind w:left="20"/>
              <w:spacing w:after="0"/>
              <w:rPr>
                <w:sz w:val="20"/>
                <w:szCs w:val="20"/>
                <w:color w:val="auto"/>
              </w:rPr>
            </w:pPr>
            <w:r>
              <w:rPr>
                <w:rFonts w:ascii="Arial" w:cs="Arial" w:eastAsia="Arial" w:hAnsi="Arial"/>
                <w:sz w:val="22"/>
                <w:szCs w:val="22"/>
                <w:color w:val="auto"/>
              </w:rPr>
              <w:t>65</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12.06</w:t>
            </w:r>
          </w:p>
        </w:tc>
        <w:tc>
          <w:tcPr>
            <w:tcW w:w="6380" w:type="dxa"/>
            <w:vAlign w:val="bottom"/>
          </w:tcPr>
          <w:p>
            <w:pPr>
              <w:ind w:left="160"/>
              <w:spacing w:after="0"/>
              <w:rPr>
                <w:sz w:val="20"/>
                <w:szCs w:val="20"/>
                <w:color w:val="auto"/>
              </w:rPr>
            </w:pPr>
            <w:r>
              <w:rPr>
                <w:rFonts w:ascii="Arial" w:cs="Arial" w:eastAsia="Arial" w:hAnsi="Arial"/>
                <w:sz w:val="22"/>
                <w:szCs w:val="22"/>
                <w:color w:val="auto"/>
              </w:rPr>
              <w:t>Notices</w:t>
            </w:r>
          </w:p>
        </w:tc>
        <w:tc>
          <w:tcPr>
            <w:tcW w:w="460" w:type="dxa"/>
            <w:vAlign w:val="bottom"/>
          </w:tcPr>
          <w:p>
            <w:pPr>
              <w:ind w:left="20"/>
              <w:spacing w:after="0"/>
              <w:rPr>
                <w:sz w:val="20"/>
                <w:szCs w:val="20"/>
                <w:color w:val="auto"/>
              </w:rPr>
            </w:pPr>
            <w:r>
              <w:rPr>
                <w:rFonts w:ascii="Arial" w:cs="Arial" w:eastAsia="Arial" w:hAnsi="Arial"/>
                <w:sz w:val="22"/>
                <w:szCs w:val="22"/>
                <w:color w:val="auto"/>
              </w:rPr>
              <w:t>65</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12.07</w:t>
            </w:r>
          </w:p>
        </w:tc>
        <w:tc>
          <w:tcPr>
            <w:tcW w:w="6380" w:type="dxa"/>
            <w:vAlign w:val="bottom"/>
          </w:tcPr>
          <w:p>
            <w:pPr>
              <w:ind w:left="160"/>
              <w:spacing w:after="0"/>
              <w:rPr>
                <w:sz w:val="20"/>
                <w:szCs w:val="20"/>
                <w:color w:val="auto"/>
              </w:rPr>
            </w:pPr>
            <w:r>
              <w:rPr>
                <w:rFonts w:ascii="Arial" w:cs="Arial" w:eastAsia="Arial" w:hAnsi="Arial"/>
                <w:sz w:val="22"/>
                <w:szCs w:val="22"/>
                <w:color w:val="auto"/>
              </w:rPr>
              <w:t>Facsimile and E-Mail</w:t>
            </w:r>
          </w:p>
        </w:tc>
        <w:tc>
          <w:tcPr>
            <w:tcW w:w="460" w:type="dxa"/>
            <w:vAlign w:val="bottom"/>
          </w:tcPr>
          <w:p>
            <w:pPr>
              <w:ind w:left="20"/>
              <w:spacing w:after="0"/>
              <w:rPr>
                <w:sz w:val="20"/>
                <w:szCs w:val="20"/>
                <w:color w:val="auto"/>
              </w:rPr>
            </w:pPr>
            <w:r>
              <w:rPr>
                <w:rFonts w:ascii="Arial" w:cs="Arial" w:eastAsia="Arial" w:hAnsi="Arial"/>
                <w:sz w:val="22"/>
                <w:szCs w:val="22"/>
                <w:color w:val="auto"/>
              </w:rPr>
              <w:t>66</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12.08</w:t>
            </w:r>
          </w:p>
        </w:tc>
        <w:tc>
          <w:tcPr>
            <w:tcW w:w="6380" w:type="dxa"/>
            <w:vAlign w:val="bottom"/>
          </w:tcPr>
          <w:p>
            <w:pPr>
              <w:ind w:left="160"/>
              <w:spacing w:after="0"/>
              <w:rPr>
                <w:sz w:val="20"/>
                <w:szCs w:val="20"/>
                <w:color w:val="auto"/>
              </w:rPr>
            </w:pPr>
            <w:r>
              <w:rPr>
                <w:rFonts w:ascii="Arial" w:cs="Arial" w:eastAsia="Arial" w:hAnsi="Arial"/>
                <w:sz w:val="22"/>
                <w:szCs w:val="22"/>
                <w:color w:val="auto"/>
              </w:rPr>
              <w:t>Amendment</w:t>
            </w:r>
          </w:p>
        </w:tc>
        <w:tc>
          <w:tcPr>
            <w:tcW w:w="460" w:type="dxa"/>
            <w:vAlign w:val="bottom"/>
          </w:tcPr>
          <w:p>
            <w:pPr>
              <w:ind w:left="20"/>
              <w:spacing w:after="0"/>
              <w:rPr>
                <w:sz w:val="20"/>
                <w:szCs w:val="20"/>
                <w:color w:val="auto"/>
              </w:rPr>
            </w:pPr>
            <w:r>
              <w:rPr>
                <w:rFonts w:ascii="Arial" w:cs="Arial" w:eastAsia="Arial" w:hAnsi="Arial"/>
                <w:sz w:val="22"/>
                <w:szCs w:val="22"/>
                <w:color w:val="auto"/>
              </w:rPr>
              <w:t>67</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12.09</w:t>
            </w:r>
          </w:p>
        </w:tc>
        <w:tc>
          <w:tcPr>
            <w:tcW w:w="6380" w:type="dxa"/>
            <w:vAlign w:val="bottom"/>
          </w:tcPr>
          <w:p>
            <w:pPr>
              <w:ind w:left="160"/>
              <w:spacing w:after="0"/>
              <w:rPr>
                <w:sz w:val="20"/>
                <w:szCs w:val="20"/>
                <w:color w:val="auto"/>
              </w:rPr>
            </w:pPr>
            <w:r>
              <w:rPr>
                <w:rFonts w:ascii="Arial" w:cs="Arial" w:eastAsia="Arial" w:hAnsi="Arial"/>
                <w:sz w:val="22"/>
                <w:szCs w:val="22"/>
                <w:color w:val="auto"/>
              </w:rPr>
              <w:t>Tax and Other Advice</w:t>
            </w:r>
          </w:p>
        </w:tc>
        <w:tc>
          <w:tcPr>
            <w:tcW w:w="460" w:type="dxa"/>
            <w:vAlign w:val="bottom"/>
          </w:tcPr>
          <w:p>
            <w:pPr>
              <w:ind w:left="20"/>
              <w:spacing w:after="0"/>
              <w:rPr>
                <w:sz w:val="20"/>
                <w:szCs w:val="20"/>
                <w:color w:val="auto"/>
              </w:rPr>
            </w:pPr>
            <w:r>
              <w:rPr>
                <w:rFonts w:ascii="Arial" w:cs="Arial" w:eastAsia="Arial" w:hAnsi="Arial"/>
                <w:sz w:val="22"/>
                <w:szCs w:val="22"/>
                <w:color w:val="auto"/>
              </w:rPr>
              <w:t>67</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12.10</w:t>
            </w:r>
          </w:p>
        </w:tc>
        <w:tc>
          <w:tcPr>
            <w:tcW w:w="6380" w:type="dxa"/>
            <w:vAlign w:val="bottom"/>
          </w:tcPr>
          <w:p>
            <w:pPr>
              <w:ind w:left="160"/>
              <w:spacing w:after="0"/>
              <w:rPr>
                <w:sz w:val="20"/>
                <w:szCs w:val="20"/>
                <w:color w:val="auto"/>
              </w:rPr>
            </w:pPr>
            <w:r>
              <w:rPr>
                <w:rFonts w:ascii="Arial" w:cs="Arial" w:eastAsia="Arial" w:hAnsi="Arial"/>
                <w:sz w:val="22"/>
                <w:szCs w:val="22"/>
                <w:color w:val="auto"/>
              </w:rPr>
              <w:t>Acknowledgments</w:t>
            </w:r>
          </w:p>
        </w:tc>
        <w:tc>
          <w:tcPr>
            <w:tcW w:w="460" w:type="dxa"/>
            <w:vAlign w:val="bottom"/>
          </w:tcPr>
          <w:p>
            <w:pPr>
              <w:ind w:left="20"/>
              <w:spacing w:after="0"/>
              <w:rPr>
                <w:sz w:val="20"/>
                <w:szCs w:val="20"/>
                <w:color w:val="auto"/>
              </w:rPr>
            </w:pPr>
            <w:r>
              <w:rPr>
                <w:rFonts w:ascii="Arial" w:cs="Arial" w:eastAsia="Arial" w:hAnsi="Arial"/>
                <w:sz w:val="22"/>
                <w:szCs w:val="22"/>
                <w:color w:val="auto"/>
              </w:rPr>
              <w:t>67</w:t>
            </w:r>
          </w:p>
        </w:tc>
      </w:tr>
      <w:tr>
        <w:trPr>
          <w:trHeight w:val="297"/>
        </w:trPr>
        <w:tc>
          <w:tcPr>
            <w:tcW w:w="1180" w:type="dxa"/>
            <w:vAlign w:val="bottom"/>
          </w:tcPr>
          <w:p>
            <w:pPr>
              <w:ind w:left="640"/>
              <w:spacing w:after="0"/>
              <w:rPr>
                <w:sz w:val="20"/>
                <w:szCs w:val="20"/>
                <w:color w:val="auto"/>
              </w:rPr>
            </w:pPr>
            <w:r>
              <w:rPr>
                <w:rFonts w:ascii="Arial" w:cs="Arial" w:eastAsia="Arial" w:hAnsi="Arial"/>
                <w:sz w:val="22"/>
                <w:szCs w:val="22"/>
                <w:color w:val="auto"/>
                <w:w w:val="94"/>
              </w:rPr>
              <w:t>12.11</w:t>
            </w:r>
          </w:p>
        </w:tc>
        <w:tc>
          <w:tcPr>
            <w:tcW w:w="6380" w:type="dxa"/>
            <w:vAlign w:val="bottom"/>
          </w:tcPr>
          <w:p>
            <w:pPr>
              <w:ind w:left="160"/>
              <w:spacing w:after="0"/>
              <w:rPr>
                <w:sz w:val="20"/>
                <w:szCs w:val="20"/>
                <w:color w:val="auto"/>
              </w:rPr>
            </w:pPr>
            <w:r>
              <w:rPr>
                <w:rFonts w:ascii="Arial" w:cs="Arial" w:eastAsia="Arial" w:hAnsi="Arial"/>
                <w:sz w:val="22"/>
                <w:szCs w:val="22"/>
                <w:color w:val="auto"/>
              </w:rPr>
              <w:t>Miscellaneous</w:t>
            </w:r>
          </w:p>
        </w:tc>
        <w:tc>
          <w:tcPr>
            <w:tcW w:w="460" w:type="dxa"/>
            <w:vAlign w:val="bottom"/>
          </w:tcPr>
          <w:p>
            <w:pPr>
              <w:ind w:left="20"/>
              <w:spacing w:after="0"/>
              <w:rPr>
                <w:sz w:val="20"/>
                <w:szCs w:val="20"/>
                <w:color w:val="auto"/>
              </w:rPr>
            </w:pPr>
            <w:r>
              <w:rPr>
                <w:rFonts w:ascii="Arial" w:cs="Arial" w:eastAsia="Arial" w:hAnsi="Arial"/>
                <w:sz w:val="22"/>
                <w:szCs w:val="22"/>
                <w:color w:val="auto"/>
              </w:rPr>
              <w:t>67</w:t>
            </w:r>
          </w:p>
        </w:tc>
      </w:tr>
    </w:tbl>
    <w:p>
      <w:pPr>
        <w:spacing w:after="0" w:line="25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79"/>
          </w:cols>
          <w:pgMar w:left="280" w:top="842"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5180" w:type="dxa"/>
            <w:vAlign w:val="bottom"/>
          </w:tcPr>
          <w:p>
            <w:pPr>
              <w:ind w:left="1680"/>
              <w:spacing w:after="0"/>
              <w:rPr>
                <w:sz w:val="20"/>
                <w:szCs w:val="20"/>
                <w:color w:val="auto"/>
              </w:rPr>
            </w:pPr>
            <w:r>
              <w:rPr>
                <w:rFonts w:ascii="Arial" w:cs="Arial" w:eastAsia="Arial" w:hAnsi="Arial"/>
                <w:sz w:val="22"/>
                <w:szCs w:val="22"/>
                <w:b w:val="1"/>
                <w:bCs w:val="1"/>
                <w:color w:val="auto"/>
              </w:rPr>
              <w:t>TABLE OF CONTENTS</w:t>
            </w:r>
          </w:p>
        </w:tc>
        <w:tc>
          <w:tcPr>
            <w:tcW w:w="1600" w:type="dxa"/>
            <w:vAlign w:val="bottom"/>
          </w:tcPr>
          <w:p>
            <w:pPr>
              <w:spacing w:after="0"/>
              <w:rPr>
                <w:sz w:val="24"/>
                <w:szCs w:val="24"/>
                <w:color w:val="auto"/>
              </w:rPr>
            </w:pPr>
          </w:p>
        </w:tc>
      </w:tr>
      <w:tr>
        <w:trPr>
          <w:trHeight w:val="459"/>
        </w:trPr>
        <w:tc>
          <w:tcPr>
            <w:tcW w:w="600" w:type="dxa"/>
            <w:vAlign w:val="bottom"/>
          </w:tcPr>
          <w:p>
            <w:pPr>
              <w:spacing w:after="0"/>
              <w:rPr>
                <w:sz w:val="24"/>
                <w:szCs w:val="24"/>
                <w:color w:val="auto"/>
              </w:rPr>
            </w:pPr>
          </w:p>
        </w:tc>
        <w:tc>
          <w:tcPr>
            <w:tcW w:w="5180" w:type="dxa"/>
            <w:vAlign w:val="bottom"/>
          </w:tcPr>
          <w:p>
            <w:pPr>
              <w:ind w:left="2320"/>
              <w:spacing w:after="0"/>
              <w:rPr>
                <w:sz w:val="20"/>
                <w:szCs w:val="20"/>
                <w:color w:val="auto"/>
              </w:rPr>
            </w:pPr>
            <w:r>
              <w:rPr>
                <w:rFonts w:ascii="Arial" w:cs="Arial" w:eastAsia="Arial" w:hAnsi="Arial"/>
                <w:sz w:val="22"/>
                <w:szCs w:val="22"/>
                <w:b w:val="1"/>
                <w:bCs w:val="1"/>
                <w:color w:val="auto"/>
              </w:rPr>
              <w:t>(continued)</w:t>
            </w:r>
          </w:p>
        </w:tc>
        <w:tc>
          <w:tcPr>
            <w:tcW w:w="1600" w:type="dxa"/>
            <w:vAlign w:val="bottom"/>
          </w:tcPr>
          <w:p>
            <w:pPr>
              <w:ind w:left="1160"/>
              <w:spacing w:after="0"/>
              <w:rPr>
                <w:sz w:val="20"/>
                <w:szCs w:val="20"/>
                <w:color w:val="auto"/>
              </w:rPr>
            </w:pPr>
            <w:r>
              <w:rPr>
                <w:rFonts w:ascii="Arial" w:cs="Arial" w:eastAsia="Arial" w:hAnsi="Arial"/>
                <w:sz w:val="22"/>
                <w:szCs w:val="22"/>
                <w:b w:val="1"/>
                <w:bCs w:val="1"/>
                <w:color w:val="auto"/>
                <w:w w:val="79"/>
              </w:rPr>
              <w:t>Page</w:t>
            </w:r>
          </w:p>
        </w:tc>
      </w:tr>
      <w:tr>
        <w:trPr>
          <w:trHeight w:val="513"/>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12.12</w:t>
            </w:r>
          </w:p>
        </w:tc>
        <w:tc>
          <w:tcPr>
            <w:tcW w:w="5180" w:type="dxa"/>
            <w:vAlign w:val="bottom"/>
          </w:tcPr>
          <w:p>
            <w:pPr>
              <w:ind w:left="100"/>
              <w:spacing w:after="0"/>
              <w:rPr>
                <w:sz w:val="20"/>
                <w:szCs w:val="20"/>
                <w:color w:val="auto"/>
              </w:rPr>
            </w:pPr>
            <w:r>
              <w:rPr>
                <w:rFonts w:ascii="Arial" w:cs="Arial" w:eastAsia="Arial" w:hAnsi="Arial"/>
                <w:sz w:val="22"/>
                <w:szCs w:val="22"/>
                <w:color w:val="auto"/>
              </w:rPr>
              <w:t>Title to Company Assets</w:t>
            </w:r>
          </w:p>
        </w:tc>
        <w:tc>
          <w:tcPr>
            <w:tcW w:w="1600" w:type="dxa"/>
            <w:vAlign w:val="bottom"/>
          </w:tcPr>
          <w:p>
            <w:pPr>
              <w:ind w:left="1160"/>
              <w:spacing w:after="0"/>
              <w:rPr>
                <w:sz w:val="20"/>
                <w:szCs w:val="20"/>
                <w:color w:val="auto"/>
              </w:rPr>
            </w:pPr>
            <w:r>
              <w:rPr>
                <w:rFonts w:ascii="Arial" w:cs="Arial" w:eastAsia="Arial" w:hAnsi="Arial"/>
                <w:sz w:val="22"/>
                <w:szCs w:val="22"/>
                <w:color w:val="auto"/>
              </w:rPr>
              <w:t>70</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12.13</w:t>
            </w:r>
          </w:p>
        </w:tc>
        <w:tc>
          <w:tcPr>
            <w:tcW w:w="5180" w:type="dxa"/>
            <w:vAlign w:val="bottom"/>
          </w:tcPr>
          <w:p>
            <w:pPr>
              <w:ind w:left="100"/>
              <w:spacing w:after="0"/>
              <w:rPr>
                <w:sz w:val="20"/>
                <w:szCs w:val="20"/>
                <w:color w:val="auto"/>
              </w:rPr>
            </w:pPr>
            <w:r>
              <w:rPr>
                <w:rFonts w:ascii="Arial" w:cs="Arial" w:eastAsia="Arial" w:hAnsi="Arial"/>
                <w:sz w:val="22"/>
                <w:szCs w:val="22"/>
                <w:color w:val="auto"/>
              </w:rPr>
              <w:t>Creditors</w:t>
            </w:r>
          </w:p>
        </w:tc>
        <w:tc>
          <w:tcPr>
            <w:tcW w:w="1600" w:type="dxa"/>
            <w:vAlign w:val="bottom"/>
          </w:tcPr>
          <w:p>
            <w:pPr>
              <w:ind w:left="1160"/>
              <w:spacing w:after="0"/>
              <w:rPr>
                <w:sz w:val="20"/>
                <w:szCs w:val="20"/>
                <w:color w:val="auto"/>
              </w:rPr>
            </w:pPr>
            <w:r>
              <w:rPr>
                <w:rFonts w:ascii="Arial" w:cs="Arial" w:eastAsia="Arial" w:hAnsi="Arial"/>
                <w:sz w:val="22"/>
                <w:szCs w:val="22"/>
                <w:color w:val="auto"/>
              </w:rPr>
              <w:t>70</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12.14</w:t>
            </w:r>
          </w:p>
        </w:tc>
        <w:tc>
          <w:tcPr>
            <w:tcW w:w="5180" w:type="dxa"/>
            <w:vAlign w:val="bottom"/>
          </w:tcPr>
          <w:p>
            <w:pPr>
              <w:ind w:left="100"/>
              <w:spacing w:after="0"/>
              <w:rPr>
                <w:sz w:val="20"/>
                <w:szCs w:val="20"/>
                <w:color w:val="auto"/>
              </w:rPr>
            </w:pPr>
            <w:r>
              <w:rPr>
                <w:rFonts w:ascii="Arial" w:cs="Arial" w:eastAsia="Arial" w:hAnsi="Arial"/>
                <w:sz w:val="22"/>
                <w:szCs w:val="22"/>
                <w:color w:val="auto"/>
              </w:rPr>
              <w:t>Remedies</w:t>
            </w:r>
          </w:p>
        </w:tc>
        <w:tc>
          <w:tcPr>
            <w:tcW w:w="1600" w:type="dxa"/>
            <w:vAlign w:val="bottom"/>
          </w:tcPr>
          <w:p>
            <w:pPr>
              <w:ind w:left="1160"/>
              <w:spacing w:after="0"/>
              <w:rPr>
                <w:sz w:val="20"/>
                <w:szCs w:val="20"/>
                <w:color w:val="auto"/>
              </w:rPr>
            </w:pPr>
            <w:r>
              <w:rPr>
                <w:rFonts w:ascii="Arial" w:cs="Arial" w:eastAsia="Arial" w:hAnsi="Arial"/>
                <w:sz w:val="22"/>
                <w:szCs w:val="22"/>
                <w:color w:val="auto"/>
              </w:rPr>
              <w:t>70</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12.15</w:t>
            </w:r>
          </w:p>
        </w:tc>
        <w:tc>
          <w:tcPr>
            <w:tcW w:w="5180" w:type="dxa"/>
            <w:vAlign w:val="bottom"/>
          </w:tcPr>
          <w:p>
            <w:pPr>
              <w:ind w:left="100"/>
              <w:spacing w:after="0"/>
              <w:rPr>
                <w:sz w:val="20"/>
                <w:szCs w:val="20"/>
                <w:color w:val="auto"/>
              </w:rPr>
            </w:pPr>
            <w:r>
              <w:rPr>
                <w:rFonts w:ascii="Arial" w:cs="Arial" w:eastAsia="Arial" w:hAnsi="Arial"/>
                <w:sz w:val="22"/>
                <w:szCs w:val="22"/>
                <w:color w:val="auto"/>
              </w:rPr>
              <w:t>Time is of the Essence; Computation of Time</w:t>
            </w:r>
          </w:p>
        </w:tc>
        <w:tc>
          <w:tcPr>
            <w:tcW w:w="1600" w:type="dxa"/>
            <w:vAlign w:val="bottom"/>
          </w:tcPr>
          <w:p>
            <w:pPr>
              <w:ind w:left="1160"/>
              <w:spacing w:after="0"/>
              <w:rPr>
                <w:sz w:val="20"/>
                <w:szCs w:val="20"/>
                <w:color w:val="auto"/>
              </w:rPr>
            </w:pPr>
            <w:r>
              <w:rPr>
                <w:rFonts w:ascii="Arial" w:cs="Arial" w:eastAsia="Arial" w:hAnsi="Arial"/>
                <w:sz w:val="22"/>
                <w:szCs w:val="22"/>
                <w:color w:val="auto"/>
              </w:rPr>
              <w:t>71</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12.16</w:t>
            </w:r>
          </w:p>
        </w:tc>
        <w:tc>
          <w:tcPr>
            <w:tcW w:w="5180" w:type="dxa"/>
            <w:vAlign w:val="bottom"/>
          </w:tcPr>
          <w:p>
            <w:pPr>
              <w:ind w:left="100"/>
              <w:spacing w:after="0"/>
              <w:rPr>
                <w:sz w:val="20"/>
                <w:szCs w:val="20"/>
                <w:color w:val="auto"/>
              </w:rPr>
            </w:pPr>
            <w:r>
              <w:rPr>
                <w:rFonts w:ascii="Arial" w:cs="Arial" w:eastAsia="Arial" w:hAnsi="Arial"/>
                <w:sz w:val="22"/>
                <w:szCs w:val="22"/>
                <w:color w:val="auto"/>
              </w:rPr>
              <w:t>Notice to Members of Provisions</w:t>
            </w:r>
          </w:p>
        </w:tc>
        <w:tc>
          <w:tcPr>
            <w:tcW w:w="1600" w:type="dxa"/>
            <w:vAlign w:val="bottom"/>
          </w:tcPr>
          <w:p>
            <w:pPr>
              <w:ind w:left="1160"/>
              <w:spacing w:after="0"/>
              <w:rPr>
                <w:sz w:val="20"/>
                <w:szCs w:val="20"/>
                <w:color w:val="auto"/>
              </w:rPr>
            </w:pPr>
            <w:r>
              <w:rPr>
                <w:rFonts w:ascii="Arial" w:cs="Arial" w:eastAsia="Arial" w:hAnsi="Arial"/>
                <w:sz w:val="22"/>
                <w:szCs w:val="22"/>
                <w:color w:val="auto"/>
              </w:rPr>
              <w:t>71</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12.17</w:t>
            </w:r>
          </w:p>
        </w:tc>
        <w:tc>
          <w:tcPr>
            <w:tcW w:w="5180" w:type="dxa"/>
            <w:vAlign w:val="bottom"/>
          </w:tcPr>
          <w:p>
            <w:pPr>
              <w:ind w:left="100"/>
              <w:spacing w:after="0"/>
              <w:rPr>
                <w:sz w:val="20"/>
                <w:szCs w:val="20"/>
                <w:color w:val="auto"/>
              </w:rPr>
            </w:pPr>
            <w:r>
              <w:rPr>
                <w:rFonts w:ascii="Arial" w:cs="Arial" w:eastAsia="Arial" w:hAnsi="Arial"/>
                <w:sz w:val="22"/>
                <w:szCs w:val="22"/>
                <w:color w:val="auto"/>
              </w:rPr>
              <w:t>Further Assurances</w:t>
            </w:r>
          </w:p>
        </w:tc>
        <w:tc>
          <w:tcPr>
            <w:tcW w:w="1600" w:type="dxa"/>
            <w:vAlign w:val="bottom"/>
          </w:tcPr>
          <w:p>
            <w:pPr>
              <w:ind w:left="1160"/>
              <w:spacing w:after="0"/>
              <w:rPr>
                <w:sz w:val="20"/>
                <w:szCs w:val="20"/>
                <w:color w:val="auto"/>
              </w:rPr>
            </w:pPr>
            <w:r>
              <w:rPr>
                <w:rFonts w:ascii="Arial" w:cs="Arial" w:eastAsia="Arial" w:hAnsi="Arial"/>
                <w:sz w:val="22"/>
                <w:szCs w:val="22"/>
                <w:color w:val="auto"/>
              </w:rPr>
              <w:t>71</w:t>
            </w:r>
          </w:p>
        </w:tc>
      </w:tr>
      <w:tr>
        <w:trPr>
          <w:trHeight w:val="297"/>
        </w:trPr>
        <w:tc>
          <w:tcPr>
            <w:tcW w:w="600" w:type="dxa"/>
            <w:vAlign w:val="bottom"/>
          </w:tcPr>
          <w:p>
            <w:pPr>
              <w:jc w:val="right"/>
              <w:ind w:right="12"/>
              <w:spacing w:after="0"/>
              <w:rPr>
                <w:sz w:val="20"/>
                <w:szCs w:val="20"/>
                <w:color w:val="auto"/>
              </w:rPr>
            </w:pPr>
            <w:r>
              <w:rPr>
                <w:rFonts w:ascii="Arial" w:cs="Arial" w:eastAsia="Arial" w:hAnsi="Arial"/>
                <w:sz w:val="22"/>
                <w:szCs w:val="22"/>
                <w:color w:val="auto"/>
                <w:w w:val="83"/>
              </w:rPr>
              <w:t>12.18</w:t>
            </w:r>
          </w:p>
        </w:tc>
        <w:tc>
          <w:tcPr>
            <w:tcW w:w="5180" w:type="dxa"/>
            <w:vAlign w:val="bottom"/>
          </w:tcPr>
          <w:p>
            <w:pPr>
              <w:ind w:left="100"/>
              <w:spacing w:after="0"/>
              <w:rPr>
                <w:sz w:val="20"/>
                <w:szCs w:val="20"/>
                <w:color w:val="auto"/>
              </w:rPr>
            </w:pPr>
            <w:r>
              <w:rPr>
                <w:rFonts w:ascii="Arial" w:cs="Arial" w:eastAsia="Arial" w:hAnsi="Arial"/>
                <w:sz w:val="22"/>
                <w:szCs w:val="22"/>
                <w:color w:val="auto"/>
              </w:rPr>
              <w:t>Termination</w:t>
            </w:r>
          </w:p>
        </w:tc>
        <w:tc>
          <w:tcPr>
            <w:tcW w:w="1600" w:type="dxa"/>
            <w:vAlign w:val="bottom"/>
          </w:tcPr>
          <w:p>
            <w:pPr>
              <w:ind w:left="1160"/>
              <w:spacing w:after="0"/>
              <w:rPr>
                <w:sz w:val="20"/>
                <w:szCs w:val="20"/>
                <w:color w:val="auto"/>
              </w:rPr>
            </w:pPr>
            <w:r>
              <w:rPr>
                <w:rFonts w:ascii="Arial" w:cs="Arial" w:eastAsia="Arial" w:hAnsi="Arial"/>
                <w:sz w:val="22"/>
                <w:szCs w:val="22"/>
                <w:color w:val="auto"/>
              </w:rPr>
              <w:t>71</w:t>
            </w:r>
          </w:p>
        </w:tc>
      </w:tr>
    </w:tbl>
    <w:p>
      <w:pPr>
        <w:spacing w:after="0" w:line="25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539"/>
          </w:cols>
          <w:pgMar w:left="920" w:top="841"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LIMITED LIABILITY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SECOND AMENDED AND RESTATED LIMITED LIABILITY COMPANY AGREEMENT for GM Cruise Holdings LLC (the “</w:t>
      </w:r>
      <w:r>
        <w:rPr>
          <w:rFonts w:ascii="Arial" w:cs="Arial" w:eastAsia="Arial" w:hAnsi="Arial"/>
          <w:sz w:val="21"/>
          <w:szCs w:val="21"/>
          <w:b w:val="1"/>
          <w:bCs w:val="1"/>
          <w:color w:val="auto"/>
        </w:rPr>
        <w:t>Company</w:t>
      </w:r>
      <w:r>
        <w:rPr>
          <w:rFonts w:ascii="Arial" w:cs="Arial" w:eastAsia="Arial" w:hAnsi="Arial"/>
          <w:sz w:val="21"/>
          <w:szCs w:val="21"/>
          <w:color w:val="auto"/>
        </w:rPr>
        <w:t>”), dated as of October 3, 2018, is entered into by and among the Company, General Motors Holdings LLC, a Delaware limited liability company (“</w:t>
      </w:r>
      <w:r>
        <w:rPr>
          <w:rFonts w:ascii="Arial" w:cs="Arial" w:eastAsia="Arial" w:hAnsi="Arial"/>
          <w:sz w:val="21"/>
          <w:szCs w:val="21"/>
          <w:b w:val="1"/>
          <w:bCs w:val="1"/>
          <w:color w:val="auto"/>
        </w:rPr>
        <w:t>GM</w:t>
      </w:r>
      <w:r>
        <w:rPr>
          <w:rFonts w:ascii="Arial" w:cs="Arial" w:eastAsia="Arial" w:hAnsi="Arial"/>
          <w:sz w:val="21"/>
          <w:szCs w:val="21"/>
          <w:color w:val="auto"/>
        </w:rPr>
        <w:t>”), SB Investment Holdings (UK) Limited (“</w:t>
      </w:r>
      <w:r>
        <w:rPr>
          <w:rFonts w:ascii="Arial" w:cs="Arial" w:eastAsia="Arial" w:hAnsi="Arial"/>
          <w:sz w:val="21"/>
          <w:szCs w:val="21"/>
          <w:b w:val="1"/>
          <w:bCs w:val="1"/>
          <w:color w:val="auto"/>
        </w:rPr>
        <w:t>SoftBank</w:t>
      </w:r>
      <w:r>
        <w:rPr>
          <w:rFonts w:ascii="Arial" w:cs="Arial" w:eastAsia="Arial" w:hAnsi="Arial"/>
          <w:sz w:val="21"/>
          <w:szCs w:val="21"/>
          <w:color w:val="auto"/>
        </w:rPr>
        <w:t>”), Honda Motor Co., Ltd., a Japanese company (“</w:t>
      </w:r>
      <w:r>
        <w:rPr>
          <w:rFonts w:ascii="Arial" w:cs="Arial" w:eastAsia="Arial" w:hAnsi="Arial"/>
          <w:sz w:val="21"/>
          <w:szCs w:val="21"/>
          <w:b w:val="1"/>
          <w:bCs w:val="1"/>
          <w:color w:val="auto"/>
        </w:rPr>
        <w:t>Honda</w:t>
      </w:r>
      <w:r>
        <w:rPr>
          <w:rFonts w:ascii="Arial" w:cs="Arial" w:eastAsia="Arial" w:hAnsi="Arial"/>
          <w:sz w:val="21"/>
          <w:szCs w:val="21"/>
          <w:color w:val="auto"/>
        </w:rPr>
        <w:t>”), and any and all Persons who are Members as of the date hereof or who hereafter become Members. Certain capitalized terms used herein are defined in Appendix I.</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20" w:lineRule="exact"/>
        <w:rPr>
          <w:sz w:val="20"/>
          <w:szCs w:val="20"/>
          <w:color w:val="auto"/>
        </w:rPr>
      </w:pPr>
    </w:p>
    <w:p>
      <w:pPr>
        <w:ind w:firstLine="656"/>
        <w:spacing w:after="0" w:line="263" w:lineRule="auto"/>
        <w:tabs>
          <w:tab w:leader="none" w:pos="150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Company was formed as a Delaware limited liability company effective on May 23, 2018 by the filing of a Certificate of Formation with the Delaware Secretary of State.</w:t>
      </w:r>
    </w:p>
    <w:p>
      <w:pPr>
        <w:spacing w:after="0" w:line="174" w:lineRule="exact"/>
        <w:rPr>
          <w:rFonts w:ascii="Arial" w:cs="Arial" w:eastAsia="Arial" w:hAnsi="Arial"/>
          <w:sz w:val="22"/>
          <w:szCs w:val="22"/>
          <w:color w:val="auto"/>
        </w:rPr>
      </w:pPr>
    </w:p>
    <w:p>
      <w:pPr>
        <w:ind w:firstLine="656"/>
        <w:spacing w:after="0" w:line="263" w:lineRule="auto"/>
        <w:tabs>
          <w:tab w:leader="none" w:pos="149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On May 23, 2018, GM, the initial and sole member of the Company, entered into a Limited Liability Company Agreement of the Company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656"/>
        <w:spacing w:after="0" w:line="263" w:lineRule="auto"/>
        <w:tabs>
          <w:tab w:leader="none" w:pos="149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 Section 301.7701-3 to treat the Company as a corporation for U.S. federal income tax purposes, effective as of May 23, 2018.</w:t>
      </w:r>
    </w:p>
    <w:p>
      <w:pPr>
        <w:spacing w:after="0" w:line="168" w:lineRule="exact"/>
        <w:rPr>
          <w:rFonts w:ascii="Arial" w:cs="Arial" w:eastAsia="Arial" w:hAnsi="Arial"/>
          <w:sz w:val="22"/>
          <w:szCs w:val="22"/>
          <w:color w:val="auto"/>
        </w:rPr>
      </w:pPr>
    </w:p>
    <w:p>
      <w:pPr>
        <w:ind w:firstLine="656"/>
        <w:spacing w:after="0" w:line="269" w:lineRule="auto"/>
        <w:tabs>
          <w:tab w:leader="none" w:pos="150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On June 28, 2018 (the “</w:t>
      </w:r>
      <w:r>
        <w:rPr>
          <w:rFonts w:ascii="Arial" w:cs="Arial" w:eastAsia="Arial" w:hAnsi="Arial"/>
          <w:sz w:val="22"/>
          <w:szCs w:val="22"/>
          <w:b w:val="1"/>
          <w:bCs w:val="1"/>
          <w:color w:val="auto"/>
        </w:rPr>
        <w:t>Original Closing Date</w:t>
      </w:r>
      <w:r>
        <w:rPr>
          <w:rFonts w:ascii="Arial" w:cs="Arial" w:eastAsia="Arial" w:hAnsi="Arial"/>
          <w:sz w:val="22"/>
          <w:szCs w:val="22"/>
          <w:color w:val="auto"/>
        </w:rPr>
        <w:t>”), GM, SoftBank and the Company amended and restated the Original Agreement (as amended and restated, the “</w:t>
      </w:r>
      <w:r>
        <w:rPr>
          <w:rFonts w:ascii="Arial" w:cs="Arial" w:eastAsia="Arial" w:hAnsi="Arial"/>
          <w:sz w:val="22"/>
          <w:szCs w:val="22"/>
          <w:b w:val="1"/>
          <w:bCs w:val="1"/>
          <w:color w:val="auto"/>
        </w:rPr>
        <w:t>First A&amp;R Agreement</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jc w:val="both"/>
        <w:ind w:firstLine="656"/>
        <w:spacing w:after="0" w:line="315" w:lineRule="auto"/>
        <w:tabs>
          <w:tab w:leader="none" w:pos="148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On October 3, 2018, the Company and Honda, entered into that certain Purchase Agreement (the “</w:t>
      </w:r>
      <w:r>
        <w:rPr>
          <w:rFonts w:ascii="Arial" w:cs="Arial" w:eastAsia="Arial" w:hAnsi="Arial"/>
          <w:sz w:val="19"/>
          <w:szCs w:val="19"/>
          <w:b w:val="1"/>
          <w:bCs w:val="1"/>
          <w:color w:val="auto"/>
        </w:rPr>
        <w:t>Honda</w:t>
      </w:r>
      <w:r>
        <w:rPr>
          <w:rFonts w:ascii="Arial" w:cs="Arial" w:eastAsia="Arial" w:hAnsi="Arial"/>
          <w:sz w:val="19"/>
          <w:szCs w:val="19"/>
          <w:color w:val="auto"/>
        </w:rPr>
        <w:t xml:space="preserve"> P</w:t>
      </w:r>
      <w:r>
        <w:rPr>
          <w:rFonts w:ascii="Arial" w:cs="Arial" w:eastAsia="Arial" w:hAnsi="Arial"/>
          <w:sz w:val="19"/>
          <w:szCs w:val="19"/>
          <w:b w:val="1"/>
          <w:bCs w:val="1"/>
          <w:color w:val="auto"/>
        </w:rPr>
        <w:t>urchase Agreement</w:t>
      </w:r>
      <w:r>
        <w:rPr>
          <w:rFonts w:ascii="Arial" w:cs="Arial" w:eastAsia="Arial" w:hAnsi="Arial"/>
          <w:sz w:val="19"/>
          <w:szCs w:val="19"/>
          <w:color w:val="auto"/>
        </w:rPr>
        <w:t>”), pursuant to which the Company agreed to issue, concurrently with the execution of this Agreement, certain Shares to Honda in exchange for the Honda Commitment on and subject to the terms and conditions therein.</w:t>
      </w:r>
    </w:p>
    <w:p>
      <w:pPr>
        <w:spacing w:after="0" w:line="131" w:lineRule="exact"/>
        <w:rPr>
          <w:rFonts w:ascii="Arial" w:cs="Arial" w:eastAsia="Arial" w:hAnsi="Arial"/>
          <w:sz w:val="19"/>
          <w:szCs w:val="19"/>
          <w:color w:val="auto"/>
        </w:rPr>
      </w:pPr>
    </w:p>
    <w:p>
      <w:pPr>
        <w:ind w:right="20" w:firstLine="656"/>
        <w:spacing w:after="0" w:line="263" w:lineRule="auto"/>
        <w:tabs>
          <w:tab w:leader="none" w:pos="145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were intended to qualify as a contribution under Section 351(a) of the Code.</w:t>
      </w:r>
    </w:p>
    <w:p>
      <w:pPr>
        <w:spacing w:after="0" w:line="174" w:lineRule="exact"/>
        <w:rPr>
          <w:rFonts w:ascii="Arial" w:cs="Arial" w:eastAsia="Arial" w:hAnsi="Arial"/>
          <w:sz w:val="22"/>
          <w:szCs w:val="22"/>
          <w:color w:val="auto"/>
        </w:rPr>
      </w:pPr>
    </w:p>
    <w:p>
      <w:pPr>
        <w:jc w:val="both"/>
        <w:ind w:firstLine="656"/>
        <w:spacing w:after="0" w:line="248" w:lineRule="auto"/>
        <w:tabs>
          <w:tab w:leader="none" w:pos="150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Immediately following the contributions of property and issuance of Shares contemplated by the GM Commitment and the SoftBank Commitment, GM owned, and immediately following the contributions of property and issuance of Shares contemplated by the Honda Commitment, GM shall continue to own, an amount of Equity Securities that (i) constitutes “control” within the meaning of Section 368(c) of the Code and the Treasury Regulations thereunder and (ii) allows the Company to be a member of the GM Affiliated Group under Section 1504 of the Code.</w:t>
      </w:r>
    </w:p>
    <w:p>
      <w:pPr>
        <w:spacing w:after="0" w:line="192" w:lineRule="exact"/>
        <w:rPr>
          <w:rFonts w:ascii="Arial" w:cs="Arial" w:eastAsia="Arial" w:hAnsi="Arial"/>
          <w:sz w:val="22"/>
          <w:szCs w:val="22"/>
          <w:color w:val="auto"/>
        </w:rPr>
      </w:pPr>
    </w:p>
    <w:p>
      <w:pPr>
        <w:ind w:firstLine="656"/>
        <w:spacing w:after="0" w:line="263" w:lineRule="auto"/>
        <w:tabs>
          <w:tab w:leader="none" w:pos="150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GM, SoftBank, Honda and the Company desire to amend and restate the First A&amp;R Agreement and to enter into this Agreement to set forth, among other things, the rights and obligations of the Members.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2"/>
          <w:szCs w:val="22"/>
          <w:u w:val="single" w:color="auto"/>
          <w:color w:val="auto"/>
        </w:rPr>
        <w:t>A G R E E M E N T 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First A&amp;R Agreement is hereby amended and restated in its entirety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Organization of Company</w:t>
      </w:r>
      <w:r>
        <w:rPr>
          <w:rFonts w:ascii="Arial" w:cs="Arial" w:eastAsia="Arial" w:hAnsi="Arial"/>
          <w:sz w:val="19"/>
          <w:szCs w:val="19"/>
          <w:color w:val="auto"/>
        </w:rPr>
        <w:t>. The Company was formed as a limited liability company on May 23, 2018.</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Legal Status</w:t>
      </w:r>
      <w:r>
        <w:rPr>
          <w:rFonts w:ascii="Arial" w:cs="Arial" w:eastAsia="Arial" w:hAnsi="Arial"/>
          <w:sz w:val="22"/>
          <w:szCs w:val="22"/>
          <w:color w:val="auto"/>
        </w:rPr>
        <w:t>. The Company is a limited liability company organized and existing under the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Act (the “</w:t>
      </w:r>
      <w:r>
        <w:rPr>
          <w:rFonts w:ascii="Arial" w:cs="Arial" w:eastAsia="Arial" w:hAnsi="Arial"/>
          <w:sz w:val="22"/>
          <w:szCs w:val="22"/>
          <w:b w:val="1"/>
          <w:bCs w:val="1"/>
          <w:color w:val="auto"/>
        </w:rPr>
        <w:t>Act</w:t>
      </w:r>
      <w:r>
        <w:rPr>
          <w:rFonts w:ascii="Arial" w:cs="Arial" w:eastAsia="Arial" w:hAnsi="Arial"/>
          <w:sz w:val="22"/>
          <w:szCs w:val="22"/>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The name of the Company shall be “GM Cruise Holdings LLC” or such other name as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from time to time, hereafter designate.</w:t>
      </w:r>
    </w:p>
    <w:p>
      <w:pPr>
        <w:spacing w:after="0" w:line="16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p>
    <w:p>
      <w:pPr>
        <w:spacing w:after="0" w:line="226" w:lineRule="exact"/>
        <w:rPr>
          <w:sz w:val="20"/>
          <w:szCs w:val="20"/>
          <w:color w:val="auto"/>
        </w:rPr>
      </w:pPr>
    </w:p>
    <w:p>
      <w:pPr>
        <w:jc w:val="both"/>
        <w:ind w:firstLine="1305"/>
        <w:spacing w:after="0" w:line="247" w:lineRule="auto"/>
        <w:tabs>
          <w:tab w:leader="none" w:pos="218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193" w:lineRule="exact"/>
        <w:rPr>
          <w:rFonts w:ascii="Arial" w:cs="Arial" w:eastAsia="Arial" w:hAnsi="Arial"/>
          <w:sz w:val="22"/>
          <w:szCs w:val="22"/>
          <w:color w:val="auto"/>
        </w:rPr>
      </w:pPr>
    </w:p>
    <w:p>
      <w:pPr>
        <w:jc w:val="both"/>
        <w:ind w:right="20" w:firstLine="1305"/>
        <w:spacing w:after="0" w:line="271" w:lineRule="auto"/>
        <w:tabs>
          <w:tab w:leader="none" w:pos="2197"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Company is formed for the object and purpose of, and the nature of the business to be conducted</w:t>
      </w:r>
      <w:r>
        <w:rPr>
          <w:rFonts w:ascii="Arial" w:cs="Arial" w:eastAsia="Arial" w:hAnsi="Arial"/>
          <w:sz w:val="22"/>
          <w:szCs w:val="22"/>
          <w:b w:val="1"/>
          <w:bCs w:val="1"/>
          <w:color w:val="auto"/>
        </w:rPr>
        <w:t xml:space="preserve"> </w:t>
      </w:r>
      <w:r>
        <w:rPr>
          <w:rFonts w:ascii="Arial" w:cs="Arial" w:eastAsia="Arial" w:hAnsi="Arial"/>
          <w:sz w:val="22"/>
          <w:szCs w:val="22"/>
          <w:color w:val="auto"/>
        </w:rPr>
        <w:t>and 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18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terminated in accordance with Article X, the existence of the Company shall be perpetual.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223" w:name="page224"/>
    <w:bookmarkEnd w:id="223"/>
    <w:p>
      <w:pPr>
        <w:ind w:left="660"/>
        <w:spacing w:after="0"/>
        <w:tabs>
          <w:tab w:leader="none" w:pos="166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Certain capitalized terms used in this Agreement are defined in Appendix I hereto.</w:t>
      </w:r>
    </w:p>
    <w:p>
      <w:pPr>
        <w:spacing w:after="0" w:line="220"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22"/>
          <w:szCs w:val="22"/>
          <w:b w:val="1"/>
          <w:bCs w:val="1"/>
          <w:u w:val="single" w:color="auto"/>
          <w:color w:val="auto"/>
        </w:rPr>
        <w:t>No State</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Law Partnership</w:t>
      </w:r>
      <w:r>
        <w:rPr>
          <w:rFonts w:ascii="Arial" w:cs="Arial" w:eastAsia="Arial" w:hAnsi="Arial"/>
          <w:sz w:val="22"/>
          <w:szCs w:val="22"/>
          <w:color w:val="auto"/>
        </w:rPr>
        <w:t>. The Members intend that the Company not be a partnership (including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1.09 </w:t>
      </w:r>
      <w:r>
        <w:rPr>
          <w:rFonts w:ascii="Arial" w:cs="Arial" w:eastAsia="Arial" w:hAnsi="Arial"/>
          <w:sz w:val="19"/>
          <w:szCs w:val="19"/>
          <w:b w:val="1"/>
          <w:bCs w:val="1"/>
          <w:u w:val="single" w:color="auto"/>
          <w:color w:val="auto"/>
        </w:rPr>
        <w:t>Limited Liability Company Agreement</w:t>
      </w:r>
      <w:r>
        <w:rPr>
          <w:rFonts w:ascii="Arial" w:cs="Arial" w:eastAsia="Arial" w:hAnsi="Arial"/>
          <w:sz w:val="19"/>
          <w:szCs w:val="19"/>
          <w:color w:val="auto"/>
        </w:rPr>
        <w:t>. The Members hereby execute this Agreement to conduct the affairs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First A&amp;R Agreement in all respects, and the First A&amp;R Agreement shall hereafter be null and void.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6" w:lineRule="auto"/>
        <w:tabs>
          <w:tab w:leader="none" w:pos="218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19"/>
          <w:szCs w:val="19"/>
          <w:b w:val="1"/>
          <w:bCs w:val="1"/>
          <w:color w:val="auto"/>
        </w:rPr>
        <w:t>Share</w:t>
      </w:r>
      <w:r>
        <w:rPr>
          <w:rFonts w:ascii="Arial" w:cs="Arial" w:eastAsia="Arial" w:hAnsi="Arial"/>
          <w:sz w:val="19"/>
          <w:szCs w:val="19"/>
          <w:color w:val="auto"/>
        </w:rPr>
        <w:t>” and collectively, the “</w:t>
      </w:r>
      <w:r>
        <w:rPr>
          <w:rFonts w:ascii="Arial" w:cs="Arial" w:eastAsia="Arial" w:hAnsi="Arial"/>
          <w:sz w:val="19"/>
          <w:szCs w:val="19"/>
          <w:b w:val="1"/>
          <w:bCs w:val="1"/>
          <w:color w:val="auto"/>
        </w:rPr>
        <w:t>Shares</w:t>
      </w:r>
      <w:r>
        <w:rPr>
          <w:rFonts w:ascii="Arial" w:cs="Arial" w:eastAsia="Arial" w:hAnsi="Arial"/>
          <w:sz w:val="19"/>
          <w:szCs w:val="19"/>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19"/>
          <w:szCs w:val="19"/>
          <w:b w:val="1"/>
          <w:bCs w:val="1"/>
          <w:color w:val="auto"/>
        </w:rPr>
        <w:t>Class A-1-A Preferred Shares</w:t>
      </w:r>
      <w:r>
        <w:rPr>
          <w:rFonts w:ascii="Arial" w:cs="Arial" w:eastAsia="Arial" w:hAnsi="Arial"/>
          <w:sz w:val="19"/>
          <w:szCs w:val="19"/>
          <w:color w:val="auto"/>
        </w:rPr>
        <w:t>”, “</w:t>
      </w:r>
      <w:r>
        <w:rPr>
          <w:rFonts w:ascii="Arial" w:cs="Arial" w:eastAsia="Arial" w:hAnsi="Arial"/>
          <w:sz w:val="19"/>
          <w:szCs w:val="19"/>
          <w:b w:val="1"/>
          <w:bCs w:val="1"/>
          <w:color w:val="auto"/>
        </w:rPr>
        <w:t>Class A-1-B Preferred Shares</w:t>
      </w:r>
      <w:r>
        <w:rPr>
          <w:rFonts w:ascii="Arial" w:cs="Arial" w:eastAsia="Arial" w:hAnsi="Arial"/>
          <w:sz w:val="19"/>
          <w:szCs w:val="19"/>
          <w:color w:val="auto"/>
        </w:rPr>
        <w:t>” (collectively with the Class A-1-A Preferred Shares, the “</w:t>
      </w:r>
      <w:r>
        <w:rPr>
          <w:rFonts w:ascii="Arial" w:cs="Arial" w:eastAsia="Arial" w:hAnsi="Arial"/>
          <w:sz w:val="19"/>
          <w:szCs w:val="19"/>
          <w:b w:val="1"/>
          <w:bCs w:val="1"/>
          <w:color w:val="auto"/>
        </w:rPr>
        <w:t>Class A-1 Preferred Shares</w:t>
      </w:r>
      <w:r>
        <w:rPr>
          <w:rFonts w:ascii="Arial" w:cs="Arial" w:eastAsia="Arial" w:hAnsi="Arial"/>
          <w:sz w:val="19"/>
          <w:szCs w:val="19"/>
          <w:color w:val="auto"/>
        </w:rPr>
        <w:t>”), “</w:t>
      </w:r>
      <w:r>
        <w:rPr>
          <w:rFonts w:ascii="Arial" w:cs="Arial" w:eastAsia="Arial" w:hAnsi="Arial"/>
          <w:sz w:val="19"/>
          <w:szCs w:val="19"/>
          <w:b w:val="1"/>
          <w:bCs w:val="1"/>
          <w:color w:val="auto"/>
        </w:rPr>
        <w:t>Class A-2 Preferred Shares</w:t>
      </w:r>
      <w:r>
        <w:rPr>
          <w:rFonts w:ascii="Arial" w:cs="Arial" w:eastAsia="Arial" w:hAnsi="Arial"/>
          <w:sz w:val="19"/>
          <w:szCs w:val="19"/>
          <w:color w:val="auto"/>
        </w:rPr>
        <w:t>”, “</w:t>
      </w:r>
      <w:r>
        <w:rPr>
          <w:rFonts w:ascii="Arial" w:cs="Arial" w:eastAsia="Arial" w:hAnsi="Arial"/>
          <w:sz w:val="19"/>
          <w:szCs w:val="19"/>
          <w:b w:val="1"/>
          <w:bCs w:val="1"/>
          <w:color w:val="auto"/>
        </w:rPr>
        <w:t>Class B Common</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w:t>
      </w:r>
      <w:r>
        <w:rPr>
          <w:rFonts w:ascii="Arial" w:cs="Arial" w:eastAsia="Arial" w:hAnsi="Arial"/>
          <w:sz w:val="19"/>
          <w:szCs w:val="19"/>
          <w:b w:val="1"/>
          <w:bCs w:val="1"/>
          <w:color w:val="auto"/>
        </w:rPr>
        <w:t>Class C Common Shares</w:t>
      </w:r>
      <w:r>
        <w:rPr>
          <w:rFonts w:ascii="Arial" w:cs="Arial" w:eastAsia="Arial" w:hAnsi="Arial"/>
          <w:sz w:val="19"/>
          <w:szCs w:val="19"/>
          <w:color w:val="auto"/>
        </w:rPr>
        <w:t>”, “</w:t>
      </w:r>
      <w:r>
        <w:rPr>
          <w:rFonts w:ascii="Arial" w:cs="Arial" w:eastAsia="Arial" w:hAnsi="Arial"/>
          <w:sz w:val="19"/>
          <w:szCs w:val="19"/>
          <w:b w:val="1"/>
          <w:bCs w:val="1"/>
          <w:color w:val="auto"/>
        </w:rPr>
        <w:t>Class D Common Shares</w:t>
      </w:r>
      <w:r>
        <w:rPr>
          <w:rFonts w:ascii="Arial" w:cs="Arial" w:eastAsia="Arial" w:hAnsi="Arial"/>
          <w:sz w:val="19"/>
          <w:szCs w:val="19"/>
          <w:color w:val="auto"/>
        </w:rPr>
        <w:t>” and “</w:t>
      </w:r>
      <w:r>
        <w:rPr>
          <w:rFonts w:ascii="Arial" w:cs="Arial" w:eastAsia="Arial" w:hAnsi="Arial"/>
          <w:sz w:val="19"/>
          <w:szCs w:val="19"/>
          <w:b w:val="1"/>
          <w:bCs w:val="1"/>
          <w:color w:val="auto"/>
        </w:rPr>
        <w:t>Class E Common Shares</w:t>
      </w:r>
      <w:r>
        <w:rPr>
          <w:rFonts w:ascii="Arial" w:cs="Arial" w:eastAsia="Arial" w:hAnsi="Arial"/>
          <w:sz w:val="19"/>
          <w:szCs w:val="19"/>
          <w:color w:val="auto"/>
        </w:rPr>
        <w:t>”. Subject to the limitations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to the extent applicable) set forth in Section 2.02, Section 2.07 and Section 6.13, 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Class E Common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85" w:right="239" w:bottom="1440" w:gutter="0" w:footer="0" w:header="0"/>
        </w:sectPr>
      </w:pPr>
    </w:p>
    <w:bookmarkStart w:id="224" w:name="page225"/>
    <w:bookmarkEnd w:id="224"/>
    <w:p>
      <w:pPr>
        <w:jc w:val="both"/>
        <w:ind w:firstLine="1305"/>
        <w:spacing w:after="0" w:line="248" w:lineRule="auto"/>
        <w:tabs>
          <w:tab w:leader="none" w:pos="219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22"/>
          <w:szCs w:val="22"/>
          <w:b w:val="1"/>
          <w:bCs w:val="1"/>
          <w:color w:val="auto"/>
        </w:rPr>
        <w:t>Members Schedule</w:t>
      </w:r>
      <w:r>
        <w:rPr>
          <w:rFonts w:ascii="Arial" w:cs="Arial" w:eastAsia="Arial" w:hAnsi="Arial"/>
          <w:sz w:val="22"/>
          <w:szCs w:val="22"/>
          <w:color w:val="auto"/>
        </w:rPr>
        <w:t>”), as the same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92" w:lineRule="exact"/>
        <w:rPr>
          <w:rFonts w:ascii="Arial" w:cs="Arial" w:eastAsia="Arial" w:hAnsi="Arial"/>
          <w:sz w:val="22"/>
          <w:szCs w:val="22"/>
          <w:color w:val="auto"/>
        </w:rPr>
      </w:pPr>
    </w:p>
    <w:p>
      <w:pPr>
        <w:jc w:val="both"/>
        <w:ind w:firstLine="1305"/>
        <w:spacing w:after="0" w:line="287" w:lineRule="auto"/>
        <w:tabs>
          <w:tab w:leader="none" w:pos="218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 partial copy of the Members Schedule as of the date of the First A&amp;R Agreement showing only the aggregate number of each class of Shares held by the Members as at such time (but not any identifying information about the Persons holding any Shares) was provided to SVF prior to the execution of the SoftBank Purchase Agreement and a partial copy of the Members Schedule as of the date of this Agreement showing only the aggregate number of each class of Shares held by the Members (but not any identifying information about the Persons holding any Shares) was provided to Honda prior to the execution of the Honda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and Honda shall be entitled to request a full and complete unredacted copy of the Members Schedule from time to time.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3" w:lineRule="auto"/>
        <w:tabs>
          <w:tab w:leader="none" w:pos="218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Pursuant to the SoftBank Purchase Agreement, and subject to the terms and conditions thereof, SoftBank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has issued to SoftBank 900,000 Class A-1-A Preferred Shares.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jc w:val="both"/>
        <w:ind w:firstLine="1953"/>
        <w:spacing w:after="0" w:line="288" w:lineRule="auto"/>
        <w:tabs>
          <w:tab w:leader="none" w:pos="279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 Deployment</w:t>
      </w:r>
      <w:r>
        <w:rPr>
          <w:rFonts w:ascii="Arial" w:cs="Arial" w:eastAsia="Arial" w:hAnsi="Arial"/>
          <w:sz w:val="19"/>
          <w:szCs w:val="19"/>
          <w:color w:val="auto"/>
        </w:rPr>
        <w:t>”) within the following one hundred twenty (120) day period, the Company shall be entitled to deliver written notice 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 Approvals</w:t>
      </w:r>
      <w:r>
        <w:rPr>
          <w:rFonts w:ascii="Arial" w:cs="Arial" w:eastAsia="Arial" w:hAnsi="Arial"/>
          <w:sz w:val="19"/>
          <w:szCs w:val="19"/>
          <w:color w:val="auto"/>
        </w:rPr>
        <w:t>”) in connection with the issuance of Class A-1-B Preferred Shares pursuant to Section 2.02(c).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25" w:name="page226"/>
    <w:bookmarkEnd w:id="225"/>
    <w:p>
      <w:pPr>
        <w:jc w:val="both"/>
        <w:ind w:firstLine="1953"/>
        <w:spacing w:after="0" w:line="286" w:lineRule="auto"/>
        <w:tabs>
          <w:tab w:leader="none" w:pos="285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220" w:lineRule="exact"/>
        <w:rPr>
          <w:sz w:val="20"/>
          <w:szCs w:val="20"/>
          <w:color w:val="auto"/>
        </w:rPr>
      </w:pPr>
    </w:p>
    <w:p>
      <w:pPr>
        <w:jc w:val="both"/>
        <w:ind w:firstLine="1953"/>
        <w:spacing w:after="0" w:line="287" w:lineRule="auto"/>
        <w:tabs>
          <w:tab w:leader="none" w:pos="279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19"/>
          <w:szCs w:val="19"/>
          <w:b w:val="1"/>
          <w:bCs w:val="1"/>
          <w:color w:val="auto"/>
        </w:rPr>
        <w:t>CD Notice</w:t>
      </w:r>
      <w:r>
        <w:rPr>
          <w:rFonts w:ascii="Arial" w:cs="Arial" w:eastAsia="Arial" w:hAnsi="Arial"/>
          <w:sz w:val="19"/>
          <w:szCs w:val="19"/>
          <w:color w:val="auto"/>
        </w:rPr>
        <w:t>”). Subject to the satisfaction of the Second Tranche Conditions, within fifty (50) days (or such shorter period contemplated by the immediately following sentence) of the delivery of the CD Notice (such applicable period, the “</w:t>
      </w:r>
      <w:r>
        <w:rPr>
          <w:rFonts w:ascii="Arial" w:cs="Arial" w:eastAsia="Arial" w:hAnsi="Arial"/>
          <w:sz w:val="19"/>
          <w:szCs w:val="19"/>
          <w:b w:val="1"/>
          <w:bCs w:val="1"/>
          <w:color w:val="auto"/>
        </w:rPr>
        <w:t>Payment Period</w:t>
      </w:r>
      <w:r>
        <w:rPr>
          <w:rFonts w:ascii="Arial" w:cs="Arial" w:eastAsia="Arial" w:hAnsi="Arial"/>
          <w:sz w:val="19"/>
          <w:szCs w:val="19"/>
          <w:color w:val="auto"/>
        </w:rPr>
        <w:t>”), SoftBank will purchase and acquire from the Company, and the Company will issue, sell and deliver to SoftBank, a number of Class A-1-B Preferred Shares equal to $1,350,000,000 (the “</w:t>
      </w:r>
      <w:r>
        <w:rPr>
          <w:rFonts w:ascii="Arial" w:cs="Arial" w:eastAsia="Arial" w:hAnsi="Arial"/>
          <w:sz w:val="19"/>
          <w:szCs w:val="19"/>
          <w:b w:val="1"/>
          <w:bCs w:val="1"/>
          <w:color w:val="auto"/>
        </w:rPr>
        <w:t>Subsequent SoftBank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19"/>
          <w:szCs w:val="19"/>
          <w:b w:val="1"/>
          <w:bCs w:val="1"/>
          <w:color w:val="auto"/>
        </w:rPr>
        <w:t>Advance Notice</w:t>
      </w:r>
      <w:r>
        <w:rPr>
          <w:rFonts w:ascii="Arial" w:cs="Arial" w:eastAsia="Arial" w:hAnsi="Arial"/>
          <w:sz w:val="19"/>
          <w:szCs w:val="19"/>
          <w:color w:val="auto"/>
        </w:rPr>
        <w:t xml:space="preserve">”)) the definitive date on which Commercial Deployment will occur, then the Payment Period will be reduced by the aggregate number of days between the date the Advance Notice is delivered to SoftBank in accordance with the terms of this Agreement and the date of Commercial Deployment;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the Payment Period be reduced to fewer than twenty five (25) days following the date on which Commercial Deployment occurs.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953"/>
        <w:spacing w:after="0" w:line="312" w:lineRule="auto"/>
        <w:tabs>
          <w:tab w:leader="none" w:pos="285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226" w:name="page227"/>
    <w:bookmarkEnd w:id="226"/>
    <w:p>
      <w:pPr>
        <w:jc w:val="both"/>
        <w:spacing w:after="0" w:line="289" w:lineRule="auto"/>
        <w:rPr>
          <w:sz w:val="20"/>
          <w:szCs w:val="20"/>
          <w:color w:val="auto"/>
        </w:rPr>
      </w:pPr>
      <w:r>
        <w:rPr>
          <w:rFonts w:ascii="Arial" w:cs="Arial" w:eastAsia="Arial" w:hAnsi="Arial"/>
          <w:sz w:val="19"/>
          <w:szCs w:val="19"/>
          <w:color w:val="auto"/>
        </w:rPr>
        <w:t>through 6.13(d)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Arial" w:cs="Arial" w:eastAsia="Arial" w:hAnsi="Arial"/>
          <w:sz w:val="19"/>
          <w:szCs w:val="19"/>
          <w:b w:val="1"/>
          <w:bCs w:val="1"/>
          <w:color w:val="auto"/>
        </w:rPr>
        <w:t>Cure Period</w:t>
      </w:r>
      <w:r>
        <w:rPr>
          <w:rFonts w:ascii="Arial" w:cs="Arial" w:eastAsia="Arial" w:hAnsi="Arial"/>
          <w:sz w:val="19"/>
          <w:szCs w:val="19"/>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158" w:lineRule="exact"/>
        <w:rPr>
          <w:sz w:val="20"/>
          <w:szCs w:val="20"/>
          <w:color w:val="auto"/>
        </w:rPr>
      </w:pPr>
    </w:p>
    <w:p>
      <w:pPr>
        <w:jc w:val="both"/>
        <w:ind w:firstLine="1953"/>
        <w:spacing w:after="0" w:line="294" w:lineRule="auto"/>
        <w:tabs>
          <w:tab w:leader="none" w:pos="2917"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remedies provided for in Section 2.02(c)(ii)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SVF, SVFA or SoftBank of their obligations under Section 5.1 of the SoftBank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149" w:lineRule="exact"/>
        <w:rPr>
          <w:rFonts w:ascii="Arial" w:cs="Arial" w:eastAsia="Arial" w:hAnsi="Arial"/>
          <w:sz w:val="19"/>
          <w:szCs w:val="19"/>
          <w:color w:val="auto"/>
        </w:rPr>
      </w:pPr>
    </w:p>
    <w:p>
      <w:pPr>
        <w:jc w:val="both"/>
        <w:ind w:firstLine="1305"/>
        <w:spacing w:after="0" w:line="248" w:lineRule="auto"/>
        <w:tabs>
          <w:tab w:leader="none" w:pos="219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If the SoftBank CFIUS Condition has not been satisfied prior to the occurrence of Commercial Deployment, then (without prejudice to the rights of GM or the Company arising as a result of or in connection with any breach by SVF, SVFA or SoftBank of their obligations under Section 5.1 of the SoftBank Purchase Agreement) upon the occurrence of Commercial Deployment, automatically and without any further action by the Company or any Member (and without any recourse by any Member):</w:t>
      </w:r>
    </w:p>
    <w:p>
      <w:pPr>
        <w:spacing w:after="0" w:line="192" w:lineRule="exact"/>
        <w:rPr>
          <w:rFonts w:ascii="Arial" w:cs="Arial" w:eastAsia="Arial" w:hAnsi="Arial"/>
          <w:sz w:val="22"/>
          <w:szCs w:val="22"/>
          <w:color w:val="auto"/>
        </w:rPr>
      </w:pPr>
    </w:p>
    <w:p>
      <w:pPr>
        <w:ind w:firstLine="1953"/>
        <w:spacing w:after="0" w:line="343" w:lineRule="auto"/>
        <w:tabs>
          <w:tab w:leader="none" w:pos="2797" w:val="left"/>
        </w:tabs>
        <w:numPr>
          <w:ilvl w:val="1"/>
          <w:numId w:val="184"/>
        </w:numPr>
        <w:rPr>
          <w:rFonts w:ascii="Arial" w:cs="Arial" w:eastAsia="Arial" w:hAnsi="Arial"/>
          <w:sz w:val="19"/>
          <w:szCs w:val="19"/>
          <w:color w:val="auto"/>
        </w:rPr>
      </w:pPr>
      <w:r>
        <w:rPr>
          <w:rFonts w:ascii="Arial" w:cs="Arial" w:eastAsia="Arial" w:hAnsi="Arial"/>
          <w:sz w:val="19"/>
          <w:szCs w:val="19"/>
          <w:color w:val="auto"/>
        </w:rPr>
        <w:t>the Class A-1 Preferred Return will (effective on and after the date of Commercial Deployment) be permanently reduced from a rate of seven percent (7%) per annum to a rate of three and a half percent (3.5%) per annum;</w:t>
      </w:r>
    </w:p>
    <w:p>
      <w:pPr>
        <w:spacing w:after="0" w:line="105" w:lineRule="exact"/>
        <w:rPr>
          <w:sz w:val="20"/>
          <w:szCs w:val="20"/>
          <w:color w:val="auto"/>
        </w:rPr>
      </w:pPr>
    </w:p>
    <w:p>
      <w:pPr>
        <w:ind w:firstLine="1953"/>
        <w:spacing w:after="0" w:line="263" w:lineRule="auto"/>
        <w:tabs>
          <w:tab w:leader="none" w:pos="285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denominator in the definition of A-1-A Preferred Share Conversion Ratio will be permanently increased from $1,000 to $1,600;</w:t>
      </w:r>
    </w:p>
    <w:p>
      <w:pPr>
        <w:spacing w:after="0" w:line="174" w:lineRule="exact"/>
        <w:rPr>
          <w:rFonts w:ascii="Arial" w:cs="Arial" w:eastAsia="Arial" w:hAnsi="Arial"/>
          <w:sz w:val="22"/>
          <w:szCs w:val="22"/>
          <w:color w:val="auto"/>
        </w:rPr>
      </w:pPr>
    </w:p>
    <w:p>
      <w:pPr>
        <w:jc w:val="both"/>
        <w:ind w:firstLine="1953"/>
        <w:spacing w:after="0" w:line="246" w:lineRule="auto"/>
        <w:tabs>
          <w:tab w:leader="none" w:pos="291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conversion ratio for the Class A-2 Preferred Shares pursuant to Section 2.11(a), Section 9.07(a)(i), Section 9.10(a),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27" w:name="page228"/>
    <w:bookmarkEnd w:id="227"/>
    <w:p>
      <w:pPr>
        <w:ind w:left="2920" w:hanging="967"/>
        <w:spacing w:after="0"/>
        <w:tabs>
          <w:tab w:leader="none" w:pos="29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Section 6.13(c) will be amended to read, in its entirety, as follows:</w:t>
      </w:r>
    </w:p>
    <w:p>
      <w:pPr>
        <w:spacing w:after="0" w:line="220"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19"/>
          <w:szCs w:val="19"/>
          <w:b w:val="1"/>
          <w:bCs w:val="1"/>
          <w:color w:val="auto"/>
        </w:rPr>
        <w:t>Senior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359" w:lineRule="exact"/>
        <w:rPr>
          <w:sz w:val="20"/>
          <w:szCs w:val="20"/>
          <w:color w:val="auto"/>
        </w:rPr>
      </w:pPr>
    </w:p>
    <w:p>
      <w:pPr>
        <w:jc w:val="both"/>
        <w:ind w:firstLine="1305"/>
        <w:spacing w:after="0" w:line="247" w:lineRule="auto"/>
        <w:tabs>
          <w:tab w:leader="none" w:pos="218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Arial" w:cs="Arial" w:eastAsia="Arial" w:hAnsi="Arial"/>
          <w:sz w:val="22"/>
          <w:szCs w:val="22"/>
          <w:b w:val="1"/>
          <w:bCs w:val="1"/>
          <w:color w:val="auto"/>
        </w:rPr>
        <w:t>GM Commitment</w:t>
      </w:r>
      <w:r>
        <w:rPr>
          <w:rFonts w:ascii="Arial" w:cs="Arial" w:eastAsia="Arial" w:hAnsi="Arial"/>
          <w:sz w:val="22"/>
          <w:szCs w:val="22"/>
          <w:color w:val="auto"/>
        </w:rPr>
        <w:t>”), in exchange for which the Company issued to GM 1,100,000 Class A-2 Preferred Shares and 5,500,000 Class C Common Shares.</w:t>
      </w:r>
    </w:p>
    <w:p>
      <w:pPr>
        <w:spacing w:after="0" w:line="193" w:lineRule="exact"/>
        <w:rPr>
          <w:rFonts w:ascii="Arial" w:cs="Arial" w:eastAsia="Arial" w:hAnsi="Arial"/>
          <w:sz w:val="22"/>
          <w:szCs w:val="22"/>
          <w:color w:val="auto"/>
        </w:rPr>
      </w:pPr>
    </w:p>
    <w:p>
      <w:pPr>
        <w:ind w:firstLine="1305"/>
        <w:spacing w:after="0" w:line="263" w:lineRule="auto"/>
        <w:tabs>
          <w:tab w:leader="none" w:pos="216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As promptly as reasonably practicable following the consummation of the Subsequent SoftBank Commitment, the Company shall deliver to Honda an updated Members Schedule.</w:t>
      </w:r>
    </w:p>
    <w:p>
      <w:pPr>
        <w:spacing w:after="0" w:line="169"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u w:val="single" w:color="auto"/>
          <w:color w:val="auto"/>
        </w:rPr>
        <w:t>Class B Common Shares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304" w:lineRule="auto"/>
        <w:tabs>
          <w:tab w:leader="none" w:pos="218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Awards of Class B Common Shares (“</w:t>
      </w:r>
      <w:r>
        <w:rPr>
          <w:rFonts w:ascii="Arial" w:cs="Arial" w:eastAsia="Arial" w:hAnsi="Arial"/>
          <w:sz w:val="19"/>
          <w:szCs w:val="19"/>
          <w:b w:val="1"/>
          <w:bCs w:val="1"/>
          <w:color w:val="auto"/>
        </w:rPr>
        <w:t>Share Awards</w:t>
      </w:r>
      <w:r>
        <w:rPr>
          <w:rFonts w:ascii="Arial" w:cs="Arial" w:eastAsia="Arial" w:hAnsi="Arial"/>
          <w:sz w:val="19"/>
          <w:szCs w:val="19"/>
          <w:color w:val="auto"/>
        </w:rPr>
        <w:t>”), options to purchase Class B Common Shares (“</w:t>
      </w:r>
      <w:r>
        <w:rPr>
          <w:rFonts w:ascii="Arial" w:cs="Arial" w:eastAsia="Arial" w:hAnsi="Arial"/>
          <w:sz w:val="19"/>
          <w:szCs w:val="19"/>
          <w:b w:val="1"/>
          <w:bCs w:val="1"/>
          <w:color w:val="auto"/>
        </w:rPr>
        <w:t>Options</w:t>
      </w:r>
      <w:r>
        <w:rPr>
          <w:rFonts w:ascii="Arial" w:cs="Arial" w:eastAsia="Arial" w:hAnsi="Arial"/>
          <w:sz w:val="19"/>
          <w:szCs w:val="19"/>
          <w:color w:val="auto"/>
        </w:rPr>
        <w:t>”) and rights to receive Class B Common Shares (“</w:t>
      </w:r>
      <w:r>
        <w:rPr>
          <w:rFonts w:ascii="Arial" w:cs="Arial" w:eastAsia="Arial" w:hAnsi="Arial"/>
          <w:sz w:val="19"/>
          <w:szCs w:val="19"/>
          <w:b w:val="1"/>
          <w:bCs w:val="1"/>
          <w:color w:val="auto"/>
        </w:rPr>
        <w:t>RSUs</w:t>
      </w:r>
      <w:r>
        <w:rPr>
          <w:rFonts w:ascii="Arial" w:cs="Arial" w:eastAsia="Arial" w:hAnsi="Arial"/>
          <w:sz w:val="19"/>
          <w:szCs w:val="19"/>
          <w:color w:val="auto"/>
        </w:rPr>
        <w:t>”, and collectively with Share Awards and Options, “</w:t>
      </w:r>
      <w:r>
        <w:rPr>
          <w:rFonts w:ascii="Arial" w:cs="Arial" w:eastAsia="Arial" w:hAnsi="Arial"/>
          <w:sz w:val="19"/>
          <w:szCs w:val="19"/>
          <w:b w:val="1"/>
          <w:bCs w:val="1"/>
          <w:color w:val="auto"/>
        </w:rPr>
        <w:t>Equity</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may be granted or issued, as applicable, on or after the Original Closing Date to Employee Members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a Share Grant Agreement and in accordance with the 2018/2019 Incentive Plan or any successor employee incentive plan.</w:t>
      </w:r>
    </w:p>
    <w:p>
      <w:pPr>
        <w:spacing w:after="0" w:line="141" w:lineRule="exact"/>
        <w:rPr>
          <w:rFonts w:ascii="Arial" w:cs="Arial" w:eastAsia="Arial" w:hAnsi="Arial"/>
          <w:sz w:val="19"/>
          <w:szCs w:val="19"/>
          <w:color w:val="auto"/>
        </w:rPr>
      </w:pPr>
    </w:p>
    <w:p>
      <w:pPr>
        <w:jc w:val="both"/>
        <w:ind w:firstLine="1305"/>
        <w:spacing w:after="0" w:line="302" w:lineRule="auto"/>
        <w:tabs>
          <w:tab w:leader="none" w:pos="219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With respect to Fiscal Years 2018 and 2019, the Company may grant or issue to Employee Members (pursuant to Share Grant Agreements) Equity Awards that may be issued, exercised or settled into, in the aggregate, up to that maximum number of Class B Common Shares set forth in the 2018/2019 Incentive Plan. From and after Fiscal Year 2020, the Company (acting upon the approval of the Board of Directors) may issue additional Equity Awards to Employee Members.</w:t>
      </w:r>
    </w:p>
    <w:p>
      <w:pPr>
        <w:spacing w:after="0" w:line="142" w:lineRule="exact"/>
        <w:rPr>
          <w:rFonts w:ascii="Arial" w:cs="Arial" w:eastAsia="Arial" w:hAnsi="Arial"/>
          <w:sz w:val="19"/>
          <w:szCs w:val="19"/>
          <w:color w:val="auto"/>
        </w:rPr>
      </w:pPr>
    </w:p>
    <w:p>
      <w:pPr>
        <w:jc w:val="both"/>
        <w:ind w:firstLine="1305"/>
        <w:spacing w:after="0" w:line="302" w:lineRule="auto"/>
        <w:tabs>
          <w:tab w:leader="none" w:pos="218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142" w:lineRule="exact"/>
        <w:rPr>
          <w:rFonts w:ascii="Arial" w:cs="Arial" w:eastAsia="Arial" w:hAnsi="Arial"/>
          <w:sz w:val="19"/>
          <w:szCs w:val="19"/>
          <w:color w:val="auto"/>
        </w:rPr>
      </w:pPr>
    </w:p>
    <w:p>
      <w:pPr>
        <w:ind w:left="2200" w:hanging="895"/>
        <w:spacing w:after="0"/>
        <w:tabs>
          <w:tab w:leader="none" w:pos="220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Each Share Grant Agreement with respect to Equity Awards is intended 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28" w:name="page229"/>
    <w:bookmarkEnd w:id="228"/>
    <w:p>
      <w:pPr>
        <w:jc w:val="both"/>
        <w:spacing w:after="0" w:line="247" w:lineRule="auto"/>
        <w:rPr>
          <w:sz w:val="20"/>
          <w:szCs w:val="20"/>
          <w:color w:val="auto"/>
        </w:rPr>
      </w:pPr>
      <w:r>
        <w:rPr>
          <w:rFonts w:ascii="Arial" w:cs="Arial" w:eastAsia="Arial" w:hAnsi="Arial"/>
          <w:sz w:val="22"/>
          <w:szCs w:val="22"/>
          <w:color w:val="auto"/>
        </w:rPr>
        <w:t xml:space="preserve">qualify as a compensatory benefit plan within the meaning of Rule 701 of the Securities Act and the issuance of Class B Common Shares, from time to time, pursuant to the terms of this Agreement and the applicable Share Grant Agreement is intended to qualify for the exemption from registration under the Securities Act provided by Rule 701 thereof; </w:t>
      </w:r>
      <w:r>
        <w:rPr>
          <w:rFonts w:ascii="Arial" w:cs="Arial" w:eastAsia="Arial" w:hAnsi="Arial"/>
          <w:sz w:val="22"/>
          <w:szCs w:val="22"/>
          <w:u w:val="single" w:color="auto"/>
          <w:color w:val="auto"/>
        </w:rPr>
        <w:t>provided</w:t>
      </w:r>
      <w:r>
        <w:rPr>
          <w:rFonts w:ascii="Arial" w:cs="Arial" w:eastAsia="Arial" w:hAnsi="Arial"/>
          <w:sz w:val="22"/>
          <w:szCs w:val="22"/>
          <w:color w:val="auto"/>
        </w:rPr>
        <w:t>, that, subject to Section 2.03(b), the foregoing shall not restrict or limit the Company’s ability to issue any Class B Common Shares pursuant to any other exemption from registration under the Securities Act available to the Company and to designate any such issuance as not being subject to Rule 701.</w:t>
      </w:r>
    </w:p>
    <w:p>
      <w:pPr>
        <w:spacing w:after="0" w:line="194" w:lineRule="exact"/>
        <w:rPr>
          <w:sz w:val="20"/>
          <w:szCs w:val="20"/>
          <w:color w:val="auto"/>
        </w:rPr>
      </w:pPr>
    </w:p>
    <w:p>
      <w:pPr>
        <w:ind w:left="2200" w:hanging="895"/>
        <w:spacing w:after="0"/>
        <w:tabs>
          <w:tab w:leader="none" w:pos="22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Subject, in each case, to the terms and conditions of the applicable Share Grant Agreement:</w:t>
      </w:r>
    </w:p>
    <w:p>
      <w:pPr>
        <w:spacing w:after="0" w:line="219" w:lineRule="exact"/>
        <w:rPr>
          <w:rFonts w:ascii="Arial" w:cs="Arial" w:eastAsia="Arial" w:hAnsi="Arial"/>
          <w:sz w:val="22"/>
          <w:szCs w:val="22"/>
          <w:color w:val="auto"/>
        </w:rPr>
      </w:pPr>
    </w:p>
    <w:p>
      <w:pPr>
        <w:jc w:val="both"/>
        <w:ind w:firstLine="1953"/>
        <w:spacing w:after="0" w:line="297" w:lineRule="auto"/>
        <w:tabs>
          <w:tab w:leader="none" w:pos="2797" w:val="left"/>
        </w:tabs>
        <w:numPr>
          <w:ilvl w:val="1"/>
          <w:numId w:val="189"/>
        </w:numPr>
        <w:rPr>
          <w:rFonts w:ascii="Arial" w:cs="Arial" w:eastAsia="Arial" w:hAnsi="Arial"/>
          <w:sz w:val="19"/>
          <w:szCs w:val="19"/>
          <w:color w:val="auto"/>
        </w:rPr>
      </w:pPr>
      <w:r>
        <w:rPr>
          <w:rFonts w:ascii="Arial" w:cs="Arial" w:eastAsia="Arial" w:hAnsi="Arial"/>
          <w:sz w:val="19"/>
          <w:szCs w:val="19"/>
          <w:color w:val="auto"/>
        </w:rPr>
        <w:t>Class B Common Shares that would be issued as a result of the exercise of a right to purchase pursuant to an issued Option shall be deemed, prior to their actual issuance, to be issued unvested Class B Common Shares for the purposes of Section 3.01(b)(ii) (and the holder of the Option shall be deemed a Class B Member solely for such purpose); provided, that, for clarity, no Distributions will actually be made with respect to such deemed unvested Class B Common Shares and Section 3.03 will not apply to such deemed unvested Class B Common Shares; and</w:t>
      </w:r>
    </w:p>
    <w:p>
      <w:pPr>
        <w:spacing w:after="0" w:line="147" w:lineRule="exact"/>
        <w:rPr>
          <w:rFonts w:ascii="Arial" w:cs="Arial" w:eastAsia="Arial" w:hAnsi="Arial"/>
          <w:sz w:val="19"/>
          <w:szCs w:val="19"/>
          <w:color w:val="auto"/>
        </w:rPr>
      </w:pPr>
    </w:p>
    <w:p>
      <w:pPr>
        <w:jc w:val="both"/>
        <w:ind w:firstLine="1953"/>
        <w:spacing w:after="0" w:line="250" w:lineRule="auto"/>
        <w:tabs>
          <w:tab w:leader="none" w:pos="285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Class B Common Shares that would be issued as a result of the right to receive such Shares pursuant to an RSU shall be deemed, prior to their actual issuance, to be issued unvested Class B Common Shares for the purposes of Sections 3.01(b)(ii) and 3.01(b)(iii) (and the holder of the RSU shall be deemed a Class B Member solely for such purposes) and Section 3.03.</w:t>
      </w:r>
    </w:p>
    <w:p>
      <w:pPr>
        <w:spacing w:after="0" w:line="3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2.04 </w:t>
      </w:r>
      <w:r>
        <w:rPr>
          <w:rFonts w:ascii="Arial" w:cs="Arial" w:eastAsia="Arial" w:hAnsi="Arial"/>
          <w:sz w:val="22"/>
          <w:szCs w:val="22"/>
          <w:b w:val="1"/>
          <w:bCs w:val="1"/>
          <w:u w:val="single" w:color="auto"/>
          <w:color w:val="auto"/>
        </w:rPr>
        <w:t>Class E Common Shares</w:t>
      </w:r>
      <w:r>
        <w:rPr>
          <w:rFonts w:ascii="Arial" w:cs="Arial" w:eastAsia="Arial" w:hAnsi="Arial"/>
          <w:sz w:val="22"/>
          <w:szCs w:val="22"/>
          <w:color w:val="auto"/>
        </w:rPr>
        <w:t>. Pursuant to the Honda Purchase Agreement, and subject to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thereof, Honda has committed to make, and substantially concurrently with the execution of this Agreement, Honda has made Capital Contributions totaling $750,000,000 in the aggregate (the “Honda </w:t>
      </w:r>
      <w:r>
        <w:rPr>
          <w:rFonts w:ascii="Arial" w:cs="Arial" w:eastAsia="Arial" w:hAnsi="Arial"/>
          <w:sz w:val="22"/>
          <w:szCs w:val="22"/>
          <w:b w:val="1"/>
          <w:bCs w:val="1"/>
          <w:color w:val="auto"/>
        </w:rPr>
        <w:t>Commitment</w:t>
      </w:r>
      <w:r>
        <w:rPr>
          <w:rFonts w:ascii="Arial" w:cs="Arial" w:eastAsia="Arial" w:hAnsi="Arial"/>
          <w:sz w:val="22"/>
          <w:szCs w:val="22"/>
          <w:color w:val="auto"/>
        </w:rPr>
        <w:t>”), pursuant to which the Company has issued to Honda 495,000 Class E Common Shares.</w:t>
      </w:r>
    </w:p>
    <w:p>
      <w:pPr>
        <w:spacing w:after="0" w:line="3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22"/>
          <w:szCs w:val="22"/>
          <w:b w:val="1"/>
          <w:bCs w:val="1"/>
          <w:u w:val="single" w:color="auto"/>
          <w:color w:val="auto"/>
        </w:rPr>
        <w:t>Other Contributions</w:t>
      </w:r>
      <w:r>
        <w:rPr>
          <w:rFonts w:ascii="Arial" w:cs="Arial" w:eastAsia="Arial" w:hAnsi="Arial"/>
          <w:sz w:val="22"/>
          <w:szCs w:val="22"/>
          <w:color w:val="auto"/>
        </w:rPr>
        <w:t>. No Member shall be required to make any contributions to the Company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Contributions as provided in this Article II or as otherwise expressly set forth in this Agreement. Subject to Section 2.07,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2.06 </w:t>
      </w:r>
      <w:r>
        <w:rPr>
          <w:rFonts w:ascii="Arial" w:cs="Arial" w:eastAsia="Arial" w:hAnsi="Arial"/>
          <w:sz w:val="22"/>
          <w:szCs w:val="22"/>
          <w:b w:val="1"/>
          <w:bCs w:val="1"/>
          <w:u w:val="single" w:color="auto"/>
          <w:color w:val="auto"/>
        </w:rPr>
        <w:t>Issuances of Shares</w:t>
      </w:r>
      <w:r>
        <w:rPr>
          <w:rFonts w:ascii="Arial" w:cs="Arial" w:eastAsia="Arial" w:hAnsi="Arial"/>
          <w:sz w:val="22"/>
          <w:szCs w:val="22"/>
          <w:color w:val="auto"/>
        </w:rPr>
        <w:t>. Subject to the limitations set forth in this Agreement (including Section 2.02, Section 2.07</w:t>
      </w:r>
      <w:r>
        <w:rPr>
          <w:rFonts w:ascii="Arial" w:cs="Arial" w:eastAsia="Arial" w:hAnsi="Arial"/>
          <w:sz w:val="22"/>
          <w:szCs w:val="22"/>
          <w:b w:val="1"/>
          <w:bCs w:val="1"/>
          <w:color w:val="auto"/>
        </w:rPr>
        <w:t xml:space="preserve"> </w:t>
      </w:r>
      <w:r>
        <w:rPr>
          <w:rFonts w:ascii="Arial" w:cs="Arial" w:eastAsia="Arial" w:hAnsi="Arial"/>
          <w:sz w:val="22"/>
          <w:szCs w:val="22"/>
          <w:color w:val="auto"/>
        </w:rPr>
        <w:t>and Section 6.13),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the Company shall not issue any Equity Securities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229" w:name="page230"/>
    <w:bookmarkEnd w:id="229"/>
    <w:p>
      <w:pPr>
        <w:jc w:val="both"/>
        <w:spacing w:after="0" w:line="253" w:lineRule="auto"/>
        <w:rPr>
          <w:sz w:val="20"/>
          <w:szCs w:val="20"/>
          <w:color w:val="auto"/>
        </w:rPr>
      </w:pPr>
      <w:r>
        <w:rPr>
          <w:rFonts w:ascii="Arial" w:cs="Arial" w:eastAsia="Arial" w:hAnsi="Arial"/>
          <w:sz w:val="22"/>
          <w:szCs w:val="22"/>
          <w:color w:val="auto"/>
        </w:rPr>
        <w:t>(whether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8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26" w:lineRule="exact"/>
        <w:rPr>
          <w:sz w:val="20"/>
          <w:szCs w:val="20"/>
          <w:color w:val="auto"/>
        </w:rPr>
      </w:pPr>
    </w:p>
    <w:p>
      <w:pPr>
        <w:jc w:val="both"/>
        <w:ind w:left="80" w:firstLine="1306"/>
        <w:spacing w:after="0" w:line="284" w:lineRule="auto"/>
        <w:tabs>
          <w:tab w:leader="none" w:pos="218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Except as provided in Section 2.07(e) or Section 2.07(f),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xml:space="preserve">”) to each holder of Preemptive Shares setting forth a description of the New Securities to be sold, the proposed purchase price, the aggregate number of New Securities to be sold and the terms and conditions of sale. Upon receipt of the Company’s Notice of Intention to Sell, each holder of Preemptive Shares shall have the right, during the Acceptance Period, to elect to purchase, at the price and on the terms and conditions stated in the Company’s Notice of Intention to Sell,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Section 2.07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2.07, then any Class A-1 Member, Class D Member or Class E Member who elects to purchase such New Securities pursuant to this Section 2.07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2.07. If one or more holders of Preemptive Shares do not elect to purchase their entire share of the New Securities (such aggregate portion of New Securities that has not been so elected, the “</w:t>
      </w:r>
      <w:r>
        <w:rPr>
          <w:rFonts w:ascii="Arial" w:cs="Arial" w:eastAsia="Arial" w:hAnsi="Arial"/>
          <w:sz w:val="19"/>
          <w:szCs w:val="19"/>
          <w:b w:val="1"/>
          <w:bCs w:val="1"/>
          <w:color w:val="auto"/>
        </w:rPr>
        <w:t>Excess New Securities</w:t>
      </w:r>
      <w:r>
        <w:rPr>
          <w:rFonts w:ascii="Arial" w:cs="Arial" w:eastAsia="Arial" w:hAnsi="Arial"/>
          <w:sz w:val="19"/>
          <w:szCs w:val="19"/>
          <w:color w:val="auto"/>
        </w:rPr>
        <w:t>”), then the Company will offer, by written notice (the “</w:t>
      </w:r>
      <w:r>
        <w:rPr>
          <w:rFonts w:ascii="Arial" w:cs="Arial" w:eastAsia="Arial" w:hAnsi="Arial"/>
          <w:sz w:val="19"/>
          <w:szCs w:val="19"/>
          <w:b w:val="1"/>
          <w:bCs w:val="1"/>
          <w:color w:val="auto"/>
        </w:rPr>
        <w:t>Supplemental Notice of Intention to Sell</w:t>
      </w:r>
      <w:r>
        <w:rPr>
          <w:rFonts w:ascii="Arial" w:cs="Arial" w:eastAsia="Arial" w:hAnsi="Arial"/>
          <w:sz w:val="19"/>
          <w:szCs w:val="19"/>
          <w:color w:val="auto"/>
        </w:rPr>
        <w:t>”), to each holder of Preemptive Shares who has elected to purchase his, her or its entire proportion of the New Securities pursuant to this Section 2.07 the right to elect to purchase, at the price and on the terms and conditions stated in the Company’s Notice of Intention to Sell, their Preemptive Proportion (calculated as if the Total Conversion Shares excludes all Shares of each holder of Preemptive Shares that did not elect to purchase their entire share of the New Securities) of the Excess New Securities such that all of the Excess New Securities may be purchased by such holders, if so elected. All elections under this Section 2.07(a)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19"/>
          <w:szCs w:val="19"/>
          <w:b w:val="1"/>
          <w:bCs w:val="1"/>
          <w:color w:val="auto"/>
        </w:rPr>
        <w:t>Acceptance Period</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left="80" w:firstLine="1306"/>
        <w:spacing w:after="0" w:line="250" w:lineRule="auto"/>
        <w:tabs>
          <w:tab w:leader="none" w:pos="219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230" w:name="page231"/>
    <w:bookmarkEnd w:id="230"/>
    <w:p>
      <w:pPr>
        <w:jc w:val="both"/>
        <w:ind w:left="80"/>
        <w:spacing w:after="0" w:line="253" w:lineRule="auto"/>
        <w:rPr>
          <w:sz w:val="20"/>
          <w:szCs w:val="20"/>
          <w:color w:val="auto"/>
        </w:rPr>
      </w:pPr>
      <w:r>
        <w:rPr>
          <w:rFonts w:ascii="Arial" w:cs="Arial" w:eastAsia="Arial" w:hAnsi="Arial"/>
          <w:sz w:val="22"/>
          <w:szCs w:val="22"/>
          <w:color w:val="auto"/>
        </w:rPr>
        <w:t>Notice of Intention to Sell, if the same is issued), sell and issue any of the New Securities not elected for purchase pursuant to Section 2.07(a) to any Person(s) at a price and upon terms and conditions no more favorable, in the aggregate, to such Person(s) than those stated in the Company’s Notice of Intention to Sell.</w:t>
      </w:r>
    </w:p>
    <w:p>
      <w:pPr>
        <w:spacing w:after="0" w:line="186" w:lineRule="exact"/>
        <w:rPr>
          <w:sz w:val="20"/>
          <w:szCs w:val="20"/>
          <w:color w:val="auto"/>
        </w:rPr>
      </w:pPr>
    </w:p>
    <w:p>
      <w:pPr>
        <w:jc w:val="both"/>
        <w:ind w:left="80" w:firstLine="1306"/>
        <w:spacing w:after="0" w:line="253" w:lineRule="auto"/>
        <w:tabs>
          <w:tab w:leader="none" w:pos="218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2.07(a).</w:t>
      </w:r>
    </w:p>
    <w:p>
      <w:pPr>
        <w:spacing w:after="0" w:line="185" w:lineRule="exact"/>
        <w:rPr>
          <w:rFonts w:ascii="Arial" w:cs="Arial" w:eastAsia="Arial" w:hAnsi="Arial"/>
          <w:sz w:val="22"/>
          <w:szCs w:val="22"/>
          <w:color w:val="auto"/>
        </w:rPr>
      </w:pPr>
    </w:p>
    <w:p>
      <w:pPr>
        <w:jc w:val="both"/>
        <w:ind w:left="80" w:firstLine="1306"/>
        <w:spacing w:after="0" w:line="294" w:lineRule="auto"/>
        <w:tabs>
          <w:tab w:leader="none" w:pos="2196"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49" w:lineRule="exact"/>
        <w:rPr>
          <w:rFonts w:ascii="Arial" w:cs="Arial" w:eastAsia="Arial" w:hAnsi="Arial"/>
          <w:sz w:val="19"/>
          <w:szCs w:val="19"/>
          <w:color w:val="auto"/>
        </w:rPr>
      </w:pPr>
    </w:p>
    <w:p>
      <w:pPr>
        <w:jc w:val="both"/>
        <w:ind w:left="80" w:firstLine="1306"/>
        <w:spacing w:after="0" w:line="288" w:lineRule="auto"/>
        <w:tabs>
          <w:tab w:leader="none" w:pos="218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 no holder of Preemptive Shares shall have a right to purchase New Securities pursuant to this Section 2.07,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 may comply with the provisions of this Section 2.07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2.07(a) with respect to their purchase, for cash, of such New Securities as they would have been entitled to purchase pursuant to Section 2.07(a).</w:t>
      </w:r>
    </w:p>
    <w:p>
      <w:pPr>
        <w:spacing w:after="0" w:line="160" w:lineRule="exact"/>
        <w:rPr>
          <w:rFonts w:ascii="Arial" w:cs="Arial" w:eastAsia="Arial" w:hAnsi="Arial"/>
          <w:sz w:val="19"/>
          <w:szCs w:val="19"/>
          <w:color w:val="auto"/>
        </w:rPr>
      </w:pPr>
    </w:p>
    <w:p>
      <w:pPr>
        <w:ind w:left="80" w:right="20" w:firstLine="1306"/>
        <w:spacing w:after="0" w:line="263" w:lineRule="auto"/>
        <w:tabs>
          <w:tab w:leader="none" w:pos="21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2.07, the preemptive rights contained in this Section 2.07 shall not apply to:</w:t>
      </w:r>
    </w:p>
    <w:p>
      <w:pPr>
        <w:spacing w:after="0" w:line="174" w:lineRule="exact"/>
        <w:rPr>
          <w:rFonts w:ascii="Arial" w:cs="Arial" w:eastAsia="Arial" w:hAnsi="Arial"/>
          <w:sz w:val="22"/>
          <w:szCs w:val="22"/>
          <w:color w:val="auto"/>
        </w:rPr>
      </w:pPr>
    </w:p>
    <w:p>
      <w:pPr>
        <w:ind w:firstLine="1953"/>
        <w:spacing w:after="0" w:line="263" w:lineRule="auto"/>
        <w:tabs>
          <w:tab w:leader="none" w:pos="2797" w:val="left"/>
        </w:tabs>
        <w:numPr>
          <w:ilvl w:val="1"/>
          <w:numId w:val="191"/>
        </w:numPr>
        <w:rPr>
          <w:rFonts w:ascii="Arial" w:cs="Arial" w:eastAsia="Arial" w:hAnsi="Arial"/>
          <w:sz w:val="22"/>
          <w:szCs w:val="22"/>
          <w:color w:val="auto"/>
        </w:rPr>
      </w:pPr>
      <w:r>
        <w:rPr>
          <w:rFonts w:ascii="Arial" w:cs="Arial" w:eastAsia="Arial" w:hAnsi="Arial"/>
          <w:sz w:val="22"/>
          <w:szCs w:val="22"/>
          <w:color w:val="auto"/>
        </w:rPr>
        <w:t>any Equity Securities issued pursuant to the funding of the GM Commitment, the SoftBank Commitment and the Subsequent SoftBank Commitment;</w:t>
      </w:r>
    </w:p>
    <w:p>
      <w:pPr>
        <w:spacing w:after="0" w:line="66" w:lineRule="exact"/>
        <w:rPr>
          <w:rFonts w:ascii="Arial" w:cs="Arial" w:eastAsia="Arial" w:hAnsi="Arial"/>
          <w:sz w:val="22"/>
          <w:szCs w:val="22"/>
          <w:color w:val="auto"/>
        </w:rPr>
      </w:pPr>
    </w:p>
    <w:p>
      <w:pPr>
        <w:ind w:left="2860" w:hanging="907"/>
        <w:spacing w:after="0"/>
        <w:tabs>
          <w:tab w:leader="none" w:pos="286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any Equity Securities issued pursuant to Sections 2.10 or 2.11;</w:t>
      </w:r>
    </w:p>
    <w:p>
      <w:pPr>
        <w:spacing w:after="0" w:line="111" w:lineRule="exact"/>
        <w:rPr>
          <w:rFonts w:ascii="Arial" w:cs="Arial" w:eastAsia="Arial" w:hAnsi="Arial"/>
          <w:sz w:val="22"/>
          <w:szCs w:val="22"/>
          <w:color w:val="auto"/>
        </w:rPr>
      </w:pPr>
    </w:p>
    <w:p>
      <w:pPr>
        <w:ind w:right="20" w:firstLine="1953"/>
        <w:spacing w:after="0" w:line="263" w:lineRule="auto"/>
        <w:tabs>
          <w:tab w:leader="none" w:pos="2917" w:val="left"/>
        </w:tabs>
        <w:numPr>
          <w:ilvl w:val="1"/>
          <w:numId w:val="191"/>
        </w:numPr>
        <w:rPr>
          <w:rFonts w:ascii="Arial" w:cs="Arial" w:eastAsia="Arial" w:hAnsi="Arial"/>
          <w:sz w:val="22"/>
          <w:szCs w:val="22"/>
          <w:color w:val="auto"/>
        </w:rPr>
      </w:pPr>
      <w:r>
        <w:rPr>
          <w:rFonts w:ascii="Arial" w:cs="Arial" w:eastAsia="Arial" w:hAnsi="Arial"/>
          <w:sz w:val="22"/>
          <w:szCs w:val="22"/>
          <w:color w:val="auto"/>
        </w:rPr>
        <w:t>any Class B Common Shares that may be issued to Employee Members, including upon the exercise or settlement of any Equity Award;</w:t>
      </w:r>
    </w:p>
    <w:p>
      <w:pPr>
        <w:spacing w:after="0" w:line="66" w:lineRule="exact"/>
        <w:rPr>
          <w:rFonts w:ascii="Arial" w:cs="Arial" w:eastAsia="Arial" w:hAnsi="Arial"/>
          <w:sz w:val="22"/>
          <w:szCs w:val="22"/>
          <w:color w:val="auto"/>
        </w:rPr>
      </w:pPr>
    </w:p>
    <w:p>
      <w:pPr>
        <w:ind w:left="2920" w:hanging="967"/>
        <w:spacing w:after="0"/>
        <w:tabs>
          <w:tab w:leader="none" w:pos="292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any Equity Securities issued in connection with an IPO (including pursuant to Section 9.10(c));</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231" w:name="page232"/>
    <w:bookmarkEnd w:id="231"/>
    <w:p>
      <w:pPr>
        <w:ind w:firstLine="1953"/>
        <w:spacing w:after="0" w:line="263" w:lineRule="auto"/>
        <w:tabs>
          <w:tab w:leader="none" w:pos="2845"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Equity Securities issued upon any subdivision, split, recapitalization, reclassification, combination or similar reorganization.</w:t>
      </w:r>
    </w:p>
    <w:p>
      <w:pPr>
        <w:spacing w:after="0" w:line="2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2.08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 representing Shares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3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2.09 </w:t>
      </w:r>
      <w:r>
        <w:rPr>
          <w:rFonts w:ascii="Arial" w:cs="Arial" w:eastAsia="Arial" w:hAnsi="Arial"/>
          <w:sz w:val="21"/>
          <w:szCs w:val="21"/>
          <w:b w:val="1"/>
          <w:bCs w:val="1"/>
          <w:u w:val="single" w:color="auto"/>
          <w:color w:val="auto"/>
        </w:rPr>
        <w:t>Repurchase Rights</w:t>
      </w:r>
      <w:r>
        <w:rPr>
          <w:rFonts w:ascii="Arial" w:cs="Arial" w:eastAsia="Arial" w:hAnsi="Arial"/>
          <w:sz w:val="21"/>
          <w:szCs w:val="21"/>
          <w:color w:val="auto"/>
        </w:rPr>
        <w:t>. If an Employee Member ceases to be employed by or provide services to the Company or</w:t>
      </w:r>
      <w:r>
        <w:rPr>
          <w:rFonts w:ascii="Arial" w:cs="Arial" w:eastAsia="Arial" w:hAnsi="Arial"/>
          <w:sz w:val="21"/>
          <w:szCs w:val="21"/>
          <w:b w:val="1"/>
          <w:bCs w:val="1"/>
          <w:color w:val="auto"/>
        </w:rPr>
        <w:t xml:space="preserve"> </w:t>
      </w:r>
      <w:r>
        <w:rPr>
          <w:rFonts w:ascii="Arial" w:cs="Arial" w:eastAsia="Arial" w:hAnsi="Arial"/>
          <w:sz w:val="21"/>
          <w:szCs w:val="21"/>
          <w:color w:val="auto"/>
        </w:rPr>
        <w:t>any of 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Share Grant Agreement or other agreement (or agreements) with the Company) at a price per Class B Common Share specified by, on the timeline provided by, and otherwise on the terms and conditions contained within, a Share Grant Agreement or other agreement (or agreements) between an Employee Member and the Company.</w:t>
      </w:r>
    </w:p>
    <w:p>
      <w:pPr>
        <w:spacing w:after="0" w:line="39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pacing w:after="0" w:line="200" w:lineRule="exact"/>
        <w:rPr>
          <w:sz w:val="20"/>
          <w:szCs w:val="20"/>
          <w:color w:val="auto"/>
        </w:rPr>
      </w:pPr>
    </w:p>
    <w:p>
      <w:pPr>
        <w:spacing w:after="0" w:line="242" w:lineRule="exact"/>
        <w:rPr>
          <w:sz w:val="20"/>
          <w:szCs w:val="20"/>
          <w:color w:val="auto"/>
        </w:rPr>
      </w:pPr>
    </w:p>
    <w:p>
      <w:pPr>
        <w:jc w:val="both"/>
        <w:ind w:firstLine="1305"/>
        <w:spacing w:after="0" w:line="248" w:lineRule="auto"/>
        <w:tabs>
          <w:tab w:leader="none" w:pos="218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Section 2.10(a) shall be effective as of the close of business on the first (1st) Business Day after the Company’s receipt of the conversion notice.</w:t>
      </w:r>
    </w:p>
    <w:p>
      <w:pPr>
        <w:spacing w:after="0" w:line="192" w:lineRule="exact"/>
        <w:rPr>
          <w:rFonts w:ascii="Arial" w:cs="Arial" w:eastAsia="Arial" w:hAnsi="Arial"/>
          <w:sz w:val="22"/>
          <w:szCs w:val="22"/>
          <w:color w:val="auto"/>
        </w:rPr>
      </w:pPr>
    </w:p>
    <w:p>
      <w:pPr>
        <w:jc w:val="both"/>
        <w:ind w:firstLine="1305"/>
        <w:spacing w:after="0" w:line="271" w:lineRule="auto"/>
        <w:tabs>
          <w:tab w:leader="none" w:pos="2197" w:val="left"/>
        </w:tabs>
        <w:numPr>
          <w:ilvl w:val="0"/>
          <w:numId w:val="193"/>
        </w:numPr>
        <w:rPr>
          <w:rFonts w:ascii="Arial" w:cs="Arial" w:eastAsia="Arial" w:hAnsi="Arial"/>
          <w:sz w:val="21"/>
          <w:szCs w:val="21"/>
          <w:color w:val="auto"/>
        </w:rPr>
      </w:pPr>
      <w:r>
        <w:rPr>
          <w:rFonts w:ascii="Arial" w:cs="Arial" w:eastAsia="Arial" w:hAnsi="Arial"/>
          <w:sz w:val="21"/>
          <w:szCs w:val="21"/>
          <w:color w:val="auto"/>
        </w:rPr>
        <w:t>In connection with any conversion pursuant to Section 2.10(a),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67" w:lineRule="exact"/>
        <w:rPr>
          <w:rFonts w:ascii="Arial" w:cs="Arial" w:eastAsia="Arial" w:hAnsi="Arial"/>
          <w:sz w:val="21"/>
          <w:szCs w:val="21"/>
          <w:color w:val="auto"/>
        </w:rPr>
      </w:pPr>
    </w:p>
    <w:p>
      <w:pPr>
        <w:jc w:val="both"/>
        <w:ind w:firstLine="1305"/>
        <w:spacing w:after="0" w:line="250" w:lineRule="auto"/>
        <w:tabs>
          <w:tab w:leader="none" w:pos="218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2.10 shall cease to have the rights, preferences and privileges provided under this Agreement for the Class A-1 Preferred Shares and shall thereafter be treated as a Class D Common Share for all purposes.</w:t>
      </w:r>
    </w:p>
    <w:p>
      <w:pPr>
        <w:spacing w:after="0" w:line="18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94" w:lineRule="auto"/>
        <w:tabs>
          <w:tab w:leader="none" w:pos="218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2.11 shall be effective as of the close of business on the first (1st) Business Day after the Company’s receipt of the conversion notice.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232" w:name="page233"/>
    <w:bookmarkEnd w:id="232"/>
    <w:p>
      <w:pPr>
        <w:jc w:val="both"/>
        <w:ind w:firstLine="1305"/>
        <w:spacing w:after="0" w:line="250" w:lineRule="auto"/>
        <w:tabs>
          <w:tab w:leader="none" w:pos="219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2.11 shall cease to have the rights, preferences and privileges provided under this Agreement for the Class A-2 Preferred Shares and shall thereafter be treated as a Class C Common Share for all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26" w:lineRule="exact"/>
        <w:rPr>
          <w:sz w:val="20"/>
          <w:szCs w:val="20"/>
          <w:color w:val="auto"/>
        </w:rPr>
      </w:pPr>
    </w:p>
    <w:p>
      <w:pPr>
        <w:ind w:right="20" w:firstLine="1305"/>
        <w:spacing w:after="0" w:line="263" w:lineRule="auto"/>
        <w:tabs>
          <w:tab w:leader="none" w:pos="218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Subject to Section 3.02 and Section 3.03, and in accordance with the provisions of this Section 3.01, Distributions pursuant to this Article III shall be made Quarterly in arrears (on the final day of each Quarter) in the following order of priority:</w:t>
      </w:r>
    </w:p>
    <w:p>
      <w:pPr>
        <w:spacing w:after="0" w:line="185" w:lineRule="exact"/>
        <w:rPr>
          <w:rFonts w:ascii="Arial" w:cs="Arial" w:eastAsia="Arial" w:hAnsi="Arial"/>
          <w:sz w:val="22"/>
          <w:szCs w:val="22"/>
          <w:color w:val="auto"/>
        </w:rPr>
      </w:pPr>
    </w:p>
    <w:p>
      <w:pPr>
        <w:jc w:val="both"/>
        <w:ind w:firstLine="1953"/>
        <w:spacing w:after="0" w:line="258" w:lineRule="auto"/>
        <w:tabs>
          <w:tab w:leader="none" w:pos="2797" w:val="left"/>
        </w:tabs>
        <w:numPr>
          <w:ilvl w:val="1"/>
          <w:numId w:val="196"/>
        </w:numPr>
        <w:rPr>
          <w:rFonts w:ascii="Arial" w:cs="Arial" w:eastAsia="Arial" w:hAnsi="Arial"/>
          <w:sz w:val="21"/>
          <w:szCs w:val="21"/>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(i) cash or (ii)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183" w:lineRule="exact"/>
        <w:rPr>
          <w:rFonts w:ascii="Arial" w:cs="Arial" w:eastAsia="Arial" w:hAnsi="Arial"/>
          <w:sz w:val="21"/>
          <w:szCs w:val="21"/>
          <w:color w:val="auto"/>
        </w:rPr>
      </w:pPr>
    </w:p>
    <w:p>
      <w:pPr>
        <w:jc w:val="both"/>
        <w:ind w:firstLine="1953"/>
        <w:spacing w:after="0" w:line="289" w:lineRule="auto"/>
        <w:tabs>
          <w:tab w:leader="none" w:pos="2857" w:val="left"/>
        </w:tabs>
        <w:numPr>
          <w:ilvl w:val="1"/>
          <w:numId w:val="196"/>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Distributions shall be made to the Junior Members until the cumulative amount received in cash by each of the Members pursuant to this Section 3.01(b)(ii) and Section 3.01(b)(i) with respect to all such Distributions made after the date of this Agreement to the relevant calculation date (including, for clarity, any Distributions made in such applicable Quarter pursuant to Section 3.01(b)(i)), equals the amount such Member would have received if all such Distributions had been distributed ratably on an as-converted basis (for the purpose of such calculation with the Class A-1 Preferred Shares being deemed converted to Class D Common Shares pursuant to Section 2.10(b)) among such Members based upon the number of Junior Interests held by each such Junior Member and the number of Class A-1 Preferred Shares held by each such Class A-1 Preferred Member, in each case, immediately prior to such Distribution. For the avoidance of doubt, the Class A-1 Preferred Shares shall not be entitled to any Distributions pursuant to this Section 3.01(b)(ii).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233" w:name="page234"/>
    <w:bookmarkEnd w:id="233"/>
    <w:p>
      <w:pPr>
        <w:jc w:val="both"/>
        <w:ind w:firstLine="1953"/>
        <w:spacing w:after="0" w:line="260" w:lineRule="auto"/>
        <w:tabs>
          <w:tab w:leader="none" w:pos="2917" w:val="left"/>
        </w:tabs>
        <w:numPr>
          <w:ilvl w:val="1"/>
          <w:numId w:val="197"/>
        </w:numPr>
        <w:rPr>
          <w:rFonts w:ascii="Arial" w:cs="Arial" w:eastAsia="Arial" w:hAnsi="Arial"/>
          <w:sz w:val="21"/>
          <w:szCs w:val="21"/>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xml:space="preserve">, all further Distributions shall be made to each Junior Member and Class A-1 Preferred Member ratably on an as-converted basis among such Members based upon the number of Junior Interests held by each such Junior Member and the number of Class A-1 Preferred Shares held by each such Class A-1 Preferred Member, in each case, immediately prior to such Distribution; </w:t>
      </w:r>
      <w:r>
        <w:rPr>
          <w:rFonts w:ascii="Arial" w:cs="Arial" w:eastAsia="Arial" w:hAnsi="Arial"/>
          <w:sz w:val="21"/>
          <w:szCs w:val="21"/>
          <w:u w:val="single" w:color="auto"/>
          <w:color w:val="auto"/>
        </w:rPr>
        <w:t>provided</w:t>
      </w:r>
      <w:r>
        <w:rPr>
          <w:rFonts w:ascii="Arial" w:cs="Arial" w:eastAsia="Arial" w:hAnsi="Arial"/>
          <w:sz w:val="21"/>
          <w:szCs w:val="21"/>
          <w:color w:val="auto"/>
        </w:rPr>
        <w:t>, that, for the purposes of this Section 3.01(b)(iii), the Class A-1 Preferred Shares shall be deemed converted to Class D Common Shares pursuant to Section 2.10(b) without (for the purposes of calculating such conversion) any reduction in the Class A-1-A Preferred Unpaid Return or Class A-1-B Preferred Unpaid Return due to Distributions for such Quarter made pursuant to this Section 3.01(b)(iii).</w:t>
      </w:r>
    </w:p>
    <w:p>
      <w:pPr>
        <w:spacing w:after="0" w:line="181" w:lineRule="exact"/>
        <w:rPr>
          <w:rFonts w:ascii="Arial" w:cs="Arial" w:eastAsia="Arial" w:hAnsi="Arial"/>
          <w:sz w:val="21"/>
          <w:szCs w:val="21"/>
          <w:color w:val="auto"/>
        </w:rPr>
      </w:pPr>
    </w:p>
    <w:p>
      <w:pPr>
        <w:jc w:val="both"/>
        <w:ind w:firstLine="1305"/>
        <w:spacing w:after="0" w:line="290" w:lineRule="auto"/>
        <w:tabs>
          <w:tab w:leader="none" w:pos="2185" w:val="left"/>
        </w:tabs>
        <w:numPr>
          <w:ilvl w:val="0"/>
          <w:numId w:val="198"/>
        </w:numPr>
        <w:rPr>
          <w:rFonts w:ascii="Arial" w:cs="Arial" w:eastAsia="Arial" w:hAnsi="Arial"/>
          <w:sz w:val="19"/>
          <w:szCs w:val="19"/>
          <w:color w:val="auto"/>
        </w:rPr>
      </w:pPr>
      <w:r>
        <w:rPr>
          <w:rFonts w:ascii="Arial" w:cs="Arial" w:eastAsia="Arial" w:hAnsi="Arial"/>
          <w:sz w:val="19"/>
          <w:szCs w:val="19"/>
          <w:color w:val="auto"/>
        </w:rPr>
        <w:t>No later than five (5) Business Days prior to the end of each Quarter, the Company will send written notice to each Class A-1 Preferred Member stating whether the 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156" w:lineRule="exact"/>
        <w:rPr>
          <w:rFonts w:ascii="Arial" w:cs="Arial" w:eastAsia="Arial" w:hAnsi="Arial"/>
          <w:sz w:val="19"/>
          <w:szCs w:val="19"/>
          <w:color w:val="auto"/>
        </w:rPr>
      </w:pPr>
    </w:p>
    <w:p>
      <w:pPr>
        <w:jc w:val="both"/>
        <w:ind w:firstLine="1305"/>
        <w:spacing w:after="0" w:line="297" w:lineRule="auto"/>
        <w:tabs>
          <w:tab w:leader="none" w:pos="2197" w:val="left"/>
        </w:tabs>
        <w:numPr>
          <w:ilvl w:val="0"/>
          <w:numId w:val="198"/>
        </w:numPr>
        <w:rPr>
          <w:rFonts w:ascii="Arial" w:cs="Arial" w:eastAsia="Arial" w:hAnsi="Arial"/>
          <w:sz w:val="19"/>
          <w:szCs w:val="19"/>
          <w:color w:val="auto"/>
        </w:rPr>
      </w:pPr>
      <w:r>
        <w:rPr>
          <w:rFonts w:ascii="Arial" w:cs="Arial" w:eastAsia="Arial" w:hAnsi="Arial"/>
          <w:sz w:val="19"/>
          <w:szCs w:val="19"/>
          <w:color w:val="auto"/>
        </w:rPr>
        <w:t>No distributions shall be made in respect of a Vested Class B Common Share pursuant to Section 3.01(b) (ii), Section 3.01(b)(iii) or Section 3.02(a)(iii), until such time that an aggregate amount of Distributions (since the date of grant of such Class B Common Share) pursuant to Section 3.01(b) or 3.02(a), as applicable, equal to the Class B Floor Amount shall have been Distributed on each Class C Common Share. For the avoidance of doubt, no holder of any Class B Common Share will later have the right to receive any amount foregone pursuant to the preceding sentence of this Section 3.01(d).</w:t>
      </w:r>
    </w:p>
    <w:p>
      <w:pPr>
        <w:spacing w:after="0" w:line="147" w:lineRule="exact"/>
        <w:rPr>
          <w:rFonts w:ascii="Arial" w:cs="Arial" w:eastAsia="Arial" w:hAnsi="Arial"/>
          <w:sz w:val="19"/>
          <w:szCs w:val="19"/>
          <w:color w:val="auto"/>
        </w:rPr>
      </w:pPr>
    </w:p>
    <w:p>
      <w:pPr>
        <w:jc w:val="both"/>
        <w:ind w:firstLine="1305"/>
        <w:spacing w:after="0" w:line="253" w:lineRule="auto"/>
        <w:tabs>
          <w:tab w:leader="none" w:pos="218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85" w:lineRule="exact"/>
        <w:rPr>
          <w:rFonts w:ascii="Arial" w:cs="Arial" w:eastAsia="Arial" w:hAnsi="Arial"/>
          <w:sz w:val="22"/>
          <w:szCs w:val="22"/>
          <w:color w:val="auto"/>
        </w:rPr>
      </w:pPr>
    </w:p>
    <w:p>
      <w:pPr>
        <w:ind w:firstLine="1305"/>
        <w:spacing w:after="0" w:line="287" w:lineRule="auto"/>
        <w:tabs>
          <w:tab w:leader="none" w:pos="216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Notwithstanding any provision to the contrary contained in this Agreement the Company shall not make any Distribution to Members if such Distribution would violate Section 18-607 of the Act or other applicable law.</w:t>
      </w:r>
    </w:p>
    <w:p>
      <w:pPr>
        <w:spacing w:after="0" w:line="36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3" w:lineRule="auto"/>
        <w:tabs>
          <w:tab w:leader="none" w:pos="218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Notwithstanding Section 3.01, upon a liquidation (pursuant to Article X) or a Deemed Liquidation Event, the Company shall distribute the net proceeds or assets available for distribution, whether in cash or in other property, to the Members as follows:</w:t>
      </w:r>
    </w:p>
    <w:p>
      <w:pPr>
        <w:spacing w:after="0" w:line="185" w:lineRule="exact"/>
        <w:rPr>
          <w:rFonts w:ascii="Arial" w:cs="Arial" w:eastAsia="Arial" w:hAnsi="Arial"/>
          <w:sz w:val="22"/>
          <w:szCs w:val="22"/>
          <w:color w:val="auto"/>
        </w:rPr>
      </w:pPr>
    </w:p>
    <w:p>
      <w:pPr>
        <w:ind w:right="20" w:firstLine="1953"/>
        <w:spacing w:after="0" w:line="263" w:lineRule="auto"/>
        <w:tabs>
          <w:tab w:leader="none" w:pos="2797" w:val="left"/>
        </w:tabs>
        <w:numPr>
          <w:ilvl w:val="1"/>
          <w:numId w:val="199"/>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Class A-1 Preferred Members shall receive,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(proportional to their share of the aggregate Class A-1 Liquidation Preference Amount for all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234" w:name="page235"/>
    <w:bookmarkEnd w:id="234"/>
    <w:p>
      <w:pPr>
        <w:jc w:val="both"/>
        <w:spacing w:after="0" w:line="302" w:lineRule="auto"/>
        <w:rPr>
          <w:sz w:val="20"/>
          <w:szCs w:val="20"/>
          <w:color w:val="auto"/>
        </w:rPr>
      </w:pPr>
      <w:r>
        <w:rPr>
          <w:rFonts w:ascii="Arial" w:cs="Arial" w:eastAsia="Arial" w:hAnsi="Arial"/>
          <w:sz w:val="19"/>
          <w:szCs w:val="19"/>
          <w:color w:val="auto"/>
        </w:rPr>
        <w:t>Class A-1 Preferred Shares) for each Class A-1 Preferred Share, the greater of (A) for each Class A-1 Preferred Share held by such Class A-1 Preferred Member, the applicable Class A-1 Liquidation Preference Amount, and (B) the amount distributable pursuant to Section 3.02(a)(iii) with respect to such Class A-1 Preferred Share as if such Share had converted into a Class D Common Share (pursuant to Section 2.10) immediately prior to the event giving rise to a Distribution pursuant to this Section 3.02.</w:t>
      </w:r>
    </w:p>
    <w:p>
      <w:pPr>
        <w:spacing w:after="0" w:line="143" w:lineRule="exact"/>
        <w:rPr>
          <w:sz w:val="20"/>
          <w:szCs w:val="20"/>
          <w:color w:val="auto"/>
        </w:rPr>
      </w:pPr>
    </w:p>
    <w:p>
      <w:pPr>
        <w:jc w:val="both"/>
        <w:ind w:firstLine="1953"/>
        <w:spacing w:after="0" w:line="265" w:lineRule="auto"/>
        <w:tabs>
          <w:tab w:leader="none" w:pos="2857"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Class A-2 Preferred Members shall receive, for each Class A-2 Preferred Share, the greater of (A) the Class A-2 Liquidation Preference Amount and (B) the amount distributable pursuant to Section 3.02(a)(iii) with respect to such Class A-2 Preferred Share as if such Share had converted into a Class C Common Share (pursuant to Section 2.11) immediately prior to the event giving rise to a Distribution pursuant to this Section 3.02.</w:t>
      </w:r>
    </w:p>
    <w:p>
      <w:pPr>
        <w:spacing w:after="0" w:line="175" w:lineRule="exact"/>
        <w:rPr>
          <w:rFonts w:ascii="Arial" w:cs="Arial" w:eastAsia="Arial" w:hAnsi="Arial"/>
          <w:sz w:val="21"/>
          <w:szCs w:val="21"/>
          <w:color w:val="auto"/>
        </w:rPr>
      </w:pPr>
    </w:p>
    <w:p>
      <w:pPr>
        <w:ind w:firstLine="1953"/>
        <w:spacing w:after="0" w:line="343" w:lineRule="auto"/>
        <w:tabs>
          <w:tab w:leader="none" w:pos="2917"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Junior Members (other than the Class A-2 Preferred Members), ratably among such Members based upon the number of Junior Interests held by each such Junior Member (other than Class A-2 Preferred Shares).</w:t>
      </w:r>
    </w:p>
    <w:p>
      <w:pPr>
        <w:spacing w:after="0" w:line="98" w:lineRule="exact"/>
        <w:rPr>
          <w:rFonts w:ascii="Arial" w:cs="Arial" w:eastAsia="Arial" w:hAnsi="Arial"/>
          <w:sz w:val="19"/>
          <w:szCs w:val="19"/>
          <w:color w:val="auto"/>
        </w:rPr>
      </w:pPr>
    </w:p>
    <w:p>
      <w:pPr>
        <w:ind w:left="2200" w:hanging="895"/>
        <w:spacing w:after="0"/>
        <w:tabs>
          <w:tab w:leader="none" w:pos="22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Deemed Liquidation Event</w:t>
      </w:r>
      <w:r>
        <w:rPr>
          <w:rFonts w:ascii="Arial" w:cs="Arial" w:eastAsia="Arial" w:hAnsi="Arial"/>
          <w:sz w:val="19"/>
          <w:szCs w:val="19"/>
          <w:color w:val="auto"/>
        </w:rPr>
        <w:t>” shall occur upon either of a Sale of the Company or a Drag-Along Sale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Transaction.</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Unvested Class B Common Shares</w:t>
      </w:r>
      <w:r>
        <w:rPr>
          <w:rFonts w:ascii="Arial" w:cs="Arial" w:eastAsia="Arial" w:hAnsi="Arial"/>
          <w:sz w:val="19"/>
          <w:szCs w:val="19"/>
          <w:color w:val="auto"/>
        </w:rPr>
        <w:t>. Notwithstanding anything in this Agreement to the contrary, (a) no</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 shall be made in respect of any Class B Common Share that is not a Vested Class B Common Share, (b) any amount that would otherwise be distributable in cash in respect of a Class B Common Share pursuant to Section 3.01 or Section 3.02 but for the fact that such Class B Common Share is not a Vested Class B Common Share shall be withheld by the Company and Distributed with respect to such Class B Common Share, without interest, at the time of the first cash Distribution to the Junior Members following the date on which such Class B Common Share becomes a Vested Class B Common Share and (c) if a Class B Common Share that is not a Vested Class B Common Share is repurchased or forfeited (or otherwise becomes incapable of vesting), then such Class B Common Share shall not be entitled to receive or retain any Distributions.</w:t>
      </w:r>
    </w:p>
    <w:p>
      <w:pPr>
        <w:spacing w:after="0" w:line="3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3.04 </w:t>
      </w:r>
      <w:r>
        <w:rPr>
          <w:rFonts w:ascii="Arial" w:cs="Arial" w:eastAsia="Arial" w:hAnsi="Arial"/>
          <w:sz w:val="19"/>
          <w:szCs w:val="19"/>
          <w:b w:val="1"/>
          <w:bCs w:val="1"/>
          <w:u w:val="single" w:color="auto"/>
          <w:color w:val="auto"/>
        </w:rPr>
        <w:t>Distributions In-Kind</w:t>
      </w:r>
      <w:r>
        <w:rPr>
          <w:rFonts w:ascii="Arial" w:cs="Arial" w:eastAsia="Arial" w:hAnsi="Arial"/>
          <w:sz w:val="19"/>
          <w:szCs w:val="19"/>
          <w:color w:val="auto"/>
        </w:rPr>
        <w:t>. Distributions of property other than cash, including securities (but, for the avoidance of</w:t>
      </w:r>
      <w:r>
        <w:rPr>
          <w:rFonts w:ascii="Arial" w:cs="Arial" w:eastAsia="Arial" w:hAnsi="Arial"/>
          <w:sz w:val="19"/>
          <w:szCs w:val="19"/>
          <w:b w:val="1"/>
          <w:bCs w:val="1"/>
          <w:color w:val="auto"/>
        </w:rPr>
        <w:t xml:space="preserve"> </w:t>
      </w:r>
      <w:r>
        <w:rPr>
          <w:rFonts w:ascii="Arial" w:cs="Arial" w:eastAsia="Arial" w:hAnsi="Arial"/>
          <w:sz w:val="19"/>
          <w:szCs w:val="19"/>
          <w:color w:val="auto"/>
        </w:rPr>
        <w:t>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4.01 </w:t>
      </w:r>
      <w:r>
        <w:rPr>
          <w:rFonts w:ascii="Arial" w:cs="Arial" w:eastAsia="Arial" w:hAnsi="Arial"/>
          <w:sz w:val="22"/>
          <w:szCs w:val="22"/>
          <w:b w:val="1"/>
          <w:bCs w:val="1"/>
          <w:u w:val="single" w:color="auto"/>
          <w:color w:val="auto"/>
        </w:rPr>
        <w:t>Corporate Status</w:t>
      </w:r>
      <w:r>
        <w:rPr>
          <w:rFonts w:ascii="Arial" w:cs="Arial" w:eastAsia="Arial" w:hAnsi="Arial"/>
          <w:sz w:val="22"/>
          <w:szCs w:val="22"/>
          <w:color w:val="auto"/>
        </w:rPr>
        <w:t>. The Members intend that the Company be treated as a corporation for U.S. federal, and,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an entity classification may be made to treat the Entity as an association taxable as a corporation without any such consent.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 to a Member any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withheld by the Company under applicable law and, if so required, remit any such amounts to the applicable governmental authority.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15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8" w:lineRule="auto"/>
        <w:tabs>
          <w:tab w:leader="none" w:pos="2185"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GM Consolidated Group</w:t>
      </w:r>
      <w:r>
        <w:rPr>
          <w:rFonts w:ascii="Arial" w:cs="Arial" w:eastAsia="Arial" w:hAnsi="Arial"/>
          <w:sz w:val="21"/>
          <w:szCs w:val="21"/>
          <w:color w:val="auto"/>
        </w:rPr>
        <w:t xml:space="preserve">.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(i) the Company (ii) prior to the one-time Transfer permitted by Section 9.02(c), SoftBank or (iii) after the one-time Transfer permitted by Section 9.02(c), SVFA,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69" w:right="239" w:bottom="1440" w:gutter="0" w:footer="0" w:header="0"/>
        </w:sectPr>
      </w:pPr>
    </w:p>
    <w:bookmarkStart w:id="236" w:name="page237"/>
    <w:bookmarkEnd w:id="236"/>
    <w:p>
      <w:pPr>
        <w:spacing w:after="0"/>
        <w:rPr>
          <w:sz w:val="20"/>
          <w:szCs w:val="20"/>
          <w:color w:val="auto"/>
        </w:rPr>
      </w:pPr>
      <w:r>
        <w:rPr>
          <w:rFonts w:ascii="Arial" w:cs="Arial" w:eastAsia="Arial" w:hAnsi="Arial"/>
          <w:sz w:val="19"/>
          <w:szCs w:val="19"/>
          <w:color w:val="auto"/>
        </w:rPr>
        <w:t>without the Company’s, SoftBank’s or SVFA’s consent, as applicable, not to be unreasonably withheld, conditioned or delayed.</w:t>
      </w:r>
    </w:p>
    <w:p>
      <w:pPr>
        <w:spacing w:after="0" w:line="254" w:lineRule="exact"/>
        <w:rPr>
          <w:sz w:val="20"/>
          <w:szCs w:val="20"/>
          <w:color w:val="auto"/>
        </w:rPr>
      </w:pPr>
    </w:p>
    <w:p>
      <w:pPr>
        <w:ind w:left="2200" w:hanging="895"/>
        <w:spacing w:after="0"/>
        <w:tabs>
          <w:tab w:leader="none" w:pos="220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Payment from the GM Investor to the Company for Use of Company NOLs and Tax Credits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3"/>
        <w:spacing w:after="0" w:line="248" w:lineRule="auto"/>
        <w:tabs>
          <w:tab w:leader="none" w:pos="2797" w:val="left"/>
        </w:tabs>
        <w:numPr>
          <w:ilvl w:val="1"/>
          <w:numId w:val="203"/>
        </w:numPr>
        <w:rPr>
          <w:rFonts w:ascii="Arial" w:cs="Arial" w:eastAsia="Arial" w:hAnsi="Arial"/>
          <w:sz w:val="22"/>
          <w:szCs w:val="22"/>
          <w:color w:val="auto"/>
        </w:rPr>
      </w:pPr>
      <w:r>
        <w:rPr>
          <w:rFonts w:ascii="Arial" w:cs="Arial" w:eastAsia="Arial" w:hAnsi="Arial"/>
          <w:sz w:val="22"/>
          <w:szCs w:val="22"/>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 Days following delivery of written notice by the Company to the GM Investor of the amount of Excess NOL Tax Increase for such Tax Period.</w:t>
      </w:r>
    </w:p>
    <w:p>
      <w:pPr>
        <w:spacing w:after="0" w:line="192" w:lineRule="exact"/>
        <w:rPr>
          <w:rFonts w:ascii="Arial" w:cs="Arial" w:eastAsia="Arial" w:hAnsi="Arial"/>
          <w:sz w:val="22"/>
          <w:szCs w:val="22"/>
          <w:color w:val="auto"/>
        </w:rPr>
      </w:pPr>
    </w:p>
    <w:p>
      <w:pPr>
        <w:jc w:val="both"/>
        <w:ind w:firstLine="1953"/>
        <w:spacing w:after="0" w:line="257" w:lineRule="auto"/>
        <w:tabs>
          <w:tab w:leader="none" w:pos="2857" w:val="left"/>
        </w:tabs>
        <w:numPr>
          <w:ilvl w:val="1"/>
          <w:numId w:val="203"/>
        </w:numPr>
        <w:rPr>
          <w:rFonts w:ascii="Arial" w:cs="Arial" w:eastAsia="Arial" w:hAnsi="Arial"/>
          <w:sz w:val="21"/>
          <w:szCs w:val="21"/>
          <w:color w:val="auto"/>
        </w:rPr>
      </w:pPr>
      <w:r>
        <w:rPr>
          <w:rFonts w:ascii="Arial" w:cs="Arial" w:eastAsia="Arial" w:hAnsi="Arial"/>
          <w:sz w:val="21"/>
          <w:szCs w:val="21"/>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190" w:lineRule="exact"/>
        <w:rPr>
          <w:rFonts w:ascii="Arial" w:cs="Arial" w:eastAsia="Arial" w:hAnsi="Arial"/>
          <w:sz w:val="21"/>
          <w:szCs w:val="21"/>
          <w:color w:val="auto"/>
        </w:rPr>
      </w:pPr>
    </w:p>
    <w:p>
      <w:pPr>
        <w:jc w:val="both"/>
        <w:ind w:firstLine="1953"/>
        <w:spacing w:after="0" w:line="260" w:lineRule="auto"/>
        <w:tabs>
          <w:tab w:leader="none" w:pos="2917"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237" w:name="page238"/>
    <w:bookmarkEnd w:id="237"/>
    <w:p>
      <w:pPr>
        <w:ind w:left="2200" w:hanging="895"/>
        <w:spacing w:after="0"/>
        <w:tabs>
          <w:tab w:leader="none" w:pos="2200" w:val="left"/>
        </w:tabs>
        <w:numPr>
          <w:ilvl w:val="1"/>
          <w:numId w:val="204"/>
        </w:numPr>
        <w:rPr>
          <w:rFonts w:ascii="Arial" w:cs="Arial" w:eastAsia="Arial" w:hAnsi="Arial"/>
          <w:sz w:val="22"/>
          <w:szCs w:val="22"/>
          <w:color w:val="auto"/>
        </w:rPr>
      </w:pPr>
      <w:r>
        <w:rPr>
          <w:rFonts w:ascii="Arial" w:cs="Arial" w:eastAsia="Arial" w:hAnsi="Arial"/>
          <w:sz w:val="22"/>
          <w:szCs w:val="22"/>
          <w:u w:val="single" w:color="auto"/>
          <w:color w:val="auto"/>
        </w:rPr>
        <w:t>Payment from the Company to the GM Investor for Inclusion of Company Income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right="20" w:firstLine="1953"/>
        <w:spacing w:after="0" w:line="253" w:lineRule="auto"/>
        <w:tabs>
          <w:tab w:leader="none" w:pos="2797" w:val="left"/>
        </w:tabs>
        <w:numPr>
          <w:ilvl w:val="2"/>
          <w:numId w:val="204"/>
        </w:numPr>
        <w:rPr>
          <w:rFonts w:ascii="Arial" w:cs="Arial" w:eastAsia="Arial" w:hAnsi="Arial"/>
          <w:sz w:val="22"/>
          <w:szCs w:val="22"/>
          <w:color w:val="auto"/>
        </w:rPr>
      </w:pPr>
      <w:r>
        <w:rPr>
          <w:rFonts w:ascii="Arial" w:cs="Arial" w:eastAsia="Arial" w:hAnsi="Arial"/>
          <w:sz w:val="22"/>
          <w:szCs w:val="22"/>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85" w:lineRule="exact"/>
        <w:rPr>
          <w:rFonts w:ascii="Arial" w:cs="Arial" w:eastAsia="Arial" w:hAnsi="Arial"/>
          <w:sz w:val="22"/>
          <w:szCs w:val="22"/>
          <w:color w:val="auto"/>
        </w:rPr>
      </w:pPr>
    </w:p>
    <w:p>
      <w:pPr>
        <w:jc w:val="both"/>
        <w:ind w:firstLine="1953"/>
        <w:spacing w:after="0" w:line="248" w:lineRule="auto"/>
        <w:tabs>
          <w:tab w:leader="none" w:pos="2857" w:val="left"/>
        </w:tabs>
        <w:numPr>
          <w:ilvl w:val="2"/>
          <w:numId w:val="204"/>
        </w:numPr>
        <w:rPr>
          <w:rFonts w:ascii="Arial" w:cs="Arial" w:eastAsia="Arial" w:hAnsi="Arial"/>
          <w:sz w:val="22"/>
          <w:szCs w:val="22"/>
          <w:color w:val="auto"/>
        </w:rPr>
      </w:pPr>
      <w:r>
        <w:rPr>
          <w:rFonts w:ascii="Arial" w:cs="Arial" w:eastAsia="Arial" w:hAnsi="Arial"/>
          <w:sz w:val="22"/>
          <w:szCs w:val="22"/>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92" w:lineRule="exact"/>
        <w:rPr>
          <w:rFonts w:ascii="Arial" w:cs="Arial" w:eastAsia="Arial" w:hAnsi="Arial"/>
          <w:sz w:val="22"/>
          <w:szCs w:val="22"/>
          <w:color w:val="auto"/>
        </w:rPr>
      </w:pPr>
    </w:p>
    <w:p>
      <w:pPr>
        <w:jc w:val="both"/>
        <w:ind w:firstLine="1953"/>
        <w:spacing w:after="0" w:line="248" w:lineRule="auto"/>
        <w:tabs>
          <w:tab w:leader="none" w:pos="2917" w:val="left"/>
        </w:tabs>
        <w:numPr>
          <w:ilvl w:val="2"/>
          <w:numId w:val="204"/>
        </w:numPr>
        <w:rPr>
          <w:rFonts w:ascii="Arial" w:cs="Arial" w:eastAsia="Arial" w:hAnsi="Arial"/>
          <w:sz w:val="22"/>
          <w:szCs w:val="22"/>
          <w:color w:val="auto"/>
        </w:rPr>
      </w:pPr>
      <w:r>
        <w:rPr>
          <w:rFonts w:ascii="Arial" w:cs="Arial" w:eastAsia="Arial" w:hAnsi="Arial"/>
          <w:sz w:val="22"/>
          <w:szCs w:val="22"/>
          <w:color w:val="auto"/>
        </w:rPr>
        <w:t>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192" w:lineRule="exact"/>
        <w:rPr>
          <w:rFonts w:ascii="Arial" w:cs="Arial" w:eastAsia="Arial" w:hAnsi="Arial"/>
          <w:sz w:val="22"/>
          <w:szCs w:val="22"/>
          <w:color w:val="auto"/>
        </w:rPr>
      </w:pPr>
    </w:p>
    <w:p>
      <w:pPr>
        <w:jc w:val="both"/>
        <w:ind w:firstLine="1953"/>
        <w:spacing w:after="0" w:line="263" w:lineRule="auto"/>
        <w:tabs>
          <w:tab w:leader="none" w:pos="2961" w:val="left"/>
        </w:tabs>
        <w:numPr>
          <w:ilvl w:val="2"/>
          <w:numId w:val="204"/>
        </w:numPr>
        <w:rPr>
          <w:rFonts w:ascii="Arial" w:cs="Arial" w:eastAsia="Arial" w:hAnsi="Arial"/>
          <w:sz w:val="21"/>
          <w:szCs w:val="21"/>
          <w:color w:val="auto"/>
        </w:rPr>
      </w:pPr>
      <w:r>
        <w:rPr>
          <w:rFonts w:ascii="Arial" w:cs="Arial" w:eastAsia="Arial" w:hAnsi="Arial"/>
          <w:sz w:val="21"/>
          <w:szCs w:val="21"/>
          <w:color w:val="auto"/>
        </w:rPr>
        <w:t>With respect to each Tax Period of the GM Consolidated Group ending after the Original Closing Date, the GM Investor shall make a payment to the Company equal to the excess, if any, of (A) the aggregate net payment made by the Company to the GM 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175" w:lineRule="exact"/>
        <w:rPr>
          <w:rFonts w:ascii="Arial" w:cs="Arial" w:eastAsia="Arial" w:hAnsi="Arial"/>
          <w:sz w:val="21"/>
          <w:szCs w:val="21"/>
          <w:color w:val="auto"/>
        </w:rPr>
      </w:pPr>
    </w:p>
    <w:p>
      <w:pPr>
        <w:jc w:val="both"/>
        <w:ind w:firstLine="1305"/>
        <w:spacing w:after="0" w:line="253" w:lineRule="auto"/>
        <w:tabs>
          <w:tab w:leader="none" w:pos="2197" w:val="left"/>
        </w:tabs>
        <w:numPr>
          <w:ilvl w:val="1"/>
          <w:numId w:val="204"/>
        </w:numPr>
        <w:rPr>
          <w:rFonts w:ascii="Arial" w:cs="Arial" w:eastAsia="Arial" w:hAnsi="Arial"/>
          <w:sz w:val="22"/>
          <w:szCs w:val="22"/>
          <w:color w:val="auto"/>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185" w:lineRule="exact"/>
        <w:rPr>
          <w:rFonts w:ascii="Arial" w:cs="Arial" w:eastAsia="Arial" w:hAnsi="Arial"/>
          <w:sz w:val="22"/>
          <w:szCs w:val="22"/>
          <w:color w:val="auto"/>
        </w:rPr>
      </w:pPr>
    </w:p>
    <w:p>
      <w:pPr>
        <w:jc w:val="both"/>
        <w:ind w:firstLine="1953"/>
        <w:spacing w:after="0" w:line="291" w:lineRule="auto"/>
        <w:tabs>
          <w:tab w:leader="none" w:pos="2797" w:val="left"/>
        </w:tabs>
        <w:numPr>
          <w:ilvl w:val="2"/>
          <w:numId w:val="204"/>
        </w:numPr>
        <w:rPr>
          <w:rFonts w:ascii="Arial" w:cs="Arial" w:eastAsia="Arial" w:hAnsi="Arial"/>
          <w:sz w:val="19"/>
          <w:szCs w:val="19"/>
          <w:color w:val="auto"/>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w:t>
      </w:r>
    </w:p>
    <w:p>
      <w:pPr>
        <w:spacing w:after="0" w:line="1" w:lineRule="exact"/>
        <w:rPr>
          <w:rFonts w:ascii="Arial" w:cs="Arial" w:eastAsia="Arial" w:hAnsi="Arial"/>
          <w:sz w:val="19"/>
          <w:szCs w:val="19"/>
          <w:color w:val="auto"/>
        </w:rPr>
      </w:pPr>
    </w:p>
    <w:p>
      <w:pPr>
        <w:jc w:val="both"/>
        <w:ind w:firstLine="8"/>
        <w:spacing w:after="0" w:line="281" w:lineRule="auto"/>
        <w:tabs>
          <w:tab w:leader="none" w:pos="35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reduced (but not below zero) by the Section 59(e) Detriment Amount with respect to such Tax Period and (B) shall be increased by the Section 59(e) Benefit Amount with respect to such Tax Period; provided, any adjustment pursuant to this Section 4.03(d)(i)</w:t>
      </w:r>
    </w:p>
    <w:p>
      <w:pPr>
        <w:spacing w:after="0" w:line="1" w:lineRule="exact"/>
        <w:rPr>
          <w:rFonts w:ascii="Arial" w:cs="Arial" w:eastAsia="Arial" w:hAnsi="Arial"/>
          <w:sz w:val="19"/>
          <w:szCs w:val="19"/>
          <w:color w:val="auto"/>
        </w:rPr>
      </w:pPr>
    </w:p>
    <w:p>
      <w:pPr>
        <w:jc w:val="both"/>
        <w:ind w:firstLine="8"/>
        <w:spacing w:after="0" w:line="245" w:lineRule="auto"/>
        <w:tabs>
          <w:tab w:leader="none" w:pos="34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this Section 4.03(d)(i)(B) and Section 4.03(d)(ii)(B); and</w:t>
      </w:r>
    </w:p>
    <w:p>
      <w:pPr>
        <w:spacing w:after="0" w:line="193" w:lineRule="exact"/>
        <w:rPr>
          <w:rFonts w:ascii="Arial" w:cs="Arial" w:eastAsia="Arial" w:hAnsi="Arial"/>
          <w:sz w:val="22"/>
          <w:szCs w:val="22"/>
          <w:color w:val="auto"/>
        </w:rPr>
      </w:pPr>
    </w:p>
    <w:p>
      <w:pPr>
        <w:jc w:val="both"/>
        <w:ind w:firstLine="1953"/>
        <w:spacing w:after="0" w:line="291" w:lineRule="auto"/>
        <w:tabs>
          <w:tab w:leader="none" w:pos="2857" w:val="left"/>
        </w:tabs>
        <w:numPr>
          <w:ilvl w:val="2"/>
          <w:numId w:val="205"/>
        </w:numPr>
        <w:rPr>
          <w:rFonts w:ascii="Arial" w:cs="Arial" w:eastAsia="Arial" w:hAnsi="Arial"/>
          <w:sz w:val="19"/>
          <w:szCs w:val="19"/>
          <w:color w:val="auto"/>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increased by the Section 59(e) Detriment Amount with respect to such Tax Period and shall be (B) reduced (but not below zero)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238" w:name="page239"/>
    <w:bookmarkEnd w:id="238"/>
    <w:p>
      <w:pPr>
        <w:spacing w:after="0"/>
        <w:rPr>
          <w:sz w:val="20"/>
          <w:szCs w:val="20"/>
          <w:color w:val="auto"/>
        </w:rPr>
      </w:pPr>
      <w:r>
        <w:rPr>
          <w:rFonts w:ascii="Arial" w:cs="Arial" w:eastAsia="Arial" w:hAnsi="Arial"/>
          <w:sz w:val="19"/>
          <w:szCs w:val="19"/>
          <w:color w:val="auto"/>
        </w:rPr>
        <w:t>by the Section 59(e) Benefit Amount with respect to such Tax Period; provided, any adjustment pursuant to this Section 4.03(d)(ii)</w:t>
      </w:r>
    </w:p>
    <w:p>
      <w:pPr>
        <w:spacing w:after="0" w:line="56" w:lineRule="exact"/>
        <w:rPr>
          <w:sz w:val="20"/>
          <w:szCs w:val="20"/>
          <w:color w:val="auto"/>
        </w:rPr>
      </w:pPr>
    </w:p>
    <w:p>
      <w:pPr>
        <w:jc w:val="both"/>
        <w:ind w:firstLine="8"/>
        <w:spacing w:after="0" w:line="245" w:lineRule="auto"/>
        <w:tabs>
          <w:tab w:leader="none" w:pos="34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175" w:lineRule="exact"/>
        <w:rPr>
          <w:sz w:val="20"/>
          <w:szCs w:val="20"/>
          <w:color w:val="auto"/>
        </w:rPr>
      </w:pPr>
    </w:p>
    <w:p>
      <w:pPr>
        <w:jc w:val="both"/>
        <w:ind w:firstLine="1305"/>
        <w:spacing w:after="0" w:line="246" w:lineRule="auto"/>
        <w:tabs>
          <w:tab w:leader="none" w:pos="2185"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State and Local Income and Franchise Taxes</w:t>
      </w:r>
      <w:r>
        <w:rPr>
          <w:rFonts w:ascii="Arial" w:cs="Arial" w:eastAsia="Arial" w:hAnsi="Arial"/>
          <w:sz w:val="22"/>
          <w:szCs w:val="22"/>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Section 4.03; provided,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197" w:lineRule="exact"/>
        <w:rPr>
          <w:rFonts w:ascii="Arial" w:cs="Arial" w:eastAsia="Arial" w:hAnsi="Arial"/>
          <w:sz w:val="22"/>
          <w:szCs w:val="22"/>
          <w:color w:val="auto"/>
        </w:rPr>
      </w:pPr>
    </w:p>
    <w:p>
      <w:pPr>
        <w:jc w:val="both"/>
        <w:ind w:firstLine="1305"/>
        <w:spacing w:after="0" w:line="259" w:lineRule="auto"/>
        <w:tabs>
          <w:tab w:leader="none" w:pos="2161"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21"/>
          <w:szCs w:val="21"/>
          <w:b w:val="1"/>
          <w:bCs w:val="1"/>
          <w:color w:val="auto"/>
        </w:rPr>
        <w:t>Accounting Firm</w:t>
      </w:r>
      <w:r>
        <w:rPr>
          <w:rFonts w:ascii="Arial" w:cs="Arial" w:eastAsia="Arial" w:hAnsi="Arial"/>
          <w:sz w:val="21"/>
          <w:szCs w:val="21"/>
          <w:color w:val="auto"/>
        </w:rPr>
        <w:t>”)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180" w:lineRule="exact"/>
        <w:rPr>
          <w:rFonts w:ascii="Arial" w:cs="Arial" w:eastAsia="Arial" w:hAnsi="Arial"/>
          <w:sz w:val="21"/>
          <w:szCs w:val="21"/>
          <w:color w:val="auto"/>
        </w:rPr>
      </w:pPr>
    </w:p>
    <w:p>
      <w:pPr>
        <w:jc w:val="both"/>
        <w:ind w:firstLine="1305"/>
        <w:spacing w:after="0" w:line="246" w:lineRule="auto"/>
        <w:tabs>
          <w:tab w:leader="none" w:pos="2197"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Indemnification for Taxes</w:t>
      </w:r>
      <w:r>
        <w:rPr>
          <w:rFonts w:ascii="Arial" w:cs="Arial" w:eastAsia="Arial" w:hAnsi="Arial"/>
          <w:sz w:val="22"/>
          <w:szCs w:val="22"/>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194" w:lineRule="exact"/>
        <w:rPr>
          <w:rFonts w:ascii="Arial" w:cs="Arial" w:eastAsia="Arial" w:hAnsi="Arial"/>
          <w:sz w:val="22"/>
          <w:szCs w:val="22"/>
          <w:color w:val="auto"/>
        </w:rPr>
      </w:pPr>
    </w:p>
    <w:p>
      <w:pPr>
        <w:ind w:firstLine="1305"/>
        <w:spacing w:after="0" w:line="263" w:lineRule="auto"/>
        <w:tabs>
          <w:tab w:leader="none" w:pos="2197"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Net Payments</w:t>
      </w:r>
      <w:r>
        <w:rPr>
          <w:rFonts w:ascii="Arial" w:cs="Arial" w:eastAsia="Arial" w:hAnsi="Arial"/>
          <w:sz w:val="22"/>
          <w:szCs w:val="22"/>
          <w:color w:val="auto"/>
        </w:rPr>
        <w:t>. Without limiting any other provision in this Section 4.03, if as of any date each of the GM Investor and the Company is obligated to make a payment to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239" w:name="page240"/>
    <w:bookmarkEnd w:id="239"/>
    <w:p>
      <w:pPr>
        <w:jc w:val="both"/>
        <w:spacing w:after="0" w:line="253" w:lineRule="auto"/>
        <w:rPr>
          <w:sz w:val="20"/>
          <w:szCs w:val="20"/>
          <w:color w:val="auto"/>
        </w:rPr>
      </w:pPr>
      <w:r>
        <w:rPr>
          <w:rFonts w:ascii="Arial" w:cs="Arial" w:eastAsia="Arial" w:hAnsi="Arial"/>
          <w:sz w:val="22"/>
          <w:szCs w:val="22"/>
          <w:color w:val="auto"/>
        </w:rPr>
        <w:t>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186" w:lineRule="exact"/>
        <w:rPr>
          <w:sz w:val="20"/>
          <w:szCs w:val="20"/>
          <w:color w:val="auto"/>
        </w:rPr>
      </w:pPr>
    </w:p>
    <w:p>
      <w:pPr>
        <w:jc w:val="both"/>
        <w:ind w:firstLine="1305"/>
        <w:spacing w:after="0" w:line="248" w:lineRule="auto"/>
        <w:tabs>
          <w:tab w:leader="none" w:pos="2149"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 this Section 4.03 shall be treated as distribution under Section 301 of the Code for all applicable tax purposes, unless otherwise required by applicable law.</w:t>
      </w:r>
    </w:p>
    <w:p>
      <w:pPr>
        <w:spacing w:after="0" w:line="192" w:lineRule="exact"/>
        <w:rPr>
          <w:rFonts w:ascii="Arial" w:cs="Arial" w:eastAsia="Arial" w:hAnsi="Arial"/>
          <w:sz w:val="22"/>
          <w:szCs w:val="22"/>
          <w:color w:val="auto"/>
        </w:rPr>
      </w:pPr>
    </w:p>
    <w:p>
      <w:pPr>
        <w:jc w:val="both"/>
        <w:ind w:firstLine="1305"/>
        <w:spacing w:after="0" w:line="263" w:lineRule="auto"/>
        <w:tabs>
          <w:tab w:leader="none" w:pos="2149"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Examples</w:t>
      </w:r>
      <w:r>
        <w:rPr>
          <w:rFonts w:ascii="Arial" w:cs="Arial" w:eastAsia="Arial" w:hAnsi="Arial"/>
          <w:sz w:val="21"/>
          <w:szCs w:val="21"/>
          <w:color w:val="auto"/>
        </w:rPr>
        <w:t xml:space="preserve">. Any ambiguity in the provisions of this Section 4.03 shall be resolved (where possible) by reference to the examples delivered by the GM Investor and acknowledged by SVF and the Company pursuant to that certain letter provided to SVF prior to the execution of the SoftBank Purchase Agreement and acknowledged by Honda pursuant to that certain letter provided to Honda prior to the execution of the Honda Purchase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of a conflict with such letter, this Section 4.03 shall control.</w:t>
      </w:r>
    </w:p>
    <w:p>
      <w:pPr>
        <w:spacing w:after="0" w:line="175" w:lineRule="exact"/>
        <w:rPr>
          <w:rFonts w:ascii="Arial" w:cs="Arial" w:eastAsia="Arial" w:hAnsi="Arial"/>
          <w:sz w:val="21"/>
          <w:szCs w:val="21"/>
          <w:color w:val="auto"/>
        </w:rPr>
      </w:pPr>
    </w:p>
    <w:p>
      <w:pPr>
        <w:jc w:val="both"/>
        <w:ind w:firstLine="1305"/>
        <w:spacing w:after="0" w:line="246" w:lineRule="auto"/>
        <w:tabs>
          <w:tab w:leader="none" w:pos="2197"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Consistent Reporting Covenant</w:t>
      </w:r>
      <w:r>
        <w:rPr>
          <w:rFonts w:ascii="Arial" w:cs="Arial" w:eastAsia="Arial" w:hAnsi="Arial"/>
          <w:sz w:val="22"/>
          <w:szCs w:val="22"/>
          <w:color w:val="auto"/>
        </w:rPr>
        <w:t>. Notwithstanding anything to the contrary contained herein, the Class A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 Preferred Shares that is paid by accretion of the Class A-1 Preferred Return on such Shares (in accordance with Section 3.01(c) hereof) as a taxable distribution pursuant to Section 305(b)(2) of the Code or take any position inconsistent with the intended tax treatment described in this Section 4.03(k).</w:t>
      </w:r>
    </w:p>
    <w:p>
      <w:pPr>
        <w:spacing w:after="0" w:line="194" w:lineRule="exact"/>
        <w:rPr>
          <w:rFonts w:ascii="Arial" w:cs="Arial" w:eastAsia="Arial" w:hAnsi="Arial"/>
          <w:sz w:val="22"/>
          <w:szCs w:val="22"/>
          <w:color w:val="auto"/>
        </w:rPr>
      </w:pPr>
    </w:p>
    <w:p>
      <w:pPr>
        <w:jc w:val="both"/>
        <w:ind w:firstLine="1305"/>
        <w:spacing w:after="0" w:line="250" w:lineRule="auto"/>
        <w:tabs>
          <w:tab w:leader="none" w:pos="2149"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Audit Adjustments</w:t>
      </w:r>
      <w:r>
        <w:rPr>
          <w:rFonts w:ascii="Arial" w:cs="Arial" w:eastAsia="Arial" w:hAnsi="Arial"/>
          <w:sz w:val="22"/>
          <w:szCs w:val="22"/>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2257"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240" w:name="page241"/>
    <w:bookmarkEnd w:id="240"/>
    <w:p>
      <w:pPr>
        <w:ind w:left="2200" w:hanging="895"/>
        <w:spacing w:after="0"/>
        <w:tabs>
          <w:tab w:leader="none" w:pos="220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4.03, the following terms shall be defined as follows:</w:t>
      </w:r>
    </w:p>
    <w:p>
      <w:pPr>
        <w:spacing w:after="0" w:line="213" w:lineRule="exact"/>
        <w:rPr>
          <w:rFonts w:ascii="Arial" w:cs="Arial" w:eastAsia="Arial" w:hAnsi="Arial"/>
          <w:sz w:val="22"/>
          <w:szCs w:val="22"/>
          <w:color w:val="auto"/>
        </w:rPr>
      </w:pPr>
    </w:p>
    <w:p>
      <w:pPr>
        <w:ind w:firstLine="1953"/>
        <w:spacing w:after="0" w:line="350" w:lineRule="auto"/>
        <w:tabs>
          <w:tab w:leader="none" w:pos="2797"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Aggregate Company Hypothetical Pre-Deconsolidation Tax Amount</w:t>
      </w:r>
      <w:r>
        <w:rPr>
          <w:rFonts w:ascii="Arial" w:cs="Arial" w:eastAsia="Arial" w:hAnsi="Arial"/>
          <w:sz w:val="19"/>
          <w:szCs w:val="19"/>
          <w:color w:val="auto"/>
        </w:rPr>
        <w:t>” means, with respect to a Tax Period, the sum of the Company Hypothetical Pre-Deconsolidation Tax Amount for such Tax Period and all prior Tax Periods.</w:t>
      </w:r>
    </w:p>
    <w:p>
      <w:pPr>
        <w:spacing w:after="0" w:line="92" w:lineRule="exact"/>
        <w:rPr>
          <w:rFonts w:ascii="Arial" w:cs="Arial" w:eastAsia="Arial" w:hAnsi="Arial"/>
          <w:sz w:val="19"/>
          <w:szCs w:val="19"/>
          <w:color w:val="auto"/>
        </w:rPr>
      </w:pPr>
    </w:p>
    <w:p>
      <w:pPr>
        <w:jc w:val="both"/>
        <w:ind w:firstLine="1953"/>
        <w:spacing w:after="0" w:line="249" w:lineRule="auto"/>
        <w:tabs>
          <w:tab w:leader="none" w:pos="2857" w:val="left"/>
        </w:tabs>
        <w:numPr>
          <w:ilvl w:val="1"/>
          <w:numId w:val="2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Hypothetical Pre-Deconsolidation Tax Amount</w:t>
      </w:r>
      <w:r>
        <w:rPr>
          <w:rFonts w:ascii="Arial" w:cs="Arial" w:eastAsia="Arial" w:hAnsi="Arial"/>
          <w:sz w:val="22"/>
          <w:szCs w:val="22"/>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 U.S. consolidated group (but had utilized the same tax accounting methods, elections, conventions, practices, policies and principles actually utilized by the GM Consolidated Group).</w:t>
      </w:r>
    </w:p>
    <w:p>
      <w:pPr>
        <w:spacing w:after="0" w:line="186" w:lineRule="exact"/>
        <w:rPr>
          <w:rFonts w:ascii="Arial" w:cs="Arial" w:eastAsia="Arial" w:hAnsi="Arial"/>
          <w:sz w:val="22"/>
          <w:szCs w:val="22"/>
          <w:color w:val="auto"/>
        </w:rPr>
      </w:pPr>
    </w:p>
    <w:p>
      <w:pPr>
        <w:ind w:left="2920" w:hanging="967"/>
        <w:spacing w:after="0"/>
        <w:tabs>
          <w:tab w:leader="none" w:pos="292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Deconsolidation</w:t>
      </w:r>
      <w:r>
        <w:rPr>
          <w:rFonts w:ascii="Arial" w:cs="Arial" w:eastAsia="Arial" w:hAnsi="Arial"/>
          <w:sz w:val="19"/>
          <w:szCs w:val="19"/>
          <w:color w:val="auto"/>
        </w:rPr>
        <w:t>” means any event pursuant to which the Company ceases to be included in the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GM Consolidated Group.</w:t>
      </w:r>
    </w:p>
    <w:p>
      <w:pPr>
        <w:spacing w:after="0" w:line="195" w:lineRule="exact"/>
        <w:rPr>
          <w:rFonts w:ascii="Arial" w:cs="Arial" w:eastAsia="Arial" w:hAnsi="Arial"/>
          <w:sz w:val="19"/>
          <w:szCs w:val="19"/>
          <w:color w:val="auto"/>
        </w:rPr>
      </w:pPr>
    </w:p>
    <w:p>
      <w:pPr>
        <w:jc w:val="both"/>
        <w:ind w:firstLine="1953"/>
        <w:spacing w:after="0" w:line="264" w:lineRule="auto"/>
        <w:tabs>
          <w:tab w:leader="none" w:pos="2905" w:val="left"/>
        </w:tabs>
        <w:numPr>
          <w:ilvl w:val="1"/>
          <w:numId w:val="2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NOL Tax Increase</w:t>
      </w:r>
      <w:r>
        <w:rPr>
          <w:rFonts w:ascii="Arial" w:cs="Arial" w:eastAsia="Arial" w:hAnsi="Arial"/>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170" w:lineRule="exact"/>
        <w:rPr>
          <w:rFonts w:ascii="Arial" w:cs="Arial" w:eastAsia="Arial" w:hAnsi="Arial"/>
          <w:sz w:val="21"/>
          <w:szCs w:val="21"/>
          <w:color w:val="auto"/>
        </w:rPr>
      </w:pPr>
    </w:p>
    <w:p>
      <w:pPr>
        <w:ind w:firstLine="1953"/>
        <w:spacing w:after="0" w:line="269" w:lineRule="auto"/>
        <w:tabs>
          <w:tab w:leader="none" w:pos="284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162" w:lineRule="exact"/>
        <w:rPr>
          <w:rFonts w:ascii="Arial" w:cs="Arial" w:eastAsia="Arial" w:hAnsi="Arial"/>
          <w:sz w:val="22"/>
          <w:szCs w:val="22"/>
          <w:color w:val="auto"/>
        </w:rPr>
      </w:pPr>
    </w:p>
    <w:p>
      <w:pPr>
        <w:ind w:firstLine="1953"/>
        <w:spacing w:after="0" w:line="269" w:lineRule="auto"/>
        <w:tabs>
          <w:tab w:leader="none" w:pos="290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62" w:lineRule="exact"/>
        <w:rPr>
          <w:rFonts w:ascii="Arial" w:cs="Arial" w:eastAsia="Arial" w:hAnsi="Arial"/>
          <w:sz w:val="22"/>
          <w:szCs w:val="22"/>
          <w:color w:val="auto"/>
        </w:rPr>
      </w:pPr>
    </w:p>
    <w:p>
      <w:pPr>
        <w:jc w:val="both"/>
        <w:ind w:firstLine="1953"/>
        <w:spacing w:after="0" w:line="293" w:lineRule="auto"/>
        <w:tabs>
          <w:tab w:leader="none" w:pos="2965"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5" w:lineRule="exact"/>
        <w:rPr>
          <w:rFonts w:ascii="Arial" w:cs="Arial" w:eastAsia="Arial" w:hAnsi="Arial"/>
          <w:sz w:val="19"/>
          <w:szCs w:val="19"/>
          <w:color w:val="auto"/>
        </w:rPr>
      </w:pPr>
    </w:p>
    <w:p>
      <w:pPr>
        <w:jc w:val="both"/>
        <w:ind w:firstLine="1953"/>
        <w:spacing w:after="0" w:line="304" w:lineRule="auto"/>
        <w:tabs>
          <w:tab w:leader="none" w:pos="3025"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75" w:right="239" w:bottom="1440" w:gutter="0" w:footer="0" w:header="0"/>
        </w:sectPr>
      </w:pPr>
    </w:p>
    <w:bookmarkStart w:id="241" w:name="page242"/>
    <w:bookmarkEnd w:id="241"/>
    <w:p>
      <w:pPr>
        <w:jc w:val="both"/>
        <w:spacing w:after="0" w:line="297" w:lineRule="auto"/>
        <w:rPr>
          <w:sz w:val="20"/>
          <w:szCs w:val="20"/>
          <w:color w:val="auto"/>
        </w:rPr>
      </w:pPr>
      <w:r>
        <w:rPr>
          <w:rFonts w:ascii="Arial" w:cs="Arial" w:eastAsia="Arial" w:hAnsi="Arial"/>
          <w:sz w:val="19"/>
          <w:szCs w:val="19"/>
          <w:color w:val="auto"/>
        </w:rPr>
        <w:t xml:space="preserve">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 such net operating losses are the last losses that would have otherwise been taken into account in clause (A)).</w:t>
      </w:r>
    </w:p>
    <w:p>
      <w:pPr>
        <w:spacing w:after="0" w:line="141" w:lineRule="exact"/>
        <w:rPr>
          <w:sz w:val="20"/>
          <w:szCs w:val="20"/>
          <w:color w:val="auto"/>
        </w:rPr>
      </w:pPr>
    </w:p>
    <w:p>
      <w:pPr>
        <w:ind w:right="20" w:firstLine="1953"/>
        <w:spacing w:after="0" w:line="269" w:lineRule="auto"/>
        <w:tabs>
          <w:tab w:leader="none" w:pos="290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NOL Deficit Amount</w:t>
      </w:r>
      <w:r>
        <w:rPr>
          <w:rFonts w:ascii="Arial" w:cs="Arial" w:eastAsia="Arial" w:hAnsi="Arial"/>
          <w:sz w:val="22"/>
          <w:szCs w:val="22"/>
          <w:color w:val="auto"/>
        </w:rPr>
        <w:t>” shall mean an amount equal to the excess, if any, of (A) the Hypothetical Deconsolidated Company NOL Amount over (B) $1,300,000,000.</w:t>
      </w:r>
    </w:p>
    <w:p>
      <w:pPr>
        <w:spacing w:after="0" w:line="162" w:lineRule="exact"/>
        <w:rPr>
          <w:rFonts w:ascii="Arial" w:cs="Arial" w:eastAsia="Arial" w:hAnsi="Arial"/>
          <w:sz w:val="22"/>
          <w:szCs w:val="22"/>
          <w:color w:val="auto"/>
        </w:rPr>
      </w:pPr>
    </w:p>
    <w:p>
      <w:pPr>
        <w:ind w:right="20" w:firstLine="1953"/>
        <w:spacing w:after="0" w:line="269" w:lineRule="auto"/>
        <w:tabs>
          <w:tab w:leader="none" w:pos="284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 Credits</w:t>
      </w:r>
      <w:r>
        <w:rPr>
          <w:rFonts w:ascii="Arial" w:cs="Arial" w:eastAsia="Arial" w:hAnsi="Arial"/>
          <w:sz w:val="22"/>
          <w:szCs w:val="22"/>
          <w:color w:val="auto"/>
        </w:rPr>
        <w:t>” shall mean any U.S. federal, state or local income or franchise tax credits other than R&amp;D Tax Credits as defined herein.</w:t>
      </w:r>
    </w:p>
    <w:p>
      <w:pPr>
        <w:spacing w:after="0" w:line="162" w:lineRule="exact"/>
        <w:rPr>
          <w:rFonts w:ascii="Arial" w:cs="Arial" w:eastAsia="Arial" w:hAnsi="Arial"/>
          <w:sz w:val="22"/>
          <w:szCs w:val="22"/>
          <w:color w:val="auto"/>
        </w:rPr>
      </w:pPr>
    </w:p>
    <w:p>
      <w:pPr>
        <w:jc w:val="both"/>
        <w:ind w:firstLine="1953"/>
        <w:spacing w:after="0" w:line="256" w:lineRule="auto"/>
        <w:tabs>
          <w:tab w:leader="none" w:pos="290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xml:space="preserve">” shall mean any U.S. federal income tax credits for research activities under Section 41 of the Code, and, for the purpose of applying </w:t>
      </w:r>
      <w:r>
        <w:rPr>
          <w:rFonts w:ascii="Arial" w:cs="Arial" w:eastAsia="Arial" w:hAnsi="Arial"/>
          <w:sz w:val="22"/>
          <w:szCs w:val="22"/>
          <w:u w:val="single" w:color="auto"/>
          <w:color w:val="auto"/>
        </w:rPr>
        <w:t>Section 4.03(e)</w:t>
      </w:r>
      <w:r>
        <w:rPr>
          <w:rFonts w:ascii="Arial" w:cs="Arial" w:eastAsia="Arial" w:hAnsi="Arial"/>
          <w:sz w:val="22"/>
          <w:szCs w:val="22"/>
          <w:color w:val="auto"/>
        </w:rPr>
        <w:t>, any state or local income or franchise tax credits that are directly analogous to tax credits for research activities under Section 41 of the Code.</w:t>
      </w:r>
    </w:p>
    <w:p>
      <w:pPr>
        <w:spacing w:after="0" w:line="176" w:lineRule="exact"/>
        <w:rPr>
          <w:rFonts w:ascii="Arial" w:cs="Arial" w:eastAsia="Arial" w:hAnsi="Arial"/>
          <w:sz w:val="22"/>
          <w:szCs w:val="22"/>
          <w:color w:val="auto"/>
        </w:rPr>
      </w:pPr>
    </w:p>
    <w:p>
      <w:pPr>
        <w:jc w:val="both"/>
        <w:ind w:firstLine="1953"/>
        <w:spacing w:after="0" w:line="247" w:lineRule="auto"/>
        <w:tabs>
          <w:tab w:leader="none" w:pos="296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59(e) Benefit Amount</w:t>
      </w:r>
      <w:r>
        <w:rPr>
          <w:rFonts w:ascii="Arial" w:cs="Arial" w:eastAsia="Arial" w:hAnsi="Arial"/>
          <w:sz w:val="22"/>
          <w:szCs w:val="22"/>
          <w:color w:val="auto"/>
        </w:rPr>
        <w:t>” with respect to a Tax Period means the amount by which the payment (A) required by the Company to GM under Section 4.03(c) for such Tax Period would have been more or (B) by GM to the Company under Section 4.03(b)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89" w:lineRule="exact"/>
        <w:rPr>
          <w:rFonts w:ascii="Arial" w:cs="Arial" w:eastAsia="Arial" w:hAnsi="Arial"/>
          <w:sz w:val="22"/>
          <w:szCs w:val="22"/>
          <w:color w:val="auto"/>
        </w:rPr>
      </w:pPr>
    </w:p>
    <w:p>
      <w:pPr>
        <w:jc w:val="both"/>
        <w:ind w:right="20" w:firstLine="1953"/>
        <w:spacing w:after="0" w:line="315" w:lineRule="auto"/>
        <w:tabs>
          <w:tab w:leader="none" w:pos="302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59(e) Detriment Amount</w:t>
      </w:r>
      <w:r>
        <w:rPr>
          <w:rFonts w:ascii="Arial" w:cs="Arial" w:eastAsia="Arial" w:hAnsi="Arial"/>
          <w:sz w:val="19"/>
          <w:szCs w:val="19"/>
          <w:color w:val="auto"/>
        </w:rPr>
        <w:t>” with respect to a Tax Period means the amount by which the payment (A) required by the Company to GM under Section 4.03(c) for such Tax Period would have been less or (B) by GM to the Company under Section 4.03(b) would have been more, in each case, had no Section 59(e) Election been made.</w:t>
      </w:r>
    </w:p>
    <w:p>
      <w:pPr>
        <w:spacing w:after="0" w:line="125" w:lineRule="exact"/>
        <w:rPr>
          <w:rFonts w:ascii="Arial" w:cs="Arial" w:eastAsia="Arial" w:hAnsi="Arial"/>
          <w:sz w:val="19"/>
          <w:szCs w:val="19"/>
          <w:color w:val="auto"/>
        </w:rPr>
      </w:pPr>
    </w:p>
    <w:p>
      <w:pPr>
        <w:ind w:left="3020" w:hanging="1067"/>
        <w:spacing w:after="0"/>
        <w:tabs>
          <w:tab w:leader="none" w:pos="30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Period</w:t>
      </w:r>
      <w:r>
        <w:rPr>
          <w:rFonts w:ascii="Arial" w:cs="Arial" w:eastAsia="Arial" w:hAnsi="Arial"/>
          <w:sz w:val="22"/>
          <w:szCs w:val="22"/>
          <w:color w:val="auto"/>
        </w:rPr>
        <w:t>” means a taxable year as defined in Section 441(b) of the Code.</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SoftBank Purchase Agreement) incurred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(i) any issuance of any equity interests to SoftBank, SVFA or any of their Affiliates or Permitted Transferees pursuant to this Agreement or the SoftBank Purchase Agreement or (ii) the one-time Transfer permitted by Section 9.02(c) shall, in each case, be paid by SoftBank or SVFA (as applicable) when due. Any Transfer Taxes (as defined in the Honda Purchase Agreement) incurred in connection with any issuance of any equity interests to Honda or any of its Affiliates or Permitted Transferees pursuant to this Agreement or the Honda Purchase Agreement shall be paid by Honda when due. The Company shall file all necessary tax returns and other documentation with respect to all Transfer Taxes and, if required by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75" w:right="239" w:bottom="1440" w:gutter="0" w:footer="0" w:header="0"/>
        </w:sectPr>
      </w:pPr>
    </w:p>
    <w:bookmarkStart w:id="242" w:name="page243"/>
    <w:bookmarkEnd w:id="242"/>
    <w:p>
      <w:pPr>
        <w:spacing w:after="0" w:line="263" w:lineRule="auto"/>
        <w:rPr>
          <w:sz w:val="20"/>
          <w:szCs w:val="20"/>
          <w:color w:val="auto"/>
        </w:rPr>
      </w:pPr>
      <w:r>
        <w:rPr>
          <w:rFonts w:ascii="Arial" w:cs="Arial" w:eastAsia="Arial" w:hAnsi="Arial"/>
          <w:sz w:val="22"/>
          <w:szCs w:val="22"/>
          <w:color w:val="auto"/>
        </w:rPr>
        <w:t>law, the GM Investor, SoftBank or SVFA and Honda (as applicable) will, and will cause their Affiliates, to join in the execution of any such tax returns and other documentation.</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provisions contained in this Article IV, and any payments required to be made pursuant hereto, shall survive the termination of the Company and the withdrawal of any Member.</w:t>
      </w:r>
    </w:p>
    <w:p>
      <w:pPr>
        <w:spacing w:after="0" w:line="16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MEMBERS</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u w:val="single" w:color="auto"/>
          <w:color w:val="auto"/>
        </w:rPr>
        <w:t>Voting Rights of Members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Subject to Section 2.02 and Section 9.10:</w:t>
      </w:r>
    </w:p>
    <w:p>
      <w:pPr>
        <w:spacing w:after="0" w:line="226" w:lineRule="exact"/>
        <w:rPr>
          <w:sz w:val="20"/>
          <w:szCs w:val="20"/>
          <w:color w:val="auto"/>
        </w:rPr>
      </w:pPr>
    </w:p>
    <w:p>
      <w:pPr>
        <w:ind w:firstLine="1305"/>
        <w:spacing w:after="0" w:line="263" w:lineRule="auto"/>
        <w:tabs>
          <w:tab w:leader="none" w:pos="218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firstLine="1305"/>
        <w:spacing w:after="0" w:line="263" w:lineRule="auto"/>
        <w:tabs>
          <w:tab w:leader="none" w:pos="218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firstLine="1305"/>
        <w:spacing w:after="0" w:line="263" w:lineRule="auto"/>
        <w:tabs>
          <w:tab w:leader="none" w:pos="218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firstLine="1305"/>
        <w:spacing w:after="0" w:line="263" w:lineRule="auto"/>
        <w:tabs>
          <w:tab w:leader="none" w:pos="216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Each Class E Member shall be entitled to one (1) vote for each Class E Common Share held by such Member on any matter which is submitted to the Members for a vote or consent.</w:t>
      </w:r>
    </w:p>
    <w:p>
      <w:pPr>
        <w:spacing w:after="0" w:line="174" w:lineRule="exact"/>
        <w:rPr>
          <w:rFonts w:ascii="Arial" w:cs="Arial" w:eastAsia="Arial" w:hAnsi="Arial"/>
          <w:sz w:val="22"/>
          <w:szCs w:val="22"/>
          <w:color w:val="auto"/>
        </w:rPr>
      </w:pPr>
    </w:p>
    <w:p>
      <w:pPr>
        <w:ind w:firstLine="1305"/>
        <w:spacing w:after="0" w:line="287" w:lineRule="auto"/>
        <w:tabs>
          <w:tab w:leader="none" w:pos="2197" w:val="left"/>
        </w:tabs>
        <w:numPr>
          <w:ilvl w:val="0"/>
          <w:numId w:val="212"/>
        </w:numPr>
        <w:rPr>
          <w:rFonts w:ascii="Arial" w:cs="Arial" w:eastAsia="Arial" w:hAnsi="Arial"/>
          <w:sz w:val="21"/>
          <w:szCs w:val="21"/>
          <w:color w:val="auto"/>
        </w:rPr>
      </w:pPr>
      <w:r>
        <w:rPr>
          <w:rFonts w:ascii="Arial" w:cs="Arial" w:eastAsia="Arial" w:hAnsi="Arial"/>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5.02 </w:t>
      </w:r>
      <w:r>
        <w:rPr>
          <w:rFonts w:ascii="Arial" w:cs="Arial" w:eastAsia="Arial" w:hAnsi="Arial"/>
          <w:sz w:val="22"/>
          <w:szCs w:val="22"/>
          <w:b w:val="1"/>
          <w:bCs w:val="1"/>
          <w:u w:val="single" w:color="auto"/>
          <w:color w:val="auto"/>
        </w:rPr>
        <w:t>Quorum; Voting</w:t>
      </w:r>
      <w:r>
        <w:rPr>
          <w:rFonts w:ascii="Arial" w:cs="Arial" w:eastAsia="Arial" w:hAnsi="Arial"/>
          <w:sz w:val="22"/>
          <w:szCs w:val="22"/>
          <w:color w:val="auto"/>
        </w:rPr>
        <w:t>. A quorum shall be present with respect to a meeting of the Members if a Majority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are represented in person or by proxy at such meeting. Once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75" w:right="239" w:bottom="1440" w:gutter="0" w:footer="0" w:header="0"/>
        </w:sectPr>
      </w:pPr>
    </w:p>
    <w:bookmarkStart w:id="243" w:name="page244"/>
    <w:bookmarkEnd w:id="243"/>
    <w:p>
      <w:pPr>
        <w:jc w:val="both"/>
        <w:spacing w:after="0" w:line="290" w:lineRule="auto"/>
        <w:rPr>
          <w:sz w:val="20"/>
          <w:szCs w:val="20"/>
          <w:color w:val="auto"/>
        </w:rPr>
      </w:pPr>
      <w:r>
        <w:rPr>
          <w:rFonts w:ascii="Arial" w:cs="Arial" w:eastAsia="Arial" w:hAnsi="Arial"/>
          <w:sz w:val="19"/>
          <w:szCs w:val="19"/>
          <w:color w:val="auto"/>
        </w:rPr>
        <w:t>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5.03 </w:t>
      </w:r>
      <w:r>
        <w:rPr>
          <w:rFonts w:ascii="Arial" w:cs="Arial" w:eastAsia="Arial" w:hAnsi="Arial"/>
          <w:sz w:val="21"/>
          <w:szCs w:val="21"/>
          <w:b w:val="1"/>
          <w:bCs w:val="1"/>
          <w:u w:val="single" w:color="auto"/>
          <w:color w:val="auto"/>
        </w:rPr>
        <w:t>Written Consent</w:t>
      </w:r>
      <w:r>
        <w:rPr>
          <w:rFonts w:ascii="Arial" w:cs="Arial" w:eastAsia="Arial" w:hAnsi="Arial"/>
          <w:sz w:val="21"/>
          <w:szCs w:val="21"/>
          <w:color w:val="auto"/>
        </w:rPr>
        <w:t>. Any action required or permitted to be taken at a meeting of the Members may be taken</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a 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5.04 </w:t>
      </w: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 Meetings of the Members may be called by (a) the Board of Directors or (b) a Majority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 any annual meeting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calling a special meeting pursuant to Section 5.04 may designate the place for such special meeting. If no designation is made, the place of meeting shall be the principal office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5.06 </w:t>
      </w:r>
      <w:r>
        <w:rPr>
          <w:rFonts w:ascii="Arial" w:cs="Arial" w:eastAsia="Arial" w:hAnsi="Arial"/>
          <w:sz w:val="21"/>
          <w:szCs w:val="21"/>
          <w:b w:val="1"/>
          <w:bCs w:val="1"/>
          <w:u w:val="single" w:color="auto"/>
          <w:color w:val="auto"/>
        </w:rPr>
        <w:t>Notice of Meeting</w:t>
      </w:r>
      <w:r>
        <w:rPr>
          <w:rFonts w:ascii="Arial" w:cs="Arial" w:eastAsia="Arial" w:hAnsi="Arial"/>
          <w:sz w:val="21"/>
          <w:szCs w:val="21"/>
          <w:color w:val="auto"/>
        </w:rPr>
        <w:t>. Written notice stating the place, day and hour of the meeting and, in case of a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the purpose or purposes for which the meeting is called, shall 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 a member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No 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75" w:right="239" w:bottom="1440" w:gutter="0" w:footer="0" w:header="0"/>
        </w:sectPr>
      </w:pPr>
    </w:p>
    <w:bookmarkStart w:id="244" w:name="page245"/>
    <w:bookmarkEnd w:id="244"/>
    <w:p>
      <w:pPr>
        <w:ind w:left="660"/>
        <w:spacing w:after="0"/>
        <w:tabs>
          <w:tab w:leader="none" w:pos="166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7" w:lineRule="auto"/>
        <w:tabs>
          <w:tab w:leader="none" w:pos="218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Subject to Article XI, any agreement entered into with any Employee Member and any restriction on any Class E Member in any written agreement entered into by the Company with a Class E Member, each Member and its Affiliates and its and their respective officers, directors, equityholders, partners, members, managers, agents and employees (the “</w:t>
      </w:r>
      <w:r>
        <w:rPr>
          <w:rFonts w:ascii="Arial" w:cs="Arial" w:eastAsia="Arial" w:hAnsi="Arial"/>
          <w:sz w:val="19"/>
          <w:szCs w:val="19"/>
          <w:b w:val="1"/>
          <w:bCs w:val="1"/>
          <w:color w:val="auto"/>
        </w:rPr>
        <w:t>Member</w:t>
      </w:r>
      <w:r>
        <w:rPr>
          <w:rFonts w:ascii="Arial" w:cs="Arial" w:eastAsia="Arial" w:hAnsi="Arial"/>
          <w:sz w:val="19"/>
          <w:szCs w:val="19"/>
          <w:color w:val="auto"/>
        </w:rPr>
        <w:t xml:space="preserve"> </w:t>
      </w:r>
      <w:r>
        <w:rPr>
          <w:rFonts w:ascii="Arial" w:cs="Arial" w:eastAsia="Arial" w:hAnsi="Arial"/>
          <w:sz w:val="19"/>
          <w:szCs w:val="19"/>
          <w:b w:val="1"/>
          <w:bCs w:val="1"/>
          <w:color w:val="auto"/>
        </w:rPr>
        <w:t>Group Persons</w:t>
      </w:r>
      <w:r>
        <w:rPr>
          <w:rFonts w:ascii="Arial" w:cs="Arial" w:eastAsia="Arial" w:hAnsi="Arial"/>
          <w:sz w:val="19"/>
          <w:szCs w:val="19"/>
          <w:color w:val="auto"/>
        </w:rPr>
        <w:t>”) (i) is permitted to have, and may presently or in the future have, investments or other business relationships with</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engaged in other, complementary or competing lines of business other than through the Company and its Subsidiaries (an “</w:t>
      </w:r>
      <w:r>
        <w:rPr>
          <w:rFonts w:ascii="Arial" w:cs="Arial" w:eastAsia="Arial" w:hAnsi="Arial"/>
          <w:sz w:val="19"/>
          <w:szCs w:val="19"/>
          <w:b w:val="1"/>
          <w:bCs w:val="1"/>
          <w:color w:val="auto"/>
        </w:rPr>
        <w:t>Other Business</w:t>
      </w:r>
      <w:r>
        <w:rPr>
          <w:rFonts w:ascii="Arial" w:cs="Arial" w:eastAsia="Arial" w:hAnsi="Arial"/>
          <w:sz w:val="19"/>
          <w:szCs w:val="19"/>
          <w:color w:val="auto"/>
        </w:rPr>
        <w:t>”), (ii) 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 Employee Member, the involvement of any Member Group Person in any Other Business will not constitute a conflict of interest by such Persons with respect to the Company or its Members or any of its Subsidiaries.</w:t>
      </w:r>
    </w:p>
    <w:p>
      <w:pPr>
        <w:spacing w:after="0" w:line="159"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185" w:lineRule="exact"/>
        <w:rPr>
          <w:rFonts w:ascii="Arial" w:cs="Arial" w:eastAsia="Arial" w:hAnsi="Arial"/>
          <w:sz w:val="22"/>
          <w:szCs w:val="22"/>
          <w:color w:val="auto"/>
        </w:rPr>
      </w:pPr>
    </w:p>
    <w:p>
      <w:pPr>
        <w:jc w:val="both"/>
        <w:ind w:firstLine="1953"/>
        <w:spacing w:after="0" w:line="259" w:lineRule="auto"/>
        <w:tabs>
          <w:tab w:leader="none" w:pos="2797"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the Directors shall not have, or be deemed to have, any duties or 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84" w:lineRule="exact"/>
        <w:rPr>
          <w:rFonts w:ascii="Arial" w:cs="Arial" w:eastAsia="Arial" w:hAnsi="Arial"/>
          <w:sz w:val="21"/>
          <w:szCs w:val="21"/>
          <w:color w:val="auto"/>
        </w:rPr>
      </w:pPr>
    </w:p>
    <w:p>
      <w:pPr>
        <w:jc w:val="both"/>
        <w:ind w:right="20" w:firstLine="2601"/>
        <w:spacing w:after="0" w:line="253" w:lineRule="auto"/>
        <w:tabs>
          <w:tab w:leader="none" w:pos="3541" w:val="left"/>
        </w:tabs>
        <w:numPr>
          <w:ilvl w:val="2"/>
          <w:numId w:val="213"/>
        </w:numPr>
        <w:rPr>
          <w:rFonts w:ascii="Arial" w:cs="Arial" w:eastAsia="Arial" w:hAnsi="Arial"/>
          <w:sz w:val="22"/>
          <w:szCs w:val="22"/>
          <w:color w:val="auto"/>
        </w:rPr>
      </w:pPr>
      <w:r>
        <w:rPr>
          <w:rFonts w:ascii="Arial" w:cs="Arial" w:eastAsia="Arial" w:hAnsi="Arial"/>
          <w:sz w:val="22"/>
          <w:szCs w:val="22"/>
          <w:color w:val="auto"/>
        </w:rPr>
        <w:t>any transaction or arrangement, or any proposed transaction or arrangement, between the Company or its Subsidiaries, on the one hand, and SoftBank, SVFA or any SoftBank Party, on the other hand, including the decision to engage, or not to engage in, such transaction or arrangement; and</w:t>
      </w:r>
    </w:p>
    <w:p>
      <w:pPr>
        <w:spacing w:after="0" w:line="185" w:lineRule="exact"/>
        <w:rPr>
          <w:rFonts w:ascii="Arial" w:cs="Arial" w:eastAsia="Arial" w:hAnsi="Arial"/>
          <w:sz w:val="22"/>
          <w:szCs w:val="22"/>
          <w:color w:val="auto"/>
        </w:rPr>
      </w:pPr>
    </w:p>
    <w:p>
      <w:pPr>
        <w:jc w:val="both"/>
        <w:ind w:firstLine="2601"/>
        <w:spacing w:after="0" w:line="250" w:lineRule="auto"/>
        <w:tabs>
          <w:tab w:leader="none" w:pos="3529" w:val="left"/>
        </w:tabs>
        <w:numPr>
          <w:ilvl w:val="2"/>
          <w:numId w:val="213"/>
        </w:numPr>
        <w:rPr>
          <w:rFonts w:ascii="Arial" w:cs="Arial" w:eastAsia="Arial" w:hAnsi="Arial"/>
          <w:sz w:val="22"/>
          <w:szCs w:val="22"/>
          <w:color w:val="auto"/>
        </w:rPr>
      </w:pPr>
      <w:r>
        <w:rPr>
          <w:rFonts w:ascii="Arial" w:cs="Arial" w:eastAsia="Arial" w:hAnsi="Arial"/>
          <w:sz w:val="22"/>
          <w:szCs w:val="22"/>
          <w:color w:val="auto"/>
        </w:rPr>
        <w:t>any decision to engage or not to engage in any transaction or arrangement, or any proposed transaction or arrangement contemplated by the Transaction Documents or the Commercial Agreements (as the same may be amended from time to time in accordance with the provisions thereof), or which is otherwise on terms consistent with the Commercial Agreements;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69" w:right="239" w:bottom="1440" w:gutter="0" w:footer="0" w:header="0"/>
        </w:sectPr>
      </w:pPr>
    </w:p>
    <w:bookmarkStart w:id="245" w:name="page246"/>
    <w:bookmarkEnd w:id="245"/>
    <w:p>
      <w:pPr>
        <w:ind w:left="3540" w:hanging="939"/>
        <w:spacing w:after="0"/>
        <w:tabs>
          <w:tab w:leader="none" w:pos="354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issuance of Equity Securities to the GM Investor or any of its Affiliates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2.06; and</w:t>
      </w:r>
    </w:p>
    <w:p>
      <w:pPr>
        <w:spacing w:after="0" w:line="202" w:lineRule="exact"/>
        <w:rPr>
          <w:sz w:val="20"/>
          <w:szCs w:val="20"/>
          <w:color w:val="auto"/>
        </w:rPr>
      </w:pPr>
    </w:p>
    <w:p>
      <w:pPr>
        <w:jc w:val="both"/>
        <w:ind w:firstLine="1953"/>
        <w:spacing w:after="0" w:line="247" w:lineRule="auto"/>
        <w:tabs>
          <w:tab w:leader="none" w:pos="2857" w:val="left"/>
        </w:tabs>
        <w:numPr>
          <w:ilvl w:val="1"/>
          <w:numId w:val="215"/>
        </w:numPr>
        <w:rPr>
          <w:rFonts w:ascii="Arial" w:cs="Arial" w:eastAsia="Arial" w:hAnsi="Arial"/>
          <w:sz w:val="22"/>
          <w:szCs w:val="22"/>
          <w:color w:val="auto"/>
        </w:rPr>
      </w:pPr>
      <w:r>
        <w:rPr>
          <w:rFonts w:ascii="Arial" w:cs="Arial" w:eastAsia="Arial" w:hAnsi="Arial"/>
          <w:sz w:val="22"/>
          <w:szCs w:val="22"/>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w:t>
      </w:r>
    </w:p>
    <w:p>
      <w:pPr>
        <w:spacing w:after="0" w:line="193" w:lineRule="exact"/>
        <w:rPr>
          <w:rFonts w:ascii="Arial" w:cs="Arial" w:eastAsia="Arial" w:hAnsi="Arial"/>
          <w:sz w:val="22"/>
          <w:szCs w:val="22"/>
          <w:color w:val="auto"/>
        </w:rPr>
      </w:pPr>
    </w:p>
    <w:p>
      <w:pPr>
        <w:jc w:val="both"/>
        <w:ind w:firstLine="1305"/>
        <w:spacing w:after="0" w:line="289" w:lineRule="auto"/>
        <w:tabs>
          <w:tab w:leader="none" w:pos="218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this Agreement, any Transaction Document, any Commercial Agreement or any Honda Commercial Agreement, or (ii) the implied contractual covenant of good faith and fair dealing of the Members.</w:t>
      </w:r>
    </w:p>
    <w:p>
      <w:pPr>
        <w:spacing w:after="0" w:line="157" w:lineRule="exact"/>
        <w:rPr>
          <w:rFonts w:ascii="Arial" w:cs="Arial" w:eastAsia="Arial" w:hAnsi="Arial"/>
          <w:sz w:val="19"/>
          <w:szCs w:val="19"/>
          <w:color w:val="auto"/>
        </w:rPr>
      </w:pPr>
    </w:p>
    <w:p>
      <w:pPr>
        <w:jc w:val="both"/>
        <w:ind w:firstLine="1305"/>
        <w:spacing w:after="0" w:line="287" w:lineRule="auto"/>
        <w:tabs>
          <w:tab w:leader="none" w:pos="219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5.09 </w:t>
      </w:r>
      <w:r>
        <w:rPr>
          <w:rFonts w:ascii="Arial" w:cs="Arial" w:eastAsia="Arial" w:hAnsi="Arial"/>
          <w:sz w:val="22"/>
          <w:szCs w:val="22"/>
          <w:b w:val="1"/>
          <w:bCs w:val="1"/>
          <w:u w:val="single" w:color="auto"/>
          <w:color w:val="auto"/>
        </w:rPr>
        <w:t>Limitation of Liability</w:t>
      </w:r>
      <w:r>
        <w:rPr>
          <w:rFonts w:ascii="Arial" w:cs="Arial" w:eastAsia="Arial" w:hAnsi="Arial"/>
          <w:sz w:val="22"/>
          <w:szCs w:val="22"/>
          <w:color w:val="auto"/>
        </w:rPr>
        <w:t>. Except as otherwise required by applicable law or as expressly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Member shall have any personal liability whatsoever in such Member’s capacity as a Member, whether to the Company, to any of the other Members, to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75" w:right="239" w:bottom="1440" w:gutter="0" w:footer="0" w:header="0"/>
        </w:sectPr>
      </w:pPr>
    </w:p>
    <w:bookmarkStart w:id="246" w:name="page247"/>
    <w:bookmarkEnd w:id="246"/>
    <w:p>
      <w:pPr>
        <w:jc w:val="both"/>
        <w:spacing w:after="0" w:line="297" w:lineRule="auto"/>
        <w:rPr>
          <w:sz w:val="20"/>
          <w:szCs w:val="20"/>
          <w:color w:val="auto"/>
        </w:rPr>
      </w:pPr>
      <w:r>
        <w:rPr>
          <w:rFonts w:ascii="Arial" w:cs="Arial" w:eastAsia="Arial" w:hAnsi="Arial"/>
          <w:sz w:val="19"/>
          <w:szCs w:val="19"/>
          <w:color w:val="auto"/>
        </w:rPr>
        <w:t>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 Member, in its capacity as a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power to act for or on behalf of, or to bind the Company.</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 Agreement, the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GM Investor (acting in its sole discretion and in its capacity as a Member) will be required prior to entering into or consummating any Sale of the Company or any IPO.</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Honda Minority Consent Right</w:t>
      </w:r>
      <w:r>
        <w:rPr>
          <w:rFonts w:ascii="Arial" w:cs="Arial" w:eastAsia="Arial" w:hAnsi="Arial"/>
          <w:sz w:val="19"/>
          <w:szCs w:val="19"/>
          <w:color w:val="auto"/>
        </w:rPr>
        <w:t>. Without Honda’s prior written consent, for so long as Honda owns the Honda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Floor Amount, the Company shall not make any alteration or amendment or waiver to this Agreement that would have a material and disproportionate adverse effect on the terms of the Class E Common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5.12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Section 9.10)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MANAGEMENT</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48" w:lineRule="auto"/>
        <w:tabs>
          <w:tab w:leader="none" w:pos="21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Without prejudice to Section 5.12, to the fullest extent permitted by law, the business and affairs of the Company shall be managed by a board of directors (the “</w:t>
      </w:r>
      <w:r>
        <w:rPr>
          <w:rFonts w:ascii="Arial" w:cs="Arial" w:eastAsia="Arial" w:hAnsi="Arial"/>
          <w:sz w:val="22"/>
          <w:szCs w:val="22"/>
          <w:b w:val="1"/>
          <w:bCs w:val="1"/>
          <w:color w:val="auto"/>
        </w:rPr>
        <w:t>Board of Directors</w:t>
      </w:r>
      <w:r>
        <w:rPr>
          <w:rFonts w:ascii="Arial" w:cs="Arial" w:eastAsia="Arial" w:hAnsi="Arial"/>
          <w:sz w:val="22"/>
          <w:szCs w:val="22"/>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75" w:right="239" w:bottom="1440" w:gutter="0" w:footer="0" w:header="0"/>
        </w:sectPr>
      </w:pPr>
    </w:p>
    <w:bookmarkStart w:id="247" w:name="page248"/>
    <w:bookmarkEnd w:id="247"/>
    <w:p>
      <w:pPr>
        <w:jc w:val="both"/>
        <w:spacing w:after="0" w:line="312" w:lineRule="auto"/>
        <w:rPr>
          <w:sz w:val="20"/>
          <w:szCs w:val="20"/>
          <w:color w:val="auto"/>
        </w:rPr>
      </w:pPr>
      <w:r>
        <w:rPr>
          <w:rFonts w:ascii="Arial" w:cs="Arial" w:eastAsia="Arial" w:hAnsi="Arial"/>
          <w:sz w:val="19"/>
          <w:szCs w:val="19"/>
          <w:color w:val="auto"/>
        </w:rPr>
        <w:t>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34" w:lineRule="exact"/>
        <w:rPr>
          <w:sz w:val="20"/>
          <w:szCs w:val="20"/>
          <w:color w:val="auto"/>
        </w:rPr>
      </w:pPr>
    </w:p>
    <w:p>
      <w:pPr>
        <w:ind w:right="20" w:firstLine="1305"/>
        <w:spacing w:after="0" w:line="263" w:lineRule="auto"/>
        <w:tabs>
          <w:tab w:leader="none" w:pos="2197" w:val="left"/>
        </w:tabs>
        <w:numPr>
          <w:ilvl w:val="0"/>
          <w:numId w:val="218"/>
        </w:numPr>
        <w:rPr>
          <w:rFonts w:ascii="Arial" w:cs="Arial" w:eastAsia="Arial" w:hAnsi="Arial"/>
          <w:sz w:val="22"/>
          <w:szCs w:val="22"/>
          <w:color w:val="auto"/>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pacing w:after="0" w:line="16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 shall consist of seven (7)</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Directors. The 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size of the Board of Directors shall not be decreased to less than six (6) Directors.</w:t>
      </w:r>
    </w:p>
    <w:p>
      <w:pPr>
        <w:spacing w:after="0" w:line="12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4" w:lineRule="auto"/>
        <w:tabs>
          <w:tab w:leader="none" w:pos="218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shall, by vote of a Majority of the Common Shares, have the exclusive right to designate, appoint, remove and replace one (1) Director (the “</w:t>
      </w:r>
      <w:r>
        <w:rPr>
          <w:rFonts w:ascii="Arial" w:cs="Arial" w:eastAsia="Arial" w:hAnsi="Arial"/>
          <w:sz w:val="19"/>
          <w:szCs w:val="19"/>
          <w:b w:val="1"/>
          <w:bCs w:val="1"/>
          <w:color w:val="auto"/>
        </w:rPr>
        <w:t>Common Director</w:t>
      </w:r>
      <w:r>
        <w:rPr>
          <w:rFonts w:ascii="Arial" w:cs="Arial" w:eastAsia="Arial" w:hAnsi="Arial"/>
          <w:sz w:val="19"/>
          <w:szCs w:val="19"/>
          <w:color w:val="auto"/>
        </w:rPr>
        <w:t>”), and (iii) following the receipt of SoftBank CFIUS Approval and subject to Section 6.05, SoftBank shall have the exclusive right (exercisable by written notification to the Company and the GM Investor), for so long as SoftBank owns the SoftBank Floor Amount, to designate, appoint, remove and replace one (1) Director (the “</w:t>
      </w:r>
      <w:r>
        <w:rPr>
          <w:rFonts w:ascii="Arial" w:cs="Arial" w:eastAsia="Arial" w:hAnsi="Arial"/>
          <w:sz w:val="19"/>
          <w:szCs w:val="19"/>
          <w:b w:val="1"/>
          <w:bCs w:val="1"/>
          <w:color w:val="auto"/>
        </w:rPr>
        <w:t>SoftBank Director</w:t>
      </w:r>
      <w:r>
        <w:rPr>
          <w:rFonts w:ascii="Arial" w:cs="Arial" w:eastAsia="Arial" w:hAnsi="Arial"/>
          <w:sz w:val="19"/>
          <w:szCs w:val="19"/>
          <w:color w:val="auto"/>
        </w:rPr>
        <w:t>”). The initial A-2 Preferred Directors are such five (5) natural Persons as were notified in writing to the Company and SoftBank by GM and the initial Common Director is such one (1) natural Person as was notified in writing to the Company and SoftBank by GM. If at any time any Director ceases to serve on the Board of Directors (whether due to resignation, removal or otherwise), the Member(s) entitled to designate and appoint such Director pursuant to this Section 6.03 shall designate and appoint a replacement for such Director by written notice to the Board of Directors (it being further understood and agreed that the failure by any party to designate and appoint a 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75" w:right="239" w:bottom="1440" w:gutter="0" w:footer="0" w:header="0"/>
        </w:sectPr>
      </w:pPr>
    </w:p>
    <w:bookmarkStart w:id="248" w:name="page249"/>
    <w:bookmarkEnd w:id="248"/>
    <w:p>
      <w:pPr>
        <w:jc w:val="both"/>
        <w:spacing w:after="0" w:line="248" w:lineRule="auto"/>
        <w:rPr>
          <w:sz w:val="20"/>
          <w:szCs w:val="20"/>
          <w:color w:val="auto"/>
        </w:rPr>
      </w:pPr>
      <w:r>
        <w:rPr>
          <w:rFonts w:ascii="Arial" w:cs="Arial" w:eastAsia="Arial" w:hAnsi="Arial"/>
          <w:sz w:val="22"/>
          <w:szCs w:val="22"/>
          <w:color w:val="auto"/>
        </w:rPr>
        <w:t>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Section 6.03 is the exclusive means by which Directors may be removed or replaced.</w:t>
      </w:r>
    </w:p>
    <w:p>
      <w:pPr>
        <w:spacing w:after="0" w:line="192" w:lineRule="exact"/>
        <w:rPr>
          <w:sz w:val="20"/>
          <w:szCs w:val="20"/>
          <w:color w:val="auto"/>
        </w:rPr>
      </w:pPr>
    </w:p>
    <w:p>
      <w:pPr>
        <w:jc w:val="both"/>
        <w:ind w:firstLine="1305"/>
        <w:spacing w:after="0" w:line="247" w:lineRule="auto"/>
        <w:tabs>
          <w:tab w:leader="none" w:pos="2197"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93" w:lineRule="exact"/>
        <w:rPr>
          <w:rFonts w:ascii="Arial" w:cs="Arial" w:eastAsia="Arial" w:hAnsi="Arial"/>
          <w:sz w:val="22"/>
          <w:szCs w:val="22"/>
          <w:color w:val="auto"/>
        </w:rPr>
      </w:pPr>
    </w:p>
    <w:p>
      <w:pPr>
        <w:jc w:val="both"/>
        <w:ind w:firstLine="1305"/>
        <w:spacing w:after="0" w:line="292" w:lineRule="auto"/>
        <w:tabs>
          <w:tab w:leader="none" w:pos="218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151" w:lineRule="exact"/>
        <w:rPr>
          <w:rFonts w:ascii="Arial" w:cs="Arial" w:eastAsia="Arial" w:hAnsi="Arial"/>
          <w:sz w:val="19"/>
          <w:szCs w:val="19"/>
          <w:color w:val="auto"/>
        </w:rPr>
      </w:pPr>
    </w:p>
    <w:p>
      <w:pPr>
        <w:jc w:val="both"/>
        <w:ind w:firstLine="1305"/>
        <w:spacing w:after="0" w:line="265" w:lineRule="auto"/>
        <w:tabs>
          <w:tab w:leader="none" w:pos="2197" w:val="left"/>
        </w:tabs>
        <w:numPr>
          <w:ilvl w:val="0"/>
          <w:numId w:val="220"/>
        </w:numPr>
        <w:rPr>
          <w:rFonts w:ascii="Arial" w:cs="Arial" w:eastAsia="Arial" w:hAnsi="Arial"/>
          <w:sz w:val="21"/>
          <w:szCs w:val="21"/>
          <w:color w:val="auto"/>
        </w:rPr>
      </w:pPr>
      <w:r>
        <w:rPr>
          <w:rFonts w:ascii="Arial" w:cs="Arial" w:eastAsia="Arial" w:hAnsi="Arial"/>
          <w:sz w:val="21"/>
          <w:szCs w:val="21"/>
          <w:color w:val="auto"/>
        </w:rPr>
        <w:t xml:space="preserve">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right to revocation shall not invalidate or otherwise affect actions taken under such proxy prior to such revocation.</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6.04 </w:t>
      </w:r>
      <w:r>
        <w:rPr>
          <w:rFonts w:ascii="Arial" w:cs="Arial" w:eastAsia="Arial" w:hAnsi="Arial"/>
          <w:sz w:val="21"/>
          <w:szCs w:val="21"/>
          <w:b w:val="1"/>
          <w:bCs w:val="1"/>
          <w:u w:val="single" w:color="auto"/>
          <w:color w:val="auto"/>
        </w:rPr>
        <w:t>Board Observer</w:t>
      </w:r>
      <w:r>
        <w:rPr>
          <w:rFonts w:ascii="Arial" w:cs="Arial" w:eastAsia="Arial" w:hAnsi="Arial"/>
          <w:sz w:val="21"/>
          <w:szCs w:val="21"/>
          <w:color w:val="auto"/>
        </w:rPr>
        <w:t>. Following the receipt of SoftBank CFIUS Approval and subject to Section 6.05, SoftBank</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exclusive right, for so long as SoftBank owns the SoftBank Floor Amount, to designate one natural person to attend all meetings of the Board of Directors in a non-voting observer capacity (the “</w:t>
      </w:r>
      <w:r>
        <w:rPr>
          <w:rFonts w:ascii="Arial" w:cs="Arial" w:eastAsia="Arial" w:hAnsi="Arial"/>
          <w:sz w:val="21"/>
          <w:szCs w:val="21"/>
          <w:b w:val="1"/>
          <w:bCs w:val="1"/>
          <w:color w:val="auto"/>
        </w:rPr>
        <w:t>SoftBank Board Observer</w:t>
      </w:r>
      <w:r>
        <w:rPr>
          <w:rFonts w:ascii="Arial" w:cs="Arial" w:eastAsia="Arial" w:hAnsi="Arial"/>
          <w:sz w:val="21"/>
          <w:szCs w:val="21"/>
          <w:color w:val="auto"/>
        </w:rPr>
        <w:t xml:space="preserve">”). Following the receipt of Honda CFIUS Approval and subject to Section 6.05, Honda shall have the exclusive right, for so long as Honda owns the Honda Floor Amount, to designate one natural person to attend all meetings of the Board of Directors in a non-voting observer capacity (the “Honda </w:t>
      </w:r>
      <w:r>
        <w:rPr>
          <w:rFonts w:ascii="Arial" w:cs="Arial" w:eastAsia="Arial" w:hAnsi="Arial"/>
          <w:sz w:val="21"/>
          <w:szCs w:val="21"/>
          <w:b w:val="1"/>
          <w:bCs w:val="1"/>
          <w:color w:val="auto"/>
        </w:rPr>
        <w:t>Board Observer</w:t>
      </w:r>
      <w:r>
        <w:rPr>
          <w:rFonts w:ascii="Arial" w:cs="Arial" w:eastAsia="Arial" w:hAnsi="Arial"/>
          <w:sz w:val="21"/>
          <w:szCs w:val="21"/>
          <w:color w:val="auto"/>
        </w:rPr>
        <w:t>”, and together with the SoftBank Board Observer, the “</w:t>
      </w:r>
      <w:r>
        <w:rPr>
          <w:rFonts w:ascii="Arial" w:cs="Arial" w:eastAsia="Arial" w:hAnsi="Arial"/>
          <w:sz w:val="21"/>
          <w:szCs w:val="21"/>
          <w:b w:val="1"/>
          <w:bCs w:val="1"/>
          <w:color w:val="auto"/>
        </w:rPr>
        <w:t>Board Observers</w:t>
      </w:r>
      <w:r>
        <w:rPr>
          <w:rFonts w:ascii="Arial" w:cs="Arial" w:eastAsia="Arial" w:hAnsi="Arial"/>
          <w:sz w:val="21"/>
          <w:szCs w:val="21"/>
          <w:color w:val="auto"/>
        </w:rPr>
        <w:t>”). The following terms and conditions will apply to the Board Observers:</w:t>
      </w:r>
    </w:p>
    <w:p>
      <w:pPr>
        <w:spacing w:after="0" w:line="180" w:lineRule="exact"/>
        <w:rPr>
          <w:sz w:val="20"/>
          <w:szCs w:val="20"/>
          <w:color w:val="auto"/>
        </w:rPr>
      </w:pPr>
    </w:p>
    <w:p>
      <w:pPr>
        <w:jc w:val="both"/>
        <w:ind w:firstLine="1305"/>
        <w:spacing w:after="0" w:line="302" w:lineRule="auto"/>
        <w:tabs>
          <w:tab w:leader="none" w:pos="218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and (ii) the Honda Board Observer copies of all reports, notices, minutes,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75" w:right="239" w:bottom="1440" w:gutter="0" w:footer="0" w:header="0"/>
        </w:sectPr>
      </w:pPr>
    </w:p>
    <w:bookmarkStart w:id="249" w:name="page250"/>
    <w:bookmarkEnd w:id="249"/>
    <w:p>
      <w:pPr>
        <w:jc w:val="both"/>
        <w:spacing w:after="0" w:line="302" w:lineRule="auto"/>
        <w:rPr>
          <w:sz w:val="20"/>
          <w:szCs w:val="20"/>
          <w:color w:val="auto"/>
        </w:rPr>
      </w:pPr>
      <w:r>
        <w:rPr>
          <w:rFonts w:ascii="Arial" w:cs="Arial" w:eastAsia="Arial" w:hAnsi="Arial"/>
          <w:sz w:val="19"/>
          <w:szCs w:val="19"/>
          <w:color w:val="auto"/>
        </w:rPr>
        <w:t xml:space="preserve">consents, actions taken or proposed to be taken without a meeting and other materials in each case (and to the extent) that the Company provides the same to the Board of Directors, subject to the restrictions set forth in Section 6.14, each such delivery to be made concurrently with the delivery of such materials to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deliver any such notice or materials to any Board Observer shall not impair the validity of any action taken by the Board of Directors;</w:t>
      </w:r>
    </w:p>
    <w:p>
      <w:pPr>
        <w:spacing w:after="0" w:line="143" w:lineRule="exact"/>
        <w:rPr>
          <w:sz w:val="20"/>
          <w:szCs w:val="20"/>
          <w:color w:val="auto"/>
        </w:rPr>
      </w:pPr>
    </w:p>
    <w:p>
      <w:pPr>
        <w:jc w:val="both"/>
        <w:ind w:firstLine="1305"/>
        <w:spacing w:after="0" w:line="246" w:lineRule="auto"/>
        <w:tabs>
          <w:tab w:leader="none" w:pos="219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and (ii) the Honda Board Observer may be excluded from access to any portion of any meeting to the extent that matters with respect to which Honda Competitively Sensitive Information is shared, presented or discussed;</w:t>
      </w:r>
    </w:p>
    <w:p>
      <w:pPr>
        <w:spacing w:after="0" w:line="194" w:lineRule="exact"/>
        <w:rPr>
          <w:rFonts w:ascii="Arial" w:cs="Arial" w:eastAsia="Arial" w:hAnsi="Arial"/>
          <w:sz w:val="22"/>
          <w:szCs w:val="22"/>
          <w:color w:val="auto"/>
        </w:rPr>
      </w:pPr>
    </w:p>
    <w:p>
      <w:pPr>
        <w:jc w:val="both"/>
        <w:ind w:firstLine="1305"/>
        <w:spacing w:after="0" w:line="312" w:lineRule="auto"/>
        <w:tabs>
          <w:tab w:leader="none" w:pos="218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33" w:lineRule="exact"/>
        <w:rPr>
          <w:rFonts w:ascii="Arial" w:cs="Arial" w:eastAsia="Arial" w:hAnsi="Arial"/>
          <w:sz w:val="19"/>
          <w:szCs w:val="19"/>
          <w:color w:val="auto"/>
        </w:rPr>
      </w:pPr>
    </w:p>
    <w:p>
      <w:pPr>
        <w:ind w:firstLine="1305"/>
        <w:spacing w:after="0" w:line="263" w:lineRule="auto"/>
        <w:tabs>
          <w:tab w:leader="none" w:pos="219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subject to Section 6.04(f), SoftBank has the right to remove and replace or substitute the SoftBank Board Observer from time to time by providing written notice to the Company;</w:t>
      </w:r>
    </w:p>
    <w:p>
      <w:pPr>
        <w:spacing w:after="0" w:line="174" w:lineRule="exact"/>
        <w:rPr>
          <w:rFonts w:ascii="Arial" w:cs="Arial" w:eastAsia="Arial" w:hAnsi="Arial"/>
          <w:sz w:val="22"/>
          <w:szCs w:val="22"/>
          <w:color w:val="auto"/>
        </w:rPr>
      </w:pPr>
    </w:p>
    <w:p>
      <w:pPr>
        <w:ind w:firstLine="1305"/>
        <w:spacing w:after="0" w:line="263" w:lineRule="auto"/>
        <w:tabs>
          <w:tab w:leader="none" w:pos="218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subject to Section 6.04(g), Honda has the right to remove and replace or substitute the Honda Board Observer from time to time by providing written notice to the Company;</w:t>
      </w:r>
    </w:p>
    <w:p>
      <w:pPr>
        <w:spacing w:after="0" w:line="174" w:lineRule="exact"/>
        <w:rPr>
          <w:rFonts w:ascii="Arial" w:cs="Arial" w:eastAsia="Arial" w:hAnsi="Arial"/>
          <w:sz w:val="22"/>
          <w:szCs w:val="22"/>
          <w:color w:val="auto"/>
        </w:rPr>
      </w:pPr>
    </w:p>
    <w:p>
      <w:pPr>
        <w:jc w:val="both"/>
        <w:ind w:firstLine="1305"/>
        <w:spacing w:after="0" w:line="271" w:lineRule="auto"/>
        <w:tabs>
          <w:tab w:leader="none" w:pos="216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upon such time as SoftBank owns less than the SoftBank Floor Amount, the SoftBank Board Observer shall be automatically removed and shall cease to have any of the rights contemplated by this Section 6.04, and the right of SoftBank to designate, appoint, remove and replace the SoftBank Board Observer shall be null and void;</w:t>
      </w:r>
    </w:p>
    <w:p>
      <w:pPr>
        <w:spacing w:after="0" w:line="167"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upon such time as Honda owns less than the Honda Floor Amount, the Honda Board Observer shall be automatically removed and shall cease to have any of the rights contemplated by this Section 6.04, and the right of Honda to designate, appoint, remove and replace the Honda Board Observer shall be null and void; and</w:t>
      </w:r>
    </w:p>
    <w:p>
      <w:pPr>
        <w:spacing w:after="0" w:line="185" w:lineRule="exact"/>
        <w:rPr>
          <w:rFonts w:ascii="Arial" w:cs="Arial" w:eastAsia="Arial" w:hAnsi="Arial"/>
          <w:sz w:val="22"/>
          <w:szCs w:val="22"/>
          <w:color w:val="auto"/>
        </w:rPr>
      </w:pPr>
    </w:p>
    <w:p>
      <w:pPr>
        <w:ind w:firstLine="1305"/>
        <w:spacing w:after="0" w:line="263" w:lineRule="auto"/>
        <w:tabs>
          <w:tab w:leader="none" w:pos="219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prior to appointment, the Board Observers will each enter into a confidentiality agreement with the Company, on terms mutually acceptable to the Board of Directors and the Board Observers.</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6.05 </w:t>
      </w:r>
      <w:r>
        <w:rPr>
          <w:rFonts w:ascii="Arial" w:cs="Arial" w:eastAsia="Arial" w:hAnsi="Arial"/>
          <w:sz w:val="22"/>
          <w:szCs w:val="22"/>
          <w:b w:val="1"/>
          <w:bCs w:val="1"/>
          <w:u w:val="single" w:color="auto"/>
          <w:color w:val="auto"/>
        </w:rPr>
        <w:t>Director Appointee Screening</w:t>
      </w:r>
      <w:r>
        <w:rPr>
          <w:rFonts w:ascii="Arial" w:cs="Arial" w:eastAsia="Arial" w:hAnsi="Arial"/>
          <w:sz w:val="22"/>
          <w:szCs w:val="22"/>
          <w:color w:val="auto"/>
        </w:rPr>
        <w:t>. Unless otherwise agreed in writing by SoftBank and the GM Investor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case of the SoftBank Director and SoftBank Board Observer, or Honda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250" w:name="page251"/>
    <w:bookmarkEnd w:id="250"/>
    <w:p>
      <w:pPr>
        <w:jc w:val="both"/>
        <w:spacing w:after="0" w:line="285" w:lineRule="auto"/>
        <w:rPr>
          <w:sz w:val="20"/>
          <w:szCs w:val="20"/>
          <w:color w:val="auto"/>
        </w:rPr>
      </w:pPr>
      <w:r>
        <w:rPr>
          <w:rFonts w:ascii="Arial" w:cs="Arial" w:eastAsia="Arial" w:hAnsi="Arial"/>
          <w:sz w:val="19"/>
          <w:szCs w:val="19"/>
          <w:color w:val="auto"/>
        </w:rPr>
        <w:t>and the GM Investor in the case of the Honda Board Observer, each Person selected pursuant to Section 6.03(a) from time to time to serve as the SoftBank Director or a Board Observer (a) (i) in the case of the Softbank Director or Softbank Board Observer must be a U.S. citizen and (ii) in the case of the Honda Board Observer must be a U.S. or Japanese citizen; (b) (i) in the case of the SoftBank Director or SoftBank Board Observer, must not be (A) an employee, director (or board observer), manager, officer or consultant of any SoftBank Restricted Person or (B) a Person who has direct or indirect control, influence or management oversight of Persons who are employees, directors (or board observer), managers, officers or consultants of a SoftBank Restricted Person and</w:t>
      </w:r>
    </w:p>
    <w:p>
      <w:pPr>
        <w:spacing w:after="0" w:line="1" w:lineRule="exact"/>
        <w:rPr>
          <w:sz w:val="20"/>
          <w:szCs w:val="20"/>
          <w:color w:val="auto"/>
        </w:rPr>
      </w:pPr>
    </w:p>
    <w:p>
      <w:pPr>
        <w:jc w:val="both"/>
        <w:ind w:firstLine="8"/>
        <w:spacing w:after="0" w:line="284" w:lineRule="auto"/>
        <w:tabs>
          <w:tab w:leader="none" w:pos="33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in the case of the Honda Board Observer, must not be (A) an employee of or a consultant of Honda R&amp;D Co., Ltd. (“</w:t>
      </w:r>
      <w:r>
        <w:rPr>
          <w:rFonts w:ascii="Arial" w:cs="Arial" w:eastAsia="Arial" w:hAnsi="Arial"/>
          <w:sz w:val="19"/>
          <w:szCs w:val="19"/>
          <w:b w:val="1"/>
          <w:bCs w:val="1"/>
          <w:color w:val="auto"/>
        </w:rPr>
        <w:t>Honda</w:t>
      </w:r>
      <w:r>
        <w:rPr>
          <w:rFonts w:ascii="Arial" w:cs="Arial" w:eastAsia="Arial" w:hAnsi="Arial"/>
          <w:sz w:val="19"/>
          <w:szCs w:val="19"/>
          <w:color w:val="auto"/>
        </w:rPr>
        <w:t xml:space="preserve"> </w:t>
      </w:r>
      <w:r>
        <w:rPr>
          <w:rFonts w:ascii="Arial" w:cs="Arial" w:eastAsia="Arial" w:hAnsi="Arial"/>
          <w:sz w:val="19"/>
          <w:szCs w:val="19"/>
          <w:b w:val="1"/>
          <w:bCs w:val="1"/>
          <w:color w:val="auto"/>
        </w:rPr>
        <w:t>R&amp;D Co</w:t>
      </w:r>
      <w:r>
        <w:rPr>
          <w:rFonts w:ascii="Arial" w:cs="Arial" w:eastAsia="Arial" w:hAnsi="Arial"/>
          <w:sz w:val="19"/>
          <w:szCs w:val="19"/>
          <w:color w:val="auto"/>
        </w:rPr>
        <w:t>”) or any successor thereof or (B) have direct or indirect control, influence or management oversight of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managers, officers or consultants of Honda R&amp;D Co or any successor thereof; (c) in the case of the SoftBank Director or SoftBank Board Observer, must not be a member of any investment committee (or similar body) of any Person whose other members include one or more Persons that are described in subsection (b)(i); (d) must not (i) be a “bad actor” as defined in Rule 506(d)(1) of the Securities Act or (ii) have been convicted of a felony (excluding driving under the influence) or any crime involving moral turpitude; and (e) shall be subject to the prior written approval of the Majority of the Class A-2 Preferred. If any nominee for the position of SoftBank Director or either of the Board Observers is rejected by the Majority of the Class A-2 Preferred, such Person shall not be nominated or appointed as a Director or either Board Observer, as applicable. If, at any time following the appointment of any SoftBank Director or any Board Observer, the Majority of the Class A-2 Preferred believes that such SoftBank Director or Board Observer no longer satisfies the applicable criteria described in clauses (a) through (d) above, the Majority of the Class A-2 Preferred may deliver written notice thereof to the Majority of the Class A-1 Preferred in the case of the SoftBank Director or SoftBank Board Observer or Honda, in the case of the Honda Board Observer and the Board of Directors in any case. If, following reasonable consultation with SoftBank or Honda, as applicable, the Board of Directors determines that such criteria are not met, such SoftBank Director or Board Observer (as applicable) will be deemed automatically removed, without recourse, as a Director or Board Observer (as applicable) and SoftBank or Honda, as applicable, shall have the right to fill the resulting vacancy as contemplated by Section 6.03 and Section 6.04 but subject to this Section 6.05. If no Class A-2 Preferred Shares are outstanding, references in this Section 6.05 to a Majority of the Class A-2 Preferred will be deemed to be to a Majority of the Class C Common.</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6.06 </w:t>
      </w:r>
      <w:r>
        <w:rPr>
          <w:rFonts w:ascii="Arial" w:cs="Arial" w:eastAsia="Arial" w:hAnsi="Arial"/>
          <w:sz w:val="22"/>
          <w:szCs w:val="22"/>
          <w:b w:val="1"/>
          <w:bCs w:val="1"/>
          <w:u w:val="single" w:color="auto"/>
          <w:color w:val="auto"/>
        </w:rPr>
        <w:t>Tenure of Directors</w:t>
      </w:r>
      <w:r>
        <w:rPr>
          <w:rFonts w:ascii="Arial" w:cs="Arial" w:eastAsia="Arial" w:hAnsi="Arial"/>
          <w:sz w:val="22"/>
          <w:szCs w:val="22"/>
          <w:color w:val="auto"/>
        </w:rPr>
        <w:t>. Each Director shall hold office until the earliest of such Person’s death, resignation,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removal or replacement (or, in the case of the SoftBank Director, such time as SoftBank owns less than the SoftBank Floor Amount).</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6.07 </w:t>
      </w:r>
      <w:r>
        <w:rPr>
          <w:rFonts w:ascii="Arial" w:cs="Arial" w:eastAsia="Arial" w:hAnsi="Arial"/>
          <w:sz w:val="22"/>
          <w:szCs w:val="22"/>
          <w:b w:val="1"/>
          <w:bCs w:val="1"/>
          <w:u w:val="single" w:color="auto"/>
          <w:color w:val="auto"/>
        </w:rPr>
        <w:t>Committees</w:t>
      </w:r>
      <w:r>
        <w:rPr>
          <w:rFonts w:ascii="Arial" w:cs="Arial" w:eastAsia="Arial" w:hAnsi="Arial"/>
          <w:sz w:val="22"/>
          <w:szCs w:val="22"/>
          <w:color w:val="auto"/>
        </w:rPr>
        <w:t>. The Board of Directors may establish one or more committees, each committee to consist of one</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375" w:right="239" w:bottom="1440" w:gutter="0" w:footer="0" w:header="0"/>
        </w:sectPr>
      </w:pPr>
    </w:p>
    <w:bookmarkStart w:id="251" w:name="page252"/>
    <w:bookmarkEnd w:id="251"/>
    <w:p>
      <w:pPr>
        <w:jc w:val="both"/>
        <w:ind w:right="20"/>
        <w:spacing w:after="0" w:line="263" w:lineRule="auto"/>
        <w:rPr>
          <w:sz w:val="20"/>
          <w:szCs w:val="20"/>
          <w:color w:val="auto"/>
        </w:rPr>
      </w:pPr>
      <w:r>
        <w:rPr>
          <w:rFonts w:ascii="Arial" w:cs="Arial" w:eastAsia="Arial" w:hAnsi="Arial"/>
          <w:sz w:val="22"/>
          <w:szCs w:val="22"/>
          <w:color w:val="auto"/>
        </w:rPr>
        <w:t>pursuant to this Article VI (including quorum, voting, notice and other similar requirements), unless otherwise determined by the Board of Directors or the applicable committee (by a vote of a Majority of a Committee).</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6.08 </w:t>
      </w:r>
      <w:r>
        <w:rPr>
          <w:rFonts w:ascii="Arial" w:cs="Arial" w:eastAsia="Arial" w:hAnsi="Arial"/>
          <w:sz w:val="22"/>
          <w:szCs w:val="22"/>
          <w:b w:val="1"/>
          <w:bCs w:val="1"/>
          <w:u w:val="single" w:color="auto"/>
          <w:color w:val="auto"/>
        </w:rPr>
        <w:t>Director Compensation</w:t>
      </w:r>
      <w:r>
        <w:rPr>
          <w:rFonts w:ascii="Arial" w:cs="Arial" w:eastAsia="Arial" w:hAnsi="Arial"/>
          <w:sz w:val="22"/>
          <w:szCs w:val="22"/>
          <w:color w:val="auto"/>
        </w:rPr>
        <w:t>. No Director shall be entitled to compensation for acting as a Director. However,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 notice to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b w:val="1"/>
          <w:bCs w:val="1"/>
          <w:u w:val="single" w:color="auto"/>
          <w:color w:val="auto"/>
        </w:rPr>
        <w:t>Vacancies</w:t>
      </w:r>
      <w:r>
        <w:rPr>
          <w:rFonts w:ascii="Arial" w:cs="Arial" w:eastAsia="Arial" w:hAnsi="Arial"/>
          <w:sz w:val="19"/>
          <w:szCs w:val="19"/>
          <w:color w:val="auto"/>
        </w:rPr>
        <w:t>. When any Director shall resign or otherwise cease to serve as Director, such vacancy shall be filled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6.03. Unless otherwise provided by the Member(s) entitled to designate such replacement Director, the replacement shall take effect when such resignation or cessation shall become effective. No vacancy on the Board of Directors shall prevent the operation and functioning of the Board of Directors subject to the terms and conditions hereof.</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The Board of Directors shall meet at such times and at such places (either within or outside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State of 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and the Honda Board Observer. Meetings of the Board of Directors shall be held on the call of the Chairman, the Board of Directors or at the request of either the Majority of the Class A-2 Preferred or a Majority of the Class C Common upon at least three (3) Business Days written notice to the Directors and the SoftBank Board Observer (only in the event that the SoftBank Director is not serving on the Board of Directors) and the Honda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Arial" w:cs="Arial" w:eastAsia="Arial" w:hAnsi="Arial"/>
          <w:sz w:val="19"/>
          <w:szCs w:val="19"/>
          <w:u w:val="single" w:color="auto"/>
          <w:color w:val="auto"/>
        </w:rPr>
        <w:t>Emergency Meeting</w:t>
      </w:r>
      <w:r>
        <w:rPr>
          <w:rFonts w:ascii="Arial" w:cs="Arial" w:eastAsia="Arial" w:hAnsi="Arial"/>
          <w:sz w:val="19"/>
          <w:szCs w:val="19"/>
          <w:color w:val="auto"/>
        </w:rPr>
        <w:t>”), and presence of any Director at a meeting constitutes waiver of notice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375" w:right="239" w:bottom="1440" w:gutter="0" w:footer="0" w:header="0"/>
        </w:sectPr>
      </w:pPr>
    </w:p>
    <w:bookmarkStart w:id="252" w:name="page253"/>
    <w:bookmarkEnd w:id="252"/>
    <w:p>
      <w:pPr>
        <w:jc w:val="both"/>
        <w:spacing w:after="0" w:line="253" w:lineRule="auto"/>
        <w:rPr>
          <w:sz w:val="20"/>
          <w:szCs w:val="20"/>
          <w:color w:val="auto"/>
        </w:rPr>
      </w:pPr>
      <w:r>
        <w:rPr>
          <w:rFonts w:ascii="Arial" w:cs="Arial" w:eastAsia="Arial" w:hAnsi="Arial"/>
          <w:sz w:val="22"/>
          <w:szCs w:val="22"/>
          <w:color w:val="auto"/>
        </w:rPr>
        <w:t>such meeting except as otherwise provided by law. Any resolutions passed at an Emergency Meeting shall be provided as promptly as reasonably practicable by the Company to the SoftBank Board Observer (only in the event that the SoftBank Director is not serving on the Board of Directors) and the Honda Board Observer.</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6.12 </w:t>
      </w:r>
      <w:r>
        <w:rPr>
          <w:rFonts w:ascii="Arial" w:cs="Arial" w:eastAsia="Arial" w:hAnsi="Arial"/>
          <w:sz w:val="22"/>
          <w:szCs w:val="22"/>
          <w:b w:val="1"/>
          <w:bCs w:val="1"/>
          <w:u w:val="single" w:color="auto"/>
          <w:color w:val="auto"/>
        </w:rPr>
        <w:t>Meetings by Telephone</w:t>
      </w:r>
      <w:r>
        <w:rPr>
          <w:rFonts w:ascii="Arial" w:cs="Arial" w:eastAsia="Arial" w:hAnsi="Arial"/>
          <w:sz w:val="22"/>
          <w:szCs w:val="22"/>
          <w:color w:val="auto"/>
        </w:rPr>
        <w:t>. Directors may participate in a meeting of the Board of Directors or a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by means of conference telephone, videoconference or similar communications equipment by which all Persons participating in the meeting can hear each other at the same time. Such participation shall constitute presence in person at the meeting.</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19"/>
          <w:szCs w:val="19"/>
          <w:b w:val="1"/>
          <w:bCs w:val="1"/>
          <w:u w:val="single" w:color="auto"/>
          <w:color w:val="auto"/>
        </w:rPr>
        <w:t>Quorum; Actions of Board of Directors; SoftBank Minority Consent Rights</w:t>
      </w:r>
      <w:r>
        <w:rPr>
          <w:rFonts w:ascii="Arial" w:cs="Arial" w:eastAsia="Arial" w:hAnsi="Arial"/>
          <w:sz w:val="19"/>
          <w:szCs w:val="19"/>
          <w:color w:val="auto"/>
        </w:rPr>
        <w:t>. A quorum at all meetings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Each Director shall have one (1) vote on all matters submitted to the Board of Directors (whether the consideration of such matter is taken at a meeting, by written consent or otherwise). The vote of (or written consent signed by) a Majority of the Board shall be required for any action, decision or approval by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157" w:lineRule="exact"/>
        <w:rPr>
          <w:sz w:val="20"/>
          <w:szCs w:val="20"/>
          <w:color w:val="auto"/>
        </w:rPr>
      </w:pPr>
    </w:p>
    <w:p>
      <w:pPr>
        <w:jc w:val="both"/>
        <w:ind w:firstLine="1305"/>
        <w:spacing w:after="0" w:line="286" w:lineRule="auto"/>
        <w:tabs>
          <w:tab w:leader="none" w:pos="2185"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167" w:lineRule="exact"/>
        <w:rPr>
          <w:rFonts w:ascii="Arial" w:cs="Arial" w:eastAsia="Arial" w:hAnsi="Arial"/>
          <w:sz w:val="19"/>
          <w:szCs w:val="19"/>
          <w:color w:val="auto"/>
        </w:rPr>
      </w:pPr>
    </w:p>
    <w:p>
      <w:pPr>
        <w:ind w:firstLine="1305"/>
        <w:spacing w:after="0" w:line="263" w:lineRule="auto"/>
        <w:tabs>
          <w:tab w:leader="none" w:pos="2197"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without prejudice to Sections 5.08(b)(i)(B), 5.08(b)(i)(C) and 5.08(b)(ii), enter into any transaction, arrangement or agreement between the Company or any of 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375" w:right="239" w:bottom="1440" w:gutter="0" w:footer="0" w:header="0"/>
        </w:sectPr>
      </w:pPr>
    </w:p>
    <w:bookmarkStart w:id="253" w:name="page254"/>
    <w:bookmarkEnd w:id="253"/>
    <w:p>
      <w:pPr>
        <w:jc w:val="both"/>
        <w:spacing w:after="0" w:line="284" w:lineRule="auto"/>
        <w:rPr>
          <w:sz w:val="20"/>
          <w:szCs w:val="20"/>
          <w:color w:val="auto"/>
        </w:rPr>
      </w:pPr>
      <w:r>
        <w:rPr>
          <w:rFonts w:ascii="Arial" w:cs="Arial" w:eastAsia="Arial" w:hAnsi="Arial"/>
          <w:sz w:val="19"/>
          <w:szCs w:val="19"/>
          <w:color w:val="auto"/>
        </w:rPr>
        <w:t xml:space="preserve">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w:t>
      </w:r>
    </w:p>
    <w:p>
      <w:pPr>
        <w:spacing w:after="0" w:line="2" w:lineRule="exact"/>
        <w:rPr>
          <w:sz w:val="20"/>
          <w:szCs w:val="20"/>
          <w:color w:val="auto"/>
        </w:rPr>
      </w:pPr>
    </w:p>
    <w:p>
      <w:pPr>
        <w:jc w:val="both"/>
        <w:ind w:firstLine="8"/>
        <w:spacing w:after="0" w:line="262" w:lineRule="auto"/>
        <w:tabs>
          <w:tab w:leader="none" w:pos="27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have not been satisfied); (ii) contemplated by the Transaction Documents or the Commercial Agreements (as the same may be amended from time to time in accordance with the provisions thereof), or which is otherwise on terms consistent with the Commercial Agreements; or (iii) providing for the issuance of Equity Securities pursuant to Section 2.06;</w:t>
      </w:r>
    </w:p>
    <w:p>
      <w:pPr>
        <w:spacing w:after="0" w:line="177" w:lineRule="exact"/>
        <w:rPr>
          <w:rFonts w:ascii="Arial" w:cs="Arial" w:eastAsia="Arial" w:hAnsi="Arial"/>
          <w:sz w:val="21"/>
          <w:szCs w:val="21"/>
          <w:color w:val="auto"/>
        </w:rPr>
      </w:pPr>
    </w:p>
    <w:p>
      <w:pPr>
        <w:jc w:val="both"/>
        <w:ind w:firstLine="1305"/>
        <w:spacing w:after="0" w:line="297" w:lineRule="auto"/>
        <w:tabs>
          <w:tab w:leader="none" w:pos="2185"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rights of the Class A-1 Preferred Shares in Sections 3.01(b)(i) or 3.02(a)(i) (the “</w:t>
      </w:r>
      <w:r>
        <w:rPr>
          <w:rFonts w:ascii="Arial" w:cs="Arial" w:eastAsia="Arial" w:hAnsi="Arial"/>
          <w:sz w:val="19"/>
          <w:szCs w:val="19"/>
          <w:b w:val="1"/>
          <w:bCs w:val="1"/>
          <w:color w:val="auto"/>
        </w:rPr>
        <w:t>Par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subsection (ii) will not apply to the first $1,000,000,000 of new Par Securities issued (with such amount being calculated based on the consideration paid by the recipient(s) of such Par Securities); or</w:t>
      </w:r>
    </w:p>
    <w:p>
      <w:pPr>
        <w:spacing w:after="0" w:line="147" w:lineRule="exact"/>
        <w:rPr>
          <w:rFonts w:ascii="Arial" w:cs="Arial" w:eastAsia="Arial" w:hAnsi="Arial"/>
          <w:sz w:val="19"/>
          <w:szCs w:val="19"/>
          <w:color w:val="auto"/>
        </w:rPr>
      </w:pPr>
    </w:p>
    <w:p>
      <w:pPr>
        <w:jc w:val="both"/>
        <w:ind w:firstLine="1305"/>
        <w:spacing w:after="0" w:line="297" w:lineRule="auto"/>
        <w:tabs>
          <w:tab w:leader="none" w:pos="219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consummate an IPO, prior to the third (3rd) anniversary of the date of this Agreement, pursuant to which Class A-1 Preferred Members would receive Low-Vote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19"/>
          <w:szCs w:val="19"/>
          <w:b w:val="1"/>
          <w:bCs w:val="1"/>
          <w:color w:val="auto"/>
        </w:rPr>
        <w:t>IPO Shortfall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6.13(d) will not apply if:</w:t>
      </w:r>
    </w:p>
    <w:p>
      <w:pPr>
        <w:spacing w:after="0" w:line="147" w:lineRule="exact"/>
        <w:rPr>
          <w:rFonts w:ascii="Arial" w:cs="Arial" w:eastAsia="Arial" w:hAnsi="Arial"/>
          <w:sz w:val="19"/>
          <w:szCs w:val="19"/>
          <w:color w:val="auto"/>
        </w:rPr>
      </w:pPr>
    </w:p>
    <w:p>
      <w:pPr>
        <w:jc w:val="both"/>
        <w:ind w:firstLine="1953"/>
        <w:spacing w:after="0" w:line="302" w:lineRule="auto"/>
        <w:tabs>
          <w:tab w:leader="none" w:pos="2797" w:val="left"/>
        </w:tabs>
        <w:numPr>
          <w:ilvl w:val="2"/>
          <w:numId w:val="225"/>
        </w:numPr>
        <w:rPr>
          <w:rFonts w:ascii="Arial" w:cs="Arial" w:eastAsia="Arial" w:hAnsi="Arial"/>
          <w:sz w:val="19"/>
          <w:szCs w:val="19"/>
          <w:color w:val="auto"/>
        </w:rPr>
      </w:pPr>
      <w:r>
        <w:rPr>
          <w:rFonts w:ascii="Arial" w:cs="Arial" w:eastAsia="Arial" w:hAnsi="Arial"/>
          <w:sz w:val="19"/>
          <w:szCs w:val="19"/>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Low-Vote IPO Shares and/or cash equal to the aggregate IPO Shortfall that would be suffered by such Class A-1 Preferred Member; or</w:t>
      </w:r>
    </w:p>
    <w:p>
      <w:pPr>
        <w:spacing w:after="0" w:line="142" w:lineRule="exact"/>
        <w:rPr>
          <w:rFonts w:ascii="Arial" w:cs="Arial" w:eastAsia="Arial" w:hAnsi="Arial"/>
          <w:sz w:val="19"/>
          <w:szCs w:val="19"/>
          <w:color w:val="auto"/>
        </w:rPr>
      </w:pPr>
    </w:p>
    <w:p>
      <w:pPr>
        <w:jc w:val="both"/>
        <w:ind w:firstLine="1953"/>
        <w:spacing w:after="0" w:line="302" w:lineRule="auto"/>
        <w:tabs>
          <w:tab w:leader="none" w:pos="2857" w:val="left"/>
        </w:tabs>
        <w:numPr>
          <w:ilvl w:val="2"/>
          <w:numId w:val="225"/>
        </w:numPr>
        <w:rPr>
          <w:rFonts w:ascii="Arial" w:cs="Arial" w:eastAsia="Arial" w:hAnsi="Arial"/>
          <w:sz w:val="19"/>
          <w:szCs w:val="19"/>
          <w:color w:val="auto"/>
        </w:rPr>
      </w:pPr>
      <w:r>
        <w:rPr>
          <w:rFonts w:ascii="Arial" w:cs="Arial" w:eastAsia="Arial" w:hAnsi="Arial"/>
          <w:sz w:val="19"/>
          <w:szCs w:val="19"/>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Low-Vote IPO Shares and/or cash equal to the aggregate IPO Shortfall.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375" w:right="239" w:bottom="1440" w:gutter="0" w:footer="0" w:header="0"/>
        </w:sectPr>
      </w:pPr>
    </w:p>
    <w:bookmarkStart w:id="254" w:name="page255"/>
    <w:bookmarkEnd w:id="254"/>
    <w:p>
      <w:pPr>
        <w:jc w:val="both"/>
        <w:ind w:firstLine="648"/>
        <w:spacing w:after="0" w:line="294"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SoftBank Floor Amount, none of the foregoing actions in this Section 6.13 shall be taken without the approval of the Majority of the Class A-1 Preferred. For clarity, if the rights in this Section 6.13(a) through (d) are amended or cease to apply pursuant to Sections 2.02(c)(ii) or 2.02(d), such rights will also be amended or cease to apply (as applicable) with respect to the Majority of the Class A-1 Preferred (to the extent rights were granted pursuant to the prior sentence).</w:t>
      </w:r>
    </w:p>
    <w:p>
      <w:pPr>
        <w:spacing w:after="0" w:line="14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1305"/>
        <w:spacing w:after="0" w:line="288" w:lineRule="auto"/>
        <w:tabs>
          <w:tab w:leader="none" w:pos="218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 Director (and the SoftBank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 (1) Business Day in advance of such materials being shared or presented</w:t>
      </w:r>
    </w:p>
    <w:p>
      <w:pPr>
        <w:spacing w:after="0" w:line="154" w:lineRule="exact"/>
        <w:rPr>
          <w:rFonts w:ascii="Arial" w:cs="Arial" w:eastAsia="Arial" w:hAnsi="Arial"/>
          <w:sz w:val="19"/>
          <w:szCs w:val="19"/>
          <w:color w:val="auto"/>
        </w:rPr>
      </w:pPr>
    </w:p>
    <w:p>
      <w:pPr>
        <w:jc w:val="both"/>
        <w:ind w:firstLine="1305"/>
        <w:spacing w:after="0" w:line="288" w:lineRule="auto"/>
        <w:tabs>
          <w:tab w:leader="none" w:pos="226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(and subject further, and without prejudice, to Section 8.03),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Section 6.14(b) is without prejudice to Section 6.14(a)), and the Honda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6.15 </w:t>
      </w:r>
      <w:r>
        <w:rPr>
          <w:rFonts w:ascii="Arial" w:cs="Arial" w:eastAsia="Arial" w:hAnsi="Arial"/>
          <w:sz w:val="22"/>
          <w:szCs w:val="22"/>
          <w:b w:val="1"/>
          <w:bCs w:val="1"/>
          <w:u w:val="single" w:color="auto"/>
          <w:color w:val="auto"/>
        </w:rPr>
        <w:t>Officers</w:t>
      </w:r>
      <w:r>
        <w:rPr>
          <w:rFonts w:ascii="Arial" w:cs="Arial" w:eastAsia="Arial" w:hAnsi="Arial"/>
          <w:sz w:val="22"/>
          <w:szCs w:val="22"/>
          <w:color w:val="auto"/>
        </w:rPr>
        <w:t>. The Board of Directors may from time to time appoint individuals as officers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Officers</w:t>
      </w:r>
      <w:r>
        <w:rPr>
          <w:rFonts w:ascii="Arial" w:cs="Arial" w:eastAsia="Arial" w:hAnsi="Arial"/>
          <w:sz w:val="22"/>
          <w:szCs w:val="22"/>
          <w:color w:val="auto"/>
        </w:rPr>
        <w:t>”). The Officers of the Company shall have such titles, duties,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375" w:right="239" w:bottom="1440" w:gutter="0" w:footer="0" w:header="0"/>
        </w:sectPr>
      </w:pPr>
    </w:p>
    <w:bookmarkStart w:id="255" w:name="page256"/>
    <w:bookmarkEnd w:id="255"/>
    <w:p>
      <w:pPr>
        <w:jc w:val="both"/>
        <w:spacing w:after="0" w:line="263" w:lineRule="auto"/>
        <w:rPr>
          <w:sz w:val="20"/>
          <w:szCs w:val="20"/>
          <w:color w:val="auto"/>
        </w:rPr>
      </w:pPr>
      <w:r>
        <w:rPr>
          <w:rFonts w:ascii="Arial" w:cs="Arial" w:eastAsia="Arial" w:hAnsi="Arial"/>
          <w:sz w:val="22"/>
          <w:szCs w:val="22"/>
          <w:color w:val="auto"/>
        </w:rPr>
        <w:t>authority and compensation (if any) as shall be fixed by the Board of Directors from time to time. Any Officer may be removed, with or without cause, at any time by the Board of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7.01 </w:t>
      </w:r>
      <w:r>
        <w:rPr>
          <w:rFonts w:ascii="Arial" w:cs="Arial" w:eastAsia="Arial" w:hAnsi="Arial"/>
          <w:sz w:val="19"/>
          <w:szCs w:val="19"/>
          <w:b w:val="1"/>
          <w:bCs w:val="1"/>
          <w:u w:val="single" w:color="auto"/>
          <w:color w:val="auto"/>
        </w:rPr>
        <w:t>Exculpation</w:t>
      </w:r>
      <w:r>
        <w:rPr>
          <w:rFonts w:ascii="Arial" w:cs="Arial" w:eastAsia="Arial" w:hAnsi="Arial"/>
          <w:sz w:val="19"/>
          <w:szCs w:val="19"/>
          <w:color w:val="auto"/>
        </w:rPr>
        <w:t>. No Officer shall be liable to any other Officer, the Company or any Member for any loss suffered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the Company or any Member;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5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5" w:lineRule="auto"/>
        <w:tabs>
          <w:tab w:leader="none" w:pos="2185" w:val="left"/>
        </w:tabs>
        <w:numPr>
          <w:ilvl w:val="0"/>
          <w:numId w:val="227"/>
        </w:numPr>
        <w:rPr>
          <w:rFonts w:ascii="Arial" w:cs="Arial" w:eastAsia="Arial" w:hAnsi="Arial"/>
          <w:sz w:val="19"/>
          <w:szCs w:val="19"/>
          <w:color w:val="auto"/>
        </w:rPr>
      </w:pPr>
      <w:r>
        <w:rPr>
          <w:rFonts w:ascii="Arial" w:cs="Arial" w:eastAsia="Arial" w:hAnsi="Arial"/>
          <w:sz w:val="19"/>
          <w:szCs w:val="19"/>
          <w:color w:val="auto"/>
        </w:rPr>
        <w:t>Subject to the limitations and conditions as provided in this Article VII,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375" w:right="239" w:bottom="1440" w:gutter="0" w:footer="0" w:header="0"/>
        </w:sectPr>
      </w:pPr>
    </w:p>
    <w:bookmarkStart w:id="256" w:name="page257"/>
    <w:bookmarkEnd w:id="256"/>
    <w:p>
      <w:pPr>
        <w:jc w:val="both"/>
        <w:spacing w:after="0" w:line="289" w:lineRule="auto"/>
        <w:rPr>
          <w:sz w:val="20"/>
          <w:szCs w:val="20"/>
          <w:color w:val="auto"/>
        </w:rPr>
      </w:pPr>
      <w:r>
        <w:rPr>
          <w:rFonts w:ascii="Arial" w:cs="Arial" w:eastAsia="Arial" w:hAnsi="Arial"/>
          <w:sz w:val="19"/>
          <w:szCs w:val="19"/>
          <w:color w:val="auto"/>
        </w:rPr>
        <w:t xml:space="preserve">such Person to indemnity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a Person is entitled to or receives exculpation pursuant to Section 7.01 or as expressly provided for in any Commercial Agreement or Transaction Document,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employment, consulting, services or other agreement between such Person, on the one hand, under the Transaction Documents, Share Grant Agreement, the Honda Commercial Agreements or the Honda Purchase Agreement.</w:t>
      </w:r>
    </w:p>
    <w:p>
      <w:pPr>
        <w:spacing w:after="0" w:line="158" w:lineRule="exact"/>
        <w:rPr>
          <w:sz w:val="20"/>
          <w:szCs w:val="20"/>
          <w:color w:val="auto"/>
        </w:rPr>
      </w:pPr>
    </w:p>
    <w:p>
      <w:pPr>
        <w:jc w:val="both"/>
        <w:ind w:firstLine="1305"/>
        <w:spacing w:after="0" w:line="248" w:lineRule="auto"/>
        <w:tabs>
          <w:tab w:leader="none" w:pos="219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pacing w:after="0" w:line="192" w:lineRule="exact"/>
        <w:rPr>
          <w:rFonts w:ascii="Arial" w:cs="Arial" w:eastAsia="Arial" w:hAnsi="Arial"/>
          <w:sz w:val="22"/>
          <w:szCs w:val="22"/>
          <w:color w:val="auto"/>
        </w:rPr>
      </w:pPr>
    </w:p>
    <w:p>
      <w:pPr>
        <w:jc w:val="both"/>
        <w:ind w:firstLine="1305"/>
        <w:spacing w:after="0" w:line="312" w:lineRule="auto"/>
        <w:tabs>
          <w:tab w:leader="none" w:pos="218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33" w:lineRule="exact"/>
        <w:rPr>
          <w:rFonts w:ascii="Arial" w:cs="Arial" w:eastAsia="Arial" w:hAnsi="Arial"/>
          <w:sz w:val="19"/>
          <w:szCs w:val="19"/>
          <w:color w:val="auto"/>
        </w:rPr>
      </w:pPr>
    </w:p>
    <w:p>
      <w:pPr>
        <w:jc w:val="both"/>
        <w:ind w:firstLine="1305"/>
        <w:spacing w:after="0" w:line="248" w:lineRule="auto"/>
        <w:tabs>
          <w:tab w:leader="none" w:pos="219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92" w:lineRule="exact"/>
        <w:rPr>
          <w:rFonts w:ascii="Arial" w:cs="Arial" w:eastAsia="Arial" w:hAnsi="Arial"/>
          <w:sz w:val="22"/>
          <w:szCs w:val="22"/>
          <w:color w:val="auto"/>
        </w:rPr>
      </w:pPr>
    </w:p>
    <w:p>
      <w:pPr>
        <w:jc w:val="both"/>
        <w:ind w:firstLine="1305"/>
        <w:spacing w:after="0" w:line="247" w:lineRule="auto"/>
        <w:tabs>
          <w:tab w:leader="none" w:pos="218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93" w:lineRule="exact"/>
        <w:rPr>
          <w:rFonts w:ascii="Arial" w:cs="Arial" w:eastAsia="Arial" w:hAnsi="Arial"/>
          <w:sz w:val="22"/>
          <w:szCs w:val="22"/>
          <w:color w:val="auto"/>
        </w:rPr>
      </w:pPr>
    </w:p>
    <w:p>
      <w:pPr>
        <w:ind w:firstLine="1305"/>
        <w:spacing w:after="0" w:line="343" w:lineRule="auto"/>
        <w:tabs>
          <w:tab w:leader="none" w:pos="216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104" w:lineRule="exact"/>
        <w:rPr>
          <w:rFonts w:ascii="Arial" w:cs="Arial" w:eastAsia="Arial" w:hAnsi="Arial"/>
          <w:sz w:val="19"/>
          <w:szCs w:val="19"/>
          <w:color w:val="auto"/>
        </w:rPr>
      </w:pPr>
    </w:p>
    <w:p>
      <w:pPr>
        <w:ind w:firstLine="1305"/>
        <w:spacing w:after="0" w:line="263" w:lineRule="auto"/>
        <w:tabs>
          <w:tab w:leader="none" w:pos="219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This Article VII shall inure to the benefit of the Covered Persons and their heirs, representatives, successors and assigns, and it is the express intention of the parties hereto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375" w:right="239" w:bottom="1440" w:gutter="0" w:footer="0" w:header="0"/>
        </w:sectPr>
      </w:pPr>
    </w:p>
    <w:bookmarkStart w:id="257" w:name="page258"/>
    <w:bookmarkEnd w:id="257"/>
    <w:p>
      <w:pPr>
        <w:jc w:val="both"/>
        <w:spacing w:after="0" w:line="253" w:lineRule="auto"/>
        <w:rPr>
          <w:sz w:val="20"/>
          <w:szCs w:val="20"/>
          <w:color w:val="auto"/>
        </w:rPr>
      </w:pPr>
      <w:r>
        <w:rPr>
          <w:rFonts w:ascii="Arial" w:cs="Arial" w:eastAsia="Arial" w:hAnsi="Arial"/>
          <w:sz w:val="22"/>
          <w:szCs w:val="22"/>
          <w:color w:val="auto"/>
        </w:rPr>
        <w:t>that the provisions of this Article VII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7.03 </w:t>
      </w:r>
      <w:r>
        <w:rPr>
          <w:rFonts w:ascii="Arial" w:cs="Arial" w:eastAsia="Arial" w:hAnsi="Arial"/>
          <w:sz w:val="22"/>
          <w:szCs w:val="22"/>
          <w:b w:val="1"/>
          <w:bCs w:val="1"/>
          <w:u w:val="single" w:color="auto"/>
          <w:color w:val="auto"/>
        </w:rPr>
        <w:t>No Personal Liability</w:t>
      </w:r>
      <w:r>
        <w:rPr>
          <w:rFonts w:ascii="Arial" w:cs="Arial" w:eastAsia="Arial" w:hAnsi="Arial"/>
          <w:sz w:val="22"/>
          <w:szCs w:val="22"/>
          <w:color w:val="auto"/>
        </w:rPr>
        <w:t>. No individual who is a Director or an Officer, or any combination of the foregoing,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INFORMATION; RELATED MATTERS; COMPLIANCE</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8.01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 The Company shall (and shall cause it Subsidiaries to) maintain books and records of account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8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3" w:lineRule="auto"/>
        <w:tabs>
          <w:tab w:leader="none" w:pos="2185"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Company shall deliver to (i) (A) SoftBank, for so long as SoftBank owns the SoftBank Floor Amount and (B) Honda, for so long as Honda owns the Honda Floor Amount, and, in each case of clauses (A) and (B), subject to Section 8.03, and (ii) the GM Investor:</w:t>
      </w:r>
    </w:p>
    <w:p>
      <w:pPr>
        <w:spacing w:after="0" w:line="185" w:lineRule="exact"/>
        <w:rPr>
          <w:rFonts w:ascii="Arial" w:cs="Arial" w:eastAsia="Arial" w:hAnsi="Arial"/>
          <w:sz w:val="22"/>
          <w:szCs w:val="22"/>
          <w:color w:val="auto"/>
        </w:rPr>
      </w:pPr>
    </w:p>
    <w:p>
      <w:pPr>
        <w:jc w:val="both"/>
        <w:ind w:firstLine="1953"/>
        <w:spacing w:after="0" w:line="297" w:lineRule="auto"/>
        <w:tabs>
          <w:tab w:leader="none" w:pos="2797" w:val="left"/>
        </w:tabs>
        <w:numPr>
          <w:ilvl w:val="1"/>
          <w:numId w:val="229"/>
        </w:numPr>
        <w:rPr>
          <w:rFonts w:ascii="Arial" w:cs="Arial" w:eastAsia="Arial" w:hAnsi="Arial"/>
          <w:sz w:val="19"/>
          <w:szCs w:val="19"/>
          <w:color w:val="auto"/>
        </w:rPr>
      </w:pPr>
      <w:r>
        <w:rPr>
          <w:rFonts w:ascii="Arial" w:cs="Arial" w:eastAsia="Arial" w:hAnsi="Arial"/>
          <w:sz w:val="19"/>
          <w:szCs w:val="19"/>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147" w:lineRule="exact"/>
        <w:rPr>
          <w:rFonts w:ascii="Arial" w:cs="Arial" w:eastAsia="Arial" w:hAnsi="Arial"/>
          <w:sz w:val="19"/>
          <w:szCs w:val="19"/>
          <w:color w:val="auto"/>
        </w:rPr>
      </w:pPr>
    </w:p>
    <w:p>
      <w:pPr>
        <w:jc w:val="both"/>
        <w:ind w:firstLine="1953"/>
        <w:spacing w:after="0" w:line="246" w:lineRule="auto"/>
        <w:tabs>
          <w:tab w:leader="none" w:pos="2857" w:val="left"/>
        </w:tabs>
        <w:numPr>
          <w:ilvl w:val="1"/>
          <w:numId w:val="229"/>
        </w:numPr>
        <w:rPr>
          <w:rFonts w:ascii="Arial" w:cs="Arial" w:eastAsia="Arial" w:hAnsi="Arial"/>
          <w:sz w:val="22"/>
          <w:szCs w:val="22"/>
          <w:color w:val="auto"/>
        </w:rPr>
      </w:pPr>
      <w:r>
        <w:rPr>
          <w:rFonts w:ascii="Arial" w:cs="Arial" w:eastAsia="Arial" w:hAnsi="Arial"/>
          <w:sz w:val="22"/>
          <w:szCs w:val="22"/>
          <w:color w:val="auto"/>
        </w:rPr>
        <w:t xml:space="preserve">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Arial" w:cs="Arial" w:eastAsia="Arial" w:hAnsi="Arial"/>
          <w:sz w:val="22"/>
          <w:szCs w:val="22"/>
          <w:u w:val="single" w:color="auto"/>
          <w:color w:val="auto"/>
        </w:rPr>
        <w:t>provided</w:t>
      </w:r>
      <w:r>
        <w:rPr>
          <w:rFonts w:ascii="Arial" w:cs="Arial" w:eastAsia="Arial" w:hAnsi="Arial"/>
          <w:sz w:val="22"/>
          <w:szCs w:val="22"/>
          <w:color w:val="auto"/>
        </w:rPr>
        <w:t>, that quarterly information provided before delivery of the first annual audited financial statements is subject to revision as part of the implementation of standalone financial reporting capabilities;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375" w:right="239" w:bottom="1440" w:gutter="0" w:footer="0" w:header="0"/>
        </w:sectPr>
      </w:pPr>
    </w:p>
    <w:bookmarkStart w:id="258" w:name="page259"/>
    <w:bookmarkEnd w:id="258"/>
    <w:p>
      <w:pPr>
        <w:jc w:val="both"/>
        <w:ind w:firstLine="1953"/>
        <w:spacing w:after="0" w:line="259" w:lineRule="auto"/>
        <w:tabs>
          <w:tab w:leader="none" w:pos="2917"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as soon as practicable, but in any event within thirty (30) days after the end of each month, unaudited trial balances of the Company 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184" w:lineRule="exact"/>
        <w:rPr>
          <w:rFonts w:ascii="Arial" w:cs="Arial" w:eastAsia="Arial" w:hAnsi="Arial"/>
          <w:sz w:val="21"/>
          <w:szCs w:val="21"/>
          <w:color w:val="auto"/>
        </w:rPr>
      </w:pPr>
    </w:p>
    <w:p>
      <w:pPr>
        <w:ind w:firstLine="1953"/>
        <w:spacing w:after="0" w:line="263" w:lineRule="auto"/>
        <w:tabs>
          <w:tab w:leader="none" w:pos="290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as soon as practicable, but in any event within thirty (30) days after the end of each fiscal quarter of each Fiscal Year of the Company, the Members Schedule; and</w:t>
      </w:r>
    </w:p>
    <w:p>
      <w:pPr>
        <w:spacing w:after="0" w:line="174" w:lineRule="exact"/>
        <w:rPr>
          <w:rFonts w:ascii="Arial" w:cs="Arial" w:eastAsia="Arial" w:hAnsi="Arial"/>
          <w:sz w:val="22"/>
          <w:szCs w:val="22"/>
          <w:color w:val="auto"/>
        </w:rPr>
      </w:pPr>
    </w:p>
    <w:p>
      <w:pPr>
        <w:jc w:val="both"/>
        <w:ind w:firstLine="1953"/>
        <w:spacing w:after="0" w:line="250" w:lineRule="auto"/>
        <w:tabs>
          <w:tab w:leader="none" w:pos="284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w:t>
      </w:r>
    </w:p>
    <w:p>
      <w:pPr>
        <w:spacing w:after="0" w:line="18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8.03 </w:t>
      </w:r>
      <w:r>
        <w:rPr>
          <w:rFonts w:ascii="Arial" w:cs="Arial" w:eastAsia="Arial" w:hAnsi="Arial"/>
          <w:sz w:val="19"/>
          <w:szCs w:val="19"/>
          <w:b w:val="1"/>
          <w:bCs w:val="1"/>
          <w:u w:val="single" w:color="auto"/>
          <w:color w:val="auto"/>
        </w:rPr>
        <w:t>Technical Information</w:t>
      </w:r>
      <w:r>
        <w:rPr>
          <w:rFonts w:ascii="Arial" w:cs="Arial" w:eastAsia="Arial" w:hAnsi="Arial"/>
          <w:sz w:val="19"/>
          <w:szCs w:val="19"/>
          <w:color w:val="auto"/>
        </w:rPr>
        <w:t>. Except to the extent required pursuant to the Honda Commercial Agreements, but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else to the contrary in this Agreement, the Company will not provide (and nothing in this Article VIII or otherwise in this Agreement will require the Company or any of its Directors or employees to provide) any Technical Information to any Class A-1 Preferred Member, Class D Member, Class E Member, the SoftBank Director or either of the Board Observers.</w:t>
      </w:r>
    </w:p>
    <w:p>
      <w:pPr>
        <w:spacing w:after="0" w:line="13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3" w:lineRule="auto"/>
        <w:tabs>
          <w:tab w:leader="none" w:pos="2185"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85" w:lineRule="exact"/>
        <w:rPr>
          <w:rFonts w:ascii="Arial" w:cs="Arial" w:eastAsia="Arial" w:hAnsi="Arial"/>
          <w:sz w:val="22"/>
          <w:szCs w:val="22"/>
          <w:color w:val="auto"/>
        </w:rPr>
      </w:pPr>
    </w:p>
    <w:p>
      <w:pPr>
        <w:jc w:val="both"/>
        <w:ind w:firstLine="1305"/>
        <w:spacing w:after="0" w:line="312" w:lineRule="auto"/>
        <w:tabs>
          <w:tab w:leader="none" w:pos="2197"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not use any funds received from GM, SVFA, SoftBank or Honda in violation of Applicable Trade Laws, including, directly or indirectly, for the benefit of any Blocked Person.</w:t>
      </w:r>
    </w:p>
    <w:p>
      <w:pPr>
        <w:spacing w:after="0" w:line="133" w:lineRule="exact"/>
        <w:rPr>
          <w:rFonts w:ascii="Arial" w:cs="Arial" w:eastAsia="Arial" w:hAnsi="Arial"/>
          <w:sz w:val="19"/>
          <w:szCs w:val="19"/>
          <w:color w:val="auto"/>
        </w:rPr>
      </w:pPr>
    </w:p>
    <w:p>
      <w:pPr>
        <w:jc w:val="both"/>
        <w:ind w:firstLine="1305"/>
        <w:spacing w:after="0" w:line="261" w:lineRule="auto"/>
        <w:tabs>
          <w:tab w:leader="none" w:pos="2185" w:val="left"/>
        </w:tabs>
        <w:numPr>
          <w:ilvl w:val="0"/>
          <w:numId w:val="231"/>
        </w:numPr>
        <w:rPr>
          <w:rFonts w:ascii="Arial" w:cs="Arial" w:eastAsia="Arial" w:hAnsi="Arial"/>
          <w:sz w:val="21"/>
          <w:szCs w:val="21"/>
          <w:color w:val="auto"/>
        </w:rPr>
      </w:pPr>
      <w:r>
        <w:rPr>
          <w:rFonts w:ascii="Arial" w:cs="Arial" w:eastAsia="Arial" w:hAnsi="Arial"/>
          <w:sz w:val="21"/>
          <w:szCs w:val="21"/>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75" w:right="239" w:bottom="1440" w:gutter="0" w:footer="0" w:header="0"/>
        </w:sectPr>
      </w:pPr>
    </w:p>
    <w:bookmarkStart w:id="259" w:name="page260"/>
    <w:bookmarkEnd w:id="259"/>
    <w:p>
      <w:pPr>
        <w:jc w:val="both"/>
        <w:ind w:firstLine="1305"/>
        <w:spacing w:after="0" w:line="253" w:lineRule="auto"/>
        <w:tabs>
          <w:tab w:leader="none" w:pos="2197"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pacing w:after="0" w:line="185" w:lineRule="exact"/>
        <w:rPr>
          <w:rFonts w:ascii="Arial" w:cs="Arial" w:eastAsia="Arial" w:hAnsi="Arial"/>
          <w:sz w:val="22"/>
          <w:szCs w:val="22"/>
          <w:color w:val="auto"/>
        </w:rPr>
      </w:pPr>
    </w:p>
    <w:p>
      <w:pPr>
        <w:jc w:val="both"/>
        <w:ind w:firstLine="1305"/>
        <w:spacing w:after="0" w:line="261" w:lineRule="auto"/>
        <w:tabs>
          <w:tab w:leader="none" w:pos="2185" w:val="left"/>
        </w:tabs>
        <w:numPr>
          <w:ilvl w:val="0"/>
          <w:numId w:val="232"/>
        </w:numPr>
        <w:rPr>
          <w:rFonts w:ascii="Arial" w:cs="Arial" w:eastAsia="Arial" w:hAnsi="Arial"/>
          <w:sz w:val="21"/>
          <w:szCs w:val="21"/>
          <w:color w:val="auto"/>
        </w:rPr>
      </w:pPr>
      <w:r>
        <w:rPr>
          <w:rFonts w:ascii="Arial" w:cs="Arial" w:eastAsia="Arial" w:hAnsi="Arial"/>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8.05 </w:t>
      </w:r>
      <w:r>
        <w:rPr>
          <w:rFonts w:ascii="Arial" w:cs="Arial" w:eastAsia="Arial" w:hAnsi="Arial"/>
          <w:sz w:val="22"/>
          <w:szCs w:val="22"/>
          <w:b w:val="1"/>
          <w:bCs w:val="1"/>
          <w:u w:val="single" w:color="auto"/>
          <w:color w:val="auto"/>
        </w:rPr>
        <w:t>Notice to Honda of an OEM Investment</w:t>
      </w:r>
      <w:r>
        <w:rPr>
          <w:rFonts w:ascii="Arial" w:cs="Arial" w:eastAsia="Arial" w:hAnsi="Arial"/>
          <w:sz w:val="22"/>
          <w:szCs w:val="22"/>
          <w:color w:val="auto"/>
        </w:rPr>
        <w:t>. The Company shall provide the Class E Member with written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of an OEM Investment through the Honda Board Observer prior to the execution of the definitive agreement with respect to the consummation of such OEM Investment.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jc w:val="both"/>
        <w:ind w:firstLine="1953"/>
        <w:spacing w:after="0" w:line="248" w:lineRule="auto"/>
        <w:tabs>
          <w:tab w:leader="none" w:pos="2797"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Prior to the SoftBank Trigger Date, (A) no Class A-1 Preferred Shares, Class D Common Shares or any other Equity Securities held by SoftBank, SVFA or any of their Affiliates and (B) no Class B Common Shares,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of no effect whatsoever.</w:t>
      </w:r>
    </w:p>
    <w:p>
      <w:pPr>
        <w:spacing w:after="0" w:line="192" w:lineRule="exact"/>
        <w:rPr>
          <w:rFonts w:ascii="Arial" w:cs="Arial" w:eastAsia="Arial" w:hAnsi="Arial"/>
          <w:sz w:val="22"/>
          <w:szCs w:val="22"/>
          <w:color w:val="auto"/>
        </w:rPr>
      </w:pPr>
    </w:p>
    <w:p>
      <w:pPr>
        <w:jc w:val="both"/>
        <w:ind w:firstLine="1953"/>
        <w:spacing w:after="0" w:line="265" w:lineRule="auto"/>
        <w:tabs>
          <w:tab w:leader="none" w:pos="2857" w:val="left"/>
        </w:tabs>
        <w:numPr>
          <w:ilvl w:val="1"/>
          <w:numId w:val="233"/>
        </w:numPr>
        <w:rPr>
          <w:rFonts w:ascii="Arial" w:cs="Arial" w:eastAsia="Arial" w:hAnsi="Arial"/>
          <w:sz w:val="21"/>
          <w:szCs w:val="21"/>
          <w:color w:val="auto"/>
        </w:rPr>
      </w:pPr>
      <w:r>
        <w:rPr>
          <w:rFonts w:ascii="Arial" w:cs="Arial" w:eastAsia="Arial" w:hAnsi="Arial"/>
          <w:sz w:val="21"/>
          <w:szCs w:val="21"/>
          <w:color w:val="auto"/>
        </w:rPr>
        <w:t xml:space="preserve">Prior to the Honda Trigger Date, no Class E Common Shares or any other Equity Securities held by Honda or any of its Affiliates,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effect whatsoever.</w:t>
      </w:r>
    </w:p>
    <w:p>
      <w:pPr>
        <w:spacing w:after="0" w:line="175" w:lineRule="exact"/>
        <w:rPr>
          <w:rFonts w:ascii="Arial" w:cs="Arial" w:eastAsia="Arial" w:hAnsi="Arial"/>
          <w:sz w:val="21"/>
          <w:szCs w:val="21"/>
          <w:color w:val="auto"/>
        </w:rPr>
      </w:pPr>
    </w:p>
    <w:p>
      <w:pPr>
        <w:jc w:val="both"/>
        <w:ind w:firstLine="1953"/>
        <w:spacing w:after="0" w:line="265" w:lineRule="auto"/>
        <w:tabs>
          <w:tab w:leader="none" w:pos="2917" w:val="left"/>
        </w:tabs>
        <w:numPr>
          <w:ilvl w:val="1"/>
          <w:numId w:val="233"/>
        </w:numPr>
        <w:rPr>
          <w:rFonts w:ascii="Arial" w:cs="Arial" w:eastAsia="Arial" w:hAnsi="Arial"/>
          <w:sz w:val="21"/>
          <w:szCs w:val="21"/>
          <w:color w:val="auto"/>
        </w:rPr>
      </w:pPr>
      <w:r>
        <w:rPr>
          <w:rFonts w:ascii="Arial" w:cs="Arial" w:eastAsia="Arial" w:hAnsi="Arial"/>
          <w:sz w:val="21"/>
          <w:szCs w:val="21"/>
          <w:color w:val="auto"/>
        </w:rPr>
        <w:t>Sections 9.01(a)(i) and 9.01(a)(ii) (1) will not apply to any Transfer pursuant to Sections 2.02(c), 2.10, 9.02, 9.07, 9.08, 9.09, 9.10 or 9.12 (such Transfer, an “</w:t>
      </w:r>
      <w:r>
        <w:rPr>
          <w:rFonts w:ascii="Arial" w:cs="Arial" w:eastAsia="Arial" w:hAnsi="Arial"/>
          <w:sz w:val="21"/>
          <w:szCs w:val="21"/>
          <w:b w:val="1"/>
          <w:bCs w:val="1"/>
          <w:color w:val="auto"/>
        </w:rPr>
        <w:t>Excluded Transfer</w:t>
      </w:r>
      <w:r>
        <w:rPr>
          <w:rFonts w:ascii="Arial" w:cs="Arial" w:eastAsia="Arial" w:hAnsi="Arial"/>
          <w:sz w:val="21"/>
          <w:szCs w:val="21"/>
          <w:color w:val="auto"/>
        </w:rPr>
        <w:t>”) and (2) will cease to apply upon consummation of an IPO. For clarity, except as set forth in Section 9.01(b), no Class A-2 Preferred Member or Class C Member is subject to any restrictions on Transfer of its Class A-2 Preferred Shares or Class C Common Shares.</w:t>
      </w:r>
    </w:p>
    <w:p>
      <w:pPr>
        <w:spacing w:after="0" w:line="175" w:lineRule="exact"/>
        <w:rPr>
          <w:rFonts w:ascii="Arial" w:cs="Arial" w:eastAsia="Arial" w:hAnsi="Arial"/>
          <w:sz w:val="21"/>
          <w:szCs w:val="21"/>
          <w:color w:val="auto"/>
        </w:rPr>
      </w:pPr>
    </w:p>
    <w:p>
      <w:pPr>
        <w:ind w:left="2920" w:hanging="967"/>
        <w:spacing w:after="0"/>
        <w:tabs>
          <w:tab w:leader="none" w:pos="292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From and after the SoftBank Trigger Date, the limitations on Transfer set forth in Sections 9.01(a)</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will cease to apply; provided, that following the SoftBank Trigger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375" w:right="239" w:bottom="1440" w:gutter="0" w:footer="0" w:header="0"/>
        </w:sectPr>
      </w:pPr>
    </w:p>
    <w:bookmarkStart w:id="260" w:name="page261"/>
    <w:bookmarkEnd w:id="260"/>
    <w:p>
      <w:pPr>
        <w:jc w:val="both"/>
        <w:spacing w:after="0" w:line="257" w:lineRule="auto"/>
        <w:rPr>
          <w:sz w:val="20"/>
          <w:szCs w:val="20"/>
          <w:color w:val="auto"/>
        </w:rPr>
      </w:pPr>
      <w:r>
        <w:rPr>
          <w:rFonts w:ascii="Arial" w:cs="Arial" w:eastAsia="Arial" w:hAnsi="Arial"/>
          <w:sz w:val="21"/>
          <w:szCs w:val="21"/>
          <w:color w:val="auto"/>
        </w:rPr>
        <w:t>Date and prior to the consummation of an IPO no Transfer of Class A-1 Preferred Shares, Class D Common Shares or any other Equity Securities held by SoftBank, SVFA or any of their Affiliates will be permitted unless the holder of such Shares shall have first complied with the provisions of Section 9.01(a)(v). From and after the Honda Trigger Date, the limitations on Transfer set forth in Section 9.01(a)(ii) will cease to apply; provided, that following the Honda Trigger Date, and prior to the consummation of an IPO no Transfer of Class E Common Shares or any other Equity Securities held by Honda or any of its Affiliates will be permitted unless the holder of such Shares shall have first complied with the provisions of Section 9.01(a)(v). Notwithstanding anything to the contrary in this Agreement (including the expiration of the limitations on Transfer set forth in Sections 9.01(a)(i) and 9.01(a)(ii) from and after the SoftBank Trigger Date or the Honda Trigger Date, as applicable, but prior to the consummation of the IPO), at no time may (a) Class A-1 Preferred Shares, Class D Common Shares or any other Equity Securities held by SoftBank or any of its Affiliates, be Transferred to a SoftBank Restricted Person without the prior written approval of each of the GM Investor and the Board of Directors or (b) Class E Common Shares or any other Equity Securities held by Honda or any of its Affiliates, be Transferred to a Honda Restricted Person without the prior written approval of each of the GM Investor and the Board of Directors.</w:t>
      </w:r>
    </w:p>
    <w:p>
      <w:pPr>
        <w:spacing w:after="0" w:line="190" w:lineRule="exact"/>
        <w:rPr>
          <w:sz w:val="20"/>
          <w:szCs w:val="20"/>
          <w:color w:val="auto"/>
        </w:rPr>
      </w:pPr>
    </w:p>
    <w:p>
      <w:pPr>
        <w:jc w:val="both"/>
        <w:ind w:firstLine="1953"/>
        <w:spacing w:after="0" w:line="286" w:lineRule="auto"/>
        <w:tabs>
          <w:tab w:leader="none" w:pos="2845"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(A) Class A-1 Preferred Shares, Class D Common Shares or any other Equity Securities held by SoftBank, SVFA or any of their Affiliates, in each case from and after the SoftBank Trigger Date or</w:t>
      </w:r>
    </w:p>
    <w:p>
      <w:pPr>
        <w:spacing w:after="0" w:line="2" w:lineRule="exact"/>
        <w:rPr>
          <w:rFonts w:ascii="Arial" w:cs="Arial" w:eastAsia="Arial" w:hAnsi="Arial"/>
          <w:sz w:val="19"/>
          <w:szCs w:val="19"/>
          <w:color w:val="auto"/>
        </w:rPr>
      </w:pPr>
    </w:p>
    <w:p>
      <w:pPr>
        <w:jc w:val="both"/>
        <w:ind w:firstLine="8"/>
        <w:spacing w:after="0" w:line="284" w:lineRule="auto"/>
        <w:tabs>
          <w:tab w:leader="none" w:pos="36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Class E Common Shares or any other Equity Securities held by Honda or any of their Affiliates from and after the Honda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the Board of Directors and the GM Investor, specifying in reasonable detail the identity of the prospective transferee(s),</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and class of Shares or other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 of its 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 ROFR Date</w:t>
      </w:r>
      <w:r>
        <w:rPr>
          <w:rFonts w:ascii="Arial" w:cs="Arial" w:eastAsia="Arial" w:hAnsi="Arial"/>
          <w:sz w:val="19"/>
          <w:szCs w:val="19"/>
          <w:color w:val="auto"/>
        </w:rPr>
        <w:t>”). If the GM Investor (or one of its Affiliates) does not deliver a GM ROFR Notice electing to purchase all of the ROFR 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Section 9.01(a)(v) prior to any subsequent Transfer. If the GM Investor has elected to purchase the ROFR Offered Shares in accordance with this Section 9.01(a)(v), then such purchase shall be consummated as soon as practicable after the delivery of the GM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375" w:right="239" w:bottom="1440" w:gutter="0" w:footer="0" w:header="0"/>
        </w:sectPr>
      </w:pPr>
    </w:p>
    <w:bookmarkStart w:id="261" w:name="page262"/>
    <w:bookmarkEnd w:id="261"/>
    <w:p>
      <w:pPr>
        <w:jc w:val="both"/>
        <w:spacing w:after="0" w:line="248" w:lineRule="auto"/>
        <w:rPr>
          <w:sz w:val="20"/>
          <w:szCs w:val="20"/>
          <w:color w:val="auto"/>
        </w:rPr>
      </w:pPr>
      <w:r>
        <w:rPr>
          <w:rFonts w:ascii="Arial" w:cs="Arial" w:eastAsia="Arial" w:hAnsi="Arial"/>
          <w:sz w:val="22"/>
          <w:szCs w:val="22"/>
          <w:color w:val="auto"/>
        </w:rPr>
        <w:t>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192" w:lineRule="exact"/>
        <w:rPr>
          <w:sz w:val="20"/>
          <w:szCs w:val="20"/>
          <w:color w:val="auto"/>
        </w:rPr>
      </w:pPr>
    </w:p>
    <w:p>
      <w:pPr>
        <w:jc w:val="both"/>
        <w:ind w:firstLine="1305"/>
        <w:spacing w:after="0" w:line="285" w:lineRule="auto"/>
        <w:tabs>
          <w:tab w:leader="none" w:pos="219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 applicable). Each Member as to which the immediately preceding sentence applies shall cause its direct and indirect interest holders to comply with the provisions of this Article IX.</w:t>
      </w:r>
    </w:p>
    <w:p>
      <w:pPr>
        <w:spacing w:after="0" w:line="164" w:lineRule="exact"/>
        <w:rPr>
          <w:rFonts w:ascii="Arial" w:cs="Arial" w:eastAsia="Arial" w:hAnsi="Arial"/>
          <w:sz w:val="19"/>
          <w:szCs w:val="19"/>
          <w:color w:val="auto"/>
        </w:rPr>
      </w:pPr>
    </w:p>
    <w:p>
      <w:pPr>
        <w:jc w:val="both"/>
        <w:ind w:firstLine="1305"/>
        <w:spacing w:after="0" w:line="253" w:lineRule="auto"/>
        <w:tabs>
          <w:tab w:leader="none" w:pos="218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No Transfer of Class A-1 Preferred Shares may be consummated (and any process pursuant to Section 9.01(a)(v) shall be suspended if a Call Notice is delivered pursuant to Section 9.12) until such time as the Class A-1/D Purchase pursuant to such Call Notice has been consummated.</w:t>
      </w:r>
    </w:p>
    <w:p>
      <w:pPr>
        <w:spacing w:after="0" w:line="185"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Without prejudice to SoftBank’s right to consummate the one-time Transfer as permitted by Section 9.02(c), 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375" w:right="239" w:bottom="1440" w:gutter="0" w:footer="0" w:header="0"/>
        </w:sectPr>
      </w:pPr>
    </w:p>
    <w:bookmarkStart w:id="262" w:name="page263"/>
    <w:bookmarkEnd w:id="262"/>
    <w:p>
      <w:pPr>
        <w:ind w:left="660"/>
        <w:spacing w:after="0"/>
        <w:tabs>
          <w:tab w:leader="none" w:pos="166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5" w:lineRule="auto"/>
        <w:tabs>
          <w:tab w:leader="none" w:pos="218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Notwithstanding Section 9.01(a), Class A-1 Preferred Shares, Class D Common Shares, Class B Common Shares and Class E Common Shares may be Transferred by the holder thereof without obtaining the approval of the Board of Directors: (i) in the case of an Employee Member, to a member of the Family Group of the Person to whom such Shares were originally issued (a Transfer pursuant to this clause (i), an “</w:t>
      </w:r>
      <w:r>
        <w:rPr>
          <w:rFonts w:ascii="Arial" w:cs="Arial" w:eastAsia="Arial" w:hAnsi="Arial"/>
          <w:sz w:val="19"/>
          <w:szCs w:val="19"/>
          <w:b w:val="1"/>
          <w:bCs w:val="1"/>
          <w:color w:val="auto"/>
        </w:rPr>
        <w:t>Exempt Employee Member Transfer</w:t>
      </w:r>
      <w:r>
        <w:rPr>
          <w:rFonts w:ascii="Arial" w:cs="Arial" w:eastAsia="Arial" w:hAnsi="Arial"/>
          <w:sz w:val="19"/>
          <w:szCs w:val="19"/>
          <w:color w:val="auto"/>
        </w:rPr>
        <w:t xml:space="preserve">”), (ii) in the case of a Class A-1 Preferred Member or Class D Member, to an Affiliate (other than SoftBank Group Corp. or its Subsidiaries) of such Class A-1 Preferred Member or Class D Member that (A) is owned and controlled, directly or indirectly, by such Class A-1 Preferred Member or such Class D Member,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 is not a SoftBank Restricted Person (a Transfer pursuant to this clause (ii), an “</w:t>
      </w:r>
      <w:r>
        <w:rPr>
          <w:rFonts w:ascii="Arial" w:cs="Arial" w:eastAsia="Arial" w:hAnsi="Arial"/>
          <w:sz w:val="19"/>
          <w:szCs w:val="19"/>
          <w:b w:val="1"/>
          <w:bCs w:val="1"/>
          <w:color w:val="auto"/>
        </w:rPr>
        <w:t>Exempt</w:t>
      </w:r>
      <w:r>
        <w:rPr>
          <w:rFonts w:ascii="Arial" w:cs="Arial" w:eastAsia="Arial" w:hAnsi="Arial"/>
          <w:sz w:val="19"/>
          <w:szCs w:val="19"/>
          <w:color w:val="auto"/>
        </w:rPr>
        <w:t xml:space="preserve"> </w:t>
      </w:r>
      <w:r>
        <w:rPr>
          <w:rFonts w:ascii="Arial" w:cs="Arial" w:eastAsia="Arial" w:hAnsi="Arial"/>
          <w:sz w:val="19"/>
          <w:szCs w:val="19"/>
          <w:b w:val="1"/>
          <w:bCs w:val="1"/>
          <w:color w:val="auto"/>
        </w:rPr>
        <w:t>SoftBank Transfer</w:t>
      </w:r>
      <w:r>
        <w:rPr>
          <w:rFonts w:ascii="Arial" w:cs="Arial" w:eastAsia="Arial" w:hAnsi="Arial"/>
          <w:sz w:val="19"/>
          <w:szCs w:val="19"/>
          <w:color w:val="auto"/>
        </w:rPr>
        <w:t>”) or (iii) in the case of a Class E Member, (A) to an Affiliate that is not a Honda Restricted Person or (B)</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compliance with Section 9.01(a)(v), following the consummation of an OEM Restricted Investment, to a Person that is not a Honda Restricted Person (a Transfer pursuant to this clause (iii), an “</w:t>
      </w:r>
      <w:r>
        <w:rPr>
          <w:rFonts w:ascii="Arial" w:cs="Arial" w:eastAsia="Arial" w:hAnsi="Arial"/>
          <w:sz w:val="19"/>
          <w:szCs w:val="19"/>
          <w:b w:val="1"/>
          <w:bCs w:val="1"/>
          <w:color w:val="auto"/>
        </w:rPr>
        <w:t>Exempt Honda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any Transfer by the Class E Member must be a Transfer of all of such Class E Member’s equity interests in the Company and (subject only to Section 9.02(c)) the permitted exceptions in this Section 9.02(a) will not apply to any Shares held by SoftBank. If a Permitted Transferee ceases to meet the criteria set forth in (i), (ii) or (iii) of the preceding sentence (as applicable), such Permitted Transferee shall re-transfer (within ten (10) Business Days) the Shares Transferred to such Permitted Transferee to the original transferor (in the case of an Exempt SoftBank Transfer or an Exempt Honda Transfer) or to another member of the Family Group of such transferring Person (in the case of an Exempt Employee Member Transfer) and, pending the completion of such re-transfer, such Permitted Transferee shall not have any rights under this Agreement in respect of such Shares held by him, her or it.</w:t>
      </w:r>
    </w:p>
    <w:p>
      <w:pPr>
        <w:spacing w:after="0" w:line="161" w:lineRule="exact"/>
        <w:rPr>
          <w:rFonts w:ascii="Arial" w:cs="Arial" w:eastAsia="Arial" w:hAnsi="Arial"/>
          <w:sz w:val="19"/>
          <w:szCs w:val="19"/>
          <w:color w:val="auto"/>
        </w:rPr>
      </w:pPr>
    </w:p>
    <w:p>
      <w:pPr>
        <w:ind w:firstLine="1305"/>
        <w:spacing w:after="0" w:line="269" w:lineRule="auto"/>
        <w:tabs>
          <w:tab w:leader="none" w:pos="219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As used herein, a “</w:t>
      </w:r>
      <w:r>
        <w:rPr>
          <w:rFonts w:ascii="Arial" w:cs="Arial" w:eastAsia="Arial" w:hAnsi="Arial"/>
          <w:sz w:val="22"/>
          <w:szCs w:val="22"/>
          <w:b w:val="1"/>
          <w:bCs w:val="1"/>
          <w:color w:val="auto"/>
        </w:rPr>
        <w:t>Permitted Transferee</w:t>
      </w:r>
      <w:r>
        <w:rPr>
          <w:rFonts w:ascii="Arial" w:cs="Arial" w:eastAsia="Arial" w:hAnsi="Arial"/>
          <w:sz w:val="22"/>
          <w:szCs w:val="22"/>
          <w:color w:val="auto"/>
        </w:rPr>
        <w:t>” shall constitute any Person, other than the Company, to whom Shares are Transferred pursuant to this Section 9.02.</w:t>
      </w:r>
    </w:p>
    <w:p>
      <w:pPr>
        <w:spacing w:after="0" w:line="168" w:lineRule="exact"/>
        <w:rPr>
          <w:rFonts w:ascii="Arial" w:cs="Arial" w:eastAsia="Arial" w:hAnsi="Arial"/>
          <w:sz w:val="22"/>
          <w:szCs w:val="22"/>
          <w:color w:val="auto"/>
        </w:rPr>
      </w:pPr>
    </w:p>
    <w:p>
      <w:pPr>
        <w:jc w:val="both"/>
        <w:ind w:firstLine="1305"/>
        <w:spacing w:after="0" w:line="302" w:lineRule="auto"/>
        <w:tabs>
          <w:tab w:leader="none" w:pos="218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Notwithstanding Section 9.01(a), SoftBank may, on or prior to September 10, 2018, Transfer all, but not less than all, of its Shares as well as its corresponding rights and obligations under this Agreement (including those set forth in Sections 2.02(c)(i) and 9.01(d)) to SVF or a Sidecar Fund (the “</w:t>
      </w:r>
      <w:r>
        <w:rPr>
          <w:rFonts w:ascii="Arial" w:cs="Arial" w:eastAsia="Arial" w:hAnsi="Arial"/>
          <w:sz w:val="19"/>
          <w:szCs w:val="19"/>
          <w:b w:val="1"/>
          <w:bCs w:val="1"/>
          <w:color w:val="auto"/>
        </w:rPr>
        <w:t>SVF Transfer</w:t>
      </w:r>
      <w:r>
        <w:rPr>
          <w:rFonts w:ascii="Arial" w:cs="Arial" w:eastAsia="Arial" w:hAnsi="Arial"/>
          <w:sz w:val="19"/>
          <w:szCs w:val="19"/>
          <w:color w:val="auto"/>
        </w:rPr>
        <w:t>”). Any such Transfer consummated pursuant to and in compliance with this Section 9.02(c) will be deemed to have been approved by the Board of Directors.</w:t>
      </w:r>
    </w:p>
    <w:p>
      <w:pPr>
        <w:spacing w:after="0" w:line="13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63" w:lineRule="auto"/>
        <w:tabs>
          <w:tab w:leader="none" w:pos="2185"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21"/>
          <w:szCs w:val="21"/>
          <w:b w:val="1"/>
          <w:bCs w:val="1"/>
          <w:color w:val="auto"/>
        </w:rPr>
        <w:t>Assignee</w:t>
      </w:r>
      <w:r>
        <w:rPr>
          <w:rFonts w:ascii="Arial" w:cs="Arial" w:eastAsia="Arial" w:hAnsi="Arial"/>
          <w:sz w:val="21"/>
          <w:szCs w:val="21"/>
          <w:color w:val="auto"/>
        </w:rPr>
        <w:t>”. Distributions made before the effective date of such Transfer, shall be paid to the transferor, and Distributions made after such date shall be paid to the Assignee.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369" w:right="239" w:bottom="1440" w:gutter="0" w:footer="0" w:header="0"/>
        </w:sectPr>
      </w:pPr>
    </w:p>
    <w:bookmarkStart w:id="263" w:name="page264"/>
    <w:bookmarkEnd w:id="263"/>
    <w:p>
      <w:pPr>
        <w:jc w:val="both"/>
        <w:ind w:firstLine="1305"/>
        <w:spacing w:after="0" w:line="250" w:lineRule="auto"/>
        <w:tabs>
          <w:tab w:leader="none" w:pos="2197" w:val="left"/>
        </w:tabs>
        <w:numPr>
          <w:ilvl w:val="0"/>
          <w:numId w:val="240"/>
        </w:numPr>
        <w:rPr>
          <w:rFonts w:ascii="Arial" w:cs="Arial" w:eastAsia="Arial" w:hAnsi="Arial"/>
          <w:sz w:val="22"/>
          <w:szCs w:val="22"/>
          <w:color w:val="auto"/>
        </w:rPr>
      </w:pPr>
      <w:r>
        <w:rPr>
          <w:rFonts w:ascii="Arial" w:cs="Arial" w:eastAsia="Arial" w:hAnsi="Arial"/>
          <w:sz w:val="22"/>
          <w:szCs w:val="22"/>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88" w:lineRule="exact"/>
        <w:rPr>
          <w:rFonts w:ascii="Arial" w:cs="Arial" w:eastAsia="Arial" w:hAnsi="Arial"/>
          <w:sz w:val="22"/>
          <w:szCs w:val="22"/>
          <w:color w:val="auto"/>
        </w:rPr>
      </w:pPr>
    </w:p>
    <w:p>
      <w:pPr>
        <w:jc w:val="both"/>
        <w:ind w:firstLine="1305"/>
        <w:spacing w:after="0" w:line="288" w:lineRule="auto"/>
        <w:tabs>
          <w:tab w:leader="none" w:pos="2185" w:val="left"/>
        </w:tabs>
        <w:numPr>
          <w:ilvl w:val="0"/>
          <w:numId w:val="240"/>
        </w:numPr>
        <w:rPr>
          <w:rFonts w:ascii="Arial" w:cs="Arial" w:eastAsia="Arial" w:hAnsi="Arial"/>
          <w:sz w:val="19"/>
          <w:szCs w:val="19"/>
          <w:color w:val="auto"/>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154" w:lineRule="exact"/>
        <w:rPr>
          <w:rFonts w:ascii="Arial" w:cs="Arial" w:eastAsia="Arial" w:hAnsi="Arial"/>
          <w:sz w:val="19"/>
          <w:szCs w:val="19"/>
          <w:color w:val="auto"/>
        </w:rPr>
      </w:pPr>
    </w:p>
    <w:p>
      <w:pPr>
        <w:jc w:val="both"/>
        <w:ind w:firstLine="1305"/>
        <w:spacing w:after="0" w:line="294" w:lineRule="auto"/>
        <w:tabs>
          <w:tab w:leader="none" w:pos="219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For clarity (and notwithstanding anything to the contrary herein), the respective rights of SoftBank and Honda hereunder are personal to SoftBank and Honda, as applicable, (for so long as SoftBank or Honda, as applicable, is a Member), do not attach to the Class A-1 Preferred Shares or Class E Common Shares, or any other class of Shares or Equity Interests, and cannot be assigned by SoftBank or Honda to any other Person, except in connection with an Exempt SoftBank Transfer, an Exempt Honda Transfer pursuant to Section 9.02(a)(iii)(A) (but not, for clarity, Section 9.02(a)(iii)(B)) or, in the case of SoftBank, connection with a Transfer made pursuant to, and in compliance with, Section 9.02(c).</w:t>
      </w:r>
    </w:p>
    <w:p>
      <w:pPr>
        <w:spacing w:after="0" w:line="14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302" w:lineRule="auto"/>
        <w:tabs>
          <w:tab w:leader="none" w:pos="218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 connection with the Transfer of a Share of a Member permitted under the terms of this Agreement, the transferee shall not become a Member (a “</w:t>
      </w:r>
      <w:r>
        <w:rPr>
          <w:rFonts w:ascii="Arial" w:cs="Arial" w:eastAsia="Arial" w:hAnsi="Arial"/>
          <w:sz w:val="19"/>
          <w:szCs w:val="19"/>
          <w:b w:val="1"/>
          <w:bCs w:val="1"/>
          <w:color w:val="auto"/>
        </w:rPr>
        <w:t>Substituted Member</w:t>
      </w:r>
      <w:r>
        <w:rPr>
          <w:rFonts w:ascii="Arial" w:cs="Arial" w:eastAsia="Arial" w:hAnsi="Arial"/>
          <w:sz w:val="19"/>
          <w:szCs w:val="19"/>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142" w:lineRule="exact"/>
        <w:rPr>
          <w:rFonts w:ascii="Arial" w:cs="Arial" w:eastAsia="Arial" w:hAnsi="Arial"/>
          <w:sz w:val="19"/>
          <w:szCs w:val="19"/>
          <w:color w:val="auto"/>
        </w:rPr>
      </w:pPr>
    </w:p>
    <w:p>
      <w:pPr>
        <w:jc w:val="both"/>
        <w:ind w:firstLine="1305"/>
        <w:spacing w:after="0" w:line="312" w:lineRule="auto"/>
        <w:tabs>
          <w:tab w:leader="none" w:pos="2197" w:val="left"/>
        </w:tabs>
        <w:numPr>
          <w:ilvl w:val="0"/>
          <w:numId w:val="241"/>
        </w:numPr>
        <w:rPr>
          <w:rFonts w:ascii="Arial" w:cs="Arial" w:eastAsia="Arial" w:hAnsi="Arial"/>
          <w:sz w:val="19"/>
          <w:szCs w:val="19"/>
          <w:color w:val="auto"/>
        </w:rPr>
      </w:pPr>
      <w:r>
        <w:rPr>
          <w:rFonts w:ascii="Arial" w:cs="Arial" w:eastAsia="Arial" w:hAnsi="Arial"/>
          <w:sz w:val="19"/>
          <w:szCs w:val="19"/>
          <w:color w:val="auto"/>
        </w:rPr>
        <w:t>Notwithstanding anything to the contrary that may be expressed or implied in this Agreement, a Person may be admitted to the Company as a Member by the Board of Directors (an “</w:t>
      </w:r>
      <w:r>
        <w:rPr>
          <w:rFonts w:ascii="Arial" w:cs="Arial" w:eastAsia="Arial" w:hAnsi="Arial"/>
          <w:sz w:val="19"/>
          <w:szCs w:val="19"/>
          <w:b w:val="1"/>
          <w:bCs w:val="1"/>
          <w:color w:val="auto"/>
        </w:rPr>
        <w:t>Additional Member</w:t>
      </w:r>
      <w:r>
        <w:rPr>
          <w:rFonts w:ascii="Arial" w:cs="Arial" w:eastAsia="Arial" w:hAnsi="Arial"/>
          <w:sz w:val="19"/>
          <w:szCs w:val="19"/>
          <w:color w:val="auto"/>
        </w:rPr>
        <w:t>”). Such admission shall become effective on the date on which such admission is shown on the books and records of the Company.</w:t>
      </w:r>
    </w:p>
    <w:p>
      <w:pPr>
        <w:spacing w:after="0" w:line="12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 to the Company as a Member,</w:t>
      </w:r>
      <w:r>
        <w:rPr>
          <w:rFonts w:ascii="Arial" w:cs="Arial" w:eastAsia="Arial" w:hAnsi="Arial"/>
          <w:sz w:val="22"/>
          <w:szCs w:val="22"/>
          <w:b w:val="1"/>
          <w:bCs w:val="1"/>
          <w:color w:val="auto"/>
        </w:rPr>
        <w:t xml:space="preserve"> </w:t>
      </w:r>
      <w:r>
        <w:rPr>
          <w:rFonts w:ascii="Arial" w:cs="Arial" w:eastAsia="Arial" w:hAnsi="Arial"/>
          <w:sz w:val="22"/>
          <w:szCs w:val="22"/>
          <w:color w:val="auto"/>
        </w:rPr>
        <w:t>each Assignee and Additional Member shall execute and deliver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375"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joinder to this Agreement in the form attached hereto as Exhibit I or otherwise acceptable to the Board of Directors.</w:t>
      </w:r>
    </w:p>
    <w:p>
      <w:pPr>
        <w:spacing w:after="0" w:line="214"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 continue to be subject to all</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and obligations imposed by this Agreement with respect to Shares and Transfers thereof.</w:t>
      </w:r>
    </w:p>
    <w:p>
      <w:pPr>
        <w:spacing w:after="0" w:line="16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5" w:lineRule="auto"/>
        <w:tabs>
          <w:tab w:leader="none" w:pos="218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If any Class A-2 Member or Class C Member (the “</w:t>
      </w:r>
      <w:r>
        <w:rPr>
          <w:rFonts w:ascii="Arial" w:cs="Arial" w:eastAsia="Arial" w:hAnsi="Arial"/>
          <w:sz w:val="19"/>
          <w:szCs w:val="19"/>
          <w:b w:val="1"/>
          <w:bCs w:val="1"/>
          <w:color w:val="auto"/>
        </w:rPr>
        <w:t>Transferring Holder</w:t>
      </w:r>
      <w:r>
        <w:rPr>
          <w:rFonts w:ascii="Arial" w:cs="Arial" w:eastAsia="Arial" w:hAnsi="Arial"/>
          <w:sz w:val="19"/>
          <w:szCs w:val="19"/>
          <w:color w:val="auto"/>
        </w:rPr>
        <w:t>”) proposes to Transfer Class A-2 Preferred Shares or Class C Common Shares (or any 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each Class A-1 Preferred Member and each Class E Member (the “</w:t>
      </w:r>
      <w:r>
        <w:rPr>
          <w:rFonts w:ascii="Arial" w:cs="Arial" w:eastAsia="Arial" w:hAnsi="Arial"/>
          <w:sz w:val="19"/>
          <w:szCs w:val="19"/>
          <w:b w:val="1"/>
          <w:bCs w:val="1"/>
          <w:color w:val="auto"/>
        </w:rPr>
        <w:t>Participation Members</w:t>
      </w:r>
      <w:r>
        <w:rPr>
          <w:rFonts w:ascii="Arial" w:cs="Arial" w:eastAsia="Arial" w:hAnsi="Arial"/>
          <w:sz w:val="19"/>
          <w:szCs w:val="19"/>
          <w:color w:val="auto"/>
        </w:rPr>
        <w:t>”)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Class D Common Shares and Class E Common Shares (or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or Class E Common Shares with respect to Class E Members (the “</w:t>
      </w:r>
      <w:r>
        <w:rPr>
          <w:rFonts w:ascii="Arial" w:cs="Arial" w:eastAsia="Arial" w:hAnsi="Arial"/>
          <w:sz w:val="19"/>
          <w:szCs w:val="19"/>
          <w:b w:val="1"/>
          <w:bCs w:val="1"/>
          <w:color w:val="auto"/>
        </w:rPr>
        <w:t>Tagged Shares</w:t>
      </w:r>
      <w:r>
        <w:rPr>
          <w:rFonts w:ascii="Arial" w:cs="Arial" w:eastAsia="Arial" w:hAnsi="Arial"/>
          <w:sz w:val="19"/>
          <w:szCs w:val="19"/>
          <w:color w:val="auto"/>
        </w:rPr>
        <w:t>”) to be sold in the Transfer, to be calculated according to the following methodology:</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firstLine="1953"/>
        <w:spacing w:after="0" w:line="292" w:lineRule="auto"/>
        <w:tabs>
          <w:tab w:leader="none" w:pos="2797" w:val="left"/>
        </w:tabs>
        <w:numPr>
          <w:ilvl w:val="1"/>
          <w:numId w:val="242"/>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all Junior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all Participation Member(s) are deemed converted to Class D Common Shares pursuant to Section 2.10(b) (collectively the number of Class D Common Shares resulting from the deemed conversion, plus the number of Class D Common Shares held by the Participating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375" w:right="239" w:bottom="1440" w:gutter="0" w:footer="0" w:header="0"/>
        </w:sectPr>
      </w:pPr>
    </w:p>
    <w:bookmarkStart w:id="265" w:name="page266"/>
    <w:bookmarkEnd w:id="265"/>
    <w:p>
      <w:pPr>
        <w:spacing w:after="0"/>
        <w:rPr>
          <w:sz w:val="20"/>
          <w:szCs w:val="20"/>
          <w:color w:val="auto"/>
        </w:rPr>
      </w:pPr>
      <w:r>
        <w:rPr>
          <w:rFonts w:ascii="Arial" w:cs="Arial" w:eastAsia="Arial" w:hAnsi="Arial"/>
          <w:sz w:val="19"/>
          <w:szCs w:val="19"/>
          <w:color w:val="auto"/>
        </w:rPr>
        <w:t>solely be for the purposes of calculating the Tagged Shares, and no actual conversion shall occur pursuant to this Section 9.07(a).</w:t>
      </w:r>
    </w:p>
    <w:p>
      <w:pPr>
        <w:spacing w:after="0" w:line="248" w:lineRule="exact"/>
        <w:rPr>
          <w:sz w:val="20"/>
          <w:szCs w:val="20"/>
          <w:color w:val="auto"/>
        </w:rPr>
      </w:pPr>
    </w:p>
    <w:p>
      <w:pPr>
        <w:ind w:left="2860" w:hanging="907"/>
        <w:spacing w:after="0"/>
        <w:tabs>
          <w:tab w:leader="none" w:pos="2860"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the total number of Shares that are subject to Transfer is determined (the “</w:t>
      </w:r>
      <w:r>
        <w:rPr>
          <w:rFonts w:ascii="Arial" w:cs="Arial" w:eastAsia="Arial" w:hAnsi="Arial"/>
          <w:sz w:val="19"/>
          <w:szCs w:val="19"/>
          <w:b w:val="1"/>
          <w:bCs w:val="1"/>
          <w:color w:val="auto"/>
        </w:rPr>
        <w:t>Total Tagged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02" w:lineRule="exact"/>
        <w:rPr>
          <w:sz w:val="20"/>
          <w:szCs w:val="20"/>
          <w:color w:val="auto"/>
        </w:rPr>
      </w:pPr>
    </w:p>
    <w:p>
      <w:pPr>
        <w:ind w:left="2920" w:hanging="967"/>
        <w:spacing w:after="0"/>
        <w:tabs>
          <w:tab w:leader="none" w:pos="2920" w:val="left"/>
        </w:tabs>
        <w:numPr>
          <w:ilvl w:val="1"/>
          <w:numId w:val="244"/>
        </w:numPr>
        <w:rPr>
          <w:rFonts w:ascii="Arial" w:cs="Arial" w:eastAsia="Arial" w:hAnsi="Arial"/>
          <w:sz w:val="22"/>
          <w:szCs w:val="22"/>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19" w:lineRule="exact"/>
        <w:rPr>
          <w:rFonts w:ascii="Arial" w:cs="Arial" w:eastAsia="Arial" w:hAnsi="Arial"/>
          <w:sz w:val="22"/>
          <w:szCs w:val="22"/>
          <w:color w:val="auto"/>
        </w:rPr>
      </w:pPr>
    </w:p>
    <w:p>
      <w:pPr>
        <w:jc w:val="both"/>
        <w:ind w:firstLine="2601"/>
        <w:spacing w:after="0" w:line="250" w:lineRule="auto"/>
        <w:tabs>
          <w:tab w:leader="none" w:pos="3541" w:val="left"/>
        </w:tabs>
        <w:numPr>
          <w:ilvl w:val="2"/>
          <w:numId w:val="244"/>
        </w:numPr>
        <w:rPr>
          <w:rFonts w:ascii="Arial" w:cs="Arial" w:eastAsia="Arial" w:hAnsi="Arial"/>
          <w:sz w:val="22"/>
          <w:szCs w:val="22"/>
          <w:color w:val="auto"/>
        </w:rPr>
      </w:pPr>
      <w:r>
        <w:rPr>
          <w:rFonts w:ascii="Arial" w:cs="Arial" w:eastAsia="Arial" w:hAnsi="Arial"/>
          <w:sz w:val="22"/>
          <w:szCs w:val="22"/>
          <w:color w:val="auto"/>
        </w:rPr>
        <w:t xml:space="preserve">a number of Class A-1-A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the A-1-A Preferred Share Conversion Ratio;</w:t>
      </w:r>
    </w:p>
    <w:p>
      <w:pPr>
        <w:spacing w:after="0" w:line="188" w:lineRule="exact"/>
        <w:rPr>
          <w:rFonts w:ascii="Arial" w:cs="Arial" w:eastAsia="Arial" w:hAnsi="Arial"/>
          <w:sz w:val="22"/>
          <w:szCs w:val="22"/>
          <w:color w:val="auto"/>
        </w:rPr>
      </w:pPr>
    </w:p>
    <w:p>
      <w:pPr>
        <w:jc w:val="both"/>
        <w:ind w:firstLine="2601"/>
        <w:spacing w:after="0" w:line="265" w:lineRule="auto"/>
        <w:tabs>
          <w:tab w:leader="none" w:pos="3529" w:val="left"/>
        </w:tabs>
        <w:numPr>
          <w:ilvl w:val="2"/>
          <w:numId w:val="244"/>
        </w:numPr>
        <w:rPr>
          <w:rFonts w:ascii="Arial" w:cs="Arial" w:eastAsia="Arial" w:hAnsi="Arial"/>
          <w:sz w:val="21"/>
          <w:szCs w:val="21"/>
          <w:color w:val="auto"/>
        </w:rPr>
      </w:pPr>
      <w:r>
        <w:rPr>
          <w:rFonts w:ascii="Arial" w:cs="Arial" w:eastAsia="Arial" w:hAnsi="Arial"/>
          <w:sz w:val="21"/>
          <w:szCs w:val="21"/>
          <w:color w:val="auto"/>
        </w:rPr>
        <w:t xml:space="preserve">a number of Class A-1-B Preferred Shares equal to: (1)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1"/>
          <w:szCs w:val="21"/>
          <w:u w:val="single" w:color="auto"/>
          <w:color w:val="auto"/>
        </w:rPr>
        <w:t>divided by</w:t>
      </w:r>
      <w:r>
        <w:rPr>
          <w:rFonts w:ascii="Arial" w:cs="Arial" w:eastAsia="Arial" w:hAnsi="Arial"/>
          <w:sz w:val="21"/>
          <w:szCs w:val="21"/>
          <w:color w:val="auto"/>
        </w:rPr>
        <w:t>, (2) A-1-B Preferred Share Conversion Ratio; and</w:t>
      </w:r>
    </w:p>
    <w:p>
      <w:pPr>
        <w:spacing w:after="0" w:line="175" w:lineRule="exact"/>
        <w:rPr>
          <w:rFonts w:ascii="Arial" w:cs="Arial" w:eastAsia="Arial" w:hAnsi="Arial"/>
          <w:sz w:val="21"/>
          <w:szCs w:val="21"/>
          <w:color w:val="auto"/>
        </w:rPr>
      </w:pPr>
    </w:p>
    <w:p>
      <w:pPr>
        <w:jc w:val="both"/>
        <w:ind w:firstLine="2601"/>
        <w:spacing w:after="0" w:line="271" w:lineRule="auto"/>
        <w:tabs>
          <w:tab w:leader="none" w:pos="3529" w:val="left"/>
        </w:tabs>
        <w:numPr>
          <w:ilvl w:val="2"/>
          <w:numId w:val="244"/>
        </w:numPr>
        <w:rPr>
          <w:rFonts w:ascii="Arial" w:cs="Arial" w:eastAsia="Arial" w:hAnsi="Arial"/>
          <w:sz w:val="21"/>
          <w:szCs w:val="21"/>
          <w:color w:val="auto"/>
        </w:rPr>
      </w:pPr>
      <w:r>
        <w:rPr>
          <w:rFonts w:ascii="Arial" w:cs="Arial" w:eastAsia="Arial" w:hAnsi="Arial"/>
          <w:sz w:val="21"/>
          <w:szCs w:val="21"/>
          <w:color w:val="auto"/>
        </w:rPr>
        <w:t xml:space="preserve">a number of Class D Common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D Common Shares held by the Participating Member prior to the deemed conversion pursuant to subsection (i) above, and (2) the denominator of which is the Total Conversion Shares.</w:t>
      </w:r>
    </w:p>
    <w:p>
      <w:pPr>
        <w:spacing w:after="0" w:line="167" w:lineRule="exact"/>
        <w:rPr>
          <w:rFonts w:ascii="Arial" w:cs="Arial" w:eastAsia="Arial" w:hAnsi="Arial"/>
          <w:sz w:val="21"/>
          <w:szCs w:val="21"/>
          <w:color w:val="auto"/>
        </w:rPr>
      </w:pPr>
    </w:p>
    <w:p>
      <w:pPr>
        <w:jc w:val="both"/>
        <w:ind w:firstLine="2601"/>
        <w:spacing w:after="0" w:line="271" w:lineRule="auto"/>
        <w:tabs>
          <w:tab w:leader="none" w:pos="3541" w:val="left"/>
        </w:tabs>
        <w:numPr>
          <w:ilvl w:val="2"/>
          <w:numId w:val="244"/>
        </w:numPr>
        <w:rPr>
          <w:rFonts w:ascii="Arial" w:cs="Arial" w:eastAsia="Arial" w:hAnsi="Arial"/>
          <w:sz w:val="21"/>
          <w:szCs w:val="21"/>
          <w:color w:val="auto"/>
        </w:rPr>
      </w:pPr>
      <w:r>
        <w:rPr>
          <w:rFonts w:ascii="Arial" w:cs="Arial" w:eastAsia="Arial" w:hAnsi="Arial"/>
          <w:sz w:val="21"/>
          <w:szCs w:val="21"/>
          <w:color w:val="auto"/>
        </w:rPr>
        <w:t xml:space="preserve">a number of Class E Common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E Common Shares held by the Participating Member prior to the deemed conversion pursuant to subsection (i) above, and (2) the denominator of which is the Total Conversion Shares.</w:t>
      </w:r>
    </w:p>
    <w:p>
      <w:pPr>
        <w:spacing w:after="0" w:line="167" w:lineRule="exact"/>
        <w:rPr>
          <w:rFonts w:ascii="Arial" w:cs="Arial" w:eastAsia="Arial" w:hAnsi="Arial"/>
          <w:sz w:val="21"/>
          <w:szCs w:val="21"/>
          <w:color w:val="auto"/>
        </w:rPr>
      </w:pPr>
    </w:p>
    <w:p>
      <w:pPr>
        <w:jc w:val="both"/>
        <w:ind w:firstLine="1305"/>
        <w:spacing w:after="0" w:line="260" w:lineRule="auto"/>
        <w:tabs>
          <w:tab w:leader="none" w:pos="2197" w:val="left"/>
        </w:tabs>
        <w:numPr>
          <w:ilvl w:val="0"/>
          <w:numId w:val="245"/>
        </w:numPr>
        <w:rPr>
          <w:rFonts w:ascii="Arial" w:cs="Arial" w:eastAsia="Arial" w:hAnsi="Arial"/>
          <w:sz w:val="21"/>
          <w:szCs w:val="21"/>
          <w:color w:val="auto"/>
        </w:rPr>
      </w:pPr>
      <w:r>
        <w:rPr>
          <w:rFonts w:ascii="Arial" w:cs="Arial" w:eastAsia="Arial" w:hAnsi="Arial"/>
          <w:sz w:val="21"/>
          <w:szCs w:val="21"/>
          <w:color w:val="auto"/>
        </w:rPr>
        <w:t>Immediately prior to the consummation of the Transfer to the Independent Third Party, the Tagged Shares (other than Class E Common Shares) will be automatically, and without any further action, be actually converted into Class D Common Shares pursuant to Section 2.10(b).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181" w:lineRule="exact"/>
        <w:rPr>
          <w:rFonts w:ascii="Arial" w:cs="Arial" w:eastAsia="Arial" w:hAnsi="Arial"/>
          <w:sz w:val="21"/>
          <w:szCs w:val="21"/>
          <w:color w:val="auto"/>
        </w:rPr>
      </w:pPr>
    </w:p>
    <w:p>
      <w:pPr>
        <w:jc w:val="both"/>
        <w:ind w:firstLine="1305"/>
        <w:spacing w:after="0" w:line="248" w:lineRule="auto"/>
        <w:tabs>
          <w:tab w:leader="none" w:pos="2185" w:val="left"/>
        </w:tabs>
        <w:numPr>
          <w:ilvl w:val="0"/>
          <w:numId w:val="245"/>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9.07,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22"/>
          <w:szCs w:val="22"/>
          <w:b w:val="1"/>
          <w:bCs w:val="1"/>
          <w:color w:val="auto"/>
        </w:rPr>
        <w:t>Amended Tag Notice</w:t>
      </w:r>
      <w:r>
        <w:rPr>
          <w:rFonts w:ascii="Arial" w:cs="Arial" w:eastAsia="Arial" w:hAnsi="Arial"/>
          <w:sz w:val="22"/>
          <w:szCs w:val="22"/>
          <w:color w:val="auto"/>
        </w:rPr>
        <w:t>”) to each Participation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375" w:right="239" w:bottom="1440" w:gutter="0" w:footer="0" w:header="0"/>
        </w:sectPr>
      </w:pPr>
    </w:p>
    <w:bookmarkStart w:id="266" w:name="page267"/>
    <w:bookmarkEnd w:id="266"/>
    <w:p>
      <w:pPr>
        <w:jc w:val="both"/>
        <w:spacing w:after="0" w:line="271" w:lineRule="auto"/>
        <w:rPr>
          <w:sz w:val="20"/>
          <w:szCs w:val="20"/>
          <w:color w:val="auto"/>
        </w:rPr>
      </w:pPr>
      <w:r>
        <w:rPr>
          <w:rFonts w:ascii="Arial" w:cs="Arial" w:eastAsia="Arial" w:hAnsi="Arial"/>
          <w:sz w:val="21"/>
          <w:szCs w:val="21"/>
          <w:color w:val="auto"/>
        </w:rPr>
        <w:t>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168" w:lineRule="exact"/>
        <w:rPr>
          <w:sz w:val="20"/>
          <w:szCs w:val="20"/>
          <w:color w:val="auto"/>
        </w:rPr>
      </w:pPr>
    </w:p>
    <w:p>
      <w:pPr>
        <w:jc w:val="both"/>
        <w:ind w:firstLine="1305"/>
        <w:spacing w:after="0" w:line="289" w:lineRule="auto"/>
        <w:tabs>
          <w:tab w:leader="none" w:pos="2197"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57" w:lineRule="exact"/>
        <w:rPr>
          <w:rFonts w:ascii="Arial" w:cs="Arial" w:eastAsia="Arial" w:hAnsi="Arial"/>
          <w:sz w:val="19"/>
          <w:szCs w:val="19"/>
          <w:color w:val="auto"/>
        </w:rPr>
      </w:pPr>
    </w:p>
    <w:p>
      <w:pPr>
        <w:jc w:val="both"/>
        <w:ind w:firstLine="1305"/>
        <w:spacing w:after="0" w:line="247" w:lineRule="auto"/>
        <w:tabs>
          <w:tab w:leader="none" w:pos="2185"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Without limiting the generality of the other provisions of this Section 9.07, 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7" w:lineRule="auto"/>
        <w:tabs>
          <w:tab w:leader="none" w:pos="2185" w:val="left"/>
        </w:tabs>
        <w:numPr>
          <w:ilvl w:val="0"/>
          <w:numId w:val="247"/>
        </w:numPr>
        <w:rPr>
          <w:rFonts w:ascii="Arial" w:cs="Arial" w:eastAsia="Arial" w:hAnsi="Arial"/>
          <w:sz w:val="19"/>
          <w:szCs w:val="19"/>
          <w:color w:val="auto"/>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Section 9.08(b) and Section 9.08(d), and without prejudice to Section 5.11,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375" w:right="239" w:bottom="1440" w:gutter="0" w:footer="0" w:header="0"/>
        </w:sectPr>
      </w:pPr>
    </w:p>
    <w:bookmarkStart w:id="267" w:name="page268"/>
    <w:bookmarkEnd w:id="267"/>
    <w:p>
      <w:pPr>
        <w:jc w:val="both"/>
        <w:spacing w:after="0" w:line="258" w:lineRule="auto"/>
        <w:rPr>
          <w:sz w:val="20"/>
          <w:szCs w:val="20"/>
          <w:color w:val="auto"/>
        </w:rPr>
      </w:pPr>
      <w:r>
        <w:rPr>
          <w:rFonts w:ascii="Arial" w:cs="Arial" w:eastAsia="Arial" w:hAnsi="Arial"/>
          <w:sz w:val="21"/>
          <w:szCs w:val="21"/>
          <w:color w:val="auto"/>
        </w:rPr>
        <w:t>consummation of such Sale of the Company as may be requested by the Board of Directors, including (i) in the case of the Company only, engaging one or more investment banks and legal counsel 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180" w:lineRule="exact"/>
        <w:rPr>
          <w:sz w:val="20"/>
          <w:szCs w:val="20"/>
          <w:color w:val="auto"/>
        </w:rPr>
      </w:pPr>
    </w:p>
    <w:p>
      <w:pPr>
        <w:jc w:val="both"/>
        <w:ind w:firstLine="1305"/>
        <w:spacing w:after="0" w:line="288" w:lineRule="auto"/>
        <w:tabs>
          <w:tab w:leader="none" w:pos="219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154" w:lineRule="exact"/>
        <w:rPr>
          <w:rFonts w:ascii="Arial" w:cs="Arial" w:eastAsia="Arial" w:hAnsi="Arial"/>
          <w:sz w:val="19"/>
          <w:szCs w:val="19"/>
          <w:color w:val="auto"/>
        </w:rPr>
      </w:pPr>
    </w:p>
    <w:p>
      <w:pPr>
        <w:jc w:val="both"/>
        <w:ind w:firstLine="1305"/>
        <w:spacing w:after="0" w:line="288" w:lineRule="auto"/>
        <w:tabs>
          <w:tab w:leader="none" w:pos="2185"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 registration statement or disclosure statement or other disclosure document is not otherwise being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375" w:right="239" w:bottom="1440" w:gutter="0" w:footer="0" w:header="0"/>
        </w:sectPr>
      </w:pPr>
    </w:p>
    <w:bookmarkStart w:id="268" w:name="page269"/>
    <w:bookmarkEnd w:id="268"/>
    <w:p>
      <w:pPr>
        <w:spacing w:after="0" w:line="263" w:lineRule="auto"/>
        <w:rPr>
          <w:sz w:val="20"/>
          <w:szCs w:val="20"/>
          <w:color w:val="auto"/>
        </w:rPr>
      </w:pPr>
      <w:r>
        <w:rPr>
          <w:rFonts w:ascii="Arial" w:cs="Arial" w:eastAsia="Arial" w:hAnsi="Arial"/>
          <w:sz w:val="22"/>
          <w:szCs w:val="22"/>
          <w:color w:val="auto"/>
        </w:rPr>
        <w:t>prepared in connection with the Sale of the Company, then, at the option of the Board of Directors, the Member may receive, in lieu of such securities, the Fair Market Value of such securities in cash.</w:t>
      </w:r>
    </w:p>
    <w:p>
      <w:pPr>
        <w:spacing w:after="0" w:line="175" w:lineRule="exact"/>
        <w:rPr>
          <w:sz w:val="20"/>
          <w:szCs w:val="20"/>
          <w:color w:val="auto"/>
        </w:rPr>
      </w:pPr>
    </w:p>
    <w:p>
      <w:pPr>
        <w:jc w:val="both"/>
        <w:ind w:firstLine="1305"/>
        <w:spacing w:after="0" w:line="285" w:lineRule="auto"/>
        <w:tabs>
          <w:tab w:leader="none" w:pos="219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the GM Investor or any of its Affiliates, SoftBank or any of its Affiliates or Honda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 (A) 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Person in the Sale of the Company (other than for fraud or breach of a covenant).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249"/>
        </w:numPr>
        <w:rPr>
          <w:rFonts w:ascii="Arial" w:cs="Arial" w:eastAsia="Arial" w:hAnsi="Arial"/>
          <w:sz w:val="22"/>
          <w:szCs w:val="22"/>
          <w:color w:val="auto"/>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188" w:lineRule="exact"/>
        <w:rPr>
          <w:rFonts w:ascii="Arial" w:cs="Arial" w:eastAsia="Arial" w:hAnsi="Arial"/>
          <w:sz w:val="22"/>
          <w:szCs w:val="22"/>
          <w:color w:val="auto"/>
        </w:rPr>
      </w:pPr>
    </w:p>
    <w:p>
      <w:pPr>
        <w:jc w:val="both"/>
        <w:ind w:firstLine="1305"/>
        <w:spacing w:after="0" w:line="288" w:lineRule="auto"/>
        <w:tabs>
          <w:tab w:leader="none" w:pos="2161" w:val="left"/>
        </w:tabs>
        <w:numPr>
          <w:ilvl w:val="0"/>
          <w:numId w:val="249"/>
        </w:numPr>
        <w:rPr>
          <w:rFonts w:ascii="Arial" w:cs="Arial" w:eastAsia="Arial" w:hAnsi="Arial"/>
          <w:sz w:val="19"/>
          <w:szCs w:val="19"/>
          <w:color w:val="auto"/>
        </w:rPr>
      </w:pPr>
      <w:r>
        <w:rPr>
          <w:rFonts w:ascii="Arial" w:cs="Arial" w:eastAsia="Arial" w:hAnsi="Arial"/>
          <w:sz w:val="19"/>
          <w:szCs w:val="19"/>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 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Section 9.08(b). The Members agree that to the extent, as a result of such 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375" w:right="239" w:bottom="1440" w:gutter="0" w:footer="0" w:header="0"/>
        </w:sectPr>
      </w:pPr>
    </w:p>
    <w:bookmarkStart w:id="269" w:name="page270"/>
    <w:bookmarkEnd w:id="269"/>
    <w:p>
      <w:pPr>
        <w:spacing w:after="0" w:line="343" w:lineRule="auto"/>
        <w:rPr>
          <w:sz w:val="20"/>
          <w:szCs w:val="20"/>
          <w:color w:val="auto"/>
        </w:rPr>
      </w:pPr>
      <w:r>
        <w:rPr>
          <w:rFonts w:ascii="Arial" w:cs="Arial" w:eastAsia="Arial" w:hAnsi="Arial"/>
          <w:sz w:val="19"/>
          <w:szCs w:val="19"/>
          <w:color w:val="auto"/>
        </w:rPr>
        <w:t>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05" w:lineRule="exact"/>
        <w:rPr>
          <w:sz w:val="20"/>
          <w:szCs w:val="20"/>
          <w:color w:val="auto"/>
        </w:rPr>
      </w:pPr>
    </w:p>
    <w:p>
      <w:pPr>
        <w:jc w:val="both"/>
        <w:ind w:firstLine="1305"/>
        <w:spacing w:after="0" w:line="271" w:lineRule="auto"/>
        <w:tabs>
          <w:tab w:leader="none" w:pos="2197" w:val="left"/>
        </w:tabs>
        <w:numPr>
          <w:ilvl w:val="0"/>
          <w:numId w:val="250"/>
        </w:numPr>
        <w:rPr>
          <w:rFonts w:ascii="Arial" w:cs="Arial" w:eastAsia="Arial" w:hAnsi="Arial"/>
          <w:sz w:val="21"/>
          <w:szCs w:val="21"/>
          <w:color w:val="auto"/>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167" w:lineRule="exact"/>
        <w:rPr>
          <w:rFonts w:ascii="Arial" w:cs="Arial" w:eastAsia="Arial" w:hAnsi="Arial"/>
          <w:sz w:val="21"/>
          <w:szCs w:val="21"/>
          <w:color w:val="auto"/>
        </w:rPr>
      </w:pPr>
    </w:p>
    <w:p>
      <w:pPr>
        <w:ind w:left="2200" w:hanging="895"/>
        <w:spacing w:after="0"/>
        <w:tabs>
          <w:tab w:leader="none" w:pos="220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provisions of this Section 9.08 shall not apply to any transaction pursuant to Sections 9.10 or 9.12.</w:t>
      </w:r>
    </w:p>
    <w:p>
      <w:pPr>
        <w:spacing w:after="0" w:line="24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4" w:lineRule="auto"/>
        <w:tabs>
          <w:tab w:leader="none" w:pos="2185"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 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 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375" w:right="239" w:bottom="1440" w:gutter="0" w:footer="0" w:header="0"/>
        </w:sectPr>
      </w:pPr>
    </w:p>
    <w:bookmarkStart w:id="270" w:name="page271"/>
    <w:bookmarkEnd w:id="270"/>
    <w:p>
      <w:pPr>
        <w:spacing w:after="0"/>
        <w:rPr>
          <w:sz w:val="20"/>
          <w:szCs w:val="20"/>
          <w:color w:val="auto"/>
        </w:rPr>
      </w:pPr>
      <w:r>
        <w:rPr>
          <w:rFonts w:ascii="Arial" w:cs="Arial" w:eastAsia="Arial" w:hAnsi="Arial"/>
          <w:sz w:val="19"/>
          <w:szCs w:val="19"/>
          <w:color w:val="auto"/>
        </w:rPr>
        <w:t>are bound by the provisions of this Section 9.09 and that such Shares may be Transferred only to the Independent Third Party.</w:t>
      </w:r>
    </w:p>
    <w:p>
      <w:pPr>
        <w:spacing w:after="0" w:line="254" w:lineRule="exact"/>
        <w:rPr>
          <w:sz w:val="20"/>
          <w:szCs w:val="20"/>
          <w:color w:val="auto"/>
        </w:rPr>
      </w:pPr>
    </w:p>
    <w:p>
      <w:pPr>
        <w:jc w:val="both"/>
        <w:ind w:firstLine="1305"/>
        <w:spacing w:after="0" w:line="257" w:lineRule="auto"/>
        <w:tabs>
          <w:tab w:leader="none" w:pos="2197"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Transfer would require the GM Investor, any Dragee, the 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21"/>
          <w:szCs w:val="21"/>
          <w:u w:val="single" w:color="auto"/>
          <w:color w:val="auto"/>
        </w:rPr>
        <w:t>provided</w:t>
      </w:r>
      <w:r>
        <w:rPr>
          <w:rFonts w:ascii="Arial" w:cs="Arial" w:eastAsia="Arial" w:hAnsi="Arial"/>
          <w:sz w:val="21"/>
          <w:szCs w:val="21"/>
          <w:color w:val="auto"/>
        </w:rPr>
        <w:t>, that (i) 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188" w:lineRule="exact"/>
        <w:rPr>
          <w:rFonts w:ascii="Arial" w:cs="Arial" w:eastAsia="Arial" w:hAnsi="Arial"/>
          <w:sz w:val="21"/>
          <w:szCs w:val="21"/>
          <w:color w:val="auto"/>
        </w:rPr>
      </w:pPr>
    </w:p>
    <w:p>
      <w:pPr>
        <w:jc w:val="both"/>
        <w:ind w:firstLine="1305"/>
        <w:spacing w:after="0" w:line="289" w:lineRule="auto"/>
        <w:tabs>
          <w:tab w:leader="none" w:pos="2185"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 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57" w:lineRule="exact"/>
        <w:rPr>
          <w:rFonts w:ascii="Arial" w:cs="Arial" w:eastAsia="Arial" w:hAnsi="Arial"/>
          <w:sz w:val="19"/>
          <w:szCs w:val="19"/>
          <w:color w:val="auto"/>
        </w:rPr>
      </w:pPr>
    </w:p>
    <w:p>
      <w:pPr>
        <w:ind w:left="2200" w:hanging="895"/>
        <w:spacing w:after="0"/>
        <w:tabs>
          <w:tab w:leader="none" w:pos="22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provisions of this Section 9.09 shall not apply to any Transfer to a Permitted Transferee in accordance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9.02.</w:t>
      </w:r>
    </w:p>
    <w:p>
      <w:pPr>
        <w:spacing w:after="0" w:line="19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47" w:lineRule="auto"/>
        <w:tabs>
          <w:tab w:leader="none" w:pos="2185"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If the Board of Directors authorizes (subject to Section 5.11 and 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375" w:right="239" w:bottom="1440" w:gutter="0" w:footer="0" w:header="0"/>
        </w:sectPr>
      </w:pPr>
    </w:p>
    <w:bookmarkStart w:id="271" w:name="page272"/>
    <w:bookmarkEnd w:id="271"/>
    <w:p>
      <w:pPr>
        <w:jc w:val="both"/>
        <w:spacing w:after="0" w:line="258" w:lineRule="auto"/>
        <w:rPr>
          <w:sz w:val="20"/>
          <w:szCs w:val="20"/>
          <w:color w:val="auto"/>
        </w:rPr>
      </w:pPr>
      <w:r>
        <w:rPr>
          <w:rFonts w:ascii="Arial" w:cs="Arial" w:eastAsia="Arial" w:hAnsi="Arial"/>
          <w:sz w:val="21"/>
          <w:szCs w:val="21"/>
          <w:color w:val="auto"/>
        </w:rPr>
        <w:t>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Junior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21"/>
          <w:szCs w:val="21"/>
          <w:b w:val="1"/>
          <w:bCs w:val="1"/>
          <w:color w:val="auto"/>
        </w:rPr>
        <w:t>IPO Shares</w:t>
      </w:r>
      <w:r>
        <w:rPr>
          <w:rFonts w:ascii="Arial" w:cs="Arial" w:eastAsia="Arial" w:hAnsi="Arial"/>
          <w:sz w:val="21"/>
          <w:szCs w:val="21"/>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186" w:lineRule="exact"/>
        <w:rPr>
          <w:sz w:val="20"/>
          <w:szCs w:val="20"/>
          <w:color w:val="auto"/>
        </w:rPr>
      </w:pPr>
    </w:p>
    <w:p>
      <w:pPr>
        <w:jc w:val="both"/>
        <w:ind w:firstLine="1305"/>
        <w:spacing w:after="0" w:line="286" w:lineRule="auto"/>
        <w:tabs>
          <w:tab w:leader="none" w:pos="219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IPO Shares issued to (i) each Class A-1 Preferred Member with respect to each Class A-1 Preferred Share, each Class B Member with respect to each Class B Common Share, each Class D Member with respect to each Class D Common Share and each Class E Member with respect to each Class E Common Share and (ii) any other Investor in respect of Equity Securities issued pursuant to Section 2.06 (if such Equity Securities are designated as low-vote Equity Securities by the Board of Directors at the time of issuance or at any time thereafter) (collectively, the “</w:t>
      </w:r>
      <w:r>
        <w:rPr>
          <w:rFonts w:ascii="Arial" w:cs="Arial" w:eastAsia="Arial" w:hAnsi="Arial"/>
          <w:sz w:val="19"/>
          <w:szCs w:val="19"/>
          <w:b w:val="1"/>
          <w:bCs w:val="1"/>
          <w:color w:val="auto"/>
        </w:rPr>
        <w:t>Low-Vote IPO Shares</w:t>
      </w:r>
      <w:r>
        <w:rPr>
          <w:rFonts w:ascii="Arial" w:cs="Arial" w:eastAsia="Arial" w:hAnsi="Arial"/>
          <w:sz w:val="19"/>
          <w:szCs w:val="19"/>
          <w:color w:val="auto"/>
        </w:rPr>
        <w:t>”) will be of a different class to each other IPO Share. The Low-Vote IPO Shares will be identical to each other IPO Share, except that they will be entitled only to the number of votes (including a fraction of a vote) per Low-Vote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 planned issuances or transfers of IPO Shares. Each Member, including each Class A-1 Preferred Member, will take all reasonable action requested by the Company to give effect to this Section 9.10(b) and to cause GM to have “control” within the meaning of Section 368(c) of the Code immediately prior to any “spin-off” or “split-off” transaction.</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5"/>
        <w:spacing w:after="0" w:line="258" w:lineRule="auto"/>
        <w:tabs>
          <w:tab w:leader="none" w:pos="2185" w:val="left"/>
        </w:tabs>
        <w:numPr>
          <w:ilvl w:val="0"/>
          <w:numId w:val="254"/>
        </w:numPr>
        <w:rPr>
          <w:rFonts w:ascii="Arial" w:cs="Arial" w:eastAsia="Arial" w:hAnsi="Arial"/>
          <w:sz w:val="21"/>
          <w:szCs w:val="21"/>
          <w:color w:val="auto"/>
        </w:rPr>
      </w:pPr>
      <w:r>
        <w:rPr>
          <w:rFonts w:ascii="Arial" w:cs="Arial" w:eastAsia="Arial" w:hAnsi="Arial"/>
          <w:sz w:val="21"/>
          <w:szCs w:val="21"/>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21"/>
          <w:szCs w:val="21"/>
          <w:b w:val="1"/>
          <w:bCs w:val="1"/>
          <w:color w:val="auto"/>
        </w:rPr>
        <w:t>Entity</w:t>
      </w:r>
      <w:r>
        <w:rPr>
          <w:rFonts w:ascii="Arial" w:cs="Arial" w:eastAsia="Arial" w:hAnsi="Arial"/>
          <w:sz w:val="21"/>
          <w:szCs w:val="21"/>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375" w:right="239" w:bottom="1440" w:gutter="0" w:footer="0" w:header="0"/>
        </w:sectPr>
      </w:pPr>
    </w:p>
    <w:bookmarkStart w:id="272" w:name="page273"/>
    <w:bookmarkEnd w:id="272"/>
    <w:p>
      <w:pPr>
        <w:jc w:val="both"/>
        <w:spacing w:after="0" w:line="289" w:lineRule="auto"/>
        <w:rPr>
          <w:sz w:val="20"/>
          <w:szCs w:val="20"/>
          <w:color w:val="auto"/>
        </w:rPr>
      </w:pPr>
      <w:r>
        <w:rPr>
          <w:rFonts w:ascii="Arial" w:cs="Arial" w:eastAsia="Arial" w:hAnsi="Arial"/>
          <w:sz w:val="19"/>
          <w:szCs w:val="19"/>
          <w:color w:val="auto"/>
        </w:rPr>
        <w:t>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 (C) 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Low-Vote IPO Shares described in Section 9.10(b) above.</w:t>
      </w:r>
    </w:p>
    <w:p>
      <w:pPr>
        <w:spacing w:after="0" w:line="15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7" w:lineRule="auto"/>
        <w:tabs>
          <w:tab w:leader="none" w:pos="218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 xml:space="preserve">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all Members that, together with its Affiliates, beneficially own more than five percent (5%) of the Equity Securities in the Company, piggyback registration rights and shelf registration rights, in each case, subject to customary terms and conditions as at the time of the IPO; </w:t>
      </w:r>
      <w:r>
        <w:rPr>
          <w:rFonts w:ascii="Arial" w:cs="Arial" w:eastAsia="Arial" w:hAnsi="Arial"/>
          <w:sz w:val="21"/>
          <w:szCs w:val="21"/>
          <w:u w:val="single" w:color="auto"/>
          <w:color w:val="auto"/>
        </w:rPr>
        <w:t>provided</w:t>
      </w:r>
      <w:r>
        <w:rPr>
          <w:rFonts w:ascii="Arial" w:cs="Arial" w:eastAsia="Arial" w:hAnsi="Arial"/>
          <w:sz w:val="21"/>
          <w:szCs w:val="21"/>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190" w:lineRule="exact"/>
        <w:rPr>
          <w:rFonts w:ascii="Arial" w:cs="Arial" w:eastAsia="Arial" w:hAnsi="Arial"/>
          <w:sz w:val="21"/>
          <w:szCs w:val="21"/>
          <w:color w:val="auto"/>
        </w:rPr>
      </w:pPr>
    </w:p>
    <w:p>
      <w:pPr>
        <w:jc w:val="both"/>
        <w:ind w:firstLine="1305"/>
        <w:spacing w:after="0" w:line="290" w:lineRule="auto"/>
        <w:tabs>
          <w:tab w:leader="none" w:pos="2197" w:val="left"/>
        </w:tabs>
        <w:numPr>
          <w:ilvl w:val="0"/>
          <w:numId w:val="255"/>
        </w:numPr>
        <w:rPr>
          <w:rFonts w:ascii="Arial" w:cs="Arial" w:eastAsia="Arial" w:hAnsi="Arial"/>
          <w:sz w:val="19"/>
          <w:szCs w:val="19"/>
          <w:color w:val="auto"/>
        </w:rPr>
      </w:pPr>
      <w:r>
        <w:rPr>
          <w:rFonts w:ascii="Arial" w:cs="Arial" w:eastAsia="Arial" w:hAnsi="Arial"/>
          <w:sz w:val="19"/>
          <w:szCs w:val="19"/>
          <w:color w:val="auto"/>
        </w:rPr>
        <w:t>Each Member hereby agrees that (i) during the period of duration (up to, but not exceeding, one hundred eighty (180) 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375" w:right="239" w:bottom="1440" w:gutter="0" w:footer="0" w:header="0"/>
        </w:sectPr>
      </w:pPr>
    </w:p>
    <w:bookmarkStart w:id="273" w:name="page274"/>
    <w:bookmarkEnd w:id="273"/>
    <w:p>
      <w:pPr>
        <w:jc w:val="both"/>
        <w:ind w:firstLine="1305"/>
        <w:spacing w:after="0" w:line="259" w:lineRule="auto"/>
        <w:tabs>
          <w:tab w:leader="none" w:pos="218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 underwritten public follow-on offering, execute a customary “lockup” agreement in the form requested by the managing underwriter or underwriters with a duration not to exceed ninety (90) days.</w:t>
      </w:r>
    </w:p>
    <w:p>
      <w:pPr>
        <w:spacing w:after="0" w:line="180" w:lineRule="exact"/>
        <w:rPr>
          <w:rFonts w:ascii="Arial" w:cs="Arial" w:eastAsia="Arial" w:hAnsi="Arial"/>
          <w:sz w:val="21"/>
          <w:szCs w:val="21"/>
          <w:color w:val="auto"/>
        </w:rPr>
      </w:pPr>
    </w:p>
    <w:p>
      <w:pPr>
        <w:jc w:val="both"/>
        <w:ind w:firstLine="1305"/>
        <w:spacing w:after="0" w:line="288" w:lineRule="auto"/>
        <w:tabs>
          <w:tab w:leader="none" w:pos="2197"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49"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21"/>
          <w:szCs w:val="21"/>
          <w:b w:val="1"/>
          <w:bCs w:val="1"/>
          <w:u w:val="single" w:color="auto"/>
          <w:color w:val="auto"/>
        </w:rPr>
        <w:t>GM Call Right</w:t>
      </w:r>
      <w:r>
        <w:rPr>
          <w:rFonts w:ascii="Arial" w:cs="Arial" w:eastAsia="Arial" w:hAnsi="Arial"/>
          <w:sz w:val="21"/>
          <w:szCs w:val="21"/>
          <w:color w:val="auto"/>
        </w:rPr>
        <w:t>.</w:t>
      </w:r>
    </w:p>
    <w:p>
      <w:pPr>
        <w:spacing w:after="0" w:line="226" w:lineRule="exact"/>
        <w:rPr>
          <w:sz w:val="20"/>
          <w:szCs w:val="20"/>
          <w:color w:val="auto"/>
        </w:rPr>
      </w:pPr>
    </w:p>
    <w:p>
      <w:pPr>
        <w:jc w:val="both"/>
        <w:ind w:firstLine="1305"/>
        <w:spacing w:after="0" w:line="288" w:lineRule="auto"/>
        <w:tabs>
          <w:tab w:leader="none" w:pos="218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At any time after the SoftBank Trigger Date the Company will have the right, by providing written notice to each Class A-1 Preferred Member, each Class D Member and the Board of Directors (a “</w:t>
      </w:r>
      <w:r>
        <w:rPr>
          <w:rFonts w:ascii="Arial" w:cs="Arial" w:eastAsia="Arial" w:hAnsi="Arial"/>
          <w:sz w:val="19"/>
          <w:szCs w:val="19"/>
          <w:b w:val="1"/>
          <w:bCs w:val="1"/>
          <w:color w:val="auto"/>
        </w:rPr>
        <w:t>SoftBank 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held by such Members) in exchange for a cash purchase price (i) per Class A-1 Preferred Share equal to the greater of (A) the applicable Class A-1 Liquidation Preference Amount, and (B) the Per Class A-1 Preferred Share FMV, and (ii) per Class D Common Share (or any other Equity Securities held by such Members) equal to the Per Class A-1 Preferred Share FMV (collectively, the “</w:t>
      </w:r>
      <w:r>
        <w:rPr>
          <w:rFonts w:ascii="Arial" w:cs="Arial" w:eastAsia="Arial" w:hAnsi="Arial"/>
          <w:sz w:val="19"/>
          <w:szCs w:val="19"/>
          <w:b w:val="1"/>
          <w:bCs w:val="1"/>
          <w:color w:val="auto"/>
        </w:rPr>
        <w:t>Class A-1/D Purchase</w:t>
      </w:r>
      <w:r>
        <w:rPr>
          <w:rFonts w:ascii="Arial" w:cs="Arial" w:eastAsia="Arial" w:hAnsi="Arial"/>
          <w:sz w:val="19"/>
          <w:szCs w:val="19"/>
          <w:color w:val="auto"/>
        </w:rPr>
        <w:t>”). If an Optional SoftBank Conversion Notice has been delivered pursuant to Section 9.13 and, subsequent to the delivery of such Optional SoftBank Conversion Notice, a SoftBank Call Notice is delivered to a Class A-1 Preferred Member or Class D Member, then the process contemplated by Section 9.13 shall be suspended (it being understood that if the Class A-1/D Purchase is subsequently terminated or otherwise fails to be consummated, the process contemplated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375" w:right="239" w:bottom="1440" w:gutter="0" w:footer="0" w:header="0"/>
        </w:sectPr>
      </w:pPr>
    </w:p>
    <w:bookmarkStart w:id="274" w:name="page275"/>
    <w:bookmarkEnd w:id="274"/>
    <w:p>
      <w:pPr>
        <w:jc w:val="both"/>
        <w:spacing w:after="0" w:line="250" w:lineRule="auto"/>
        <w:rPr>
          <w:sz w:val="20"/>
          <w:szCs w:val="20"/>
          <w:color w:val="auto"/>
        </w:rPr>
      </w:pPr>
      <w:r>
        <w:rPr>
          <w:rFonts w:ascii="Arial" w:cs="Arial" w:eastAsia="Arial" w:hAnsi="Arial"/>
          <w:sz w:val="22"/>
          <w:szCs w:val="22"/>
          <w:color w:val="auto"/>
        </w:rPr>
        <w:t>by Section 9.13 shall resume); provided, that if, at the time the SoftBank Call Notice is delivered to a Class A-1 Preferred Member or Class D Member,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188" w:lineRule="exact"/>
        <w:rPr>
          <w:sz w:val="20"/>
          <w:szCs w:val="20"/>
          <w:color w:val="auto"/>
        </w:rPr>
      </w:pPr>
    </w:p>
    <w:p>
      <w:pPr>
        <w:jc w:val="both"/>
        <w:ind w:firstLine="1305"/>
        <w:spacing w:after="0" w:line="297" w:lineRule="auto"/>
        <w:tabs>
          <w:tab w:leader="none" w:pos="2197"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At any time after the Honda Call Trigger Date, the Company will have the right, by providing written notice to each Class E Member and the Board of Directors (a “</w:t>
      </w:r>
      <w:r>
        <w:rPr>
          <w:rFonts w:ascii="Arial" w:cs="Arial" w:eastAsia="Arial" w:hAnsi="Arial"/>
          <w:sz w:val="19"/>
          <w:szCs w:val="19"/>
          <w:b w:val="1"/>
          <w:bCs w:val="1"/>
          <w:color w:val="auto"/>
        </w:rPr>
        <w:t>Honda Call Notice</w:t>
      </w:r>
      <w:r>
        <w:rPr>
          <w:rFonts w:ascii="Arial" w:cs="Arial" w:eastAsia="Arial" w:hAnsi="Arial"/>
          <w:sz w:val="19"/>
          <w:szCs w:val="19"/>
          <w:color w:val="auto"/>
        </w:rPr>
        <w:t>” and, together with the SoftBank Call Notice, a “</w:t>
      </w:r>
      <w:r>
        <w:rPr>
          <w:rFonts w:ascii="Arial" w:cs="Arial" w:eastAsia="Arial" w:hAnsi="Arial"/>
          <w:sz w:val="19"/>
          <w:szCs w:val="19"/>
          <w:b w:val="1"/>
          <w:bCs w:val="1"/>
          <w:color w:val="auto"/>
        </w:rPr>
        <w:t>Call Notice</w:t>
      </w:r>
      <w:r>
        <w:rPr>
          <w:rFonts w:ascii="Arial" w:cs="Arial" w:eastAsia="Arial" w:hAnsi="Arial"/>
          <w:sz w:val="19"/>
          <w:szCs w:val="19"/>
          <w:color w:val="auto"/>
        </w:rPr>
        <w:t>”), to purchase from each Class E Member all (but not less than all) of the Class E Common Shares then owned by such Members (and any other Equity Securities held by such Members) in exchange for a cash purchase price per Class E Common Share (or any other Equity Securities held by such Members) equal to the Per Class E FMV (the “</w:t>
      </w:r>
      <w:r>
        <w:rPr>
          <w:rFonts w:ascii="Arial" w:cs="Arial" w:eastAsia="Arial" w:hAnsi="Arial"/>
          <w:sz w:val="19"/>
          <w:szCs w:val="19"/>
          <w:b w:val="1"/>
          <w:bCs w:val="1"/>
          <w:color w:val="auto"/>
        </w:rPr>
        <w:t>Class E Purchase</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Delivery of a Call Notice with respect to the Class A-1 Preferred Shares, Class D Common Shares or Class E Common Shares will commence the process set forth on Exhibit II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of a Honda Call Notice, (1) references to “SoftBank” and the “Majority of the Class A-1 Preferred” on Exhibit II shall be replaced with “Honda” and (2) the Qualified Appraisers will only calculate the Standardized FMV and not the IP Upsized FMV).</w:t>
      </w:r>
    </w:p>
    <w:p>
      <w:pPr>
        <w:spacing w:after="0" w:line="188" w:lineRule="exact"/>
        <w:rPr>
          <w:sz w:val="20"/>
          <w:szCs w:val="20"/>
          <w:color w:val="auto"/>
        </w:rPr>
      </w:pPr>
    </w:p>
    <w:p>
      <w:pPr>
        <w:jc w:val="both"/>
        <w:ind w:firstLine="1305"/>
        <w:spacing w:after="0" w:line="259" w:lineRule="auto"/>
        <w:tabs>
          <w:tab w:leader="none" w:pos="2185" w:val="left"/>
        </w:tabs>
        <w:numPr>
          <w:ilvl w:val="0"/>
          <w:numId w:val="259"/>
        </w:numPr>
        <w:rPr>
          <w:rFonts w:ascii="Arial" w:cs="Arial" w:eastAsia="Arial" w:hAnsi="Arial"/>
          <w:sz w:val="21"/>
          <w:szCs w:val="21"/>
          <w:color w:val="auto"/>
        </w:rPr>
      </w:pPr>
      <w:r>
        <w:rPr>
          <w:rFonts w:ascii="Arial" w:cs="Arial" w:eastAsia="Arial" w:hAnsi="Arial"/>
          <w:sz w:val="21"/>
          <w:szCs w:val="21"/>
          <w:color w:val="auto"/>
        </w:rPr>
        <w:t xml:space="preserve">The Company and each Class A-1 Preferred Member, Class D Member and Class E Member will consummate the Class A-1/D Purchase or the Class E Purchase, as applicable, as soon as reasonably practicable and, in any event, within thirty (30) 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Arial" w:cs="Arial" w:eastAsia="Arial" w:hAnsi="Arial"/>
          <w:sz w:val="21"/>
          <w:szCs w:val="21"/>
          <w:u w:val="single" w:color="auto"/>
          <w:color w:val="auto"/>
        </w:rPr>
        <w:t>provided</w:t>
      </w:r>
      <w:r>
        <w:rPr>
          <w:rFonts w:ascii="Arial" w:cs="Arial" w:eastAsia="Arial" w:hAnsi="Arial"/>
          <w:sz w:val="21"/>
          <w:szCs w:val="21"/>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80" w:lineRule="exact"/>
        <w:rPr>
          <w:rFonts w:ascii="Arial" w:cs="Arial" w:eastAsia="Arial" w:hAnsi="Arial"/>
          <w:sz w:val="21"/>
          <w:szCs w:val="21"/>
          <w:color w:val="auto"/>
        </w:rPr>
      </w:pPr>
    </w:p>
    <w:p>
      <w:pPr>
        <w:jc w:val="both"/>
        <w:ind w:firstLine="1305"/>
        <w:spacing w:after="0" w:line="248" w:lineRule="auto"/>
        <w:tabs>
          <w:tab w:leader="none" w:pos="2197"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pacing w:after="0" w:line="192" w:lineRule="exact"/>
        <w:rPr>
          <w:rFonts w:ascii="Arial" w:cs="Arial" w:eastAsia="Arial" w:hAnsi="Arial"/>
          <w:sz w:val="22"/>
          <w:szCs w:val="22"/>
          <w:color w:val="auto"/>
        </w:rPr>
      </w:pPr>
    </w:p>
    <w:p>
      <w:pPr>
        <w:jc w:val="both"/>
        <w:ind w:firstLine="1305"/>
        <w:spacing w:after="0" w:line="271" w:lineRule="auto"/>
        <w:tabs>
          <w:tab w:leader="none" w:pos="2185"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At any time after the SoftBank Trigger Date or the Honda Call Trigger Date, as applicable, the GM Investor (or one of its Affiliates) may issue a Call Notice in lieu of the Company, in which event all references to the Company in this Section 9.12 (other than this Section 9.12(e)) shall be deemed to be references to the GM Investor.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375" w:right="239" w:bottom="1440" w:gutter="0" w:footer="0" w:header="0"/>
        </w:sectPr>
      </w:pPr>
    </w:p>
    <w:bookmarkStart w:id="275" w:name="page276"/>
    <w:bookmarkEnd w:id="275"/>
    <w:p>
      <w:pPr>
        <w:ind w:left="660"/>
        <w:spacing w:after="0"/>
        <w:tabs>
          <w:tab w:leader="none" w:pos="166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90" w:lineRule="auto"/>
        <w:tabs>
          <w:tab w:leader="none" w:pos="218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If an IPO, Sale of the Company or dissolution (pursuant to Article X) has not been consummated prior to the SoftBank Trigger Date then, at any time after the SoftBank Trigger Date and subject to Section 9.12(a), SoftBank or its Permitted Transferee shall be entitled to deliver to the Board of Directors an irrevocable written notice (the “</w:t>
      </w:r>
      <w:r>
        <w:rPr>
          <w:rFonts w:ascii="Arial" w:cs="Arial" w:eastAsia="Arial" w:hAnsi="Arial"/>
          <w:sz w:val="19"/>
          <w:szCs w:val="19"/>
          <w:b w:val="1"/>
          <w:bCs w:val="1"/>
          <w:color w:val="auto"/>
        </w:rPr>
        <w:t>Optional SoftBank</w:t>
      </w:r>
      <w:r>
        <w:rPr>
          <w:rFonts w:ascii="Arial" w:cs="Arial" w:eastAsia="Arial" w:hAnsi="Arial"/>
          <w:sz w:val="19"/>
          <w:szCs w:val="19"/>
          <w:color w:val="auto"/>
        </w:rPr>
        <w:t xml:space="preserve"> </w:t>
      </w:r>
      <w:r>
        <w:rPr>
          <w:rFonts w:ascii="Arial" w:cs="Arial" w:eastAsia="Arial" w:hAnsi="Arial"/>
          <w:sz w:val="19"/>
          <w:szCs w:val="19"/>
          <w:b w:val="1"/>
          <w:bCs w:val="1"/>
          <w:color w:val="auto"/>
        </w:rPr>
        <w:t>Conversion Notice</w:t>
      </w:r>
      <w:r>
        <w:rPr>
          <w:rFonts w:ascii="Arial" w:cs="Arial" w:eastAsia="Arial" w:hAnsi="Arial"/>
          <w:sz w:val="19"/>
          <w:szCs w:val="19"/>
          <w:color w:val="auto"/>
        </w:rPr>
        <w:t>”) requiring the Company to, at the election of the GM Investor (i) use its reasonable best efforts to redeem all,</w:t>
      </w:r>
      <w:r>
        <w:rPr>
          <w:rFonts w:ascii="Arial" w:cs="Arial" w:eastAsia="Arial" w:hAnsi="Arial"/>
          <w:sz w:val="19"/>
          <w:szCs w:val="19"/>
          <w:b w:val="1"/>
          <w:bCs w:val="1"/>
          <w:color w:val="auto"/>
        </w:rPr>
        <w:t xml:space="preserve"> </w:t>
      </w:r>
      <w:r>
        <w:rPr>
          <w:rFonts w:ascii="Arial" w:cs="Arial" w:eastAsia="Arial" w:hAnsi="Arial"/>
          <w:sz w:val="19"/>
          <w:szCs w:val="19"/>
          <w:color w:val="auto"/>
        </w:rPr>
        <w:t>but not less than all, of SoftBank’s Class A-1 Preferred Shares and Class D Shares for common stock of GM Parent, or (ii) redeem all, but not less than all of SoftBank’s Class A-1 Preferred Shares and Class D Shares for cash, in each case on the terms set forth herein and, in the case of sub-section (i), on the terms set forth in the Exchange Agreement. Delivery of the Optional SoftBank Conversion Notice will commence the process set forth on Exhibit II.</w:t>
      </w:r>
    </w:p>
    <w:p>
      <w:pPr>
        <w:spacing w:after="0" w:line="156" w:lineRule="exact"/>
        <w:rPr>
          <w:rFonts w:ascii="Arial" w:cs="Arial" w:eastAsia="Arial" w:hAnsi="Arial"/>
          <w:sz w:val="19"/>
          <w:szCs w:val="19"/>
          <w:color w:val="auto"/>
        </w:rPr>
      </w:pPr>
    </w:p>
    <w:p>
      <w:pPr>
        <w:jc w:val="both"/>
        <w:ind w:firstLine="1305"/>
        <w:spacing w:after="0" w:line="287" w:lineRule="auto"/>
        <w:tabs>
          <w:tab w:leader="none" w:pos="2197"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Within ten (10) Business Days of the date of determination of the final Call Notice/Optional SoftBank Conversion Notice Fair Market Value pursuant to Exhibit II, the Company will deliver written notice to SoftBank, informing SoftBank of the Call Notice/Optional SoftBank Conversion Notice Fair Market Value and whether the GM Investor has elected to have the Company redeem SoftBank’s Class A-1 Preferred Shares and Class D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Section 9.13 in cash.</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5"/>
        <w:spacing w:after="0" w:line="288" w:lineRule="auto"/>
        <w:tabs>
          <w:tab w:leader="none" w:pos="218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If the Cash Election is made, the Company and SoftBank or its Permitted Transferee will consummate the redemption by the Company of the Class A-1 Preferred Shares and Class D Shares (the “</w:t>
      </w:r>
      <w:r>
        <w:rPr>
          <w:rFonts w:ascii="Arial" w:cs="Arial" w:eastAsia="Arial" w:hAnsi="Arial"/>
          <w:sz w:val="19"/>
          <w:szCs w:val="19"/>
          <w:b w:val="1"/>
          <w:bCs w:val="1"/>
          <w:color w:val="auto"/>
        </w:rPr>
        <w:t>Optional SoftBank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w:t>
      </w:r>
      <w:r>
        <w:rPr>
          <w:rFonts w:ascii="Arial" w:cs="Arial" w:eastAsia="Arial" w:hAnsi="Arial"/>
          <w:sz w:val="19"/>
          <w:szCs w:val="19"/>
          <w:color w:val="auto"/>
        </w:rPr>
        <w:t>”) as soon as reasonably practicable and in any event within thirty (30) days of the Cash Election. The place for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principal office of the Company or at such other place as the Company may reasonably determine. In the event of a Cash Election, at the closing thereof SoftBank shall deliver to the Company certificates (if certificated) for its Class A-1 Preferred Shares and Class D Shares or, in other cases, mutually acceptable instruments of transfer, in exchange for payment (per Class A-1 Preferred Share and Class D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 Each of the Company and SoftBank or 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369" w:right="239" w:bottom="1440" w:gutter="0" w:footer="0" w:header="0"/>
        </w:sectPr>
      </w:pPr>
    </w:p>
    <w:bookmarkStart w:id="276" w:name="page277"/>
    <w:bookmarkEnd w:id="276"/>
    <w:p>
      <w:pPr>
        <w:spacing w:after="0"/>
        <w:rPr>
          <w:sz w:val="20"/>
          <w:szCs w:val="20"/>
          <w:color w:val="auto"/>
        </w:rPr>
      </w:pPr>
      <w:r>
        <w:rPr>
          <w:rFonts w:ascii="Arial" w:cs="Arial" w:eastAsia="Arial" w:hAnsi="Arial"/>
          <w:sz w:val="19"/>
          <w:szCs w:val="19"/>
          <w:color w:val="auto"/>
        </w:rPr>
        <w:t>Permitted Transferee shall bear its own costs and expense incurred in connection with the Optional SoftBank Conversion Purchase.</w:t>
      </w:r>
    </w:p>
    <w:p>
      <w:pPr>
        <w:spacing w:after="0" w:line="254" w:lineRule="exact"/>
        <w:rPr>
          <w:sz w:val="20"/>
          <w:szCs w:val="20"/>
          <w:color w:val="auto"/>
        </w:rPr>
      </w:pPr>
    </w:p>
    <w:p>
      <w:pPr>
        <w:ind w:firstLine="1305"/>
        <w:spacing w:after="0" w:line="287" w:lineRule="auto"/>
        <w:tabs>
          <w:tab w:leader="none" w:pos="2197" w:val="left"/>
        </w:tabs>
        <w:numPr>
          <w:ilvl w:val="0"/>
          <w:numId w:val="261"/>
        </w:numPr>
        <w:rPr>
          <w:rFonts w:ascii="Arial" w:cs="Arial" w:eastAsia="Arial" w:hAnsi="Arial"/>
          <w:sz w:val="21"/>
          <w:szCs w:val="21"/>
          <w:color w:val="auto"/>
        </w:rPr>
      </w:pPr>
      <w:r>
        <w:rPr>
          <w:rFonts w:ascii="Arial" w:cs="Arial" w:eastAsia="Arial" w:hAnsi="Arial"/>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151" w:lineRule="exact"/>
        <w:rPr>
          <w:rFonts w:ascii="Arial" w:cs="Arial" w:eastAsia="Arial" w:hAnsi="Arial"/>
          <w:sz w:val="21"/>
          <w:szCs w:val="21"/>
          <w:color w:val="auto"/>
        </w:rPr>
      </w:pPr>
    </w:p>
    <w:p>
      <w:pPr>
        <w:jc w:val="both"/>
        <w:ind w:firstLine="1305"/>
        <w:spacing w:after="0" w:line="245" w:lineRule="auto"/>
        <w:tabs>
          <w:tab w:leader="none" w:pos="2185"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199" w:lineRule="exact"/>
        <w:rPr>
          <w:rFonts w:ascii="Arial" w:cs="Arial" w:eastAsia="Arial" w:hAnsi="Arial"/>
          <w:sz w:val="22"/>
          <w:szCs w:val="22"/>
          <w:color w:val="auto"/>
        </w:rPr>
      </w:pPr>
    </w:p>
    <w:p>
      <w:pPr>
        <w:jc w:val="both"/>
        <w:ind w:firstLine="1305"/>
        <w:spacing w:after="0" w:line="250" w:lineRule="auto"/>
        <w:tabs>
          <w:tab w:leader="none" w:pos="216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In lieu of a redemption of the Class A-1 Preferred Shares and Class D Shares by the Company pursuant to this Section 9.13, the GM Investor will have the right to have such Class A-1 Preferred Shares and Class D Shares transferred to the GM Investor (or its Affiliates) and, if a Cash Election has been made, to have the GM Investor (or its Affiliates) make the applicable cash payments.</w:t>
      </w:r>
    </w:p>
    <w:p>
      <w:pPr>
        <w:spacing w:after="0" w:line="188"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261"/>
        </w:numPr>
        <w:rPr>
          <w:rFonts w:ascii="Arial" w:cs="Arial" w:eastAsia="Arial" w:hAnsi="Arial"/>
          <w:sz w:val="19"/>
          <w:szCs w:val="19"/>
          <w:color w:val="auto"/>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Section 9.13.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DISSOLUTION</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 any of the following events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business and affairs shall thereafter be liquidated and wound up pursuant to the Act:</w:t>
      </w:r>
    </w:p>
    <w:p>
      <w:pPr>
        <w:spacing w:after="0" w:line="168" w:lineRule="exact"/>
        <w:rPr>
          <w:sz w:val="20"/>
          <w:szCs w:val="20"/>
          <w:color w:val="auto"/>
        </w:rPr>
      </w:pPr>
    </w:p>
    <w:p>
      <w:pPr>
        <w:ind w:left="2200" w:hanging="895"/>
        <w:spacing w:after="0"/>
        <w:tabs>
          <w:tab w:leader="none" w:pos="220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upon the approval of the Board of Directors or a Majority of the Members;</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upon the issuance of a final and nonappealable judicial decree of dissolution; 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375" w:right="239" w:bottom="1440" w:gutter="0" w:footer="0" w:header="0"/>
        </w:sectPr>
      </w:pPr>
    </w:p>
    <w:bookmarkStart w:id="277" w:name="page278"/>
    <w:bookmarkEnd w:id="277"/>
    <w:p>
      <w:pPr>
        <w:ind w:firstLine="1305"/>
        <w:spacing w:after="0" w:line="263" w:lineRule="auto"/>
        <w:tabs>
          <w:tab w:leader="none" w:pos="2185"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 Directors shall act as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or 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77" w:lineRule="exact"/>
        <w:rPr>
          <w:sz w:val="20"/>
          <w:szCs w:val="20"/>
          <w:color w:val="auto"/>
        </w:rPr>
      </w:pPr>
    </w:p>
    <w:p>
      <w:pPr>
        <w:jc w:val="both"/>
        <w:ind w:firstLine="1305"/>
        <w:spacing w:after="0" w:line="250" w:lineRule="auto"/>
        <w:tabs>
          <w:tab w:leader="none" w:pos="2185"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88" w:lineRule="exact"/>
        <w:rPr>
          <w:rFonts w:ascii="Arial" w:cs="Arial" w:eastAsia="Arial" w:hAnsi="Arial"/>
          <w:sz w:val="22"/>
          <w:szCs w:val="22"/>
          <w:color w:val="auto"/>
        </w:rPr>
      </w:pPr>
    </w:p>
    <w:p>
      <w:pPr>
        <w:ind w:firstLine="1305"/>
        <w:spacing w:after="0" w:line="263" w:lineRule="auto"/>
        <w:tabs>
          <w:tab w:leader="none" w:pos="2197"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cause the notice described in the Act to be mailed to each known creditor of and claimant against the Company in the manner described thereunder;</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85"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85"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make reasonable provision to pay all contingent, conditional or unmatured contractual claims known to the Company;</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85"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61"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185"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375" w:right="239" w:bottom="1440" w:gutter="0" w:footer="0" w:header="0"/>
        </w:sectPr>
      </w:pPr>
    </w:p>
    <w:bookmarkStart w:id="278" w:name="page279"/>
    <w:bookmarkEnd w:id="278"/>
    <w:p>
      <w:pPr>
        <w:jc w:val="both"/>
        <w:spacing w:after="0" w:line="271" w:lineRule="auto"/>
        <w:rPr>
          <w:sz w:val="20"/>
          <w:szCs w:val="20"/>
          <w:color w:val="auto"/>
        </w:rPr>
      </w:pPr>
      <w:r>
        <w:rPr>
          <w:rFonts w:ascii="Arial" w:cs="Arial" w:eastAsia="Arial" w:hAnsi="Arial"/>
          <w:sz w:val="21"/>
          <w:szCs w:val="21"/>
          <w:color w:val="auto"/>
        </w:rPr>
        <w:t>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 assets as provided herein,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19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 Agreements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entered into between GM or its Affiliates, on the one hand, and the Company or its Subsidiaries, on the other hand, in each case in accordance with the terms of this Agreement) and activities in furtherance of their obligations thereunder:</w:t>
      </w:r>
    </w:p>
    <w:p>
      <w:pPr>
        <w:spacing w:after="0" w:line="132" w:lineRule="exact"/>
        <w:rPr>
          <w:sz w:val="20"/>
          <w:szCs w:val="20"/>
          <w:color w:val="auto"/>
        </w:rPr>
      </w:pPr>
    </w:p>
    <w:p>
      <w:pPr>
        <w:jc w:val="both"/>
        <w:ind w:firstLine="1305"/>
        <w:spacing w:after="0" w:line="248" w:lineRule="auto"/>
        <w:tabs>
          <w:tab w:leader="none" w:pos="218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265"/>
        </w:numPr>
        <w:rPr>
          <w:rFonts w:ascii="Arial" w:cs="Arial" w:eastAsia="Arial" w:hAnsi="Arial"/>
          <w:sz w:val="22"/>
          <w:szCs w:val="22"/>
          <w:color w:val="auto"/>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18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48" w:lineRule="auto"/>
        <w:tabs>
          <w:tab w:leader="none" w:pos="2185" w:val="left"/>
        </w:tabs>
        <w:numPr>
          <w:ilvl w:val="0"/>
          <w:numId w:val="266"/>
        </w:numPr>
        <w:rPr>
          <w:rFonts w:ascii="Arial" w:cs="Arial" w:eastAsia="Arial" w:hAnsi="Arial"/>
          <w:sz w:val="22"/>
          <w:szCs w:val="22"/>
          <w:color w:val="auto"/>
        </w:rPr>
      </w:pPr>
      <w:r>
        <w:rPr>
          <w:rFonts w:ascii="Arial" w:cs="Arial" w:eastAsia="Arial" w:hAnsi="Arial"/>
          <w:sz w:val="22"/>
          <w:szCs w:val="22"/>
          <w:color w:val="auto"/>
        </w:rPr>
        <w:t>During the three (3) year period immediately following the end of the Control Period (the “</w:t>
      </w:r>
      <w:r>
        <w:rPr>
          <w:rFonts w:ascii="Arial" w:cs="Arial" w:eastAsia="Arial" w:hAnsi="Arial"/>
          <w:sz w:val="22"/>
          <w:szCs w:val="22"/>
          <w:b w:val="1"/>
          <w:bCs w:val="1"/>
          <w:color w:val="auto"/>
        </w:rPr>
        <w:t>Non-Compete</w:t>
      </w:r>
      <w:r>
        <w:rPr>
          <w:rFonts w:ascii="Arial" w:cs="Arial" w:eastAsia="Arial" w:hAnsi="Arial"/>
          <w:sz w:val="22"/>
          <w:szCs w:val="22"/>
          <w:color w:val="auto"/>
        </w:rPr>
        <w:t xml:space="preserve"> </w:t>
      </w:r>
      <w:r>
        <w:rPr>
          <w:rFonts w:ascii="Arial" w:cs="Arial" w:eastAsia="Arial" w:hAnsi="Arial"/>
          <w:sz w:val="22"/>
          <w:szCs w:val="22"/>
          <w:b w:val="1"/>
          <w:bCs w:val="1"/>
          <w:color w:val="auto"/>
        </w:rPr>
        <w:t>Period</w:t>
      </w:r>
      <w:r>
        <w:rPr>
          <w:rFonts w:ascii="Arial" w:cs="Arial" w:eastAsia="Arial" w:hAnsi="Arial"/>
          <w:sz w:val="22"/>
          <w:szCs w:val="22"/>
          <w:color w:val="auto"/>
        </w:rPr>
        <w:t>”), other than pursuant to the terms and conditions of any agreement entered into between the Company (or its Affiliates),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375" w:right="239" w:bottom="1440" w:gutter="0" w:footer="0" w:header="0"/>
        </w:sectPr>
      </w:pPr>
    </w:p>
    <w:bookmarkStart w:id="279" w:name="page280"/>
    <w:bookmarkEnd w:id="279"/>
    <w:p>
      <w:pPr>
        <w:jc w:val="both"/>
        <w:spacing w:after="0" w:line="250" w:lineRule="auto"/>
        <w:rPr>
          <w:sz w:val="20"/>
          <w:szCs w:val="20"/>
          <w:color w:val="auto"/>
        </w:rPr>
      </w:pPr>
      <w:r>
        <w:rPr>
          <w:rFonts w:ascii="Arial" w:cs="Arial" w:eastAsia="Arial" w:hAnsi="Arial"/>
          <w:sz w:val="22"/>
          <w:szCs w:val="22"/>
          <w:color w:val="auto"/>
        </w:rPr>
        <w:t>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88" w:lineRule="exact"/>
        <w:rPr>
          <w:sz w:val="20"/>
          <w:szCs w:val="20"/>
          <w:color w:val="auto"/>
        </w:rPr>
      </w:pPr>
    </w:p>
    <w:p>
      <w:pPr>
        <w:ind w:firstLine="1305"/>
        <w:spacing w:after="0" w:line="263" w:lineRule="auto"/>
        <w:tabs>
          <w:tab w:leader="none" w:pos="219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Notwithstanding anything herein to the contrary, during the Non-Compete Period, nothing in Section 11.02(a) shall restrict:</w:t>
      </w:r>
    </w:p>
    <w:p>
      <w:pPr>
        <w:spacing w:after="0" w:line="174" w:lineRule="exact"/>
        <w:rPr>
          <w:rFonts w:ascii="Arial" w:cs="Arial" w:eastAsia="Arial" w:hAnsi="Arial"/>
          <w:sz w:val="22"/>
          <w:szCs w:val="22"/>
          <w:color w:val="auto"/>
        </w:rPr>
      </w:pPr>
    </w:p>
    <w:p>
      <w:pPr>
        <w:ind w:left="2800" w:hanging="847"/>
        <w:spacing w:after="0"/>
        <w:tabs>
          <w:tab w:leader="none" w:pos="280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GM Investor’s or any of its Subsidiaries’ ability to engage in, carry on or participate in the GM</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auto"/>
        </w:rPr>
      </w:pPr>
    </w:p>
    <w:p>
      <w:pPr>
        <w:ind w:left="2860" w:hanging="907"/>
        <w:spacing w:after="0"/>
        <w:tabs>
          <w:tab w:leader="none" w:pos="286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Company’s or any of its Subsidiaries’ ability to engage in, carry on or participate in the AVCo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auto"/>
        </w:rPr>
      </w:pPr>
    </w:p>
    <w:p>
      <w:pPr>
        <w:jc w:val="both"/>
        <w:ind w:firstLine="1953"/>
        <w:spacing w:after="0" w:line="253" w:lineRule="auto"/>
        <w:tabs>
          <w:tab w:leader="none" w:pos="2917"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85" w:lineRule="exact"/>
        <w:rPr>
          <w:rFonts w:ascii="Arial" w:cs="Arial" w:eastAsia="Arial" w:hAnsi="Arial"/>
          <w:sz w:val="22"/>
          <w:szCs w:val="22"/>
          <w:color w:val="auto"/>
        </w:rPr>
      </w:pPr>
    </w:p>
    <w:p>
      <w:pPr>
        <w:ind w:left="2920" w:hanging="967"/>
        <w:spacing w:after="0"/>
        <w:tabs>
          <w:tab w:leader="none" w:pos="292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GM Investor or any of its Subsidiaries from consummating an OEM Acquisition;</w:t>
      </w:r>
    </w:p>
    <w:p>
      <w:pPr>
        <w:spacing w:after="0" w:line="219" w:lineRule="exact"/>
        <w:rPr>
          <w:rFonts w:ascii="Arial" w:cs="Arial" w:eastAsia="Arial" w:hAnsi="Arial"/>
          <w:sz w:val="22"/>
          <w:szCs w:val="22"/>
          <w:color w:val="auto"/>
        </w:rPr>
      </w:pPr>
    </w:p>
    <w:p>
      <w:pPr>
        <w:jc w:val="both"/>
        <w:ind w:firstLine="1953"/>
        <w:spacing w:after="0" w:line="289" w:lineRule="auto"/>
        <w:tabs>
          <w:tab w:leader="none" w:pos="2845"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157" w:lineRule="exact"/>
        <w:rPr>
          <w:rFonts w:ascii="Arial" w:cs="Arial" w:eastAsia="Arial" w:hAnsi="Arial"/>
          <w:sz w:val="19"/>
          <w:szCs w:val="19"/>
          <w:color w:val="auto"/>
        </w:rPr>
      </w:pPr>
    </w:p>
    <w:p>
      <w:pPr>
        <w:jc w:val="both"/>
        <w:ind w:firstLine="1953"/>
        <w:spacing w:after="0" w:line="246" w:lineRule="auto"/>
        <w:tabs>
          <w:tab w:leader="none" w:pos="2905"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97" w:lineRule="exact"/>
        <w:rPr>
          <w:rFonts w:ascii="Arial" w:cs="Arial" w:eastAsia="Arial" w:hAnsi="Arial"/>
          <w:sz w:val="22"/>
          <w:szCs w:val="22"/>
          <w:color w:val="auto"/>
        </w:rPr>
      </w:pPr>
    </w:p>
    <w:p>
      <w:pPr>
        <w:ind w:firstLine="1953"/>
        <w:spacing w:after="0" w:line="263" w:lineRule="auto"/>
        <w:tabs>
          <w:tab w:leader="none" w:pos="2965"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GM Investor or any of its Subsidiaries from engaging in or consummating any transaction that would constitute a Change of Control;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375" w:right="239" w:bottom="1440" w:gutter="0" w:footer="0" w:header="0"/>
        </w:sectPr>
      </w:pPr>
    </w:p>
    <w:bookmarkStart w:id="280" w:name="page281"/>
    <w:bookmarkEnd w:id="280"/>
    <w:p>
      <w:pPr>
        <w:jc w:val="both"/>
        <w:ind w:firstLine="1953"/>
        <w:spacing w:after="0" w:line="271" w:lineRule="auto"/>
        <w:tabs>
          <w:tab w:leader="none" w:pos="3025" w:val="left"/>
        </w:tabs>
        <w:numPr>
          <w:ilvl w:val="1"/>
          <w:numId w:val="268"/>
        </w:numPr>
        <w:rPr>
          <w:rFonts w:ascii="Arial" w:cs="Arial" w:eastAsia="Arial" w:hAnsi="Arial"/>
          <w:sz w:val="21"/>
          <w:szCs w:val="21"/>
          <w:color w:val="auto"/>
        </w:rPr>
      </w:pPr>
      <w:r>
        <w:rPr>
          <w:rFonts w:ascii="Arial" w:cs="Arial" w:eastAsia="Arial" w:hAnsi="Arial"/>
          <w:sz w:val="21"/>
          <w:szCs w:val="21"/>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67" w:lineRule="exact"/>
        <w:rPr>
          <w:rFonts w:ascii="Arial" w:cs="Arial" w:eastAsia="Arial" w:hAnsi="Arial"/>
          <w:sz w:val="21"/>
          <w:szCs w:val="21"/>
          <w:color w:val="auto"/>
        </w:rPr>
      </w:pPr>
    </w:p>
    <w:p>
      <w:pPr>
        <w:ind w:firstLine="1953"/>
        <w:spacing w:after="0" w:line="343" w:lineRule="auto"/>
        <w:tabs>
          <w:tab w:leader="none" w:pos="2905" w:val="left"/>
        </w:tabs>
        <w:numPr>
          <w:ilvl w:val="1"/>
          <w:numId w:val="268"/>
        </w:numPr>
        <w:rPr>
          <w:rFonts w:ascii="Arial" w:cs="Arial" w:eastAsia="Arial" w:hAnsi="Arial"/>
          <w:sz w:val="19"/>
          <w:szCs w:val="19"/>
          <w:color w:val="auto"/>
        </w:rPr>
      </w:pPr>
      <w:r>
        <w:rPr>
          <w:rFonts w:ascii="Arial" w:cs="Arial" w:eastAsia="Arial" w:hAnsi="Arial"/>
          <w:sz w:val="19"/>
          <w:szCs w:val="19"/>
          <w:color w:val="auto"/>
        </w:rPr>
        <w:t>the GM Investor or any of its Subsidiaries from owning or holding capital stock or other ownership interests in the entity (and its Subsidiaries or any successor entity) previously identified to SVF by the GM Investor; or</w:t>
      </w:r>
    </w:p>
    <w:p>
      <w:pPr>
        <w:spacing w:after="0" w:line="104" w:lineRule="exact"/>
        <w:rPr>
          <w:rFonts w:ascii="Arial" w:cs="Arial" w:eastAsia="Arial" w:hAnsi="Arial"/>
          <w:sz w:val="19"/>
          <w:szCs w:val="19"/>
          <w:color w:val="auto"/>
        </w:rPr>
      </w:pPr>
    </w:p>
    <w:p>
      <w:pPr>
        <w:jc w:val="both"/>
        <w:ind w:firstLine="1953"/>
        <w:spacing w:after="0" w:line="250" w:lineRule="auto"/>
        <w:tabs>
          <w:tab w:leader="none" w:pos="2845" w:val="left"/>
        </w:tabs>
        <w:numPr>
          <w:ilvl w:val="1"/>
          <w:numId w:val="268"/>
        </w:numPr>
        <w:rPr>
          <w:rFonts w:ascii="Arial" w:cs="Arial" w:eastAsia="Arial" w:hAnsi="Arial"/>
          <w:sz w:val="22"/>
          <w:szCs w:val="22"/>
          <w:color w:val="auto"/>
        </w:rPr>
      </w:pPr>
      <w:r>
        <w:rPr>
          <w:rFonts w:ascii="Arial" w:cs="Arial" w:eastAsia="Arial" w:hAnsi="Arial"/>
          <w:sz w:val="22"/>
          <w:szCs w:val="22"/>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188" w:lineRule="exact"/>
        <w:rPr>
          <w:rFonts w:ascii="Arial" w:cs="Arial" w:eastAsia="Arial" w:hAnsi="Arial"/>
          <w:sz w:val="22"/>
          <w:szCs w:val="22"/>
          <w:color w:val="auto"/>
        </w:rPr>
      </w:pPr>
    </w:p>
    <w:p>
      <w:pPr>
        <w:ind w:left="2200" w:hanging="895"/>
        <w:spacing w:after="0"/>
        <w:tabs>
          <w:tab w:leader="none" w:pos="220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For the purposes of this Article XI, the Company and its Subsidiaries are not Subsidiaries of the GM</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Member and its Affiliates will be responsible for its own expenses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negotiation of this Agreement.</w:t>
      </w:r>
    </w:p>
    <w:p>
      <w:pPr>
        <w:spacing w:after="0" w:line="162" w:lineRule="exact"/>
        <w:rPr>
          <w:sz w:val="20"/>
          <w:szCs w:val="20"/>
          <w:color w:val="auto"/>
        </w:rPr>
      </w:pPr>
    </w:p>
    <w:p>
      <w:pPr>
        <w:ind w:right="20" w:firstLine="648"/>
        <w:spacing w:after="0" w:line="293"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b w:val="1"/>
          <w:bCs w:val="1"/>
          <w:u w:val="single" w:color="auto"/>
          <w:color w:val="auto"/>
        </w:rPr>
        <w:t>No Third-Party Rights</w:t>
      </w:r>
      <w:r>
        <w:rPr>
          <w:rFonts w:ascii="Arial" w:cs="Arial" w:eastAsia="Arial" w:hAnsi="Arial"/>
          <w:sz w:val="21"/>
          <w:szCs w:val="21"/>
          <w:color w:val="auto"/>
        </w:rPr>
        <w:t>. Except as otherwise expressly set forth herein (including Sections 4.03 and 7.02),</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this Agreement shall be construed to grant rights to any Person who is not a party to this Agreement.</w:t>
      </w:r>
    </w:p>
    <w:p>
      <w:pPr>
        <w:spacing w:after="0" w:line="14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 issued, such Certificated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bear the following legend: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SHARES REPRESENTED BY THIS CERTIFICATE WERE ORIGINALLY ISSUED ON _______________,</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_____, HAVE NOT BEEN REGISTERED UNDER THE SECURITIES ACT OF 1933, AS AMENDED (THE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15"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OR APPLICABLE STATE SECURITIES LAWS (“</w:t>
      </w:r>
      <w:r>
        <w:rPr>
          <w:rFonts w:ascii="Arial" w:cs="Arial" w:eastAsia="Arial" w:hAnsi="Arial"/>
          <w:sz w:val="22"/>
          <w:szCs w:val="22"/>
          <w:b w:val="1"/>
          <w:bCs w:val="1"/>
          <w:color w:val="auto"/>
        </w:rPr>
        <w:t>STATE ACTS</w:t>
      </w:r>
      <w:r>
        <w:rPr>
          <w:rFonts w:ascii="Arial" w:cs="Arial" w:eastAsia="Arial" w:hAnsi="Arial"/>
          <w:sz w:val="22"/>
          <w:szCs w:val="22"/>
          <w:color w:val="auto"/>
        </w:rPr>
        <w:t>”) AND MAY NOT BE SOLD, ASSIGNED, PLEDGED, TRANSFERRED OR OTHERWISE DISPOSED OF IN THE ABSENCE OF AN EFFECTIVE REGISTRATION STATEMENT UNDER THE ACT OR STATE ACTS OR AN EXEMPTION FROM REGISTRATION THEREUNDER.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375" w:right="239" w:bottom="1440" w:gutter="0" w:footer="0" w:header="0"/>
        </w:sectPr>
      </w:pPr>
    </w:p>
    <w:bookmarkStart w:id="281" w:name="page282"/>
    <w:bookmarkEnd w:id="281"/>
    <w:p>
      <w:pPr>
        <w:jc w:val="both"/>
        <w:ind w:left="660"/>
        <w:spacing w:after="0" w:line="245" w:lineRule="auto"/>
        <w:rPr>
          <w:sz w:val="20"/>
          <w:szCs w:val="20"/>
          <w:color w:val="auto"/>
        </w:rPr>
      </w:pPr>
      <w:r>
        <w:rPr>
          <w:rFonts w:ascii="Arial" w:cs="Arial" w:eastAsia="Arial" w:hAnsi="Arial"/>
          <w:sz w:val="22"/>
          <w:szCs w:val="22"/>
          <w:color w:val="auto"/>
        </w:rPr>
        <w:t>THE TRANSFER OF THE SHARES REPRESENTED BY THIS CERTIFICATE IS SUBJECT TO THE CONDITIONS SPECIFIED IN A SECOND AMENDED AND RESTATED LIMITED LIABILITY COMPANY AGREEMENT, DATED AS OF OCTOBER 3, 2018, AS AMENDED AND MODIFIED FROM TIME TO TIME, GOVERNING THE ISSUER (THE “</w:t>
      </w:r>
      <w:r>
        <w:rPr>
          <w:rFonts w:ascii="Arial" w:cs="Arial" w:eastAsia="Arial" w:hAnsi="Arial"/>
          <w:sz w:val="22"/>
          <w:szCs w:val="22"/>
          <w:b w:val="1"/>
          <w:bCs w:val="1"/>
          <w:color w:val="auto"/>
        </w:rPr>
        <w:t>COMPANY</w:t>
      </w:r>
      <w:r>
        <w:rPr>
          <w:rFonts w:ascii="Arial" w:cs="Arial" w:eastAsia="Arial" w:hAnsi="Arial"/>
          <w:sz w:val="22"/>
          <w:szCs w:val="22"/>
          <w:color w:val="auto"/>
        </w:rPr>
        <w:t>”), AND BY AND AMONG ITS MEMBERS (THE “</w:t>
      </w:r>
      <w:r>
        <w:rPr>
          <w:rFonts w:ascii="Arial" w:cs="Arial" w:eastAsia="Arial" w:hAnsi="Arial"/>
          <w:sz w:val="22"/>
          <w:szCs w:val="22"/>
          <w:b w:val="1"/>
          <w:bCs w:val="1"/>
          <w:color w:val="auto"/>
        </w:rPr>
        <w:t>LLC AGREEMENT</w:t>
      </w:r>
      <w:r>
        <w:rPr>
          <w:rFonts w:ascii="Arial" w:cs="Arial" w:eastAsia="Arial" w:hAnsi="Arial"/>
          <w:sz w:val="22"/>
          <w:szCs w:val="22"/>
          <w:color w:val="auto"/>
        </w:rPr>
        <w:t>”). THE SHARES REPRESENTED BY THIS CERTIFICATE MAY ALSO BE SUBJECT TO 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13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7" w:lineRule="auto"/>
        <w:tabs>
          <w:tab w:leader="none" w:pos="2185" w:val="left"/>
        </w:tabs>
        <w:numPr>
          <w:ilvl w:val="0"/>
          <w:numId w:val="270"/>
        </w:numPr>
        <w:rPr>
          <w:rFonts w:ascii="Arial" w:cs="Arial" w:eastAsia="Arial" w:hAnsi="Arial"/>
          <w:sz w:val="21"/>
          <w:szCs w:val="21"/>
          <w:color w:val="auto"/>
        </w:rPr>
      </w:pPr>
      <w:r>
        <w:rPr>
          <w:rFonts w:ascii="Arial" w:cs="Arial" w:eastAsia="Arial" w:hAnsi="Arial"/>
          <w:sz w:val="21"/>
          <w:szCs w:val="21"/>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 all or a material portion of the assets or Equity Securities of the Company or any of its Subsidiaries), (ii) another Member, (iii) such Member’s or, in the case of SoftBank any of its or its Affiliate’s, financial planners, accountants, attorneys or other advisors or employees or representatives that need to know such information in connection with the monitoring of the Company, the Member or his, her or its Affiliates or in the normal course of operations of such Member or (iv) in the case of, following the Transfer made pursuant to, and in compliance with, Section 9.02(c), SVFA or any of its Affiliates, disclosure of information (or any information derived from or based upon such information) of the type specified to SVF prior to the execution of the SoftBank Purchase Agreement to its current or prospective investors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375" w:right="239" w:bottom="1440" w:gutter="0" w:footer="0" w:header="0"/>
        </w:sectPr>
      </w:pPr>
    </w:p>
    <w:bookmarkStart w:id="282" w:name="page283"/>
    <w:bookmarkEnd w:id="282"/>
    <w:p>
      <w:pPr>
        <w:jc w:val="both"/>
        <w:spacing w:after="0" w:line="261" w:lineRule="auto"/>
        <w:rPr>
          <w:sz w:val="20"/>
          <w:szCs w:val="20"/>
          <w:color w:val="auto"/>
        </w:rPr>
      </w:pPr>
      <w:r>
        <w:rPr>
          <w:rFonts w:ascii="Arial" w:cs="Arial" w:eastAsia="Arial" w:hAnsi="Arial"/>
          <w:sz w:val="21"/>
          <w:szCs w:val="21"/>
          <w:color w:val="auto"/>
        </w:rPr>
        <w:t>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180" w:lineRule="exact"/>
        <w:rPr>
          <w:sz w:val="20"/>
          <w:szCs w:val="20"/>
          <w:color w:val="auto"/>
        </w:rPr>
      </w:pPr>
    </w:p>
    <w:p>
      <w:pPr>
        <w:ind w:firstLine="1305"/>
        <w:spacing w:after="0" w:line="263" w:lineRule="auto"/>
        <w:tabs>
          <w:tab w:leader="none" w:pos="2197"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b w:val="1"/>
          <w:bCs w:val="1"/>
          <w:u w:val="single" w:color="auto"/>
          <w:color w:val="auto"/>
        </w:rPr>
        <w:t>Power of Attorney</w:t>
      </w:r>
      <w:r>
        <w:rPr>
          <w:rFonts w:ascii="Arial" w:cs="Arial" w:eastAsia="Arial" w:hAnsi="Arial"/>
          <w:sz w:val="21"/>
          <w:szCs w:val="21"/>
          <w:color w:val="auto"/>
        </w:rPr>
        <w:t>. Each of the Members does hereby constitute and appoint the Board of Directors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 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26" w:lineRule="exact"/>
        <w:rPr>
          <w:sz w:val="20"/>
          <w:szCs w:val="20"/>
          <w:color w:val="auto"/>
        </w:rPr>
      </w:pPr>
    </w:p>
    <w:p>
      <w:pPr>
        <w:ind w:left="2200" w:hanging="895"/>
        <w:spacing w:after="0"/>
        <w:tabs>
          <w:tab w:leader="none" w:pos="22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1201 Bryant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Matt Gipple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Ann Cathcart Chaplin</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u w:val="single" w:color="auto"/>
          <w:color w:val="auto"/>
        </w:rPr>
        <w:t>mgipple@getcruise.com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ann.cathcartchaplin@gm.com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375" w:right="239" w:bottom="1440" w:gutter="0" w:footer="0" w:header="0"/>
        </w:sectPr>
      </w:pPr>
    </w:p>
    <w:bookmarkStart w:id="283" w:name="page284"/>
    <w:bookmarkEnd w:id="283"/>
    <w:p>
      <w:pPr>
        <w:ind w:left="1960"/>
        <w:spacing w:after="0"/>
        <w:rPr>
          <w:sz w:val="20"/>
          <w:szCs w:val="20"/>
          <w:color w:val="auto"/>
        </w:rPr>
      </w:pPr>
      <w:r>
        <w:rPr>
          <w:rFonts w:ascii="Arial" w:cs="Arial" w:eastAsia="Arial" w:hAnsi="Arial"/>
          <w:sz w:val="22"/>
          <w:szCs w:val="22"/>
          <w:color w:val="auto"/>
        </w:rPr>
        <w:t>Detroit, Michigan, 48265</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color w:val="333333"/>
        </w:rPr>
        <w:t>Deputy General Counsel, Commercial, TaaS, Regulation &amp;</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color w:val="333333"/>
        </w:rPr>
        <w:t>Litigation</w:t>
      </w:r>
    </w:p>
    <w:p>
      <w:pPr>
        <w:spacing w:after="0" w:line="4"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tab/>
        <w:t>ann.cathcartchaplin@gm.com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 446-4900</w:t>
      </w:r>
    </w:p>
    <w:p>
      <w:pPr>
        <w:spacing w:after="0" w:line="4"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Peter Martelli</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Jonathan L. Davis</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Peter.Martelli@kirkland.com</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Jonathan.Davis@kirkland.com</w:t>
      </w:r>
    </w:p>
    <w:p>
      <w:pPr>
        <w:spacing w:after="0" w:line="202" w:lineRule="exact"/>
        <w:rPr>
          <w:sz w:val="20"/>
          <w:szCs w:val="20"/>
          <w:color w:val="auto"/>
        </w:rPr>
      </w:pPr>
    </w:p>
    <w:p>
      <w:pPr>
        <w:jc w:val="both"/>
        <w:ind w:firstLine="1305"/>
        <w:spacing w:after="0" w:line="290" w:lineRule="auto"/>
        <w:tabs>
          <w:tab w:leader="none" w:pos="2197" w:val="left"/>
        </w:tabs>
        <w:numPr>
          <w:ilvl w:val="0"/>
          <w:numId w:val="273"/>
        </w:numPr>
        <w:rPr>
          <w:rFonts w:ascii="Arial" w:cs="Arial" w:eastAsia="Arial" w:hAnsi="Arial"/>
          <w:sz w:val="19"/>
          <w:szCs w:val="19"/>
          <w:color w:val="auto"/>
        </w:rPr>
      </w:pPr>
      <w:r>
        <w:rPr>
          <w:rFonts w:ascii="Arial" w:cs="Arial" w:eastAsia="Arial" w:hAnsi="Arial"/>
          <w:sz w:val="19"/>
          <w:szCs w:val="19"/>
          <w:color w:val="auto"/>
        </w:rPr>
        <w:t>If to a Member, to such Member or his personal representative at his or their last address known to the Company as disclosed on the records of the Company. Notices shall be in writing and shall be sent by facsimile or pdf e-mail (if promptly confirmed by personal delivery, telephone call or mail), by mailed postage prepaid, registered or certified, by United States mail, return receipt requested, by nationally recognized private courier or by personal delivery. Notices shall be effective, (i) if sent by facsimile or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 (iv) if personally delivered, when delivered.</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b w:val="1"/>
          <w:bCs w:val="1"/>
          <w:u w:val="single" w:color="auto"/>
          <w:color w:val="auto"/>
        </w:rPr>
        <w:t>Facsimile and E-Mail</w:t>
      </w:r>
      <w:r>
        <w:rPr>
          <w:rFonts w:ascii="Arial" w:cs="Arial" w:eastAsia="Arial" w:hAnsi="Arial"/>
          <w:sz w:val="21"/>
          <w:szCs w:val="21"/>
          <w:color w:val="auto"/>
        </w:rPr>
        <w:t>. This Agreement, the agreements referred to herein, and each other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instrument entered into in connection herewith or therewith or contemplated hereby or thereby, and any amendments hereto or thereto, to the extent signed and delivered by means of a facsimile machine or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375" w:right="239" w:bottom="1440" w:gutter="0" w:footer="0" w:header="0"/>
        </w:sectPr>
      </w:pPr>
    </w:p>
    <w:bookmarkStart w:id="284" w:name="page285"/>
    <w:bookmarkEnd w:id="284"/>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Subject to Sections 5.12 and 6.13(a), this Agreement may be amended, modified, or waived only</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approval of both a Majority of the Members and the Board of Directors.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 such Member’s own tax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b w:val="1"/>
          <w:bCs w:val="1"/>
          <w:u w:val="single" w:color="auto"/>
          <w:color w:val="auto"/>
        </w:rPr>
        <w:t>Acknowledgments</w:t>
      </w:r>
      <w:r>
        <w:rPr>
          <w:rFonts w:ascii="Arial" w:cs="Arial" w:eastAsia="Arial" w:hAnsi="Arial"/>
          <w:sz w:val="19"/>
          <w:szCs w:val="19"/>
          <w:color w:val="auto"/>
        </w:rPr>
        <w:t>. Upon execution and delivery of a counterpart to this Agreement or a joinder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each Member (including any of its successors or assigns, each Assignee and each Additional Member) shall be deemed to acknowledge to the Company as follows: (i) the determination of such Member to acquire Shares pursuant to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 (ii) 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(v) such Member will, if it wishes counsel on the transactions contemplated hereby, retain its own independent counsel, (vi) Kirkland &amp; Ellis LLP may represent the GM Investor, GM Parent and/or the Company in connection with any and all matters contemplated hereby (including any dispute between the GM Investor, GM Parent and/or the Company, on the one hand, and any other Member, on the other hand) and (vii) Kirkland &amp; Ellis LLP has represented and may represent the Company on matters affecting the Company and its Subsidiaries, and such Member waives any conflict of interest in connection with all such representations by Kirkland &amp; Ellis LLP.</w:t>
      </w: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6" w:lineRule="exact"/>
        <w:rPr>
          <w:sz w:val="20"/>
          <w:szCs w:val="20"/>
          <w:color w:val="auto"/>
        </w:rPr>
      </w:pPr>
    </w:p>
    <w:p>
      <w:pPr>
        <w:ind w:right="20" w:firstLine="1305"/>
        <w:spacing w:after="0" w:line="263" w:lineRule="auto"/>
        <w:tabs>
          <w:tab w:leader="none" w:pos="2185"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article or section titles or captions contained in this Agreement are for convenience only and shall not be deemed a part of this Agreement.</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Wherever possible, each provision of this Agreement shall be interpreted in such manner as to be effective and valid under applicable law and references to 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369" w:right="239" w:bottom="1440" w:gutter="0" w:footer="0" w:header="0"/>
        </w:sectPr>
      </w:pPr>
    </w:p>
    <w:bookmarkStart w:id="285" w:name="page286"/>
    <w:bookmarkEnd w:id="285"/>
    <w:p>
      <w:pPr>
        <w:jc w:val="both"/>
        <w:spacing w:after="0" w:line="258" w:lineRule="auto"/>
        <w:rPr>
          <w:sz w:val="20"/>
          <w:szCs w:val="20"/>
          <w:color w:val="auto"/>
        </w:rPr>
      </w:pPr>
      <w:r>
        <w:rPr>
          <w:rFonts w:ascii="Arial" w:cs="Arial" w:eastAsia="Arial" w:hAnsi="Arial"/>
          <w:sz w:val="21"/>
          <w:szCs w:val="21"/>
          <w:color w:val="auto"/>
        </w:rPr>
        <w:t>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186" w:lineRule="exact"/>
        <w:rPr>
          <w:sz w:val="20"/>
          <w:szCs w:val="20"/>
          <w:color w:val="auto"/>
        </w:rPr>
      </w:pPr>
    </w:p>
    <w:p>
      <w:pPr>
        <w:jc w:val="both"/>
        <w:ind w:firstLine="1305"/>
        <w:spacing w:after="0" w:line="247" w:lineRule="auto"/>
        <w:tabs>
          <w:tab w:leader="none" w:pos="2185"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93" w:lineRule="exact"/>
        <w:rPr>
          <w:rFonts w:ascii="Arial" w:cs="Arial" w:eastAsia="Arial" w:hAnsi="Arial"/>
          <w:sz w:val="22"/>
          <w:szCs w:val="22"/>
          <w:color w:val="auto"/>
        </w:rPr>
      </w:pPr>
    </w:p>
    <w:p>
      <w:pPr>
        <w:jc w:val="both"/>
        <w:ind w:firstLine="1305"/>
        <w:spacing w:after="0" w:line="246" w:lineRule="auto"/>
        <w:tabs>
          <w:tab w:leader="none" w:pos="2197"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Section 2.02(c)(i) other than pursuant to Section 9.02(c));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foregoing shall not prohibit or otherwise affect the ability of a Member to effect a Transfer of Shares in accordance with this Agreement.</w:t>
      </w:r>
    </w:p>
    <w:p>
      <w:pPr>
        <w:spacing w:after="0" w:line="197" w:lineRule="exact"/>
        <w:rPr>
          <w:rFonts w:ascii="Arial" w:cs="Arial" w:eastAsia="Arial" w:hAnsi="Arial"/>
          <w:sz w:val="22"/>
          <w:szCs w:val="22"/>
          <w:color w:val="auto"/>
        </w:rPr>
      </w:pPr>
    </w:p>
    <w:p>
      <w:pPr>
        <w:jc w:val="both"/>
        <w:ind w:firstLine="1305"/>
        <w:spacing w:after="0" w:line="265" w:lineRule="auto"/>
        <w:tabs>
          <w:tab w:leader="none" w:pos="2185" w:val="left"/>
        </w:tabs>
        <w:numPr>
          <w:ilvl w:val="0"/>
          <w:numId w:val="27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75" w:lineRule="exact"/>
        <w:rPr>
          <w:rFonts w:ascii="Arial" w:cs="Arial" w:eastAsia="Arial" w:hAnsi="Arial"/>
          <w:sz w:val="21"/>
          <w:szCs w:val="21"/>
          <w:color w:val="auto"/>
        </w:rPr>
      </w:pPr>
    </w:p>
    <w:p>
      <w:pPr>
        <w:jc w:val="both"/>
        <w:ind w:firstLine="1305"/>
        <w:spacing w:after="0" w:line="271" w:lineRule="auto"/>
        <w:tabs>
          <w:tab w:leader="none" w:pos="2161" w:val="left"/>
        </w:tabs>
        <w:numPr>
          <w:ilvl w:val="0"/>
          <w:numId w:val="27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67"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The parties hereto acknowledge and agree that each has negotiated and reviewed the terms of this Agreement, assisted by such legal and tax counsel as they desired, and has contributed to its revisions. The parties hereto further agree that the rule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375" w:right="239" w:bottom="1440" w:gutter="0" w:footer="0" w:header="0"/>
        </w:sectPr>
      </w:pPr>
    </w:p>
    <w:bookmarkStart w:id="286" w:name="page287"/>
    <w:bookmarkEnd w:id="286"/>
    <w:p>
      <w:pPr>
        <w:jc w:val="both"/>
        <w:spacing w:after="0" w:line="257" w:lineRule="auto"/>
        <w:rPr>
          <w:sz w:val="20"/>
          <w:szCs w:val="20"/>
          <w:color w:val="auto"/>
        </w:rPr>
      </w:pPr>
      <w:r>
        <w:rPr>
          <w:rFonts w:ascii="Arial" w:cs="Arial" w:eastAsia="Arial" w:hAnsi="Arial"/>
          <w:sz w:val="21"/>
          <w:szCs w:val="21"/>
          <w:color w:val="auto"/>
        </w:rPr>
        <w:t>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 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182" w:lineRule="exact"/>
        <w:rPr>
          <w:sz w:val="20"/>
          <w:szCs w:val="20"/>
          <w:color w:val="auto"/>
        </w:rPr>
      </w:pPr>
    </w:p>
    <w:p>
      <w:pPr>
        <w:jc w:val="both"/>
        <w:ind w:firstLine="1305"/>
        <w:spacing w:after="0" w:line="288" w:lineRule="auto"/>
        <w:tabs>
          <w:tab w:leader="none" w:pos="2197"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60" w:lineRule="exact"/>
        <w:rPr>
          <w:rFonts w:ascii="Arial" w:cs="Arial" w:eastAsia="Arial" w:hAnsi="Arial"/>
          <w:sz w:val="19"/>
          <w:szCs w:val="19"/>
          <w:color w:val="auto"/>
        </w:rPr>
      </w:pPr>
    </w:p>
    <w:p>
      <w:pPr>
        <w:ind w:firstLine="1305"/>
        <w:spacing w:after="0" w:line="263" w:lineRule="auto"/>
        <w:tabs>
          <w:tab w:leader="none" w:pos="2149"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49"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Third Parties</w:t>
      </w:r>
      <w:r>
        <w:rPr>
          <w:rFonts w:ascii="Arial" w:cs="Arial" w:eastAsia="Arial" w:hAnsi="Arial"/>
          <w:sz w:val="22"/>
          <w:szCs w:val="22"/>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375" w:right="239" w:bottom="1440" w:gutter="0" w:footer="0" w:header="0"/>
        </w:sectPr>
      </w:pPr>
    </w:p>
    <w:bookmarkStart w:id="287" w:name="page288"/>
    <w:bookmarkEnd w:id="287"/>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12.12 </w:t>
      </w:r>
      <w:r>
        <w:rPr>
          <w:rFonts w:ascii="Arial" w:cs="Arial" w:eastAsia="Arial" w:hAnsi="Arial"/>
          <w:sz w:val="21"/>
          <w:szCs w:val="21"/>
          <w:b w:val="1"/>
          <w:bCs w:val="1"/>
          <w:u w:val="single" w:color="auto"/>
          <w:color w:val="auto"/>
        </w:rPr>
        <w:t>Title to Company Assets</w:t>
      </w:r>
      <w:r>
        <w:rPr>
          <w:rFonts w:ascii="Arial" w:cs="Arial" w:eastAsia="Arial" w:hAnsi="Arial"/>
          <w:sz w:val="21"/>
          <w:szCs w:val="21"/>
          <w:color w:val="auto"/>
        </w:rPr>
        <w:t>. Company assets shall be deemed to be owned by the Company as an entity, and no</w:t>
      </w:r>
      <w:r>
        <w:rPr>
          <w:rFonts w:ascii="Arial" w:cs="Arial" w:eastAsia="Arial" w:hAnsi="Arial"/>
          <w:sz w:val="21"/>
          <w:szCs w:val="21"/>
          <w:b w:val="1"/>
          <w:bCs w:val="1"/>
          <w:color w:val="auto"/>
        </w:rPr>
        <w:t xml:space="preserve"> </w:t>
      </w:r>
      <w:r>
        <w:rPr>
          <w:rFonts w:ascii="Arial" w:cs="Arial" w:eastAsia="Arial" w:hAnsi="Arial"/>
          <w:sz w:val="21"/>
          <w:szCs w:val="21"/>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12.13 </w:t>
      </w:r>
      <w:r>
        <w:rPr>
          <w:rFonts w:ascii="Arial" w:cs="Arial" w:eastAsia="Arial" w:hAnsi="Arial"/>
          <w:sz w:val="19"/>
          <w:szCs w:val="19"/>
          <w:b w:val="1"/>
          <w:bCs w:val="1"/>
          <w:u w:val="single" w:color="auto"/>
          <w:color w:val="auto"/>
        </w:rPr>
        <w:t>Creditors</w:t>
      </w:r>
      <w:r>
        <w:rPr>
          <w:rFonts w:ascii="Arial" w:cs="Arial" w:eastAsia="Arial" w:hAnsi="Arial"/>
          <w:sz w:val="19"/>
          <w:szCs w:val="19"/>
          <w:color w:val="auto"/>
        </w:rPr>
        <w:t>. None of the provisions of this Agreement shall be for the benefit of or enforceable by any non-Member 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w:t>
      </w:r>
    </w:p>
    <w:p>
      <w:pPr>
        <w:spacing w:after="0" w:line="3" w:lineRule="exact"/>
        <w:rPr>
          <w:sz w:val="20"/>
          <w:szCs w:val="20"/>
          <w:color w:val="auto"/>
        </w:rPr>
      </w:pPr>
    </w:p>
    <w:p>
      <w:pPr>
        <w:jc w:val="both"/>
        <w:ind w:firstLine="8"/>
        <w:spacing w:after="0" w:line="245" w:lineRule="auto"/>
        <w:tabs>
          <w:tab w:leader="none" w:pos="32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12.14 </w:t>
      </w: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The Company and the Members shall be entitled to enforce their respective rights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369" w:right="239" w:bottom="1440" w:gutter="0" w:footer="0" w:header="0"/>
        </w:sectPr>
      </w:pPr>
    </w:p>
    <w:bookmarkStart w:id="288" w:name="page289"/>
    <w:bookmarkEnd w:id="288"/>
    <w:p>
      <w:pPr>
        <w:jc w:val="both"/>
        <w:spacing w:after="0" w:line="253" w:lineRule="auto"/>
        <w:rPr>
          <w:sz w:val="20"/>
          <w:szCs w:val="20"/>
          <w:color w:val="auto"/>
        </w:rPr>
      </w:pPr>
      <w:r>
        <w:rPr>
          <w:rFonts w:ascii="Arial" w:cs="Arial" w:eastAsia="Arial" w:hAnsi="Arial"/>
          <w:sz w:val="22"/>
          <w:szCs w:val="22"/>
          <w:color w:val="auto"/>
        </w:rPr>
        <w:t>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b w:val="1"/>
          <w:bCs w:val="1"/>
          <w:u w:val="single" w:color="auto"/>
          <w:color w:val="auto"/>
        </w:rPr>
        <w:t>Time is of the Essence; Computation of Time</w:t>
      </w:r>
      <w:r>
        <w:rPr>
          <w:rFonts w:ascii="Arial" w:cs="Arial" w:eastAsia="Arial" w:hAnsi="Arial"/>
          <w:sz w:val="22"/>
          <w:szCs w:val="22"/>
          <w:color w:val="auto"/>
        </w:rPr>
        <w:t>. Time is of the essence for each and every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12.16 </w:t>
      </w:r>
      <w:r>
        <w:rPr>
          <w:rFonts w:ascii="Arial" w:cs="Arial" w:eastAsia="Arial" w:hAnsi="Arial"/>
          <w:sz w:val="22"/>
          <w:szCs w:val="22"/>
          <w:b w:val="1"/>
          <w:bCs w:val="1"/>
          <w:u w:val="single" w:color="auto"/>
          <w:color w:val="auto"/>
        </w:rPr>
        <w:t>Notice to Members of Provisions</w:t>
      </w:r>
      <w:r>
        <w:rPr>
          <w:rFonts w:ascii="Arial" w:cs="Arial" w:eastAsia="Arial" w:hAnsi="Arial"/>
          <w:sz w:val="22"/>
          <w:szCs w:val="22"/>
          <w:color w:val="auto"/>
        </w:rPr>
        <w:t>. By executing this Agreement, each Member acknowledges that it has</w:t>
      </w:r>
      <w:r>
        <w:rPr>
          <w:rFonts w:ascii="Arial" w:cs="Arial" w:eastAsia="Arial" w:hAnsi="Arial"/>
          <w:sz w:val="22"/>
          <w:szCs w:val="22"/>
          <w:b w:val="1"/>
          <w:bCs w:val="1"/>
          <w:color w:val="auto"/>
        </w:rPr>
        <w:t xml:space="preserve"> </w:t>
      </w:r>
      <w:r>
        <w:rPr>
          <w:rFonts w:ascii="Arial" w:cs="Arial" w:eastAsia="Arial" w:hAnsi="Arial"/>
          <w:sz w:val="22"/>
          <w:szCs w:val="22"/>
          <w:color w:val="auto"/>
        </w:rPr>
        <w:t>actual notice of (i) all of the provisions hereof (including the restrictions on transfer set forth in Article IX) and (ii) all of the provisions of the Certificate of Formation.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In connection with this Agreement and the transactions contemplated hereby, each</w:t>
      </w:r>
      <w:r>
        <w:rPr>
          <w:rFonts w:ascii="Arial" w:cs="Arial" w:eastAsia="Arial" w:hAnsi="Arial"/>
          <w:sz w:val="22"/>
          <w:szCs w:val="22"/>
          <w:b w:val="1"/>
          <w:bCs w:val="1"/>
          <w:color w:val="auto"/>
        </w:rPr>
        <w:t xml:space="preserve"> </w:t>
      </w:r>
      <w:r>
        <w:rPr>
          <w:rFonts w:ascii="Arial" w:cs="Arial" w:eastAsia="Arial" w:hAnsi="Arial"/>
          <w:sz w:val="22"/>
          <w:szCs w:val="22"/>
          <w:color w:val="auto"/>
        </w:rPr>
        <w:t>Member shall execute and deliver any additional documents and instruments and perform any additional acts that may be necessary to effectuate and perform the provisions of this Agreement and those transactions.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12.18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Upon consummation of an IPO or a Sale of the Company, this Agreement will be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Arial" w:cs="Arial" w:eastAsia="Arial" w:hAnsi="Arial"/>
          <w:sz w:val="22"/>
          <w:szCs w:val="22"/>
          <w:u w:val="single" w:color="auto"/>
          <w:color w:val="auto"/>
        </w:rPr>
        <w:t>provided</w:t>
      </w:r>
      <w:r>
        <w:rPr>
          <w:rFonts w:ascii="Arial" w:cs="Arial" w:eastAsia="Arial" w:hAnsi="Arial"/>
          <w:sz w:val="22"/>
          <w:szCs w:val="22"/>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375" w:right="239" w:bottom="1440" w:gutter="0" w:footer="0" w:header="0"/>
        </w:sectPr>
      </w:pPr>
    </w:p>
    <w:bookmarkStart w:id="289" w:name="page290"/>
    <w:bookmarkEnd w:id="289"/>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219"/>
          </w:cols>
          <w:pgMar w:left="240" w:top="375" w:right="1440" w:bottom="1440" w:gutter="0" w:footer="0" w:header="0"/>
        </w:sect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COMPANY:</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GM CRUISE HOLDINGS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Geoffrey Richardson</w:t>
      </w:r>
    </w:p>
    <w:p>
      <w:pPr>
        <w:spacing w:after="0" w:line="22"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Name: Geoffrey Richardson</w:t>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3920"/>
        <w:spacing w:after="0"/>
        <w:rPr>
          <w:sz w:val="20"/>
          <w:szCs w:val="20"/>
          <w:color w:val="auto"/>
        </w:rPr>
      </w:pPr>
      <w:r>
        <w:rPr>
          <w:rFonts w:ascii="Arial" w:cs="Arial" w:eastAsia="Arial" w:hAnsi="Arial"/>
          <w:sz w:val="16"/>
          <w:szCs w:val="16"/>
          <w:i w:val="1"/>
          <w:iCs w:val="1"/>
          <w:color w:val="auto"/>
        </w:rPr>
        <w:t>[Signature Page to Second A&amp;R LLC Agreement]</w:t>
      </w:r>
    </w:p>
    <w:p>
      <w:pPr>
        <w:sectPr>
          <w:pgSz w:w="11900" w:h="16838" w:orient="portrait"/>
          <w:cols w:equalWidth="0" w:num="1">
            <w:col w:w="10219"/>
          </w:cols>
          <w:pgMar w:left="240" w:top="375" w:right="1440" w:bottom="1440" w:gutter="0" w:footer="0" w:header="0"/>
          <w:type w:val="continuous"/>
        </w:sectPr>
      </w:pPr>
    </w:p>
    <w:bookmarkStart w:id="290" w:name="page291"/>
    <w:bookmarkEnd w:id="290"/>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jc w:val="right"/>
        <w:ind w:right="1879"/>
        <w:spacing w:after="0"/>
        <w:rPr>
          <w:sz w:val="20"/>
          <w:szCs w:val="20"/>
          <w:color w:val="auto"/>
        </w:rPr>
      </w:pPr>
      <w:r>
        <w:rPr>
          <w:rFonts w:ascii="Arial" w:cs="Arial" w:eastAsia="Arial" w:hAnsi="Arial"/>
          <w:sz w:val="22"/>
          <w:szCs w:val="22"/>
          <w:b w:val="1"/>
          <w:bCs w:val="1"/>
          <w:color w:val="auto"/>
        </w:rPr>
        <w:t>GENERAL MOTORS HOLDINGS LLC</w:t>
      </w:r>
    </w:p>
    <w:p>
      <w:pPr>
        <w:spacing w:after="0" w:line="22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L. Ammann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Daniel L. Ammann</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A&amp;R LLC Agreement]</w:t>
      </w:r>
    </w:p>
    <w:p>
      <w:pPr>
        <w:sectPr>
          <w:pgSz w:w="11900" w:h="16838" w:orient="portrait"/>
          <w:cols w:equalWidth="0" w:num="1">
            <w:col w:w="9019"/>
          </w:cols>
          <w:pgMar w:left="1440" w:top="841" w:right="1440" w:bottom="1440" w:gutter="0" w:footer="0" w:header="0"/>
        </w:sectPr>
      </w:pPr>
    </w:p>
    <w:bookmarkStart w:id="291" w:name="page292"/>
    <w:bookmarkEnd w:id="291"/>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jc w:val="right"/>
        <w:ind w:right="1139"/>
        <w:spacing w:after="0"/>
        <w:rPr>
          <w:sz w:val="20"/>
          <w:szCs w:val="20"/>
          <w:color w:val="auto"/>
        </w:rPr>
      </w:pPr>
      <w:r>
        <w:rPr>
          <w:rFonts w:ascii="Arial" w:cs="Arial" w:eastAsia="Arial" w:hAnsi="Arial"/>
          <w:sz w:val="22"/>
          <w:szCs w:val="22"/>
          <w:b w:val="1"/>
          <w:bCs w:val="1"/>
          <w:color w:val="auto"/>
        </w:rPr>
        <w:t>SB INVESTMENT HOLDINGS (UK) LIMITED</w:t>
      </w:r>
    </w:p>
    <w:p>
      <w:pPr>
        <w:spacing w:after="0" w:line="22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Alok Sama</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Alok Sama</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A&amp;R LLC Agreement]</w:t>
      </w:r>
    </w:p>
    <w:p>
      <w:pPr>
        <w:sectPr>
          <w:pgSz w:w="11900" w:h="16838" w:orient="portrait"/>
          <w:cols w:equalWidth="0" w:num="1">
            <w:col w:w="9019"/>
          </w:cols>
          <w:pgMar w:left="1440" w:top="842" w:right="1440" w:bottom="1440" w:gutter="0" w:footer="0" w:header="0"/>
        </w:sectPr>
      </w:pPr>
    </w:p>
    <w:bookmarkStart w:id="292" w:name="page293"/>
    <w:bookmarkEnd w:id="292"/>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HONDA MOTOR CO., LTD.</w:t>
      </w:r>
    </w:p>
    <w:p>
      <w:pPr>
        <w:spacing w:after="0" w:line="22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Seiji Kuraishi</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Seiji Kuraishi</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 Executive Vice President and</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Representative 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A&amp;R LLC Agreement]</w:t>
      </w:r>
    </w:p>
    <w:p>
      <w:pPr>
        <w:sectPr>
          <w:pgSz w:w="11900" w:h="16838" w:orient="portrait"/>
          <w:cols w:equalWidth="0" w:num="1">
            <w:col w:w="9019"/>
          </w:cols>
          <w:pgMar w:left="1440" w:top="841" w:right="1440" w:bottom="1440" w:gutter="0" w:footer="0" w:header="0"/>
        </w:sectPr>
      </w:pPr>
    </w:p>
    <w:bookmarkStart w:id="293" w:name="page294"/>
    <w:bookmarkEnd w:id="293"/>
    <w:p>
      <w:pPr>
        <w:jc w:val="center"/>
        <w:spacing w:after="0"/>
        <w:rPr>
          <w:sz w:val="20"/>
          <w:szCs w:val="20"/>
          <w:color w:val="auto"/>
        </w:rPr>
      </w:pPr>
      <w:r>
        <w:rPr>
          <w:rFonts w:ascii="Arial" w:cs="Arial" w:eastAsia="Arial" w:hAnsi="Arial"/>
          <w:sz w:val="22"/>
          <w:szCs w:val="22"/>
          <w:b w:val="1"/>
          <w:bCs w:val="1"/>
          <w:u w:val="single" w:color="auto"/>
          <w:color w:val="auto"/>
        </w:rPr>
        <w:t>Appendix 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14" w:lineRule="exact"/>
        <w:rPr>
          <w:sz w:val="20"/>
          <w:szCs w:val="20"/>
          <w:color w:val="auto"/>
        </w:rPr>
      </w:pPr>
    </w:p>
    <w:p>
      <w:pPr>
        <w:jc w:val="both"/>
        <w:ind w:right="20" w:firstLine="656"/>
        <w:spacing w:after="0" w:line="256" w:lineRule="auto"/>
        <w:tabs>
          <w:tab w:leader="none" w:pos="153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2018/2019 Incentive Plan</w:t>
      </w:r>
      <w:r>
        <w:rPr>
          <w:rFonts w:ascii="Arial" w:cs="Arial" w:eastAsia="Arial" w:hAnsi="Arial"/>
          <w:sz w:val="22"/>
          <w:szCs w:val="22"/>
          <w:color w:val="auto"/>
        </w:rPr>
        <w:t>” shall mean that employee incentive plan as established in accordance with the terms and conditions of the plan set forth on Section 5.2 of the Disclosure Letter to the SoftBank Purchase Agreement, as the same may be amended from time to time.</w:t>
      </w:r>
    </w:p>
    <w:p>
      <w:pPr>
        <w:spacing w:after="0" w:line="176" w:lineRule="exact"/>
        <w:rPr>
          <w:rFonts w:ascii="Arial" w:cs="Arial" w:eastAsia="Arial" w:hAnsi="Arial"/>
          <w:sz w:val="22"/>
          <w:szCs w:val="22"/>
          <w:color w:val="auto"/>
        </w:rPr>
      </w:pPr>
    </w:p>
    <w:p>
      <w:pPr>
        <w:jc w:val="both"/>
        <w:ind w:firstLine="656"/>
        <w:spacing w:after="0" w:line="264" w:lineRule="auto"/>
        <w:tabs>
          <w:tab w:leader="none" w:pos="1549" w:val="left"/>
        </w:tabs>
        <w:numPr>
          <w:ilvl w:val="0"/>
          <w:numId w:val="2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A-1-A Preferred Share Conversion Ratio</w:t>
      </w:r>
      <w:r>
        <w:rPr>
          <w:rFonts w:ascii="Arial" w:cs="Arial" w:eastAsia="Arial" w:hAnsi="Arial"/>
          <w:sz w:val="21"/>
          <w:szCs w:val="21"/>
          <w:color w:val="auto"/>
        </w:rPr>
        <w:t xml:space="preserve">” shall mean a multiple (which, for the avoidance of doubt, unless, and solely to the extent, Section 2.02(d)(ii) applies, may not be less than one (1)) equal to (i) the </w:t>
      </w:r>
      <w:r>
        <w:rPr>
          <w:rFonts w:ascii="Arial" w:cs="Arial" w:eastAsia="Arial" w:hAnsi="Arial"/>
          <w:sz w:val="21"/>
          <w:szCs w:val="21"/>
          <w:u w:val="single" w:color="auto"/>
          <w:color w:val="auto"/>
        </w:rPr>
        <w:t>sum of</w:t>
      </w:r>
      <w:r>
        <w:rPr>
          <w:rFonts w:ascii="Arial" w:cs="Arial" w:eastAsia="Arial" w:hAnsi="Arial"/>
          <w:sz w:val="21"/>
          <w:szCs w:val="21"/>
          <w:color w:val="auto"/>
        </w:rPr>
        <w:t xml:space="preserve"> the Class A-1-A Preferred Unpaid Return and the Class A-1-A Preferred Capital Value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$1,000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1"/>
          <w:szCs w:val="21"/>
          <w:color w:val="auto"/>
        </w:rPr>
      </w:pPr>
    </w:p>
    <w:p>
      <w:pPr>
        <w:jc w:val="both"/>
        <w:ind w:firstLine="656"/>
        <w:spacing w:after="0" w:line="249" w:lineRule="auto"/>
        <w:tabs>
          <w:tab w:leader="none" w:pos="153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A-1-B Preferred Share Conversion Ratio</w:t>
      </w:r>
      <w:r>
        <w:rPr>
          <w:rFonts w:ascii="Arial" w:cs="Arial" w:eastAsia="Arial" w:hAnsi="Arial"/>
          <w:sz w:val="22"/>
          <w:szCs w:val="22"/>
          <w:color w:val="auto"/>
        </w:rPr>
        <w:t xml:space="preserve">” shall mean a multiple (which, for the avoidance of doubt,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A-1-B Preferred Unpaid Return and the Class A-1-B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$1,515.15 (as adjusted, as necessary, to reflect appropriate and proportional adjustments to take into account any subdivision, reorganization, reclassification, recapitalization, stock split, reverse stock split, combination of shares or similar event).</w:t>
      </w:r>
    </w:p>
    <w:p>
      <w:pPr>
        <w:spacing w:after="0" w:line="186"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86" w:lineRule="exact"/>
        <w:rPr>
          <w:rFonts w:ascii="Arial" w:cs="Arial" w:eastAsia="Arial" w:hAnsi="Arial"/>
          <w:sz w:val="22"/>
          <w:szCs w:val="22"/>
          <w:color w:val="auto"/>
        </w:rPr>
      </w:pPr>
    </w:p>
    <w:p>
      <w:pPr>
        <w:ind w:right="20" w:firstLine="656"/>
        <w:spacing w:after="0" w:line="350" w:lineRule="auto"/>
        <w:tabs>
          <w:tab w:leader="none" w:pos="1536" w:val="left"/>
        </w:tabs>
        <w:numPr>
          <w:ilvl w:val="0"/>
          <w:numId w:val="2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mean this Second Amended and Restated Limited Liability Company Agreement, including all appendices, exhibits and schedules hereto, as it may be amended, supplemented or otherwise modified from time to time.</w:t>
      </w:r>
    </w:p>
    <w:p>
      <w:pPr>
        <w:spacing w:after="0" w:line="92" w:lineRule="exact"/>
        <w:rPr>
          <w:rFonts w:ascii="Arial" w:cs="Arial" w:eastAsia="Arial" w:hAnsi="Arial"/>
          <w:sz w:val="19"/>
          <w:szCs w:val="19"/>
          <w:color w:val="auto"/>
        </w:rPr>
      </w:pPr>
    </w:p>
    <w:p>
      <w:pPr>
        <w:ind w:firstLine="656"/>
        <w:spacing w:after="0" w:line="269" w:lineRule="auto"/>
        <w:tabs>
          <w:tab w:leader="none" w:pos="151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AGSA</w:t>
      </w:r>
      <w:r>
        <w:rPr>
          <w:rFonts w:ascii="Arial" w:cs="Arial" w:eastAsia="Arial" w:hAnsi="Arial"/>
          <w:sz w:val="22"/>
          <w:szCs w:val="22"/>
          <w:color w:val="auto"/>
        </w:rPr>
        <w:t>” shall mean the Administrative and General Services Agreement entered into between GM and the Company dated as of June 28, 2018.</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549"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 Company, any of its Subsidiaries or</w:t>
      </w:r>
      <w:r>
        <w:rPr>
          <w:rFonts w:ascii="Arial" w:cs="Arial" w:eastAsia="Arial" w:hAnsi="Arial"/>
          <w:sz w:val="22"/>
          <w:szCs w:val="22"/>
          <w:b w:val="1"/>
          <w:bCs w:val="1"/>
          <w:color w:val="auto"/>
        </w:rPr>
        <w:t xml:space="preserve"> </w:t>
      </w:r>
      <w:r>
        <w:rPr>
          <w:rFonts w:ascii="Arial" w:cs="Arial" w:eastAsia="Arial" w:hAnsi="Arial"/>
          <w:sz w:val="22"/>
          <w:szCs w:val="22"/>
          <w:color w:val="auto"/>
        </w:rPr>
        <w:t>an Associated Person of either the Company or any of its Subsidiaries prohibiting bribery or some other form of corruption, including fraud and tax evasion.</w:t>
      </w:r>
    </w:p>
    <w:p>
      <w:pPr>
        <w:spacing w:after="0" w:line="176" w:lineRule="exact"/>
        <w:rPr>
          <w:rFonts w:ascii="Arial" w:cs="Arial" w:eastAsia="Arial" w:hAnsi="Arial"/>
          <w:sz w:val="22"/>
          <w:szCs w:val="22"/>
          <w:color w:val="auto"/>
        </w:rPr>
      </w:pPr>
    </w:p>
    <w:p>
      <w:pPr>
        <w:ind w:right="20" w:firstLine="656"/>
        <w:spacing w:after="0" w:line="269" w:lineRule="auto"/>
        <w:tabs>
          <w:tab w:leader="none" w:pos="1549"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AML Laws</w:t>
      </w:r>
      <w:r>
        <w:rPr>
          <w:rFonts w:ascii="Arial" w:cs="Arial" w:eastAsia="Arial" w:hAnsi="Arial"/>
          <w:sz w:val="22"/>
          <w:szCs w:val="22"/>
          <w:color w:val="auto"/>
        </w:rPr>
        <w:t>” means all laws and regulations applying to the Company, any of its Subsidiaries or an Associated Person of either the Company or any of its Subsidiaries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w:t>
      </w:r>
    </w:p>
    <w:p>
      <w:pPr>
        <w:sectPr>
          <w:pgSz w:w="11900" w:h="16838" w:orient="portrait"/>
          <w:cols w:equalWidth="0" w:num="1">
            <w:col w:w="11420"/>
          </w:cols>
          <w:pgMar w:left="240" w:top="369" w:right="2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prohibiting money laundering, including attempting to conceal or disguise the identity of illegally obtained proceeds.</w:t>
      </w:r>
    </w:p>
    <w:p>
      <w:pPr>
        <w:spacing w:after="0" w:line="214" w:lineRule="exact"/>
        <w:rPr>
          <w:sz w:val="20"/>
          <w:szCs w:val="20"/>
          <w:color w:val="auto"/>
        </w:rPr>
      </w:pPr>
    </w:p>
    <w:p>
      <w:pPr>
        <w:jc w:val="both"/>
        <w:ind w:firstLine="656"/>
        <w:spacing w:after="0" w:line="256" w:lineRule="auto"/>
        <w:tabs>
          <w:tab w:leader="none" w:pos="150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50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Associated Person</w:t>
      </w:r>
      <w:r>
        <w:rPr>
          <w:rFonts w:ascii="Arial" w:cs="Arial" w:eastAsia="Arial" w:hAnsi="Arial"/>
          <w:sz w:val="22"/>
          <w:szCs w:val="22"/>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80" w:lineRule="exact"/>
        <w:rPr>
          <w:rFonts w:ascii="Arial" w:cs="Arial" w:eastAsia="Arial" w:hAnsi="Arial"/>
          <w:sz w:val="22"/>
          <w:szCs w:val="22"/>
          <w:color w:val="auto"/>
        </w:rPr>
      </w:pPr>
    </w:p>
    <w:p>
      <w:pPr>
        <w:ind w:left="1560" w:hanging="904"/>
        <w:spacing w:after="0"/>
        <w:tabs>
          <w:tab w:leader="none" w:pos="15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19" w:lineRule="exact"/>
        <w:rPr>
          <w:rFonts w:ascii="Arial" w:cs="Arial" w:eastAsia="Arial" w:hAnsi="Arial"/>
          <w:sz w:val="22"/>
          <w:szCs w:val="22"/>
          <w:color w:val="auto"/>
        </w:rPr>
      </w:pPr>
    </w:p>
    <w:p>
      <w:pPr>
        <w:jc w:val="both"/>
        <w:ind w:firstLine="656"/>
        <w:spacing w:after="0" w:line="304" w:lineRule="auto"/>
        <w:tabs>
          <w:tab w:leader="none" w:pos="150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Blocked Person</w:t>
      </w:r>
      <w:r>
        <w:rPr>
          <w:rFonts w:ascii="Arial" w:cs="Arial" w:eastAsia="Arial" w:hAnsi="Arial"/>
          <w:sz w:val="19"/>
          <w:szCs w:val="19"/>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35" w:lineRule="exact"/>
        <w:rPr>
          <w:rFonts w:ascii="Arial" w:cs="Arial" w:eastAsia="Arial" w:hAnsi="Arial"/>
          <w:sz w:val="19"/>
          <w:szCs w:val="19"/>
          <w:color w:val="auto"/>
        </w:rPr>
      </w:pPr>
    </w:p>
    <w:p>
      <w:pPr>
        <w:ind w:firstLine="656"/>
        <w:spacing w:after="0" w:line="269" w:lineRule="auto"/>
        <w:tabs>
          <w:tab w:leader="none" w:pos="1608"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a Sunday, or any day on which commercial banks New York City, New York, Detroit, Michigan or Tokyo, Japan are permitted to be closed.</w:t>
      </w:r>
    </w:p>
    <w:p>
      <w:pPr>
        <w:spacing w:after="0" w:line="162" w:lineRule="exact"/>
        <w:rPr>
          <w:rFonts w:ascii="Arial" w:cs="Arial" w:eastAsia="Arial" w:hAnsi="Arial"/>
          <w:sz w:val="22"/>
          <w:szCs w:val="22"/>
          <w:color w:val="auto"/>
        </w:rPr>
      </w:pPr>
    </w:p>
    <w:p>
      <w:pPr>
        <w:ind w:left="1560" w:hanging="904"/>
        <w:spacing w:after="0"/>
        <w:tabs>
          <w:tab w:leader="none" w:pos="156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Call Notice/Optional SoftBank Conversion Notice Fair Market Value</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Exhibit</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II</w:t>
      </w:r>
      <w:r>
        <w:rPr>
          <w:rFonts w:ascii="Arial" w:cs="Arial" w:eastAsia="Arial" w:hAnsi="Arial"/>
          <w:sz w:val="22"/>
          <w:szCs w:val="22"/>
          <w:color w:val="auto"/>
        </w:rPr>
        <w:t>.</w:t>
      </w:r>
    </w:p>
    <w:p>
      <w:pPr>
        <w:spacing w:after="0" w:line="195" w:lineRule="exact"/>
        <w:rPr>
          <w:rFonts w:ascii="Arial" w:cs="Arial" w:eastAsia="Arial" w:hAnsi="Arial"/>
          <w:sz w:val="19"/>
          <w:szCs w:val="19"/>
          <w:color w:val="auto"/>
        </w:rPr>
      </w:pPr>
    </w:p>
    <w:p>
      <w:pPr>
        <w:ind w:firstLine="656"/>
        <w:spacing w:after="0" w:line="269" w:lineRule="auto"/>
        <w:tabs>
          <w:tab w:leader="none" w:pos="1549"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shall mean a transfer of money or property by a Member to the Company, either as consideration for Shares or as additional capital without a requirement for the issuance of additional Shares.</w:t>
      </w:r>
    </w:p>
    <w:p>
      <w:pPr>
        <w:spacing w:after="0" w:line="162" w:lineRule="exact"/>
        <w:rPr>
          <w:rFonts w:ascii="Arial" w:cs="Arial" w:eastAsia="Arial" w:hAnsi="Arial"/>
          <w:sz w:val="22"/>
          <w:szCs w:val="22"/>
          <w:color w:val="auto"/>
        </w:rPr>
      </w:pPr>
    </w:p>
    <w:p>
      <w:pPr>
        <w:ind w:right="20" w:firstLine="656"/>
        <w:spacing w:after="0" w:line="293" w:lineRule="auto"/>
        <w:tabs>
          <w:tab w:leader="none" w:pos="1549" w:val="left"/>
        </w:tabs>
        <w:numPr>
          <w:ilvl w:val="0"/>
          <w:numId w:val="2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shall mean, with respect to an Employee Member, the definition of “Cause” set forth in such Employee Member’s Share Grant Agreement, but will also include a breach of this Agreement by such Employee Member.</w:t>
      </w:r>
    </w:p>
    <w:p>
      <w:pPr>
        <w:spacing w:after="0" w:line="139" w:lineRule="exact"/>
        <w:rPr>
          <w:rFonts w:ascii="Arial" w:cs="Arial" w:eastAsia="Arial" w:hAnsi="Arial"/>
          <w:sz w:val="21"/>
          <w:szCs w:val="21"/>
          <w:color w:val="auto"/>
        </w:rPr>
      </w:pPr>
    </w:p>
    <w:p>
      <w:pPr>
        <w:ind w:left="1560" w:hanging="904"/>
        <w:spacing w:after="0"/>
        <w:tabs>
          <w:tab w:leader="none" w:pos="156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219" w:lineRule="exact"/>
        <w:rPr>
          <w:rFonts w:ascii="Arial" w:cs="Arial" w:eastAsia="Arial" w:hAnsi="Arial"/>
          <w:sz w:val="22"/>
          <w:szCs w:val="22"/>
          <w:color w:val="auto"/>
        </w:rPr>
      </w:pPr>
    </w:p>
    <w:p>
      <w:pPr>
        <w:jc w:val="both"/>
        <w:ind w:firstLine="656"/>
        <w:spacing w:after="0" w:line="295" w:lineRule="auto"/>
        <w:tabs>
          <w:tab w:leader="none" w:pos="1512" w:val="left"/>
        </w:tabs>
        <w:numPr>
          <w:ilvl w:val="0"/>
          <w:numId w:val="2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Arial" w:cs="Arial" w:eastAsia="Arial" w:hAnsi="Arial"/>
          <w:sz w:val="19"/>
          <w:szCs w:val="19"/>
          <w:b w:val="1"/>
          <w:bCs w:val="1"/>
          <w:color w:val="auto"/>
        </w:rPr>
        <w:t>Target</w:t>
      </w:r>
      <w:r>
        <w:rPr>
          <w:rFonts w:ascii="Arial" w:cs="Arial" w:eastAsia="Arial" w:hAnsi="Arial"/>
          <w:sz w:val="19"/>
          <w:szCs w:val="19"/>
          <w:color w:val="auto"/>
        </w:rPr>
        <w:t>”), (ii) any reorganization, merger or 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I-2</w:t>
      </w:r>
    </w:p>
    <w:p>
      <w:pPr>
        <w:sectPr>
          <w:pgSz w:w="11900" w:h="16838" w:orient="portrait"/>
          <w:cols w:equalWidth="0" w:num="1">
            <w:col w:w="11420"/>
          </w:cols>
          <w:pgMar w:left="240" w:top="374" w:right="239" w:bottom="1440" w:gutter="0" w:footer="0" w:header="0"/>
        </w:sectPr>
      </w:pPr>
    </w:p>
    <w:bookmarkStart w:id="295" w:name="page296"/>
    <w:bookmarkEnd w:id="295"/>
    <w:p>
      <w:pPr>
        <w:spacing w:after="0" w:line="263" w:lineRule="auto"/>
        <w:rPr>
          <w:sz w:val="20"/>
          <w:szCs w:val="20"/>
          <w:color w:val="auto"/>
        </w:rPr>
      </w:pPr>
      <w:r>
        <w:rPr>
          <w:rFonts w:ascii="Arial" w:cs="Arial" w:eastAsia="Arial" w:hAnsi="Arial"/>
          <w:sz w:val="22"/>
          <w:szCs w:val="22"/>
          <w:color w:val="auto"/>
        </w:rPr>
        <w:t>securities of such Person or such other surviving or resulting entity, or (iii) a sale, lease or other disposition of a majority of the assets of the Target and its Subsidiaries.</w:t>
      </w:r>
    </w:p>
    <w:p>
      <w:pPr>
        <w:spacing w:after="0" w:line="169" w:lineRule="exact"/>
        <w:rPr>
          <w:sz w:val="20"/>
          <w:szCs w:val="20"/>
          <w:color w:val="auto"/>
        </w:rPr>
      </w:pPr>
    </w:p>
    <w:p>
      <w:pPr>
        <w:jc w:val="both"/>
        <w:ind w:firstLine="656"/>
        <w:spacing w:after="0" w:line="304" w:lineRule="auto"/>
        <w:tabs>
          <w:tab w:leader="none" w:pos="1524"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Liquidation Preference Amount</w:t>
      </w:r>
      <w:r>
        <w:rPr>
          <w:rFonts w:ascii="Arial" w:cs="Arial" w:eastAsia="Arial" w:hAnsi="Arial"/>
          <w:sz w:val="19"/>
          <w:szCs w:val="19"/>
          <w:color w:val="auto"/>
        </w:rPr>
        <w:t xml:space="preserve">” shall mean, as applicable,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A-1-A Preferred Unpaid Return and the Class A-1-A Preferred Capital Value applicable to a Class A-1-A Preferred Share (the “</w:t>
      </w:r>
      <w:r>
        <w:rPr>
          <w:rFonts w:ascii="Arial" w:cs="Arial" w:eastAsia="Arial" w:hAnsi="Arial"/>
          <w:sz w:val="19"/>
          <w:szCs w:val="19"/>
          <w:b w:val="1"/>
          <w:bCs w:val="1"/>
          <w:color w:val="auto"/>
        </w:rPr>
        <w:t>Class A-1-A</w:t>
      </w:r>
      <w:r>
        <w:rPr>
          <w:rFonts w:ascii="Arial" w:cs="Arial" w:eastAsia="Arial" w:hAnsi="Arial"/>
          <w:sz w:val="19"/>
          <w:szCs w:val="19"/>
          <w:color w:val="auto"/>
        </w:rPr>
        <w:t xml:space="preserve"> </w:t>
      </w:r>
      <w:r>
        <w:rPr>
          <w:rFonts w:ascii="Arial" w:cs="Arial" w:eastAsia="Arial" w:hAnsi="Arial"/>
          <w:sz w:val="19"/>
          <w:szCs w:val="19"/>
          <w:b w:val="1"/>
          <w:bCs w:val="1"/>
          <w:color w:val="auto"/>
        </w:rPr>
        <w:t>Liquidation Preference Amount</w:t>
      </w:r>
      <w:r>
        <w:rPr>
          <w:rFonts w:ascii="Arial" w:cs="Arial" w:eastAsia="Arial" w:hAnsi="Arial"/>
          <w:sz w:val="19"/>
          <w:szCs w:val="19"/>
          <w:color w:val="auto"/>
        </w:rPr>
        <w:t>”), and (ii) the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A-1-B Preferred Unpaid Return and the Class A-1-B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Capital Value applicable to a Class A-1-B Preferred Share (the “</w:t>
      </w:r>
      <w:r>
        <w:rPr>
          <w:rFonts w:ascii="Arial" w:cs="Arial" w:eastAsia="Arial" w:hAnsi="Arial"/>
          <w:sz w:val="19"/>
          <w:szCs w:val="19"/>
          <w:b w:val="1"/>
          <w:bCs w:val="1"/>
          <w:color w:val="auto"/>
        </w:rPr>
        <w:t>Class A-1-B Liquidation Preference Amount</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ind w:firstLine="656"/>
        <w:spacing w:after="0" w:line="269" w:lineRule="auto"/>
        <w:tabs>
          <w:tab w:leader="none" w:pos="150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54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76" w:lineRule="exact"/>
        <w:rPr>
          <w:rFonts w:ascii="Arial" w:cs="Arial" w:eastAsia="Arial" w:hAnsi="Arial"/>
          <w:sz w:val="22"/>
          <w:szCs w:val="22"/>
          <w:color w:val="auto"/>
        </w:rPr>
      </w:pPr>
    </w:p>
    <w:p>
      <w:pPr>
        <w:ind w:firstLine="656"/>
        <w:spacing w:after="0" w:line="269" w:lineRule="auto"/>
        <w:tabs>
          <w:tab w:leader="none" w:pos="154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162" w:lineRule="exact"/>
        <w:rPr>
          <w:rFonts w:ascii="Arial" w:cs="Arial" w:eastAsia="Arial" w:hAnsi="Arial"/>
          <w:sz w:val="22"/>
          <w:szCs w:val="22"/>
          <w:color w:val="auto"/>
        </w:rPr>
      </w:pPr>
    </w:p>
    <w:p>
      <w:pPr>
        <w:jc w:val="both"/>
        <w:ind w:firstLine="656"/>
        <w:spacing w:after="0" w:line="295" w:lineRule="auto"/>
        <w:tabs>
          <w:tab w:leader="none" w:pos="159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4" w:lineRule="exact"/>
        <w:rPr>
          <w:rFonts w:ascii="Arial" w:cs="Arial" w:eastAsia="Arial" w:hAnsi="Arial"/>
          <w:sz w:val="19"/>
          <w:szCs w:val="19"/>
          <w:color w:val="auto"/>
        </w:rPr>
      </w:pPr>
    </w:p>
    <w:p>
      <w:pPr>
        <w:ind w:firstLine="656"/>
        <w:spacing w:after="0" w:line="269" w:lineRule="auto"/>
        <w:tabs>
          <w:tab w:leader="none" w:pos="154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Unpaid Return</w:t>
      </w:r>
      <w:r>
        <w:rPr>
          <w:rFonts w:ascii="Arial" w:cs="Arial" w:eastAsia="Arial" w:hAnsi="Arial"/>
          <w:sz w:val="22"/>
          <w:szCs w:val="22"/>
          <w:color w:val="auto"/>
        </w:rPr>
        <w:t>” shall mean the Class A-1-A Preferred Unpaid Return and the Class A-1-B Preferred Unpaid Return (as applicable).</w:t>
      </w:r>
    </w:p>
    <w:p>
      <w:pPr>
        <w:spacing w:after="0" w:line="162" w:lineRule="exact"/>
        <w:rPr>
          <w:rFonts w:ascii="Arial" w:cs="Arial" w:eastAsia="Arial" w:hAnsi="Arial"/>
          <w:sz w:val="22"/>
          <w:szCs w:val="22"/>
          <w:color w:val="auto"/>
        </w:rPr>
      </w:pPr>
    </w:p>
    <w:p>
      <w:pPr>
        <w:jc w:val="both"/>
        <w:ind w:right="20" w:firstLine="656"/>
        <w:spacing w:after="0" w:line="315" w:lineRule="auto"/>
        <w:tabs>
          <w:tab w:leader="none" w:pos="1549" w:val="left"/>
        </w:tabs>
        <w:numPr>
          <w:ilvl w:val="0"/>
          <w:numId w:val="2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A-1-A Preferred Capital Value</w:t>
      </w:r>
      <w:r>
        <w:rPr>
          <w:rFonts w:ascii="Arial" w:cs="Arial" w:eastAsia="Arial" w:hAnsi="Arial"/>
          <w:sz w:val="19"/>
          <w:szCs w:val="19"/>
          <w:color w:val="auto"/>
        </w:rPr>
        <w:t>” shall mean $1,000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125" w:lineRule="exact"/>
        <w:rPr>
          <w:rFonts w:ascii="Arial" w:cs="Arial" w:eastAsia="Arial" w:hAnsi="Arial"/>
          <w:sz w:val="19"/>
          <w:szCs w:val="19"/>
          <w:color w:val="auto"/>
        </w:rPr>
      </w:pPr>
    </w:p>
    <w:p>
      <w:pPr>
        <w:ind w:right="20" w:firstLine="656"/>
        <w:spacing w:after="0" w:line="269" w:lineRule="auto"/>
        <w:tabs>
          <w:tab w:leader="none" w:pos="1536"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Member</w:t>
      </w:r>
      <w:r>
        <w:rPr>
          <w:rFonts w:ascii="Arial" w:cs="Arial" w:eastAsia="Arial" w:hAnsi="Arial"/>
          <w:sz w:val="22"/>
          <w:szCs w:val="22"/>
          <w:color w:val="auto"/>
        </w:rPr>
        <w:t>” shall mean each Person admitted to the Company as a Member and who holds Class A-1-A Preferred Shares.</w:t>
      </w:r>
    </w:p>
    <w:p>
      <w:pPr>
        <w:spacing w:after="0" w:line="162" w:lineRule="exact"/>
        <w:rPr>
          <w:sz w:val="20"/>
          <w:szCs w:val="20"/>
          <w:color w:val="auto"/>
        </w:rPr>
      </w:pPr>
    </w:p>
    <w:p>
      <w:pPr>
        <w:jc w:val="both"/>
        <w:ind w:firstLine="656"/>
        <w:spacing w:after="0" w:line="267" w:lineRule="auto"/>
        <w:tabs>
          <w:tab w:leader="none" w:pos="1335" w:val="left"/>
        </w:tabs>
        <w:numPr>
          <w:ilvl w:val="0"/>
          <w:numId w:val="2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A-1-A Preferred Unpaid Return</w:t>
      </w:r>
      <w:r>
        <w:rPr>
          <w:rFonts w:ascii="Arial" w:cs="Arial" w:eastAsia="Arial" w:hAnsi="Arial"/>
          <w:sz w:val="21"/>
          <w:szCs w:val="21"/>
          <w:color w:val="auto"/>
        </w:rPr>
        <w:t>” shall mean, with respect to any Class A-1-A Preferred Share as of any determination date, an amount not less than zero equal to (i) the aggregate Class A-1 Preferred Return for all prior Quarterly periods on such Class A-1-A Preferred Share as of such date, less (ii) the aggregate amount of cash Distributions made in respect of such Class A-1-A Preferred Share pursuant to Section 3.01(b)(i) and Section 3.01(b)(iii).</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I-3</w:t>
      </w:r>
    </w:p>
    <w:p>
      <w:pPr>
        <w:sectPr>
          <w:pgSz w:w="11900" w:h="16838" w:orient="portrait"/>
          <w:cols w:equalWidth="0" w:num="1">
            <w:col w:w="11420"/>
          </w:cols>
          <w:pgMar w:left="240" w:top="375" w:right="239" w:bottom="1440" w:gutter="0" w:footer="0" w:header="0"/>
        </w:sectPr>
      </w:pPr>
    </w:p>
    <w:bookmarkStart w:id="296" w:name="page297"/>
    <w:bookmarkEnd w:id="296"/>
    <w:p>
      <w:pPr>
        <w:jc w:val="both"/>
        <w:ind w:firstLine="656"/>
        <w:spacing w:after="0" w:line="315" w:lineRule="auto"/>
        <w:tabs>
          <w:tab w:leader="none" w:pos="1305"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A-1-B Preferred Capital Value</w:t>
      </w:r>
      <w:r>
        <w:rPr>
          <w:rFonts w:ascii="Arial" w:cs="Arial" w:eastAsia="Arial" w:hAnsi="Arial"/>
          <w:sz w:val="19"/>
          <w:szCs w:val="19"/>
          <w:color w:val="auto"/>
        </w:rPr>
        <w:t>” shall mean $1,515.15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125" w:lineRule="exact"/>
        <w:rPr>
          <w:rFonts w:ascii="Arial" w:cs="Arial" w:eastAsia="Arial" w:hAnsi="Arial"/>
          <w:sz w:val="19"/>
          <w:szCs w:val="19"/>
          <w:color w:val="auto"/>
        </w:rPr>
      </w:pPr>
    </w:p>
    <w:p>
      <w:pPr>
        <w:ind w:right="20" w:firstLine="656"/>
        <w:spacing w:after="0" w:line="269" w:lineRule="auto"/>
        <w:tabs>
          <w:tab w:leader="none" w:pos="1254"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Member</w:t>
      </w:r>
      <w:r>
        <w:rPr>
          <w:rFonts w:ascii="Arial" w:cs="Arial" w:eastAsia="Arial" w:hAnsi="Arial"/>
          <w:sz w:val="22"/>
          <w:szCs w:val="22"/>
          <w:color w:val="auto"/>
        </w:rPr>
        <w:t>” shall mean each Person admitted to the Company as a Member and who holds Class A-1-B Preferred Shares.</w:t>
      </w:r>
    </w:p>
    <w:p>
      <w:pPr>
        <w:spacing w:after="0" w:line="162" w:lineRule="exact"/>
        <w:rPr>
          <w:rFonts w:ascii="Arial" w:cs="Arial" w:eastAsia="Arial" w:hAnsi="Arial"/>
          <w:sz w:val="22"/>
          <w:szCs w:val="22"/>
          <w:color w:val="auto"/>
        </w:rPr>
      </w:pPr>
    </w:p>
    <w:p>
      <w:pPr>
        <w:jc w:val="both"/>
        <w:ind w:firstLine="656"/>
        <w:spacing w:after="0" w:line="267" w:lineRule="auto"/>
        <w:tabs>
          <w:tab w:leader="none" w:pos="1359" w:val="left"/>
        </w:tabs>
        <w:numPr>
          <w:ilvl w:val="0"/>
          <w:numId w:val="2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Unpaid Return</w:t>
      </w:r>
      <w:r>
        <w:rPr>
          <w:rFonts w:ascii="Arial" w:cs="Arial" w:eastAsia="Arial" w:hAnsi="Arial"/>
          <w:sz w:val="21"/>
          <w:szCs w:val="21"/>
          <w:color w:val="auto"/>
        </w:rPr>
        <w:t>”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167" w:lineRule="exact"/>
        <w:rPr>
          <w:rFonts w:ascii="Arial" w:cs="Arial" w:eastAsia="Arial" w:hAnsi="Arial"/>
          <w:sz w:val="21"/>
          <w:szCs w:val="21"/>
          <w:color w:val="auto"/>
        </w:rPr>
      </w:pPr>
    </w:p>
    <w:p>
      <w:pPr>
        <w:ind w:firstLine="656"/>
        <w:spacing w:after="0" w:line="269" w:lineRule="auto"/>
        <w:tabs>
          <w:tab w:leader="none" w:pos="124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Liquidation Preference Amount</w:t>
      </w:r>
      <w:r>
        <w:rPr>
          <w:rFonts w:ascii="Arial" w:cs="Arial" w:eastAsia="Arial" w:hAnsi="Arial"/>
          <w:sz w:val="22"/>
          <w:szCs w:val="22"/>
          <w:color w:val="auto"/>
        </w:rPr>
        <w:t>” shall mean the Class A-2 Preferred Capital Value applicable to such Class A-2 Preferred Share.</w:t>
      </w:r>
    </w:p>
    <w:p>
      <w:pPr>
        <w:spacing w:after="0" w:line="162" w:lineRule="exact"/>
        <w:rPr>
          <w:rFonts w:ascii="Arial" w:cs="Arial" w:eastAsia="Arial" w:hAnsi="Arial"/>
          <w:sz w:val="22"/>
          <w:szCs w:val="22"/>
          <w:color w:val="auto"/>
        </w:rPr>
      </w:pPr>
    </w:p>
    <w:p>
      <w:pPr>
        <w:jc w:val="both"/>
        <w:ind w:right="20" w:firstLine="656"/>
        <w:spacing w:after="0" w:line="274" w:lineRule="auto"/>
        <w:tabs>
          <w:tab w:leader="none" w:pos="1148" w:val="left"/>
        </w:tabs>
        <w:numPr>
          <w:ilvl w:val="0"/>
          <w:numId w:val="2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Preferred Capital Value</w:t>
      </w:r>
      <w:r>
        <w:rPr>
          <w:rFonts w:ascii="Arial" w:cs="Arial" w:eastAsia="Arial" w:hAnsi="Arial"/>
          <w:sz w:val="21"/>
          <w:szCs w:val="21"/>
          <w:color w:val="auto"/>
        </w:rPr>
        <w:t>” shall mean $1,000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58" w:lineRule="exact"/>
        <w:rPr>
          <w:rFonts w:ascii="Arial" w:cs="Arial" w:eastAsia="Arial" w:hAnsi="Arial"/>
          <w:sz w:val="21"/>
          <w:szCs w:val="21"/>
          <w:color w:val="auto"/>
        </w:rPr>
      </w:pPr>
    </w:p>
    <w:p>
      <w:pPr>
        <w:ind w:firstLine="656"/>
        <w:spacing w:after="0" w:line="269" w:lineRule="auto"/>
        <w:tabs>
          <w:tab w:leader="none" w:pos="1319"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Preferred Member</w:t>
      </w:r>
      <w:r>
        <w:rPr>
          <w:rFonts w:ascii="Arial" w:cs="Arial" w:eastAsia="Arial" w:hAnsi="Arial"/>
          <w:sz w:val="22"/>
          <w:szCs w:val="22"/>
          <w:color w:val="auto"/>
        </w:rPr>
        <w:t>” shall mean each Person admitted to the Company as a Member and who holds Class A-2 Preferred Shares.</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319"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Floor Amount</w:t>
      </w:r>
      <w:r>
        <w:rPr>
          <w:rFonts w:ascii="Arial" w:cs="Arial" w:eastAsia="Arial" w:hAnsi="Arial"/>
          <w:sz w:val="22"/>
          <w:szCs w:val="22"/>
          <w:color w:val="auto"/>
        </w:rPr>
        <w:t>” means, with respect to any Class B Common Share, an aggregate amount determined by the Board of Directors in its sole discretion and set forth in the applicable Share Grant Agreement (which such amount may be zero).</w:t>
      </w:r>
    </w:p>
    <w:p>
      <w:pPr>
        <w:spacing w:after="0" w:line="176" w:lineRule="exact"/>
        <w:rPr>
          <w:rFonts w:ascii="Arial" w:cs="Arial" w:eastAsia="Arial" w:hAnsi="Arial"/>
          <w:sz w:val="22"/>
          <w:szCs w:val="22"/>
          <w:color w:val="auto"/>
        </w:rPr>
      </w:pPr>
    </w:p>
    <w:p>
      <w:pPr>
        <w:ind w:left="1160" w:hanging="504"/>
        <w:spacing w:after="0"/>
        <w:tabs>
          <w:tab w:leader="none" w:pos="116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Member</w:t>
      </w:r>
      <w:r>
        <w:rPr>
          <w:rFonts w:ascii="Arial" w:cs="Arial" w:eastAsia="Arial" w:hAnsi="Arial"/>
          <w:sz w:val="19"/>
          <w:szCs w:val="19"/>
          <w:color w:val="auto"/>
        </w:rPr>
        <w:t>” shall mean each Person admitted to the Company as a Member and who holds Class B Common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195" w:lineRule="exact"/>
        <w:rPr>
          <w:rFonts w:ascii="Arial" w:cs="Arial" w:eastAsia="Arial" w:hAnsi="Arial"/>
          <w:sz w:val="19"/>
          <w:szCs w:val="19"/>
          <w:color w:val="auto"/>
        </w:rPr>
      </w:pPr>
    </w:p>
    <w:p>
      <w:pPr>
        <w:ind w:left="1200" w:hanging="544"/>
        <w:spacing w:after="0"/>
        <w:tabs>
          <w:tab w:leader="none" w:pos="120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Member</w:t>
      </w:r>
      <w:r>
        <w:rPr>
          <w:rFonts w:ascii="Arial" w:cs="Arial" w:eastAsia="Arial" w:hAnsi="Arial"/>
          <w:sz w:val="19"/>
          <w:szCs w:val="19"/>
          <w:color w:val="auto"/>
        </w:rPr>
        <w:t>” shall mean each Person admitted to the Company as a Member and who holds Class C Common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195" w:lineRule="exact"/>
        <w:rPr>
          <w:rFonts w:ascii="Arial" w:cs="Arial" w:eastAsia="Arial" w:hAnsi="Arial"/>
          <w:sz w:val="19"/>
          <w:szCs w:val="19"/>
          <w:color w:val="auto"/>
        </w:rPr>
      </w:pPr>
    </w:p>
    <w:p>
      <w:pPr>
        <w:ind w:left="1240" w:hanging="584"/>
        <w:spacing w:after="0"/>
        <w:tabs>
          <w:tab w:leader="none" w:pos="12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D Member</w:t>
      </w:r>
      <w:r>
        <w:rPr>
          <w:rFonts w:ascii="Arial" w:cs="Arial" w:eastAsia="Arial" w:hAnsi="Arial"/>
          <w:sz w:val="19"/>
          <w:szCs w:val="19"/>
          <w:color w:val="auto"/>
        </w:rPr>
        <w:t>” shall mean each Person admitted to the Company as a Member and who holds Class D Common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195" w:lineRule="exact"/>
        <w:rPr>
          <w:rFonts w:ascii="Arial" w:cs="Arial" w:eastAsia="Arial" w:hAnsi="Arial"/>
          <w:sz w:val="19"/>
          <w:szCs w:val="19"/>
          <w:color w:val="auto"/>
        </w:rPr>
      </w:pPr>
    </w:p>
    <w:p>
      <w:pPr>
        <w:ind w:left="1160" w:hanging="504"/>
        <w:spacing w:after="0"/>
        <w:tabs>
          <w:tab w:leader="none" w:pos="116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E Member</w:t>
      </w:r>
      <w:r>
        <w:rPr>
          <w:rFonts w:ascii="Arial" w:cs="Arial" w:eastAsia="Arial" w:hAnsi="Arial"/>
          <w:sz w:val="19"/>
          <w:szCs w:val="19"/>
          <w:color w:val="auto"/>
        </w:rPr>
        <w:t>” shall mean each Person admitted to the Company as a Member and who holds Class E Common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195" w:lineRule="exact"/>
        <w:rPr>
          <w:rFonts w:ascii="Arial" w:cs="Arial" w:eastAsia="Arial" w:hAnsi="Arial"/>
          <w:sz w:val="19"/>
          <w:szCs w:val="19"/>
          <w:color w:val="auto"/>
        </w:rPr>
      </w:pPr>
    </w:p>
    <w:p>
      <w:pPr>
        <w:ind w:left="1360" w:hanging="704"/>
        <w:spacing w:after="0"/>
        <w:tabs>
          <w:tab w:leader="none" w:pos="136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19" w:lineRule="exact"/>
        <w:rPr>
          <w:rFonts w:ascii="Arial" w:cs="Arial" w:eastAsia="Arial" w:hAnsi="Arial"/>
          <w:sz w:val="22"/>
          <w:szCs w:val="22"/>
          <w:color w:val="auto"/>
        </w:rPr>
      </w:pPr>
    </w:p>
    <w:p>
      <w:pPr>
        <w:ind w:left="1280" w:hanging="624"/>
        <w:spacing w:after="0"/>
        <w:tabs>
          <w:tab w:leader="none" w:pos="128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“Commercial Agreements” in the SoftBank Purchase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I-4</w:t>
      </w:r>
    </w:p>
    <w:p>
      <w:pPr>
        <w:sectPr>
          <w:pgSz w:w="11900" w:h="16838" w:orient="portrait"/>
          <w:cols w:equalWidth="0" w:num="1">
            <w:col w:w="11420"/>
          </w:cols>
          <w:pgMar w:left="240" w:top="369" w:right="239" w:bottom="1440" w:gutter="0" w:footer="0" w:header="0"/>
        </w:sectPr>
      </w:pPr>
    </w:p>
    <w:bookmarkStart w:id="297" w:name="page298"/>
    <w:bookmarkEnd w:id="297"/>
    <w:p>
      <w:pPr>
        <w:jc w:val="both"/>
        <w:ind w:firstLine="656"/>
        <w:spacing w:after="0" w:line="262" w:lineRule="auto"/>
        <w:tabs>
          <w:tab w:leader="none" w:pos="1427" w:val="left"/>
        </w:tabs>
        <w:numPr>
          <w:ilvl w:val="0"/>
          <w:numId w:val="28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Commitments</w:t>
      </w:r>
      <w:r>
        <w:rPr>
          <w:rFonts w:ascii="Arial" w:cs="Arial" w:eastAsia="Arial" w:hAnsi="Arial"/>
          <w:sz w:val="21"/>
          <w:szCs w:val="21"/>
          <w:color w:val="auto"/>
        </w:rPr>
        <w:t>” shall mean, collectively, the GM Commitment, the SoftBank Commitment, the Subsequent SoftBank Commitment, the Honda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SoftBank Purchase Agreement or Honda Purchase Agreement, as applicable).</w:t>
      </w:r>
    </w:p>
    <w:p>
      <w:pPr>
        <w:spacing w:after="0" w:line="173" w:lineRule="exact"/>
        <w:rPr>
          <w:rFonts w:ascii="Arial" w:cs="Arial" w:eastAsia="Arial" w:hAnsi="Arial"/>
          <w:sz w:val="21"/>
          <w:szCs w:val="21"/>
          <w:color w:val="auto"/>
        </w:rPr>
      </w:pPr>
    </w:p>
    <w:p>
      <w:pPr>
        <w:ind w:right="20" w:firstLine="656"/>
        <w:spacing w:after="0" w:line="269" w:lineRule="auto"/>
        <w:tabs>
          <w:tab w:leader="none" w:pos="1373" w:val="left"/>
        </w:tabs>
        <w:numPr>
          <w:ilvl w:val="0"/>
          <w:numId w:val="2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shall mean, collectively, the Class B Common Shares, Class C Common Shares, Class D Common Shares and Class E Common Shares.</w:t>
      </w:r>
    </w:p>
    <w:p>
      <w:pPr>
        <w:spacing w:after="0" w:line="162" w:lineRule="exact"/>
        <w:rPr>
          <w:rFonts w:ascii="Arial" w:cs="Arial" w:eastAsia="Arial" w:hAnsi="Arial"/>
          <w:sz w:val="22"/>
          <w:szCs w:val="22"/>
          <w:color w:val="auto"/>
        </w:rPr>
      </w:pPr>
    </w:p>
    <w:p>
      <w:pPr>
        <w:jc w:val="both"/>
        <w:ind w:firstLine="656"/>
        <w:spacing w:after="0" w:line="295" w:lineRule="auto"/>
        <w:tabs>
          <w:tab w:leader="none" w:pos="123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 Period</w:t>
      </w:r>
      <w:r>
        <w:rPr>
          <w:rFonts w:ascii="Arial" w:cs="Arial" w:eastAsia="Arial" w:hAnsi="Arial"/>
          <w:sz w:val="19"/>
          <w:szCs w:val="19"/>
          <w:color w:val="auto"/>
        </w:rPr>
        <w:t>” shall mean the period from the date of this Agreement until the earlier of (i) the consummation of an IPO, and (ii) the date on which the GM Investor holds less than fifty percent (50%) of the total number of Shares (on an as-converted basis as if all Junior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w:t>
      </w:r>
    </w:p>
    <w:p>
      <w:pPr>
        <w:spacing w:after="0" w:line="144" w:lineRule="exact"/>
        <w:rPr>
          <w:rFonts w:ascii="Arial" w:cs="Arial" w:eastAsia="Arial" w:hAnsi="Arial"/>
          <w:sz w:val="19"/>
          <w:szCs w:val="19"/>
          <w:color w:val="auto"/>
        </w:rPr>
      </w:pPr>
    </w:p>
    <w:p>
      <w:pPr>
        <w:jc w:val="both"/>
        <w:ind w:firstLine="656"/>
        <w:spacing w:after="0" w:line="267" w:lineRule="auto"/>
        <w:tabs>
          <w:tab w:leader="none" w:pos="1247" w:val="left"/>
        </w:tabs>
        <w:numPr>
          <w:ilvl w:val="0"/>
          <w:numId w:val="28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Person</w:t>
      </w:r>
      <w:r>
        <w:rPr>
          <w:rFonts w:ascii="Arial" w:cs="Arial" w:eastAsia="Arial" w:hAnsi="Arial"/>
          <w:sz w:val="21"/>
          <w:szCs w:val="21"/>
          <w:color w:val="auto"/>
        </w:rPr>
        <w:t>” shall mean a Person who is or was (i) a Member or a Director, Officer, director, shareholder, partner, member, trustee,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67" w:lineRule="exact"/>
        <w:rPr>
          <w:rFonts w:ascii="Arial" w:cs="Arial" w:eastAsia="Arial" w:hAnsi="Arial"/>
          <w:sz w:val="21"/>
          <w:szCs w:val="21"/>
          <w:color w:val="auto"/>
        </w:rPr>
      </w:pPr>
    </w:p>
    <w:p>
      <w:pPr>
        <w:jc w:val="both"/>
        <w:ind w:firstLine="656"/>
        <w:spacing w:after="0" w:line="256" w:lineRule="auto"/>
        <w:tabs>
          <w:tab w:leader="none" w:pos="1176" w:val="left"/>
        </w:tabs>
        <w:numPr>
          <w:ilvl w:val="0"/>
          <w:numId w:val="2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76" w:lineRule="exact"/>
        <w:rPr>
          <w:rFonts w:ascii="Arial" w:cs="Arial" w:eastAsia="Arial" w:hAnsi="Arial"/>
          <w:sz w:val="22"/>
          <w:szCs w:val="22"/>
          <w:color w:val="auto"/>
        </w:rPr>
      </w:pPr>
    </w:p>
    <w:p>
      <w:pPr>
        <w:ind w:left="1140" w:hanging="484"/>
        <w:spacing w:after="0"/>
        <w:tabs>
          <w:tab w:leader="none" w:pos="114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Person designated to the Board of Directors pursuant to Section 6.03.</w:t>
      </w:r>
    </w:p>
    <w:p>
      <w:pPr>
        <w:spacing w:after="0" w:line="219" w:lineRule="exact"/>
        <w:rPr>
          <w:rFonts w:ascii="Arial" w:cs="Arial" w:eastAsia="Arial" w:hAnsi="Arial"/>
          <w:sz w:val="22"/>
          <w:szCs w:val="22"/>
          <w:color w:val="auto"/>
        </w:rPr>
      </w:pPr>
    </w:p>
    <w:p>
      <w:pPr>
        <w:jc w:val="both"/>
        <w:ind w:firstLine="656"/>
        <w:spacing w:after="0" w:line="295" w:lineRule="auto"/>
        <w:tabs>
          <w:tab w:leader="none" w:pos="1346" w:val="left"/>
        </w:tabs>
        <w:numPr>
          <w:ilvl w:val="0"/>
          <w:numId w:val="2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 (ii) any recapitalization, exchange or conversion of Shares, and any subdivision (by share split or otherwise) or any combination (by reverse share split or otherwise) of any outstanding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I-5</w:t>
      </w:r>
    </w:p>
    <w:p>
      <w:pPr>
        <w:sectPr>
          <w:pgSz w:w="11900" w:h="16838" w:orient="portrait"/>
          <w:cols w:equalWidth="0" w:num="1">
            <w:col w:w="11420"/>
          </w:cols>
          <w:pgMar w:left="240" w:top="369" w:right="239" w:bottom="1440" w:gutter="0" w:footer="0" w:header="0"/>
        </w:sectPr>
      </w:pPr>
    </w:p>
    <w:bookmarkStart w:id="298" w:name="page299"/>
    <w:bookmarkEnd w:id="298"/>
    <w:p>
      <w:pPr>
        <w:ind w:firstLine="656"/>
        <w:spacing w:after="0" w:line="269" w:lineRule="auto"/>
        <w:tabs>
          <w:tab w:leader="none" w:pos="1334"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EDSA</w:t>
      </w:r>
      <w:r>
        <w:rPr>
          <w:rFonts w:ascii="Arial" w:cs="Arial" w:eastAsia="Arial" w:hAnsi="Arial"/>
          <w:sz w:val="22"/>
          <w:szCs w:val="22"/>
          <w:color w:val="auto"/>
        </w:rPr>
        <w:t>” shall mean the Engineering and Design Services Agreement entered into between GM Global Technology Operations LLC and the Company dated as of June 28, 2018.</w:t>
      </w:r>
    </w:p>
    <w:p>
      <w:pPr>
        <w:spacing w:after="0" w:line="162" w:lineRule="exact"/>
        <w:rPr>
          <w:rFonts w:ascii="Arial" w:cs="Arial" w:eastAsia="Arial" w:hAnsi="Arial"/>
          <w:sz w:val="22"/>
          <w:szCs w:val="22"/>
          <w:color w:val="auto"/>
        </w:rPr>
      </w:pPr>
    </w:p>
    <w:p>
      <w:pPr>
        <w:jc w:val="both"/>
        <w:ind w:firstLine="656"/>
        <w:spacing w:after="0" w:line="259" w:lineRule="auto"/>
        <w:tabs>
          <w:tab w:leader="none" w:pos="1265" w:val="left"/>
        </w:tabs>
        <w:numPr>
          <w:ilvl w:val="0"/>
          <w:numId w:val="2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 Member</w:t>
      </w:r>
      <w:r>
        <w:rPr>
          <w:rFonts w:ascii="Arial" w:cs="Arial" w:eastAsia="Arial" w:hAnsi="Arial"/>
          <w:sz w:val="21"/>
          <w:szCs w:val="21"/>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 Subsidiaries. Any reference in this Agreement to an Employee Member shall mean, in the case of a Member who is wholly owned by or is a member of the Family Group of one or 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76" w:lineRule="exact"/>
        <w:rPr>
          <w:rFonts w:ascii="Arial" w:cs="Arial" w:eastAsia="Arial" w:hAnsi="Arial"/>
          <w:sz w:val="21"/>
          <w:szCs w:val="21"/>
          <w:color w:val="auto"/>
        </w:rPr>
      </w:pPr>
    </w:p>
    <w:p>
      <w:pPr>
        <w:jc w:val="both"/>
        <w:ind w:firstLine="656"/>
        <w:spacing w:after="0" w:line="304" w:lineRule="auto"/>
        <w:tabs>
          <w:tab w:leader="none" w:pos="1305"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5" w:lineRule="exact"/>
        <w:rPr>
          <w:rFonts w:ascii="Arial" w:cs="Arial" w:eastAsia="Arial" w:hAnsi="Arial"/>
          <w:sz w:val="19"/>
          <w:szCs w:val="19"/>
          <w:color w:val="auto"/>
        </w:rPr>
      </w:pPr>
    </w:p>
    <w:p>
      <w:pPr>
        <w:jc w:val="both"/>
        <w:ind w:firstLine="656"/>
        <w:spacing w:after="0" w:line="298" w:lineRule="auto"/>
        <w:tabs>
          <w:tab w:leader="none" w:pos="1254"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Section 9.01(a)(v) as the terms set forth in the ROFR Sale Notice.</w:t>
      </w:r>
    </w:p>
    <w:p>
      <w:pPr>
        <w:spacing w:after="0" w:line="143" w:lineRule="exact"/>
        <w:rPr>
          <w:sz w:val="20"/>
          <w:szCs w:val="20"/>
          <w:color w:val="auto"/>
        </w:rPr>
      </w:pPr>
    </w:p>
    <w:p>
      <w:pPr>
        <w:ind w:firstLine="656"/>
        <w:spacing w:after="0" w:line="269" w:lineRule="auto"/>
        <w:tabs>
          <w:tab w:leader="none" w:pos="1337"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 agreed to by the then existing Members and the Company on the date of the SoftBank Purchase Agreement.</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4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86" w:lineRule="exact"/>
        <w:rPr>
          <w:rFonts w:ascii="Arial" w:cs="Arial" w:eastAsia="Arial" w:hAnsi="Arial"/>
          <w:sz w:val="22"/>
          <w:szCs w:val="22"/>
          <w:color w:val="auto"/>
        </w:rPr>
      </w:pPr>
    </w:p>
    <w:p>
      <w:pPr>
        <w:jc w:val="both"/>
        <w:ind w:firstLine="656"/>
        <w:spacing w:after="0" w:line="315" w:lineRule="auto"/>
        <w:tabs>
          <w:tab w:leader="none" w:pos="12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Group</w:t>
      </w:r>
      <w:r>
        <w:rPr>
          <w:rFonts w:ascii="Arial" w:cs="Arial" w:eastAsia="Arial" w:hAnsi="Arial"/>
          <w:sz w:val="19"/>
          <w:szCs w:val="19"/>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I-6</w:t>
      </w:r>
    </w:p>
    <w:p>
      <w:pPr>
        <w:sectPr>
          <w:pgSz w:w="11900" w:h="16838" w:orient="portrait"/>
          <w:cols w:equalWidth="0" w:num="1">
            <w:col w:w="11420"/>
          </w:cols>
          <w:pgMar w:left="240" w:top="369" w:right="239" w:bottom="1440" w:gutter="0" w:footer="0" w:header="0"/>
        </w:sectPr>
      </w:pPr>
    </w:p>
    <w:bookmarkStart w:id="299" w:name="page300"/>
    <w:bookmarkEnd w:id="299"/>
    <w:p>
      <w:pPr>
        <w:spacing w:after="0"/>
        <w:rPr>
          <w:sz w:val="20"/>
          <w:szCs w:val="20"/>
          <w:color w:val="auto"/>
        </w:rPr>
      </w:pPr>
      <w:r>
        <w:rPr>
          <w:rFonts w:ascii="Arial" w:cs="Arial" w:eastAsia="Arial" w:hAnsi="Arial"/>
          <w:sz w:val="19"/>
          <w:szCs w:val="19"/>
          <w:color w:val="auto"/>
        </w:rPr>
        <w:t>spouse, their respective parents, descendants of such parents (whether natural or adopted) or the spouses of such descendants.</w:t>
      </w:r>
    </w:p>
    <w:p>
      <w:pPr>
        <w:spacing w:after="0" w:line="248" w:lineRule="exact"/>
        <w:rPr>
          <w:sz w:val="20"/>
          <w:szCs w:val="20"/>
          <w:color w:val="auto"/>
        </w:rPr>
      </w:pPr>
    </w:p>
    <w:p>
      <w:pPr>
        <w:ind w:left="1340" w:hanging="684"/>
        <w:spacing w:after="0"/>
        <w:tabs>
          <w:tab w:leader="none" w:pos="134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19" w:lineRule="exact"/>
        <w:rPr>
          <w:rFonts w:ascii="Arial" w:cs="Arial" w:eastAsia="Arial" w:hAnsi="Arial"/>
          <w:sz w:val="22"/>
          <w:szCs w:val="22"/>
          <w:color w:val="auto"/>
        </w:rPr>
      </w:pPr>
    </w:p>
    <w:p>
      <w:pPr>
        <w:jc w:val="both"/>
        <w:ind w:firstLine="656"/>
        <w:spacing w:after="0" w:line="304" w:lineRule="auto"/>
        <w:tabs>
          <w:tab w:leader="none" w:pos="131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Fully Diluted Basis</w:t>
      </w:r>
      <w:r>
        <w:rPr>
          <w:rFonts w:ascii="Arial" w:cs="Arial" w:eastAsia="Arial" w:hAnsi="Arial"/>
          <w:sz w:val="19"/>
          <w:szCs w:val="19"/>
          <w:color w:val="auto"/>
        </w:rPr>
        <w:t>” shall mean the number of Shares which would be outstanding, as of the date of computation, if all convertible obligations, options, RSUs, warrants and like rights, and other instruments to acquire Shares had been converted or exercised (or, if not then granted and reserved for grant or issuance, all such obligations, options, RSUs, warrants and other instruments which are so reserved for grant or issuance, calculated in accordance with the treasury method).</w:t>
      </w:r>
    </w:p>
    <w:p>
      <w:pPr>
        <w:spacing w:after="0" w:line="135" w:lineRule="exact"/>
        <w:rPr>
          <w:rFonts w:ascii="Arial" w:cs="Arial" w:eastAsia="Arial" w:hAnsi="Arial"/>
          <w:sz w:val="19"/>
          <w:szCs w:val="19"/>
          <w:color w:val="auto"/>
        </w:rPr>
      </w:pPr>
    </w:p>
    <w:p>
      <w:pPr>
        <w:ind w:left="1220" w:hanging="564"/>
        <w:spacing w:after="0"/>
        <w:tabs>
          <w:tab w:leader="none" w:pos="122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19" w:lineRule="exact"/>
        <w:rPr>
          <w:rFonts w:ascii="Arial" w:cs="Arial" w:eastAsia="Arial" w:hAnsi="Arial"/>
          <w:sz w:val="22"/>
          <w:szCs w:val="22"/>
          <w:color w:val="auto"/>
        </w:rPr>
      </w:pPr>
    </w:p>
    <w:p>
      <w:pPr>
        <w:ind w:firstLine="656"/>
        <w:spacing w:after="0" w:line="269" w:lineRule="auto"/>
        <w:tabs>
          <w:tab w:leader="none" w:pos="1373"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means the affiliated group of corporations of which GM Parent is the “common parent,” within the meaning of Section 1504 of the Code.</w:t>
      </w:r>
    </w:p>
    <w:p>
      <w:pPr>
        <w:spacing w:after="0" w:line="162" w:lineRule="exact"/>
        <w:rPr>
          <w:rFonts w:ascii="Arial" w:cs="Arial" w:eastAsia="Arial" w:hAnsi="Arial"/>
          <w:sz w:val="22"/>
          <w:szCs w:val="22"/>
          <w:color w:val="auto"/>
        </w:rPr>
      </w:pPr>
    </w:p>
    <w:p>
      <w:pPr>
        <w:ind w:left="1340" w:hanging="684"/>
        <w:spacing w:after="0"/>
        <w:tabs>
          <w:tab w:leader="none" w:pos="134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Business</w:t>
      </w:r>
      <w:r>
        <w:rPr>
          <w:rFonts w:ascii="Arial" w:cs="Arial" w:eastAsia="Arial" w:hAnsi="Arial"/>
          <w:sz w:val="22"/>
          <w:szCs w:val="22"/>
          <w:color w:val="auto"/>
        </w:rPr>
        <w:t>” shall have the meaning given to it in the IPMA.</w:t>
      </w:r>
    </w:p>
    <w:p>
      <w:pPr>
        <w:spacing w:after="0" w:line="219" w:lineRule="exact"/>
        <w:rPr>
          <w:rFonts w:ascii="Arial" w:cs="Arial" w:eastAsia="Arial" w:hAnsi="Arial"/>
          <w:sz w:val="22"/>
          <w:szCs w:val="22"/>
          <w:color w:val="auto"/>
        </w:rPr>
      </w:pPr>
    </w:p>
    <w:p>
      <w:pPr>
        <w:ind w:firstLine="656"/>
        <w:spacing w:after="0" w:line="269" w:lineRule="auto"/>
        <w:tabs>
          <w:tab w:leader="none" w:pos="1229"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62" w:lineRule="exact"/>
        <w:rPr>
          <w:rFonts w:ascii="Arial" w:cs="Arial" w:eastAsia="Arial" w:hAnsi="Arial"/>
          <w:sz w:val="22"/>
          <w:szCs w:val="22"/>
          <w:color w:val="auto"/>
        </w:rPr>
      </w:pPr>
    </w:p>
    <w:p>
      <w:pPr>
        <w:jc w:val="both"/>
        <w:ind w:right="20" w:firstLine="656"/>
        <w:spacing w:after="0" w:line="256" w:lineRule="auto"/>
        <w:tabs>
          <w:tab w:leader="none" w:pos="124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Investor</w:t>
      </w:r>
      <w:r>
        <w:rPr>
          <w:rFonts w:ascii="Arial" w:cs="Arial" w:eastAsia="Arial" w:hAnsi="Arial"/>
          <w:sz w:val="22"/>
          <w:szCs w:val="22"/>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40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means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76" w:lineRule="exact"/>
        <w:rPr>
          <w:rFonts w:ascii="Arial" w:cs="Arial" w:eastAsia="Arial" w:hAnsi="Arial"/>
          <w:sz w:val="22"/>
          <w:szCs w:val="22"/>
          <w:color w:val="auto"/>
        </w:rPr>
      </w:pPr>
    </w:p>
    <w:p>
      <w:pPr>
        <w:ind w:right="20" w:firstLine="656"/>
        <w:spacing w:after="0" w:line="350" w:lineRule="auto"/>
        <w:tabs>
          <w:tab w:leader="none" w:pos="1283"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government or governmental or regulatory body thereof, or political subdivision thereof, whether foreign, federal, state, or local or any agency, instrumentality or authority thereof or any court.</w:t>
      </w:r>
    </w:p>
    <w:p>
      <w:pPr>
        <w:spacing w:after="0" w:line="92" w:lineRule="exact"/>
        <w:rPr>
          <w:rFonts w:ascii="Arial" w:cs="Arial" w:eastAsia="Arial" w:hAnsi="Arial"/>
          <w:sz w:val="19"/>
          <w:szCs w:val="19"/>
          <w:color w:val="auto"/>
        </w:rPr>
      </w:pPr>
    </w:p>
    <w:p>
      <w:pPr>
        <w:jc w:val="both"/>
        <w:ind w:firstLine="656"/>
        <w:spacing w:after="0" w:line="304" w:lineRule="auto"/>
        <w:tabs>
          <w:tab w:leader="none" w:pos="140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Call Trigger Date</w:t>
      </w:r>
      <w:r>
        <w:rPr>
          <w:rFonts w:ascii="Arial" w:cs="Arial" w:eastAsia="Arial" w:hAnsi="Arial"/>
          <w:sz w:val="19"/>
          <w:szCs w:val="19"/>
          <w:color w:val="auto"/>
        </w:rPr>
        <w:t>” means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135" w:lineRule="exact"/>
        <w:rPr>
          <w:rFonts w:ascii="Arial" w:cs="Arial" w:eastAsia="Arial" w:hAnsi="Arial"/>
          <w:sz w:val="19"/>
          <w:szCs w:val="19"/>
          <w:color w:val="auto"/>
        </w:rPr>
      </w:pPr>
    </w:p>
    <w:p>
      <w:pPr>
        <w:jc w:val="both"/>
        <w:ind w:firstLine="656"/>
        <w:spacing w:after="0" w:line="304" w:lineRule="auto"/>
        <w:tabs>
          <w:tab w:leader="none" w:pos="1521"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I-7</w:t>
      </w:r>
    </w:p>
    <w:p>
      <w:pPr>
        <w:sectPr>
          <w:pgSz w:w="11900" w:h="16838" w:orient="portrait"/>
          <w:cols w:equalWidth="0" w:num="1">
            <w:col w:w="11420"/>
          </w:cols>
          <w:pgMar w:left="240" w:top="374" w:right="239" w:bottom="1440" w:gutter="0" w:footer="0" w:header="0"/>
        </w:sectPr>
      </w:pPr>
    </w:p>
    <w:bookmarkStart w:id="300" w:name="page301"/>
    <w:bookmarkEnd w:id="300"/>
    <w:p>
      <w:pPr>
        <w:jc w:val="both"/>
        <w:spacing w:after="0" w:line="246" w:lineRule="auto"/>
        <w:rPr>
          <w:sz w:val="20"/>
          <w:szCs w:val="20"/>
          <w:color w:val="auto"/>
        </w:rPr>
      </w:pPr>
      <w:r>
        <w:rPr>
          <w:rFonts w:ascii="Arial" w:cs="Arial" w:eastAsia="Arial" w:hAnsi="Arial"/>
          <w:sz w:val="22"/>
          <w:szCs w:val="22"/>
          <w:color w:val="auto"/>
        </w:rPr>
        <w:t>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189" w:lineRule="exact"/>
        <w:rPr>
          <w:sz w:val="20"/>
          <w:szCs w:val="20"/>
          <w:color w:val="auto"/>
        </w:rPr>
      </w:pPr>
    </w:p>
    <w:p>
      <w:pPr>
        <w:jc w:val="both"/>
        <w:ind w:firstLine="656"/>
        <w:spacing w:after="0" w:line="264" w:lineRule="auto"/>
        <w:tabs>
          <w:tab w:leader="none" w:pos="1359" w:val="left"/>
        </w:tabs>
        <w:numPr>
          <w:ilvl w:val="0"/>
          <w:numId w:val="2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Commercial Agreements</w:t>
      </w:r>
      <w:r>
        <w:rPr>
          <w:rFonts w:ascii="Arial" w:cs="Arial" w:eastAsia="Arial" w:hAnsi="Arial"/>
          <w:sz w:val="21"/>
          <w:szCs w:val="21"/>
          <w:color w:val="auto"/>
        </w:rPr>
        <w:t>” means, collectively, (i) that certain Shared Autonomous Vehicle Development Agreement, dated the date of this Agreement, by and among the Company, GM, GM Global Technology Operations LLC, Honda and Honda R&amp;D Co, (ii) that certain ZEV Credit Agreement, dated the date of this Agreement, by and between General Motors LLC and American Honda Motor Co., Inc., (iii) the Marketing and Network Access Fee Agreement and (iv) any other agreement that the Company and Honda agree will be a Honda Commercial Agreement.</w:t>
      </w:r>
    </w:p>
    <w:p>
      <w:pPr>
        <w:spacing w:after="0" w:line="170" w:lineRule="exact"/>
        <w:rPr>
          <w:rFonts w:ascii="Arial" w:cs="Arial" w:eastAsia="Arial" w:hAnsi="Arial"/>
          <w:sz w:val="21"/>
          <w:szCs w:val="21"/>
          <w:color w:val="auto"/>
        </w:rPr>
      </w:pPr>
    </w:p>
    <w:p>
      <w:pPr>
        <w:jc w:val="both"/>
        <w:ind w:firstLine="656"/>
        <w:spacing w:after="0" w:line="252" w:lineRule="auto"/>
        <w:tabs>
          <w:tab w:leader="none" w:pos="117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80" w:lineRule="exact"/>
        <w:rPr>
          <w:rFonts w:ascii="Arial" w:cs="Arial" w:eastAsia="Arial" w:hAnsi="Arial"/>
          <w:sz w:val="22"/>
          <w:szCs w:val="22"/>
          <w:color w:val="auto"/>
        </w:rPr>
      </w:pPr>
    </w:p>
    <w:p>
      <w:pPr>
        <w:jc w:val="both"/>
        <w:ind w:firstLine="656"/>
        <w:spacing w:after="0" w:line="256" w:lineRule="auto"/>
        <w:tabs>
          <w:tab w:leader="none" w:pos="1494" w:val="left"/>
        </w:tabs>
        <w:numPr>
          <w:ilvl w:val="0"/>
          <w:numId w:val="2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Floor Amount</w:t>
      </w:r>
      <w:r>
        <w:rPr>
          <w:rFonts w:ascii="Arial" w:cs="Arial" w:eastAsia="Arial" w:hAnsi="Arial"/>
          <w:sz w:val="22"/>
          <w:szCs w:val="22"/>
          <w:color w:val="auto"/>
        </w:rPr>
        <w:t>” shall mean 495,000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238" w:val="left"/>
        </w:tabs>
        <w:numPr>
          <w:ilvl w:val="0"/>
          <w:numId w:val="2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Trigger Date</w:t>
      </w:r>
      <w:r>
        <w:rPr>
          <w:rFonts w:ascii="Arial" w:cs="Arial" w:eastAsia="Arial" w:hAnsi="Arial"/>
          <w:sz w:val="22"/>
          <w:szCs w:val="22"/>
          <w:color w:val="auto"/>
        </w:rPr>
        <w:t xml:space="preserve">” shall mean the later of (i) October 3, 2025 and (ii) the termination (or expiration, pursuant to their terms) of all of the Honda Commercial Agreements to which the Company is a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Honda Commercial Agreement was terminated by the Company or GM pursuant to the terms and conditions thereof due to breach by Honda of its obligations thereunder, the Honda Trigger Date will be October 3, 2025.</w:t>
      </w:r>
    </w:p>
    <w:p>
      <w:pPr>
        <w:spacing w:after="0" w:line="180" w:lineRule="exact"/>
        <w:rPr>
          <w:rFonts w:ascii="Arial" w:cs="Arial" w:eastAsia="Arial" w:hAnsi="Arial"/>
          <w:sz w:val="22"/>
          <w:szCs w:val="22"/>
          <w:color w:val="auto"/>
        </w:rPr>
      </w:pPr>
    </w:p>
    <w:p>
      <w:pPr>
        <w:jc w:val="both"/>
        <w:ind w:firstLine="656"/>
        <w:spacing w:after="0" w:line="293" w:lineRule="auto"/>
        <w:tabs>
          <w:tab w:leader="none" w:pos="132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Honda Restricted Person solely as a result of owning, directly or indirectly, less than five percent (5%) of the outstanding capital stock of a publicly traded company that is a competitor of the Company or the GM Investor (or its Affiliates). Honda Restricted Person shall include: (A) those Persons on the list provided to Honda prior to the execution of the Honda Purchase Agreement and (B) any Person that is developing or commercializing or selling autonomous vehicles for any use.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I-8</w:t>
      </w:r>
    </w:p>
    <w:p>
      <w:pPr>
        <w:sectPr>
          <w:pgSz w:w="11900" w:h="16838" w:orient="portrait"/>
          <w:cols w:equalWidth="0" w:num="1">
            <w:col w:w="11420"/>
          </w:cols>
          <w:pgMar w:left="240" w:top="375" w:right="239" w:bottom="1440" w:gutter="0" w:footer="0" w:header="0"/>
        </w:sectPr>
      </w:pPr>
    </w:p>
    <w:bookmarkStart w:id="301" w:name="page302"/>
    <w:bookmarkEnd w:id="301"/>
    <w:p>
      <w:pPr>
        <w:ind w:firstLine="656"/>
        <w:spacing w:after="0" w:line="269" w:lineRule="auto"/>
        <w:tabs>
          <w:tab w:leader="none" w:pos="120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as of June 28, 2018.</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33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176" w:lineRule="exact"/>
        <w:rPr>
          <w:rFonts w:ascii="Arial" w:cs="Arial" w:eastAsia="Arial" w:hAnsi="Arial"/>
          <w:sz w:val="22"/>
          <w:szCs w:val="22"/>
          <w:color w:val="auto"/>
        </w:rPr>
      </w:pPr>
    </w:p>
    <w:p>
      <w:pPr>
        <w:jc w:val="both"/>
        <w:ind w:firstLine="656"/>
        <w:spacing w:after="0" w:line="274" w:lineRule="auto"/>
        <w:tabs>
          <w:tab w:leader="none" w:pos="1386" w:val="left"/>
        </w:tabs>
        <w:numPr>
          <w:ilvl w:val="0"/>
          <w:numId w:val="2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58" w:lineRule="exact"/>
        <w:rPr>
          <w:rFonts w:ascii="Arial" w:cs="Arial" w:eastAsia="Arial" w:hAnsi="Arial"/>
          <w:sz w:val="21"/>
          <w:szCs w:val="21"/>
          <w:color w:val="auto"/>
        </w:rPr>
      </w:pPr>
    </w:p>
    <w:p>
      <w:pPr>
        <w:ind w:firstLine="656"/>
        <w:spacing w:after="0" w:line="269" w:lineRule="auto"/>
        <w:tabs>
          <w:tab w:leader="none" w:pos="158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shall mean, collectively, the GM Investor, SoftBank, Honda and any other Person that makes an Additional Commitment or acquires Shares in exchange for a Capital Contribution.</w:t>
      </w:r>
    </w:p>
    <w:p>
      <w:pPr>
        <w:spacing w:after="0" w:line="162" w:lineRule="exact"/>
        <w:rPr>
          <w:rFonts w:ascii="Arial" w:cs="Arial" w:eastAsia="Arial" w:hAnsi="Arial"/>
          <w:sz w:val="22"/>
          <w:szCs w:val="22"/>
          <w:color w:val="auto"/>
        </w:rPr>
      </w:pPr>
    </w:p>
    <w:p>
      <w:pPr>
        <w:ind w:left="1360" w:hanging="704"/>
        <w:spacing w:after="0"/>
        <w:tabs>
          <w:tab w:leader="none" w:pos="136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IPMA</w:t>
      </w:r>
      <w:r>
        <w:rPr>
          <w:rFonts w:ascii="Arial" w:cs="Arial" w:eastAsia="Arial" w:hAnsi="Arial"/>
          <w:sz w:val="19"/>
          <w:szCs w:val="19"/>
          <w:color w:val="auto"/>
        </w:rPr>
        <w:t>” shall mean the Intellectual Property Matters Agreement entered into between GM and the Company dated</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June 28, 2018.</w:t>
      </w:r>
    </w:p>
    <w:p>
      <w:pPr>
        <w:spacing w:after="0" w:line="195" w:lineRule="exact"/>
        <w:rPr>
          <w:rFonts w:ascii="Arial" w:cs="Arial" w:eastAsia="Arial" w:hAnsi="Arial"/>
          <w:sz w:val="19"/>
          <w:szCs w:val="19"/>
          <w:color w:val="auto"/>
        </w:rPr>
      </w:pPr>
    </w:p>
    <w:p>
      <w:pPr>
        <w:jc w:val="both"/>
        <w:ind w:firstLine="656"/>
        <w:spacing w:after="0" w:line="248" w:lineRule="auto"/>
        <w:tabs>
          <w:tab w:leader="none" w:pos="1359"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187" w:lineRule="exact"/>
        <w:rPr>
          <w:rFonts w:ascii="Arial" w:cs="Arial" w:eastAsia="Arial" w:hAnsi="Arial"/>
          <w:sz w:val="22"/>
          <w:szCs w:val="22"/>
          <w:color w:val="auto"/>
        </w:rPr>
      </w:pPr>
    </w:p>
    <w:p>
      <w:pPr>
        <w:jc w:val="both"/>
        <w:ind w:firstLine="656"/>
        <w:spacing w:after="0" w:line="256" w:lineRule="auto"/>
        <w:tabs>
          <w:tab w:leader="none" w:pos="1337"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Interests</w:t>
      </w:r>
      <w:r>
        <w:rPr>
          <w:rFonts w:ascii="Arial" w:cs="Arial" w:eastAsia="Arial" w:hAnsi="Arial"/>
          <w:sz w:val="22"/>
          <w:szCs w:val="22"/>
          <w:color w:val="auto"/>
        </w:rPr>
        <w:t>” shall mean the Class A-2 Preferred Shares, the Class B Common Shares, the Class C Common Shares, the Class D Common Shares, the Class E Common Shares and any other Equity Interests designated as Junior Interests by the Board of Directors.</w:t>
      </w:r>
    </w:p>
    <w:p>
      <w:pPr>
        <w:spacing w:after="0" w:line="176" w:lineRule="exact"/>
        <w:rPr>
          <w:sz w:val="20"/>
          <w:szCs w:val="20"/>
          <w:color w:val="auto"/>
        </w:rPr>
      </w:pPr>
    </w:p>
    <w:p>
      <w:pPr>
        <w:ind w:firstLine="656"/>
        <w:spacing w:after="0" w:line="350" w:lineRule="auto"/>
        <w:tabs>
          <w:tab w:leader="none" w:pos="139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Members</w:t>
      </w:r>
      <w:r>
        <w:rPr>
          <w:rFonts w:ascii="Arial" w:cs="Arial" w:eastAsia="Arial" w:hAnsi="Arial"/>
          <w:sz w:val="19"/>
          <w:szCs w:val="19"/>
          <w:color w:val="auto"/>
        </w:rPr>
        <w:t>” shall mean the Class A-2 Preferred Members, the Class B Members, the Class C Members, the Class D Members and the Class E Members and any other Members designated as Junior Members by the Board of Directors.</w:t>
      </w:r>
    </w:p>
    <w:p>
      <w:pPr>
        <w:spacing w:after="0" w:line="92" w:lineRule="exact"/>
        <w:rPr>
          <w:rFonts w:ascii="Arial" w:cs="Arial" w:eastAsia="Arial" w:hAnsi="Arial"/>
          <w:sz w:val="19"/>
          <w:szCs w:val="19"/>
          <w:color w:val="auto"/>
        </w:rPr>
      </w:pPr>
    </w:p>
    <w:p>
      <w:pPr>
        <w:ind w:firstLine="656"/>
        <w:spacing w:after="0" w:line="269" w:lineRule="auto"/>
        <w:tabs>
          <w:tab w:leader="none" w:pos="145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162" w:lineRule="exact"/>
        <w:rPr>
          <w:rFonts w:ascii="Arial" w:cs="Arial" w:eastAsia="Arial" w:hAnsi="Arial"/>
          <w:sz w:val="22"/>
          <w:szCs w:val="22"/>
          <w:color w:val="auto"/>
        </w:rPr>
      </w:pPr>
    </w:p>
    <w:p>
      <w:pPr>
        <w:ind w:firstLine="656"/>
        <w:spacing w:after="0" w:line="269" w:lineRule="auto"/>
        <w:tabs>
          <w:tab w:leader="none" w:pos="1419" w:val="left"/>
        </w:tabs>
        <w:numPr>
          <w:ilvl w:val="0"/>
          <w:numId w:val="2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162" w:lineRule="exact"/>
        <w:rPr>
          <w:rFonts w:ascii="Arial" w:cs="Arial" w:eastAsia="Arial" w:hAnsi="Arial"/>
          <w:sz w:val="22"/>
          <w:szCs w:val="22"/>
          <w:color w:val="auto"/>
        </w:rPr>
      </w:pPr>
    </w:p>
    <w:p>
      <w:pPr>
        <w:ind w:right="20" w:firstLine="656"/>
        <w:spacing w:after="0" w:line="269" w:lineRule="auto"/>
        <w:tabs>
          <w:tab w:leader="none" w:pos="1562" w:val="left"/>
        </w:tabs>
        <w:numPr>
          <w:ilvl w:val="0"/>
          <w:numId w:val="2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I-9</w:t>
      </w:r>
    </w:p>
    <w:p>
      <w:pPr>
        <w:sectPr>
          <w:pgSz w:w="11900" w:h="16838" w:orient="portrait"/>
          <w:cols w:equalWidth="0" w:num="1">
            <w:col w:w="11420"/>
          </w:cols>
          <w:pgMar w:left="240" w:top="369" w:right="239" w:bottom="1440" w:gutter="0" w:footer="0" w:header="0"/>
        </w:sectPr>
      </w:pPr>
    </w:p>
    <w:bookmarkStart w:id="302" w:name="page303"/>
    <w:bookmarkEnd w:id="302"/>
    <w:p>
      <w:pPr>
        <w:spacing w:after="0" w:line="263" w:lineRule="auto"/>
        <w:rPr>
          <w:sz w:val="20"/>
          <w:szCs w:val="20"/>
          <w:color w:val="auto"/>
        </w:rPr>
      </w:pPr>
      <w:r>
        <w:rPr>
          <w:rFonts w:ascii="Arial" w:cs="Arial" w:eastAsia="Arial" w:hAnsi="Arial"/>
          <w:sz w:val="22"/>
          <w:szCs w:val="22"/>
          <w:color w:val="auto"/>
        </w:rPr>
        <w:t>For clarity, a written consent, signed by Class A-1 Preferred Members holding a majority of the then outstanding Class A-1 Preferred Shares, shall constitute a Majority of the Class A-1 Preferred.</w:t>
      </w:r>
    </w:p>
    <w:p>
      <w:pPr>
        <w:spacing w:after="0" w:line="169" w:lineRule="exact"/>
        <w:rPr>
          <w:sz w:val="20"/>
          <w:szCs w:val="20"/>
          <w:color w:val="auto"/>
        </w:rPr>
      </w:pPr>
    </w:p>
    <w:p>
      <w:pPr>
        <w:jc w:val="both"/>
        <w:ind w:firstLine="656"/>
        <w:spacing w:after="0" w:line="252" w:lineRule="auto"/>
        <w:tabs>
          <w:tab w:leader="none" w:pos="1527"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A-2 Preferred</w:t>
      </w:r>
      <w:r>
        <w:rPr>
          <w:rFonts w:ascii="Arial" w:cs="Arial" w:eastAsia="Arial" w:hAnsi="Arial"/>
          <w:sz w:val="22"/>
          <w:szCs w:val="22"/>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180" w:lineRule="exact"/>
        <w:rPr>
          <w:rFonts w:ascii="Arial" w:cs="Arial" w:eastAsia="Arial" w:hAnsi="Arial"/>
          <w:sz w:val="22"/>
          <w:szCs w:val="22"/>
          <w:color w:val="auto"/>
        </w:rPr>
      </w:pPr>
    </w:p>
    <w:p>
      <w:pPr>
        <w:ind w:firstLine="656"/>
        <w:spacing w:after="0" w:line="269" w:lineRule="auto"/>
        <w:tabs>
          <w:tab w:leader="none" w:pos="1298"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C Common</w:t>
      </w:r>
      <w:r>
        <w:rPr>
          <w:rFonts w:ascii="Arial" w:cs="Arial" w:eastAsia="Arial" w:hAnsi="Arial"/>
          <w:sz w:val="22"/>
          <w:szCs w:val="22"/>
          <w:color w:val="auto"/>
        </w:rPr>
        <w:t>” shall mean, as of any given time, the Members holding a majority of the then outstanding Class C Common Shares.</w:t>
      </w:r>
    </w:p>
    <w:p>
      <w:pPr>
        <w:spacing w:after="0" w:line="162" w:lineRule="exact"/>
        <w:rPr>
          <w:rFonts w:ascii="Arial" w:cs="Arial" w:eastAsia="Arial" w:hAnsi="Arial"/>
          <w:sz w:val="22"/>
          <w:szCs w:val="22"/>
          <w:color w:val="auto"/>
        </w:rPr>
      </w:pPr>
    </w:p>
    <w:p>
      <w:pPr>
        <w:jc w:val="both"/>
        <w:ind w:firstLine="656"/>
        <w:spacing w:after="0" w:line="261" w:lineRule="auto"/>
        <w:tabs>
          <w:tab w:leader="none" w:pos="1521" w:val="left"/>
        </w:tabs>
        <w:numPr>
          <w:ilvl w:val="0"/>
          <w:numId w:val="2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Majority of the Common Shares</w:t>
      </w:r>
      <w:r>
        <w:rPr>
          <w:rFonts w:ascii="Arial" w:cs="Arial" w:eastAsia="Arial" w:hAnsi="Arial"/>
          <w:sz w:val="21"/>
          <w:szCs w:val="21"/>
          <w:color w:val="auto"/>
        </w:rPr>
        <w:t>” shall mean, as of any given time, the Members holding a majority of the votes of the then outstanding Class E Common Shares, Class D Common Shares, Class C Common Shares and Class B Common Shares. For clarity, (i) a written consent, signed by Members holding a majority of the votes of the then outstanding Class E Common Shares, Class D Common Shares, Class C Common Shares and Class B Common Shares, shall constitute a Majority of the Common Shares, and (ii) pursuant to Section 5.01, in determining the Majority of the Common Shares each Class B Common Share, each Class D Common Share and each Class E Common Share will carry one (1) vote per Share and each Class C Common Share will carry ten (10) votes per Share.</w:t>
      </w:r>
    </w:p>
    <w:p>
      <w:pPr>
        <w:spacing w:after="0" w:line="174" w:lineRule="exact"/>
        <w:rPr>
          <w:rFonts w:ascii="Arial" w:cs="Arial" w:eastAsia="Arial" w:hAnsi="Arial"/>
          <w:sz w:val="21"/>
          <w:szCs w:val="21"/>
          <w:color w:val="auto"/>
        </w:rPr>
      </w:pPr>
    </w:p>
    <w:p>
      <w:pPr>
        <w:ind w:firstLine="656"/>
        <w:spacing w:after="0" w:line="269" w:lineRule="auto"/>
        <w:tabs>
          <w:tab w:leader="none" w:pos="1508"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Members</w:t>
      </w:r>
      <w:r>
        <w:rPr>
          <w:rFonts w:ascii="Arial" w:cs="Arial" w:eastAsia="Arial" w:hAnsi="Arial"/>
          <w:sz w:val="22"/>
          <w:szCs w:val="22"/>
          <w:color w:val="auto"/>
        </w:rPr>
        <w:t>” shall mean, as of any given time, the Members holding the majority of the voting rights with respect to then outstanding Shares, as such voting rights are allocated pursuant to Section 5.01.</w:t>
      </w:r>
    </w:p>
    <w:p>
      <w:pPr>
        <w:spacing w:after="0" w:line="162" w:lineRule="exact"/>
        <w:rPr>
          <w:rFonts w:ascii="Arial" w:cs="Arial" w:eastAsia="Arial" w:hAnsi="Arial"/>
          <w:sz w:val="22"/>
          <w:szCs w:val="22"/>
          <w:color w:val="auto"/>
        </w:rPr>
      </w:pPr>
    </w:p>
    <w:p>
      <w:pPr>
        <w:ind w:firstLine="656"/>
        <w:spacing w:after="0" w:line="269" w:lineRule="auto"/>
        <w:tabs>
          <w:tab w:leader="none" w:pos="1438"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and Network Access Fee Agreement</w:t>
      </w:r>
      <w:r>
        <w:rPr>
          <w:rFonts w:ascii="Arial" w:cs="Arial" w:eastAsia="Arial" w:hAnsi="Arial"/>
          <w:sz w:val="22"/>
          <w:szCs w:val="22"/>
          <w:color w:val="auto"/>
        </w:rPr>
        <w:t>” means that certain Marketing and Network Access Fee Agreement, dated the date of this Agreement, by and between the Company and Honda.</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329"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mean the GM Investor, SoftBank, Honda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176" w:lineRule="exact"/>
        <w:rPr>
          <w:rFonts w:ascii="Arial" w:cs="Arial" w:eastAsia="Arial" w:hAnsi="Arial"/>
          <w:sz w:val="22"/>
          <w:szCs w:val="22"/>
          <w:color w:val="auto"/>
        </w:rPr>
      </w:pPr>
    </w:p>
    <w:p>
      <w:pPr>
        <w:jc w:val="both"/>
        <w:ind w:firstLine="656"/>
        <w:spacing w:after="0" w:line="249" w:lineRule="auto"/>
        <w:tabs>
          <w:tab w:leader="none" w:pos="1549"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Acquisition</w:t>
      </w:r>
      <w:r>
        <w:rPr>
          <w:rFonts w:ascii="Arial" w:cs="Arial" w:eastAsia="Arial" w:hAnsi="Arial"/>
          <w:sz w:val="22"/>
          <w:szCs w:val="22"/>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86" w:lineRule="exact"/>
        <w:rPr>
          <w:rFonts w:ascii="Arial" w:cs="Arial" w:eastAsia="Arial" w:hAnsi="Arial"/>
          <w:sz w:val="22"/>
          <w:szCs w:val="22"/>
          <w:color w:val="auto"/>
        </w:rPr>
      </w:pPr>
    </w:p>
    <w:p>
      <w:pPr>
        <w:ind w:firstLine="656"/>
        <w:spacing w:after="0" w:line="269" w:lineRule="auto"/>
        <w:tabs>
          <w:tab w:leader="none" w:pos="1289"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Investment</w:t>
      </w:r>
      <w:r>
        <w:rPr>
          <w:rFonts w:ascii="Arial" w:cs="Arial" w:eastAsia="Arial" w:hAnsi="Arial"/>
          <w:sz w:val="22"/>
          <w:szCs w:val="22"/>
          <w:color w:val="auto"/>
        </w:rPr>
        <w:t>” shall mean the acquisition of a material percentage of the outstanding Shares of the Company by any automotive OEM.</w:t>
      </w:r>
    </w:p>
    <w:p>
      <w:pPr>
        <w:spacing w:after="0" w:line="162" w:lineRule="exact"/>
        <w:rPr>
          <w:rFonts w:ascii="Arial" w:cs="Arial" w:eastAsia="Arial" w:hAnsi="Arial"/>
          <w:sz w:val="22"/>
          <w:szCs w:val="22"/>
          <w:color w:val="auto"/>
        </w:rPr>
      </w:pPr>
    </w:p>
    <w:p>
      <w:pPr>
        <w:ind w:firstLine="656"/>
        <w:spacing w:after="0" w:line="269" w:lineRule="auto"/>
        <w:tabs>
          <w:tab w:leader="none" w:pos="1748" w:val="left"/>
        </w:tabs>
        <w:numPr>
          <w:ilvl w:val="0"/>
          <w:numId w:val="2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Restricted Investment</w:t>
      </w:r>
      <w:r>
        <w:rPr>
          <w:rFonts w:ascii="Arial" w:cs="Arial" w:eastAsia="Arial" w:hAnsi="Arial"/>
          <w:sz w:val="22"/>
          <w:szCs w:val="22"/>
          <w:color w:val="auto"/>
        </w:rPr>
        <w:t>” shall mean the acquisition of a number of Shares of the Company greater than or equal to the lesser of (i) Honda’s fully diluted ownership,</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I-10</w:t>
      </w:r>
    </w:p>
    <w:p>
      <w:pPr>
        <w:sectPr>
          <w:pgSz w:w="11900" w:h="16838" w:orient="portrait"/>
          <w:cols w:equalWidth="0" w:num="1">
            <w:col w:w="11420"/>
          </w:cols>
          <w:pgMar w:left="240" w:top="374" w:right="239" w:bottom="1440" w:gutter="0" w:footer="0" w:header="0"/>
        </w:sectPr>
      </w:pPr>
    </w:p>
    <w:bookmarkStart w:id="303" w:name="page304"/>
    <w:bookmarkEnd w:id="303"/>
    <w:p>
      <w:pPr>
        <w:jc w:val="both"/>
        <w:spacing w:after="0" w:line="253" w:lineRule="auto"/>
        <w:rPr>
          <w:sz w:val="20"/>
          <w:szCs w:val="20"/>
          <w:color w:val="auto"/>
        </w:rPr>
      </w:pPr>
      <w:r>
        <w:rPr>
          <w:rFonts w:ascii="Arial" w:cs="Arial" w:eastAsia="Arial" w:hAnsi="Arial"/>
          <w:sz w:val="22"/>
          <w:szCs w:val="22"/>
          <w:color w:val="auto"/>
        </w:rPr>
        <w:t>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180" w:lineRule="exact"/>
        <w:rPr>
          <w:sz w:val="20"/>
          <w:szCs w:val="20"/>
          <w:color w:val="auto"/>
        </w:rPr>
      </w:pPr>
    </w:p>
    <w:p>
      <w:pPr>
        <w:ind w:firstLine="656"/>
        <w:spacing w:after="0" w:line="269" w:lineRule="auto"/>
        <w:tabs>
          <w:tab w:leader="none" w:pos="1549" w:val="left"/>
        </w:tabs>
        <w:numPr>
          <w:ilvl w:val="1"/>
          <w:numId w:val="2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SoftBank Conversion Share Price</w:t>
      </w:r>
      <w:r>
        <w:rPr>
          <w:rFonts w:ascii="Arial" w:cs="Arial" w:eastAsia="Arial" w:hAnsi="Arial"/>
          <w:sz w:val="22"/>
          <w:szCs w:val="22"/>
          <w:color w:val="auto"/>
        </w:rPr>
        <w:t>” shall mean the value, per Class A-1 Preferred Share or Class D Share (as applicable), calculated as follows:</w:t>
      </w:r>
    </w:p>
    <w:p>
      <w:pPr>
        <w:spacing w:after="0" w:line="168" w:lineRule="exact"/>
        <w:rPr>
          <w:rFonts w:ascii="Arial" w:cs="Arial" w:eastAsia="Arial" w:hAnsi="Arial"/>
          <w:sz w:val="22"/>
          <w:szCs w:val="22"/>
          <w:color w:val="auto"/>
        </w:rPr>
      </w:pPr>
    </w:p>
    <w:p>
      <w:pPr>
        <w:jc w:val="both"/>
        <w:ind w:firstLine="1426"/>
        <w:spacing w:after="0" w:line="260" w:lineRule="auto"/>
        <w:tabs>
          <w:tab w:leader="none" w:pos="2135" w:val="left"/>
        </w:tabs>
        <w:numPr>
          <w:ilvl w:val="2"/>
          <w:numId w:val="291"/>
        </w:numPr>
        <w:rPr>
          <w:rFonts w:ascii="Arial" w:cs="Arial" w:eastAsia="Arial" w:hAnsi="Arial"/>
          <w:sz w:val="21"/>
          <w:szCs w:val="21"/>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all Junior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 (collectively the number of Class D Shares resulting from the deemed conversion, the “</w:t>
      </w:r>
      <w:r>
        <w:rPr>
          <w:rFonts w:ascii="Arial" w:cs="Arial" w:eastAsia="Arial" w:hAnsi="Arial"/>
          <w:sz w:val="21"/>
          <w:szCs w:val="21"/>
          <w:b w:val="1"/>
          <w:bCs w:val="1"/>
          <w:color w:val="auto"/>
        </w:rPr>
        <w:t>Total Optional Conversion Shares</w:t>
      </w:r>
      <w:r>
        <w:rPr>
          <w:rFonts w:ascii="Arial" w:cs="Arial" w:eastAsia="Arial" w:hAnsi="Arial"/>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181" w:lineRule="exact"/>
        <w:rPr>
          <w:rFonts w:ascii="Arial" w:cs="Arial" w:eastAsia="Arial" w:hAnsi="Arial"/>
          <w:sz w:val="21"/>
          <w:szCs w:val="21"/>
          <w:color w:val="auto"/>
        </w:rPr>
      </w:pPr>
    </w:p>
    <w:p>
      <w:pPr>
        <w:jc w:val="both"/>
        <w:ind w:firstLine="1426"/>
        <w:spacing w:after="0" w:line="286" w:lineRule="auto"/>
        <w:tabs>
          <w:tab w:leader="none" w:pos="2195" w:val="left"/>
        </w:tabs>
        <w:numPr>
          <w:ilvl w:val="2"/>
          <w:numId w:val="291"/>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w:t>
      </w:r>
    </w:p>
    <w:p>
      <w:pPr>
        <w:spacing w:after="0" w:line="2" w:lineRule="exact"/>
        <w:rPr>
          <w:rFonts w:ascii="Arial" w:cs="Arial" w:eastAsia="Arial" w:hAnsi="Arial"/>
          <w:sz w:val="19"/>
          <w:szCs w:val="19"/>
          <w:color w:val="auto"/>
        </w:rPr>
      </w:pPr>
    </w:p>
    <w:p>
      <w:pPr>
        <w:jc w:val="both"/>
        <w:ind w:firstLine="8"/>
        <w:spacing w:after="0" w:line="258" w:lineRule="auto"/>
        <w:tabs>
          <w:tab w:leader="none" w:pos="343" w:val="left"/>
        </w:tabs>
        <w:numPr>
          <w:ilvl w:val="0"/>
          <w:numId w:val="292"/>
        </w:numPr>
        <w:rPr>
          <w:rFonts w:ascii="Arial" w:cs="Arial" w:eastAsia="Arial" w:hAnsi="Arial"/>
          <w:sz w:val="21"/>
          <w:szCs w:val="21"/>
          <w:color w:val="auto"/>
        </w:rPr>
      </w:pPr>
      <w:r>
        <w:rPr>
          <w:rFonts w:ascii="Arial" w:cs="Arial" w:eastAsia="Arial" w:hAnsi="Arial"/>
          <w:sz w:val="21"/>
          <w:szCs w:val="21"/>
          <w:color w:val="auto"/>
        </w:rPr>
        <w:t xml:space="preserve">for each Class A-1-B Preferred Share, the Call Notice/Optional SoftBank Conversion Notice Fair Market Value,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74" w:lineRule="exact"/>
        <w:rPr>
          <w:rFonts w:ascii="Arial" w:cs="Arial" w:eastAsia="Arial" w:hAnsi="Arial"/>
          <w:sz w:val="21"/>
          <w:szCs w:val="21"/>
          <w:color w:val="auto"/>
        </w:rPr>
      </w:pPr>
    </w:p>
    <w:p>
      <w:pPr>
        <w:ind w:firstLine="656"/>
        <w:spacing w:after="0" w:line="269" w:lineRule="auto"/>
        <w:tabs>
          <w:tab w:leader="none" w:pos="14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Party</w:t>
      </w:r>
      <w:r>
        <w:rPr>
          <w:rFonts w:ascii="Arial" w:cs="Arial" w:eastAsia="Arial" w:hAnsi="Arial"/>
          <w:sz w:val="22"/>
          <w:szCs w:val="22"/>
          <w:color w:val="auto"/>
        </w:rPr>
        <w:t>” shall mean (i) with respect to the Company or any of its Subsidiaries, the GM Investor and (ii) with respect to the GM Investor, the Company.</w:t>
      </w:r>
    </w:p>
    <w:p>
      <w:pPr>
        <w:spacing w:after="0" w:line="162" w:lineRule="exact"/>
        <w:rPr>
          <w:rFonts w:ascii="Arial" w:cs="Arial" w:eastAsia="Arial" w:hAnsi="Arial"/>
          <w:sz w:val="22"/>
          <w:szCs w:val="22"/>
          <w:color w:val="auto"/>
        </w:rPr>
      </w:pPr>
    </w:p>
    <w:p>
      <w:pPr>
        <w:jc w:val="both"/>
        <w:ind w:firstLine="656"/>
        <w:spacing w:after="0" w:line="295" w:lineRule="auto"/>
        <w:tabs>
          <w:tab w:leader="none" w:pos="1549" w:val="left"/>
        </w:tabs>
        <w:numPr>
          <w:ilvl w:val="1"/>
          <w:numId w:val="2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A-1 Preferred Share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Junior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4" w:lineRule="exact"/>
        <w:rPr>
          <w:rFonts w:ascii="Arial" w:cs="Arial" w:eastAsia="Arial" w:hAnsi="Arial"/>
          <w:sz w:val="19"/>
          <w:szCs w:val="19"/>
          <w:color w:val="auto"/>
        </w:rPr>
      </w:pPr>
    </w:p>
    <w:p>
      <w:pPr>
        <w:jc w:val="both"/>
        <w:ind w:firstLine="656"/>
        <w:spacing w:after="0" w:line="256" w:lineRule="auto"/>
        <w:tabs>
          <w:tab w:leader="none" w:pos="14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 Class E FMV</w:t>
      </w:r>
      <w:r>
        <w:rPr>
          <w:rFonts w:ascii="Arial" w:cs="Arial" w:eastAsia="Arial" w:hAnsi="Arial"/>
          <w:sz w:val="22"/>
          <w:szCs w:val="22"/>
          <w:color w:val="auto"/>
        </w:rPr>
        <w:t xml:space="preserve">” shall mean the Standardized FMV (as defined in, and determined in accordance with, Exhibit II)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total outstanding Shares as of the time of the determination of the Call Notice/Optional SoftBank Conversion Notice Fair Market Value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I-11</w:t>
      </w:r>
    </w:p>
    <w:p>
      <w:pPr>
        <w:sectPr>
          <w:pgSz w:w="11900" w:h="16838" w:orient="portrait"/>
          <w:cols w:equalWidth="0" w:num="1">
            <w:col w:w="11420"/>
          </w:cols>
          <w:pgMar w:left="240" w:top="375" w:right="239" w:bottom="1440" w:gutter="0" w:footer="0" w:header="0"/>
        </w:sectPr>
      </w:pPr>
    </w:p>
    <w:bookmarkStart w:id="304" w:name="page305"/>
    <w:bookmarkEnd w:id="304"/>
    <w:p>
      <w:pPr>
        <w:jc w:val="both"/>
        <w:spacing w:after="0" w:line="250" w:lineRule="auto"/>
        <w:rPr>
          <w:sz w:val="20"/>
          <w:szCs w:val="20"/>
          <w:color w:val="auto"/>
        </w:rPr>
      </w:pPr>
      <w:r>
        <w:rPr>
          <w:rFonts w:ascii="Arial" w:cs="Arial" w:eastAsia="Arial" w:hAnsi="Arial"/>
          <w:sz w:val="22"/>
          <w:szCs w:val="22"/>
          <w:color w:val="auto"/>
        </w:rPr>
        <w:t>as if each Share (on a Fully Diluted Basis) was converted into a Class D Common Share (with Junior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82" w:lineRule="exact"/>
        <w:rPr>
          <w:sz w:val="20"/>
          <w:szCs w:val="20"/>
          <w:color w:val="auto"/>
        </w:rPr>
      </w:pPr>
    </w:p>
    <w:p>
      <w:pPr>
        <w:jc w:val="both"/>
        <w:ind w:firstLine="656"/>
        <w:spacing w:after="0" w:line="252" w:lineRule="auto"/>
        <w:tabs>
          <w:tab w:leader="none" w:pos="1337" w:val="left"/>
        </w:tabs>
        <w:numPr>
          <w:ilvl w:val="0"/>
          <w:numId w:val="2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 liability company or limited partnership, an association, a joint stock company, a trust, a joint 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180" w:lineRule="exact"/>
        <w:rPr>
          <w:rFonts w:ascii="Arial" w:cs="Arial" w:eastAsia="Arial" w:hAnsi="Arial"/>
          <w:sz w:val="22"/>
          <w:szCs w:val="22"/>
          <w:color w:val="auto"/>
        </w:rPr>
      </w:pPr>
    </w:p>
    <w:p>
      <w:pPr>
        <w:jc w:val="both"/>
        <w:ind w:firstLine="656"/>
        <w:spacing w:after="0" w:line="291" w:lineRule="auto"/>
        <w:tabs>
          <w:tab w:leader="none" w:pos="1453" w:val="left"/>
        </w:tabs>
        <w:numPr>
          <w:ilvl w:val="0"/>
          <w:numId w:val="2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Proportion</w:t>
      </w:r>
      <w:r>
        <w:rPr>
          <w:rFonts w:ascii="Arial" w:cs="Arial" w:eastAsia="Arial" w:hAnsi="Arial"/>
          <w:sz w:val="19"/>
          <w:szCs w:val="19"/>
          <w:color w:val="auto"/>
        </w:rPr>
        <w:t xml:space="preserve">” shall mean, with respect to a holder of Preemptive Shares as of any given time, an amount, expressed as a decimal, equal to (i) the number of Class D Common Shares held by such Member as if all Junior Interests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2.10(b),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Conversion Shares (excluding, for the purpose of calculating the Total Conversion Shares, any Class B Common Share, including any Vested Class B Common Share).</w:t>
      </w:r>
    </w:p>
    <w:p>
      <w:pPr>
        <w:spacing w:after="0" w:line="149" w:lineRule="exact"/>
        <w:rPr>
          <w:rFonts w:ascii="Arial" w:cs="Arial" w:eastAsia="Arial" w:hAnsi="Arial"/>
          <w:sz w:val="19"/>
          <w:szCs w:val="19"/>
          <w:color w:val="auto"/>
        </w:rPr>
      </w:pPr>
    </w:p>
    <w:p>
      <w:pPr>
        <w:ind w:left="1260" w:hanging="604"/>
        <w:spacing w:after="0"/>
        <w:tabs>
          <w:tab w:leader="none" w:pos="126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shall mean each class of Shares other than the Class B Common Shares.</w:t>
      </w:r>
    </w:p>
    <w:p>
      <w:pPr>
        <w:spacing w:after="0" w:line="219" w:lineRule="exact"/>
        <w:rPr>
          <w:rFonts w:ascii="Arial" w:cs="Arial" w:eastAsia="Arial" w:hAnsi="Arial"/>
          <w:sz w:val="22"/>
          <w:szCs w:val="22"/>
          <w:color w:val="auto"/>
        </w:rPr>
      </w:pPr>
    </w:p>
    <w:p>
      <w:pPr>
        <w:ind w:left="1440" w:hanging="784"/>
        <w:spacing w:after="0"/>
        <w:tabs>
          <w:tab w:leader="none" w:pos="144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shall mean the prime rate in effect at the time at the New York City offices of Citibank, N.A.</w:t>
      </w:r>
    </w:p>
    <w:p>
      <w:pPr>
        <w:spacing w:after="0" w:line="231" w:lineRule="exact"/>
        <w:rPr>
          <w:rFonts w:ascii="Arial" w:cs="Arial" w:eastAsia="Arial" w:hAnsi="Arial"/>
          <w:sz w:val="21"/>
          <w:szCs w:val="21"/>
          <w:color w:val="auto"/>
        </w:rPr>
      </w:pPr>
    </w:p>
    <w:p>
      <w:pPr>
        <w:jc w:val="both"/>
        <w:ind w:firstLine="656"/>
        <w:spacing w:after="0" w:line="249" w:lineRule="auto"/>
        <w:tabs>
          <w:tab w:leader="none" w:pos="1535" w:val="left"/>
        </w:tabs>
        <w:numPr>
          <w:ilvl w:val="0"/>
          <w:numId w:val="2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Appraiser</w:t>
      </w:r>
      <w:r>
        <w:rPr>
          <w:rFonts w:ascii="Arial" w:cs="Arial" w:eastAsia="Arial" w:hAnsi="Arial"/>
          <w:sz w:val="22"/>
          <w:szCs w:val="22"/>
          <w:color w:val="auto"/>
        </w:rPr>
        <w:t xml:space="preserve">” shall mean a globally recognized investment banking firm;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such firm is the third “Qualified Appraiser” referred to in Exhibit II, then it shall not have (i) been engaged for any M&amp;A advisory or other similar services or (ii) served as a lead or co-lead “bookrunner” for a debt or equity issuance in excess of $500,000,000 by or for the GM Investor, SVF, SVFA, SoftBank or any Affiliate of the foregoing during the three (3) year period preceding such firm’s appointment.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(wwww)“</w:t>
      </w:r>
      <w:r>
        <w:rPr>
          <w:rFonts w:ascii="Arial" w:cs="Arial" w:eastAsia="Arial" w:hAnsi="Arial"/>
          <w:sz w:val="22"/>
          <w:szCs w:val="22"/>
          <w:b w:val="1"/>
          <w:bCs w:val="1"/>
          <w:color w:val="auto"/>
        </w:rPr>
        <w:t>Quarter</w:t>
      </w:r>
      <w:r>
        <w:rPr>
          <w:rFonts w:ascii="Arial" w:cs="Arial" w:eastAsia="Arial" w:hAnsi="Arial"/>
          <w:sz w:val="22"/>
          <w:szCs w:val="22"/>
          <w:color w:val="auto"/>
        </w:rPr>
        <w:t>” shall mean each calendar quarter.</w:t>
      </w:r>
    </w:p>
    <w:p>
      <w:pPr>
        <w:spacing w:after="0" w:line="220" w:lineRule="exact"/>
        <w:rPr>
          <w:sz w:val="20"/>
          <w:szCs w:val="20"/>
          <w:color w:val="auto"/>
        </w:rPr>
      </w:pPr>
    </w:p>
    <w:p>
      <w:pPr>
        <w:jc w:val="both"/>
        <w:ind w:firstLine="656"/>
        <w:spacing w:after="0" w:line="248" w:lineRule="auto"/>
        <w:tabs>
          <w:tab w:leader="none" w:pos="1508" w:val="left"/>
        </w:tabs>
        <w:numPr>
          <w:ilvl w:val="0"/>
          <w:numId w:val="2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Registrable Equity Securities</w:t>
      </w:r>
      <w:r>
        <w:rPr>
          <w:rFonts w:ascii="Arial" w:cs="Arial" w:eastAsia="Arial" w:hAnsi="Arial"/>
          <w:sz w:val="22"/>
          <w:szCs w:val="22"/>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I-12</w:t>
      </w:r>
    </w:p>
    <w:p>
      <w:pPr>
        <w:sectPr>
          <w:pgSz w:w="11900" w:h="16838" w:orient="portrait"/>
          <w:cols w:equalWidth="0" w:num="1">
            <w:col w:w="11420"/>
          </w:cols>
          <w:pgMar w:left="240" w:top="374" w:right="239" w:bottom="1440" w:gutter="0" w:footer="0" w:header="0"/>
        </w:sectPr>
      </w:pPr>
    </w:p>
    <w:bookmarkStart w:id="305" w:name="page306"/>
    <w:bookmarkEnd w:id="305"/>
    <w:p>
      <w:pPr>
        <w:ind w:right="20"/>
        <w:spacing w:after="0" w:line="263" w:lineRule="auto"/>
        <w:rPr>
          <w:sz w:val="20"/>
          <w:szCs w:val="20"/>
          <w:color w:val="auto"/>
        </w:rPr>
      </w:pPr>
      <w:r>
        <w:rPr>
          <w:rFonts w:ascii="Arial" w:cs="Arial" w:eastAsia="Arial" w:hAnsi="Arial"/>
          <w:sz w:val="22"/>
          <w:szCs w:val="22"/>
          <w:color w:val="auto"/>
        </w:rPr>
        <w:t>Equity Securities not bearing the legend required pursuant to this Agreement and such Equity Securities may be resold without subsequent registration under the Securities Act.</w:t>
      </w:r>
    </w:p>
    <w:p>
      <w:pPr>
        <w:spacing w:after="0" w:line="169" w:lineRule="exact"/>
        <w:rPr>
          <w:sz w:val="20"/>
          <w:szCs w:val="20"/>
          <w:color w:val="auto"/>
        </w:rPr>
      </w:pPr>
    </w:p>
    <w:p>
      <w:pPr>
        <w:ind w:firstLine="656"/>
        <w:spacing w:after="0" w:line="269" w:lineRule="auto"/>
        <w:tabs>
          <w:tab w:leader="none" w:pos="1494" w:val="left"/>
        </w:tabs>
        <w:numPr>
          <w:ilvl w:val="0"/>
          <w:numId w:val="2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shall mean, (i) with respect to the Company or any of its Subsidiaries, the GM Business and (ii) with respect to the GM Investor or any of its Subsidiaries, the AVCo Business.</w:t>
      </w:r>
    </w:p>
    <w:p>
      <w:pPr>
        <w:spacing w:after="0" w:line="162" w:lineRule="exact"/>
        <w:rPr>
          <w:rFonts w:ascii="Arial" w:cs="Arial" w:eastAsia="Arial" w:hAnsi="Arial"/>
          <w:sz w:val="22"/>
          <w:szCs w:val="22"/>
          <w:color w:val="auto"/>
        </w:rPr>
      </w:pPr>
    </w:p>
    <w:p>
      <w:pPr>
        <w:jc w:val="both"/>
        <w:ind w:firstLine="656"/>
        <w:spacing w:after="0" w:line="295" w:lineRule="auto"/>
        <w:tabs>
          <w:tab w:leader="none" w:pos="147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GM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44" w:lineRule="exact"/>
        <w:rPr>
          <w:sz w:val="20"/>
          <w:szCs w:val="20"/>
          <w:color w:val="auto"/>
        </w:rPr>
      </w:pPr>
    </w:p>
    <w:p>
      <w:pPr>
        <w:jc w:val="both"/>
        <w:ind w:firstLine="656"/>
        <w:spacing w:after="0" w:line="262" w:lineRule="auto"/>
        <w:tabs>
          <w:tab w:leader="none" w:pos="1609" w:val="left"/>
        </w:tabs>
        <w:numPr>
          <w:ilvl w:val="0"/>
          <w:numId w:val="2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of the Company</w:t>
      </w:r>
      <w:r>
        <w:rPr>
          <w:rFonts w:ascii="Arial" w:cs="Arial" w:eastAsia="Arial" w:hAnsi="Arial"/>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173" w:lineRule="exact"/>
        <w:rPr>
          <w:rFonts w:ascii="Arial" w:cs="Arial" w:eastAsia="Arial" w:hAnsi="Arial"/>
          <w:sz w:val="21"/>
          <w:szCs w:val="21"/>
          <w:color w:val="auto"/>
        </w:rPr>
      </w:pPr>
    </w:p>
    <w:p>
      <w:pPr>
        <w:jc w:val="both"/>
        <w:ind w:firstLine="656"/>
        <w:spacing w:after="0" w:line="293" w:lineRule="auto"/>
        <w:tabs>
          <w:tab w:leader="none" w:pos="140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(B) 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145" w:lineRule="exact"/>
        <w:rPr>
          <w:rFonts w:ascii="Arial" w:cs="Arial" w:eastAsia="Arial" w:hAnsi="Arial"/>
          <w:sz w:val="19"/>
          <w:szCs w:val="19"/>
          <w:color w:val="auto"/>
        </w:rPr>
      </w:pPr>
    </w:p>
    <w:p>
      <w:pPr>
        <w:ind w:firstLine="656"/>
        <w:spacing w:after="0" w:line="350" w:lineRule="auto"/>
        <w:tabs>
          <w:tab w:leader="none" w:pos="132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Territory</w:t>
      </w:r>
      <w:r>
        <w:rPr>
          <w:rFonts w:ascii="Arial" w:cs="Arial" w:eastAsia="Arial" w:hAnsi="Arial"/>
          <w:sz w:val="19"/>
          <w:szCs w:val="19"/>
          <w:color w:val="auto"/>
        </w:rPr>
        <w:t>” shall mean, at any time, a country or geographic region that is itself the subject or target of any comprehensive Sanctions within the past five years, which includes: Crimea, Cuba, Iran, North Korea, Sudan, and Syria.</w:t>
      </w:r>
    </w:p>
    <w:p>
      <w:pPr>
        <w:spacing w:after="0" w:line="92" w:lineRule="exact"/>
        <w:rPr>
          <w:rFonts w:ascii="Arial" w:cs="Arial" w:eastAsia="Arial" w:hAnsi="Arial"/>
          <w:sz w:val="19"/>
          <w:szCs w:val="19"/>
          <w:color w:val="auto"/>
        </w:rPr>
      </w:pPr>
    </w:p>
    <w:p>
      <w:pPr>
        <w:jc w:val="both"/>
        <w:ind w:firstLine="656"/>
        <w:spacing w:after="0" w:line="262" w:lineRule="auto"/>
        <w:tabs>
          <w:tab w:leader="none" w:pos="1413" w:val="left"/>
        </w:tabs>
        <w:numPr>
          <w:ilvl w:val="0"/>
          <w:numId w:val="2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Sanctions</w:t>
      </w:r>
      <w:r>
        <w:rPr>
          <w:rFonts w:ascii="Arial" w:cs="Arial" w:eastAsia="Arial" w:hAnsi="Arial"/>
          <w:sz w:val="21"/>
          <w:szCs w:val="21"/>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I-13</w:t>
      </w:r>
    </w:p>
    <w:p>
      <w:pPr>
        <w:sectPr>
          <w:pgSz w:w="11900" w:h="16838" w:orient="portrait"/>
          <w:cols w:equalWidth="0" w:num="1">
            <w:col w:w="11420"/>
          </w:cols>
          <w:pgMar w:left="240" w:top="374" w:right="239" w:bottom="1440" w:gutter="0" w:footer="0" w:header="0"/>
        </w:sectPr>
      </w:pPr>
    </w:p>
    <w:bookmarkStart w:id="306" w:name="page307"/>
    <w:bookmarkEnd w:id="306"/>
    <w:p>
      <w:pPr>
        <w:ind w:left="1340" w:hanging="684"/>
        <w:spacing w:after="0"/>
        <w:tabs>
          <w:tab w:leader="none" w:pos="134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shall mean the United States Securities and Exchange Commission.</w:t>
      </w:r>
    </w:p>
    <w:p>
      <w:pPr>
        <w:spacing w:after="0" w:line="254" w:lineRule="exact"/>
        <w:rPr>
          <w:rFonts w:ascii="Arial" w:cs="Arial" w:eastAsia="Arial" w:hAnsi="Arial"/>
          <w:sz w:val="19"/>
          <w:szCs w:val="19"/>
          <w:color w:val="auto"/>
        </w:rPr>
      </w:pPr>
    </w:p>
    <w:p>
      <w:pPr>
        <w:jc w:val="both"/>
        <w:ind w:firstLine="656"/>
        <w:spacing w:after="0" w:line="267" w:lineRule="auto"/>
        <w:tabs>
          <w:tab w:leader="none" w:pos="119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Tranche Conditions</w:t>
      </w:r>
      <w:r>
        <w:rPr>
          <w:rFonts w:ascii="Arial" w:cs="Arial" w:eastAsia="Arial" w:hAnsi="Arial"/>
          <w:sz w:val="21"/>
          <w:szCs w:val="21"/>
          <w:color w:val="auto"/>
        </w:rPr>
        <w:t>” shall mean the following conditions: (i) the CFIUS Condition, and (ii) there shall not, at the time of consummation of the transactions contemplated by Section 2.02(c)(i), be in effect and Law or Order (each as defined in the Purchase Agreement) enacted or entered by a Governmental Authority of competent jurisdiction restraining, enjoining or otherwise prohibiting the consummation of the transactions contemplated by Section 2.02(c)(i).</w:t>
      </w:r>
    </w:p>
    <w:p>
      <w:pPr>
        <w:spacing w:after="0" w:line="167" w:lineRule="exact"/>
        <w:rPr>
          <w:rFonts w:ascii="Arial" w:cs="Arial" w:eastAsia="Arial" w:hAnsi="Arial"/>
          <w:sz w:val="21"/>
          <w:szCs w:val="21"/>
          <w:color w:val="auto"/>
        </w:rPr>
      </w:pPr>
    </w:p>
    <w:p>
      <w:pPr>
        <w:ind w:left="1400" w:hanging="744"/>
        <w:spacing w:after="0"/>
        <w:tabs>
          <w:tab w:leader="none" w:pos="140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shall mean the Securities Act of 1933, as amended.</w:t>
      </w:r>
    </w:p>
    <w:p>
      <w:pPr>
        <w:spacing w:after="0" w:line="231" w:lineRule="exact"/>
        <w:rPr>
          <w:rFonts w:ascii="Arial" w:cs="Arial" w:eastAsia="Arial" w:hAnsi="Arial"/>
          <w:sz w:val="21"/>
          <w:szCs w:val="21"/>
          <w:color w:val="auto"/>
        </w:rPr>
      </w:pPr>
    </w:p>
    <w:p>
      <w:pPr>
        <w:ind w:firstLine="656"/>
        <w:spacing w:after="0" w:line="350" w:lineRule="auto"/>
        <w:tabs>
          <w:tab w:leader="none" w:pos="138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92" w:lineRule="exact"/>
        <w:rPr>
          <w:rFonts w:ascii="Arial" w:cs="Arial" w:eastAsia="Arial" w:hAnsi="Arial"/>
          <w:sz w:val="19"/>
          <w:szCs w:val="19"/>
          <w:color w:val="auto"/>
        </w:rPr>
      </w:pPr>
    </w:p>
    <w:p>
      <w:pPr>
        <w:jc w:val="both"/>
        <w:ind w:right="20" w:firstLine="656"/>
        <w:spacing w:after="0" w:line="256" w:lineRule="auto"/>
        <w:tabs>
          <w:tab w:leader="none" w:pos="116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Sidecar Fund</w:t>
      </w:r>
      <w:r>
        <w:rPr>
          <w:rFonts w:ascii="Arial" w:cs="Arial" w:eastAsia="Arial" w:hAnsi="Arial"/>
          <w:sz w:val="22"/>
          <w:szCs w:val="22"/>
          <w:color w:val="auto"/>
        </w:rPr>
        <w:t>” shall mean a fund which both (i) has the same investment manager (which, as at the date of this Agreement, is SB Investment Advisers (UK) Limited) as SVF, and (ii) does not have any limited partners that are not also limited partners in SVF.</w:t>
      </w:r>
    </w:p>
    <w:p>
      <w:pPr>
        <w:spacing w:after="0" w:line="176" w:lineRule="exact"/>
        <w:rPr>
          <w:rFonts w:ascii="Arial" w:cs="Arial" w:eastAsia="Arial" w:hAnsi="Arial"/>
          <w:sz w:val="22"/>
          <w:szCs w:val="22"/>
          <w:color w:val="auto"/>
        </w:rPr>
      </w:pPr>
    </w:p>
    <w:p>
      <w:pPr>
        <w:jc w:val="both"/>
        <w:ind w:firstLine="656"/>
        <w:spacing w:after="0" w:line="288" w:lineRule="auto"/>
        <w:tabs>
          <w:tab w:leader="none" w:pos="120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Section 2.02(c)(i).</w:t>
      </w:r>
    </w:p>
    <w:p>
      <w:pPr>
        <w:spacing w:after="0" w:line="154" w:lineRule="exact"/>
        <w:rPr>
          <w:rFonts w:ascii="Arial" w:cs="Arial" w:eastAsia="Arial" w:hAnsi="Arial"/>
          <w:sz w:val="19"/>
          <w:szCs w:val="19"/>
          <w:color w:val="auto"/>
        </w:rPr>
      </w:pPr>
    </w:p>
    <w:p>
      <w:pPr>
        <w:jc w:val="both"/>
        <w:ind w:firstLine="656"/>
        <w:spacing w:after="0" w:line="256" w:lineRule="auto"/>
        <w:tabs>
          <w:tab w:leader="none" w:pos="1386" w:val="left"/>
        </w:tabs>
        <w:numPr>
          <w:ilvl w:val="0"/>
          <w:numId w:val="2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Condition</w:t>
      </w:r>
      <w:r>
        <w:rPr>
          <w:rFonts w:ascii="Arial" w:cs="Arial" w:eastAsia="Arial" w:hAnsi="Arial"/>
          <w:sz w:val="22"/>
          <w:szCs w:val="22"/>
          <w:color w:val="auto"/>
        </w:rPr>
        <w:t>” shall mean: (i) SoftBank CFIUS Approval has been received and (ii) unless waived by SoftBank, CFIUS shall not have required or imposed any Burdensome Conditions (as defined in the SoftBank Purchase Agreement).</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187" w:val="left"/>
        </w:tabs>
        <w:numPr>
          <w:ilvl w:val="0"/>
          <w:numId w:val="2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SVF prior to the execution of the SoftBank Purchase Agreement).</w:t>
      </w:r>
    </w:p>
    <w:p>
      <w:pPr>
        <w:spacing w:after="0" w:line="180" w:lineRule="exact"/>
        <w:rPr>
          <w:rFonts w:ascii="Arial" w:cs="Arial" w:eastAsia="Arial" w:hAnsi="Arial"/>
          <w:sz w:val="22"/>
          <w:szCs w:val="22"/>
          <w:color w:val="auto"/>
        </w:rPr>
      </w:pPr>
    </w:p>
    <w:p>
      <w:pPr>
        <w:ind w:firstLine="656"/>
        <w:spacing w:after="0" w:line="293" w:lineRule="auto"/>
        <w:tabs>
          <w:tab w:leader="none" w:pos="1687" w:val="left"/>
        </w:tabs>
        <w:numPr>
          <w:ilvl w:val="0"/>
          <w:numId w:val="2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w:t>
      </w:r>
      <w:r>
        <w:rPr>
          <w:rFonts w:ascii="Arial" w:cs="Arial" w:eastAsia="Arial" w:hAnsi="Arial"/>
          <w:sz w:val="21"/>
          <w:szCs w:val="21"/>
          <w:color w:val="auto"/>
        </w:rPr>
        <w:t xml:space="preserve"> F</w:t>
      </w:r>
      <w:r>
        <w:rPr>
          <w:rFonts w:ascii="Arial" w:cs="Arial" w:eastAsia="Arial" w:hAnsi="Arial"/>
          <w:sz w:val="21"/>
          <w:szCs w:val="21"/>
          <w:b w:val="1"/>
          <w:bCs w:val="1"/>
          <w:color w:val="auto"/>
        </w:rPr>
        <w:t>loor Amount</w:t>
      </w:r>
      <w:r>
        <w:rPr>
          <w:rFonts w:ascii="Arial" w:cs="Arial" w:eastAsia="Arial" w:hAnsi="Arial"/>
          <w:sz w:val="21"/>
          <w:szCs w:val="21"/>
          <w:color w:val="auto"/>
        </w:rPr>
        <w:t>” shall mean five percent (5%) of the total outstanding Shares in the Company as if each Share (on a Fully Diluted Basis) was converted into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I-14</w:t>
      </w:r>
    </w:p>
    <w:p>
      <w:pPr>
        <w:sectPr>
          <w:pgSz w:w="11900" w:h="16838" w:orient="portrait"/>
          <w:cols w:equalWidth="0" w:num="1">
            <w:col w:w="11420"/>
          </w:cols>
          <w:pgMar w:left="240" w:top="369" w:right="239" w:bottom="1440" w:gutter="0" w:footer="0" w:header="0"/>
        </w:sectPr>
      </w:pPr>
    </w:p>
    <w:bookmarkStart w:id="307" w:name="page308"/>
    <w:bookmarkEnd w:id="307"/>
    <w:p>
      <w:pPr>
        <w:jc w:val="both"/>
        <w:ind w:right="20"/>
        <w:spacing w:after="0" w:line="312" w:lineRule="auto"/>
        <w:rPr>
          <w:sz w:val="20"/>
          <w:szCs w:val="20"/>
          <w:color w:val="auto"/>
        </w:rPr>
      </w:pPr>
      <w:r>
        <w:rPr>
          <w:rFonts w:ascii="Arial" w:cs="Arial" w:eastAsia="Arial" w:hAnsi="Arial"/>
          <w:sz w:val="19"/>
          <w:szCs w:val="19"/>
          <w:color w:val="auto"/>
        </w:rPr>
        <w:t>a Class D Common Share (with Junior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w:t>
      </w:r>
    </w:p>
    <w:p>
      <w:pPr>
        <w:spacing w:after="0" w:line="128" w:lineRule="exact"/>
        <w:rPr>
          <w:sz w:val="20"/>
          <w:szCs w:val="20"/>
          <w:color w:val="auto"/>
        </w:rPr>
      </w:pPr>
    </w:p>
    <w:p>
      <w:pPr>
        <w:ind w:left="1400" w:hanging="744"/>
        <w:spacing w:after="0"/>
        <w:tabs>
          <w:tab w:leader="none" w:pos="140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Group Corp.</w:t>
      </w:r>
      <w:r>
        <w:rPr>
          <w:rFonts w:ascii="Arial" w:cs="Arial" w:eastAsia="Arial" w:hAnsi="Arial"/>
          <w:sz w:val="19"/>
          <w:szCs w:val="19"/>
          <w:color w:val="auto"/>
        </w:rPr>
        <w:t>” shall mean SoftBank Group Corp., a corporation incorporated under the laws of Japan.</w:t>
      </w:r>
    </w:p>
    <w:p>
      <w:pPr>
        <w:spacing w:after="0" w:line="254" w:lineRule="exact"/>
        <w:rPr>
          <w:rFonts w:ascii="Arial" w:cs="Arial" w:eastAsia="Arial" w:hAnsi="Arial"/>
          <w:sz w:val="19"/>
          <w:szCs w:val="19"/>
          <w:color w:val="auto"/>
        </w:rPr>
      </w:pPr>
    </w:p>
    <w:p>
      <w:pPr>
        <w:jc w:val="both"/>
        <w:ind w:firstLine="656"/>
        <w:spacing w:after="0" w:line="261" w:lineRule="auto"/>
        <w:tabs>
          <w:tab w:leader="none" w:pos="1413" w:val="left"/>
        </w:tabs>
        <w:numPr>
          <w:ilvl w:val="0"/>
          <w:numId w:val="2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 Party</w:t>
      </w:r>
      <w:r>
        <w:rPr>
          <w:rFonts w:ascii="Arial" w:cs="Arial" w:eastAsia="Arial" w:hAnsi="Arial"/>
          <w:sz w:val="21"/>
          <w:szCs w:val="21"/>
          <w:color w:val="auto"/>
        </w:rPr>
        <w:t>” shall mean (i) any investment fund, investment vehicle or other account that is, directly or indirectly, managed or advised by SVF or any of its Affiliates, and shall include SoftBank Vision Fund (AIV M2) L.P., a Delaware limited partnership, and SoftBank Vision Fund (AIV S1) L.P., a Delaware limited partnership (each, a “</w:t>
      </w:r>
      <w:r>
        <w:rPr>
          <w:rFonts w:ascii="Arial" w:cs="Arial" w:eastAsia="Arial" w:hAnsi="Arial"/>
          <w:sz w:val="21"/>
          <w:szCs w:val="21"/>
          <w:b w:val="1"/>
          <w:bCs w:val="1"/>
          <w:color w:val="auto"/>
        </w:rPr>
        <w:t>SoftBank Fund</w:t>
      </w:r>
      <w:r>
        <w:rPr>
          <w:rFonts w:ascii="Arial" w:cs="Arial" w:eastAsia="Arial" w:hAnsi="Arial"/>
          <w:sz w:val="21"/>
          <w:szCs w:val="21"/>
          <w:color w:val="auto"/>
        </w:rPr>
        <w:t>”), (ii) each Affiliate of each SoftBank Fund, (iii) SVF, SVFA, SoftBank Group Corp. and each Affiliate of SVF, SVFA or SoftBank Group Corp., (iv) each portfolio company of any SoftBank Fund, SVF, SVFA, SoftBank Group Corp. or any of their Affiliates and (v) any Person in which any SoftBank Fund, SVF, SVFA, SoftBank Group Corp. or any of their Affiliates holds a non-controlling and minority position.</w:t>
      </w:r>
    </w:p>
    <w:p>
      <w:pPr>
        <w:spacing w:after="0" w:line="174" w:lineRule="exact"/>
        <w:rPr>
          <w:rFonts w:ascii="Arial" w:cs="Arial" w:eastAsia="Arial" w:hAnsi="Arial"/>
          <w:sz w:val="21"/>
          <w:szCs w:val="21"/>
          <w:color w:val="auto"/>
        </w:rPr>
      </w:pPr>
    </w:p>
    <w:p>
      <w:pPr>
        <w:ind w:firstLine="656"/>
        <w:spacing w:after="0" w:line="293" w:lineRule="auto"/>
        <w:tabs>
          <w:tab w:leader="none" w:pos="1386" w:val="left"/>
        </w:tabs>
        <w:numPr>
          <w:ilvl w:val="0"/>
          <w:numId w:val="2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 Purchase Agreement</w:t>
      </w:r>
      <w:r>
        <w:rPr>
          <w:rFonts w:ascii="Arial" w:cs="Arial" w:eastAsia="Arial" w:hAnsi="Arial"/>
          <w:sz w:val="21"/>
          <w:szCs w:val="21"/>
          <w:color w:val="auto"/>
        </w:rPr>
        <w:t>” shall mean that certain Purchase Agreement, dated as of May 31, 2018, by and among the Company, GM and SVF.</w:t>
      </w:r>
    </w:p>
    <w:p>
      <w:pPr>
        <w:spacing w:after="0" w:line="139" w:lineRule="exact"/>
        <w:rPr>
          <w:rFonts w:ascii="Arial" w:cs="Arial" w:eastAsia="Arial" w:hAnsi="Arial"/>
          <w:sz w:val="21"/>
          <w:szCs w:val="21"/>
          <w:color w:val="auto"/>
        </w:rPr>
      </w:pPr>
    </w:p>
    <w:p>
      <w:pPr>
        <w:jc w:val="both"/>
        <w:ind w:firstLine="656"/>
        <w:spacing w:after="0" w:line="293" w:lineRule="auto"/>
        <w:tabs>
          <w:tab w:leader="none" w:pos="138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SoftBank Restricted Person solely as a result of owning, directly or indirectly, less than five percent (5%) of the outstanding capital stock of a publicly traded company that is a competitor of the Company or the GM Investor (or its Affiliates). SoftBank Restricted Person shall include: (A) those Persons on the list provided to SVF prior to the execution of the SoftBank Purchase Agreement and (B) any Person that is developing or commercializing or selling autonomous vehicles for any use.</w:t>
      </w:r>
    </w:p>
    <w:p>
      <w:pPr>
        <w:spacing w:after="0" w:line="145" w:lineRule="exact"/>
        <w:rPr>
          <w:rFonts w:ascii="Arial" w:cs="Arial" w:eastAsia="Arial" w:hAnsi="Arial"/>
          <w:sz w:val="19"/>
          <w:szCs w:val="19"/>
          <w:color w:val="auto"/>
        </w:rPr>
      </w:pPr>
    </w:p>
    <w:p>
      <w:pPr>
        <w:ind w:left="1220" w:hanging="564"/>
        <w:spacing w:after="0"/>
        <w:tabs>
          <w:tab w:leader="none" w:pos="122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Trigger Date</w:t>
      </w:r>
      <w:r>
        <w:rPr>
          <w:rFonts w:ascii="Arial" w:cs="Arial" w:eastAsia="Arial" w:hAnsi="Arial"/>
          <w:sz w:val="22"/>
          <w:szCs w:val="22"/>
          <w:color w:val="auto"/>
        </w:rPr>
        <w:t>” shall mean June 28, 2025.</w:t>
      </w:r>
    </w:p>
    <w:p>
      <w:pPr>
        <w:spacing w:after="0" w:line="219" w:lineRule="exact"/>
        <w:rPr>
          <w:rFonts w:ascii="Arial" w:cs="Arial" w:eastAsia="Arial" w:hAnsi="Arial"/>
          <w:sz w:val="22"/>
          <w:szCs w:val="22"/>
          <w:color w:val="auto"/>
        </w:rPr>
      </w:pPr>
    </w:p>
    <w:p>
      <w:pPr>
        <w:jc w:val="both"/>
        <w:ind w:firstLine="656"/>
        <w:spacing w:after="0" w:line="290" w:lineRule="auto"/>
        <w:tabs>
          <w:tab w:leader="none" w:pos="1307"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I-15</w:t>
      </w:r>
    </w:p>
    <w:p>
      <w:pPr>
        <w:sectPr>
          <w:pgSz w:w="11900" w:h="16838" w:orient="portrait"/>
          <w:cols w:equalWidth="0" w:num="1">
            <w:col w:w="11420"/>
          </w:cols>
          <w:pgMar w:left="240" w:top="374" w:right="239" w:bottom="1440" w:gutter="0" w:footer="0" w:header="0"/>
        </w:sectPr>
      </w:pPr>
    </w:p>
    <w:bookmarkStart w:id="308" w:name="page309"/>
    <w:bookmarkEnd w:id="308"/>
    <w:p>
      <w:pPr>
        <w:jc w:val="both"/>
        <w:spacing w:after="0" w:line="253" w:lineRule="auto"/>
        <w:rPr>
          <w:sz w:val="20"/>
          <w:szCs w:val="20"/>
          <w:color w:val="auto"/>
        </w:rPr>
      </w:pPr>
      <w:r>
        <w:rPr>
          <w:rFonts w:ascii="Arial" w:cs="Arial" w:eastAsia="Arial" w:hAnsi="Arial"/>
          <w:sz w:val="22"/>
          <w:szCs w:val="22"/>
          <w:color w:val="auto"/>
        </w:rPr>
        <w:t>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180" w:lineRule="exact"/>
        <w:rPr>
          <w:sz w:val="20"/>
          <w:szCs w:val="20"/>
          <w:color w:val="auto"/>
        </w:rPr>
      </w:pPr>
    </w:p>
    <w:p>
      <w:pPr>
        <w:ind w:left="1160" w:hanging="504"/>
        <w:spacing w:after="0"/>
        <w:tabs>
          <w:tab w:leader="none" w:pos="116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SVF</w:t>
      </w:r>
      <w:r>
        <w:rPr>
          <w:rFonts w:ascii="Arial" w:cs="Arial" w:eastAsia="Arial" w:hAnsi="Arial"/>
          <w:sz w:val="22"/>
          <w:szCs w:val="22"/>
          <w:color w:val="auto"/>
        </w:rPr>
        <w:t>” shall mean SoftBank Vision Fund (AIV M1) L.P., a Delaware limited partnership.</w:t>
      </w:r>
    </w:p>
    <w:p>
      <w:pPr>
        <w:spacing w:after="0" w:line="219" w:lineRule="exact"/>
        <w:rPr>
          <w:rFonts w:ascii="Arial" w:cs="Arial" w:eastAsia="Arial" w:hAnsi="Arial"/>
          <w:sz w:val="22"/>
          <w:szCs w:val="22"/>
          <w:color w:val="auto"/>
        </w:rPr>
      </w:pPr>
    </w:p>
    <w:p>
      <w:pPr>
        <w:ind w:firstLine="656"/>
        <w:spacing w:after="0" w:line="293" w:lineRule="auto"/>
        <w:tabs>
          <w:tab w:leader="none" w:pos="1386" w:val="left"/>
        </w:tabs>
        <w:numPr>
          <w:ilvl w:val="0"/>
          <w:numId w:val="2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SVFA</w:t>
      </w:r>
      <w:r>
        <w:rPr>
          <w:rFonts w:ascii="Arial" w:cs="Arial" w:eastAsia="Arial" w:hAnsi="Arial"/>
          <w:sz w:val="21"/>
          <w:szCs w:val="21"/>
          <w:color w:val="auto"/>
        </w:rPr>
        <w:t>” shall mean either (i) SVF, if SoftBank has Transferred its shares to SVF pursuant to Section 9.02(c), or (ii) the Sidecar Fund.</w:t>
      </w:r>
    </w:p>
    <w:p>
      <w:pPr>
        <w:spacing w:after="0" w:line="139" w:lineRule="exact"/>
        <w:rPr>
          <w:rFonts w:ascii="Arial" w:cs="Arial" w:eastAsia="Arial" w:hAnsi="Arial"/>
          <w:sz w:val="21"/>
          <w:szCs w:val="21"/>
          <w:color w:val="auto"/>
        </w:rPr>
      </w:pPr>
    </w:p>
    <w:p>
      <w:pPr>
        <w:jc w:val="both"/>
        <w:ind w:firstLine="656"/>
        <w:spacing w:after="0" w:line="264" w:lineRule="auto"/>
        <w:tabs>
          <w:tab w:leader="none" w:pos="1386" w:val="left"/>
        </w:tabs>
        <w:numPr>
          <w:ilvl w:val="0"/>
          <w:numId w:val="2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170" w:lineRule="exact"/>
        <w:rPr>
          <w:rFonts w:ascii="Arial" w:cs="Arial" w:eastAsia="Arial" w:hAnsi="Arial"/>
          <w:sz w:val="21"/>
          <w:szCs w:val="21"/>
          <w:color w:val="auto"/>
        </w:rPr>
      </w:pPr>
    </w:p>
    <w:p>
      <w:pPr>
        <w:jc w:val="both"/>
        <w:ind w:firstLine="656"/>
        <w:spacing w:after="0" w:line="256" w:lineRule="auto"/>
        <w:tabs>
          <w:tab w:leader="none" w:pos="1667" w:val="left"/>
        </w:tabs>
        <w:numPr>
          <w:ilvl w:val="0"/>
          <w:numId w:val="2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shall mean this Agreement, the SoftBank Purchase Agreement, the IPMA, the EDSA, the AGSA, the Indemnity Agreement and the Share Grant Agreements entered into in connection with the First A&amp;R Agreement.</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44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180" w:lineRule="exact"/>
        <w:rPr>
          <w:rFonts w:ascii="Arial" w:cs="Arial" w:eastAsia="Arial" w:hAnsi="Arial"/>
          <w:sz w:val="22"/>
          <w:szCs w:val="22"/>
          <w:color w:val="auto"/>
        </w:rPr>
      </w:pPr>
    </w:p>
    <w:p>
      <w:pPr>
        <w:ind w:left="1400" w:hanging="744"/>
        <w:spacing w:after="0"/>
        <w:tabs>
          <w:tab w:leader="none" w:pos="140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shall mean the income tax regulations promulgated under the Code and effective as of the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hereof.</w:t>
      </w:r>
    </w:p>
    <w:p>
      <w:pPr>
        <w:spacing w:after="0" w:line="195" w:lineRule="exact"/>
        <w:rPr>
          <w:rFonts w:ascii="Arial" w:cs="Arial" w:eastAsia="Arial" w:hAnsi="Arial"/>
          <w:sz w:val="19"/>
          <w:szCs w:val="19"/>
          <w:color w:val="auto"/>
        </w:rPr>
      </w:pPr>
    </w:p>
    <w:p>
      <w:pPr>
        <w:ind w:firstLine="656"/>
        <w:spacing w:after="0" w:line="350" w:lineRule="auto"/>
        <w:tabs>
          <w:tab w:leader="none" w:pos="132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Unvested Class B Common Share</w:t>
      </w:r>
      <w:r>
        <w:rPr>
          <w:rFonts w:ascii="Arial" w:cs="Arial" w:eastAsia="Arial" w:hAnsi="Arial"/>
          <w:sz w:val="19"/>
          <w:szCs w:val="19"/>
          <w:color w:val="auto"/>
        </w:rPr>
        <w:t>” shall mean any such Class B Common Share that, under the provisions of the Share Grant Agreement applicable to such Class B Common Share, is not a Vested Class B Common Share.</w:t>
      </w:r>
    </w:p>
    <w:p>
      <w:pPr>
        <w:spacing w:after="0" w:line="92" w:lineRule="exact"/>
        <w:rPr>
          <w:sz w:val="20"/>
          <w:szCs w:val="20"/>
          <w:color w:val="auto"/>
        </w:rPr>
      </w:pPr>
    </w:p>
    <w:p>
      <w:pPr>
        <w:ind w:firstLine="656"/>
        <w:spacing w:after="0" w:line="350" w:lineRule="auto"/>
        <w:tabs>
          <w:tab w:leader="none" w:pos="142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Class B Common Share</w:t>
      </w:r>
      <w:r>
        <w:rPr>
          <w:rFonts w:ascii="Arial" w:cs="Arial" w:eastAsia="Arial" w:hAnsi="Arial"/>
          <w:sz w:val="19"/>
          <w:szCs w:val="19"/>
          <w:color w:val="auto"/>
        </w:rPr>
        <w:t>” shall mean, as of any time of determination, any Class B Common Share that is vested pursuant to the terms of the Share Grant Agreement applicable to such Class B Common Share and this Agreement.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343"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38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4520" w:type="dxa"/>
            <w:vAlign w:val="bottom"/>
            <w:tcBorders>
              <w:top w:val="single" w:sz="8" w:color="auto"/>
              <w:bottom w:val="single" w:sz="8" w:color="auto"/>
              <w:right w:val="single" w:sz="8" w:color="auto"/>
            </w:tcBorders>
          </w:tcPr>
          <w:p>
            <w:pPr>
              <w:spacing w:after="0"/>
              <w:rPr>
                <w:sz w:val="24"/>
                <w:szCs w:val="24"/>
                <w:color w:val="auto"/>
              </w:rPr>
            </w:pPr>
          </w:p>
        </w:tc>
        <w:tc>
          <w:tcPr>
            <w:tcW w:w="3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A-1-B Antitrust Approvals</w:t>
            </w:r>
          </w:p>
        </w:tc>
        <w:tc>
          <w:tcPr>
            <w:tcW w:w="45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A-2 Preferred Directors</w:t>
            </w:r>
          </w:p>
        </w:tc>
        <w:tc>
          <w:tcPr>
            <w:tcW w:w="45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Acceptance Period</w:t>
            </w:r>
          </w:p>
        </w:tc>
        <w:tc>
          <w:tcPr>
            <w:tcW w:w="45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Accounting Firm</w:t>
            </w:r>
          </w:p>
        </w:tc>
        <w:tc>
          <w:tcPr>
            <w:tcW w:w="45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4.03(f)</w:t>
            </w:r>
          </w:p>
        </w:tc>
      </w:tr>
      <w:tr>
        <w:trPr>
          <w:trHeight w:val="291"/>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Acquired Person</w:t>
            </w:r>
          </w:p>
        </w:tc>
        <w:tc>
          <w:tcPr>
            <w:tcW w:w="45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11.02(b)(v)</w:t>
            </w:r>
          </w:p>
        </w:tc>
      </w:tr>
      <w:tr>
        <w:trPr>
          <w:trHeight w:val="726"/>
        </w:trPr>
        <w:tc>
          <w:tcPr>
            <w:tcW w:w="3820" w:type="dxa"/>
            <w:vAlign w:val="bottom"/>
          </w:tcPr>
          <w:p>
            <w:pPr>
              <w:spacing w:after="0"/>
              <w:rPr>
                <w:sz w:val="24"/>
                <w:szCs w:val="24"/>
                <w:color w:val="auto"/>
              </w:rPr>
            </w:pPr>
          </w:p>
        </w:tc>
        <w:tc>
          <w:tcPr>
            <w:tcW w:w="7580" w:type="dxa"/>
            <w:vAlign w:val="bottom"/>
            <w:gridSpan w:val="2"/>
          </w:tcPr>
          <w:p>
            <w:pPr>
              <w:ind w:left="1460"/>
              <w:spacing w:after="0"/>
              <w:rPr>
                <w:sz w:val="20"/>
                <w:szCs w:val="20"/>
                <w:color w:val="auto"/>
              </w:rPr>
            </w:pPr>
            <w:r>
              <w:rPr>
                <w:rFonts w:ascii="Arial" w:cs="Arial" w:eastAsia="Arial" w:hAnsi="Arial"/>
                <w:sz w:val="22"/>
                <w:szCs w:val="22"/>
                <w:color w:val="auto"/>
              </w:rPr>
              <w:t>App. I-16</w:t>
            </w:r>
          </w:p>
        </w:tc>
      </w:tr>
    </w:tbl>
    <w:p>
      <w:pPr>
        <w:sectPr>
          <w:pgSz w:w="11900" w:h="16838" w:orient="portrait"/>
          <w:cols w:equalWidth="0" w:num="1">
            <w:col w:w="11420"/>
          </w:cols>
          <w:pgMar w:left="240" w:top="375" w:right="239" w:bottom="1440" w:gutter="0" w:footer="0" w:header="0"/>
        </w:sectPr>
      </w:pPr>
    </w:p>
    <w:bookmarkStart w:id="309" w:name="page310"/>
    <w:bookmarkEnd w:id="3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010000"/>
              </w:rPr>
              <w:t>Section Where Found</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1.02</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Additional Member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9.04(b)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Admission Date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9.03(c)</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Advance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Aggregate Company Hypothetical Pre-Deconsolidation Tax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Amended Tag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9.07(c)</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Applicable FMV Parties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Assignee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9.03(a)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Binding Transaction Agreement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 Observers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 of Directors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Call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Cash Election</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CD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Certificated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2.08</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Chairman</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6.03(b)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 Preferred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A-1/D Purchase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A-1-A Liquidation Preference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A-1-A Preferred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A-1-B Liquidation Preference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A-1-B Preferred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A-2 Preferred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B Common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C Common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D Common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E Common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E Purchase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Commercial Deployment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Common Director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Preamble; Section 12.03</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Hypothetical Pre-Deconsolidation Tax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Company’s Notice of Intention to Sell</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Cure Period</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Deconsolidation</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4.03(n)(iii)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Deemed Liquidation Event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3.02(b)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 Percentage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Drag-Along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Drag-Along Sale Transaction</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Dragees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Entity</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9.10(c)</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Equity Awards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Excess New Securities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Excess NOL Tax Increase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4.03(n)(iv)</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Excluded Transfer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9.01(a)(iii)</w:t>
            </w:r>
          </w:p>
        </w:tc>
      </w:tr>
    </w:tbl>
    <w:p>
      <w:pPr>
        <w:spacing w:after="0" w:line="200" w:lineRule="exact"/>
        <w:rPr>
          <w:sz w:val="20"/>
          <w:szCs w:val="20"/>
          <w:color w:val="auto"/>
        </w:rPr>
      </w:pPr>
    </w:p>
    <w:p>
      <w:pPr>
        <w:sectPr>
          <w:pgSz w:w="11900" w:h="16838" w:orient="portrait"/>
          <w:cols w:equalWidth="0" w:num="1">
            <w:col w:w="11400"/>
          </w:cols>
          <w:pgMar w:left="260" w:top="497" w:right="239" w:bottom="785"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I-17</w:t>
      </w:r>
    </w:p>
    <w:p>
      <w:pPr>
        <w:sectPr>
          <w:pgSz w:w="11900" w:h="16838" w:orient="portrait"/>
          <w:cols w:equalWidth="0" w:num="1">
            <w:col w:w="11400"/>
          </w:cols>
          <w:pgMar w:left="260" w:top="497" w:right="239" w:bottom="785" w:gutter="0" w:footer="0" w:header="0"/>
          <w:type w:val="continuous"/>
        </w:sectPr>
      </w:pPr>
    </w:p>
    <w:bookmarkStart w:id="310" w:name="page311"/>
    <w:bookmarkEnd w:id="310"/>
    <w:tbl>
      <w:tblPr>
        <w:tblLayout w:type="fixed"/>
        <w:tblInd w:w="10" w:type="dxa"/>
        <w:tblCellMar>
          <w:top w:w="0" w:type="dxa"/>
          <w:left w:w="0" w:type="dxa"/>
          <w:bottom w:w="0" w:type="dxa"/>
          <w:right w:w="0" w:type="dxa"/>
        </w:tblCellMar>
      </w:tblPr>
      <w:tr>
        <w:trPr>
          <w:trHeight w:val="304"/>
        </w:trPr>
        <w:tc>
          <w:tcPr>
            <w:tcW w:w="8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010000"/>
              </w:rPr>
              <w:t>Section Where Found</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Employee Member Transfer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Honda Transfer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SoftBank Transfer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FAW-GM</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First A&amp;R Agreement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Acquirer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Commitment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2.02(e)</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Consolidated Group</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ROFR Date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ROFR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Board Observer</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Call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Commitment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2.04</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Purchase Agreement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R&amp;D Co</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6.05</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Hypothetical Deconsolidated Company NOL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4.03(n)(vii)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Incremental GM Tax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4.03(n)(viii)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 Upsized FMV</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 Upsizing</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IPO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9.10(a)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IPO Shortfall</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6.13(d)</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IRS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4.02</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LLC Agreement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Low-Vote IPO Shares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9.10(b)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Member Group Persons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Members Schedule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New Securities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NOL Deficit Amount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4.03(n)(ix)</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Non-Compete Period</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11.02(a)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Officers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6.15</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SoftBank Conversion Notice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9.13(a)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SoftBank Conversion Purchase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9.13(c)</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Original Agreement</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Original Closing Date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Business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Tax Credits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4.03(n)(x)</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 Securities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6.13(c)</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Participation Members</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PATAC</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Payment Period</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Permitted Transferee</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9.02(b)</w:t>
            </w:r>
          </w:p>
        </w:tc>
      </w:tr>
      <w:tr>
        <w:trPr>
          <w:trHeight w:val="291"/>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Proceeding</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7.02(a)</w:t>
            </w:r>
          </w:p>
        </w:tc>
      </w:tr>
    </w:tbl>
    <w:p>
      <w:pPr>
        <w:spacing w:after="0" w:line="200" w:lineRule="exact"/>
        <w:rPr>
          <w:sz w:val="20"/>
          <w:szCs w:val="20"/>
          <w:color w:val="auto"/>
        </w:rPr>
      </w:pPr>
    </w:p>
    <w:p>
      <w:pPr>
        <w:sectPr>
          <w:pgSz w:w="11900" w:h="16838" w:orient="portrait"/>
          <w:cols w:equalWidth="0" w:num="1">
            <w:col w:w="11400"/>
          </w:cols>
          <w:pgMar w:left="260" w:top="497" w:right="239" w:bottom="784"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I-18</w:t>
      </w:r>
    </w:p>
    <w:p>
      <w:pPr>
        <w:sectPr>
          <w:pgSz w:w="11900" w:h="16838" w:orient="portrait"/>
          <w:cols w:equalWidth="0" w:num="1">
            <w:col w:w="11400"/>
          </w:cols>
          <w:pgMar w:left="260" w:top="497" w:right="239" w:bottom="784" w:gutter="0" w:footer="0" w:header="0"/>
          <w:type w:val="continuous"/>
        </w:sectPr>
      </w:pPr>
    </w:p>
    <w:bookmarkStart w:id="311" w:name="page312"/>
    <w:bookmarkEnd w:id="311"/>
    <w:tbl>
      <w:tblPr>
        <w:tblLayout w:type="fixed"/>
        <w:tblInd w:w="10" w:type="dxa"/>
        <w:tblCellMar>
          <w:top w:w="0" w:type="dxa"/>
          <w:left w:w="0" w:type="dxa"/>
          <w:bottom w:w="0" w:type="dxa"/>
          <w:right w:w="0" w:type="dxa"/>
        </w:tblCellMar>
      </w:tblPr>
      <w:tr>
        <w:trPr>
          <w:trHeight w:val="304"/>
        </w:trPr>
        <w:tc>
          <w:tcPr>
            <w:tcW w:w="44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940" w:type="dxa"/>
            <w:vAlign w:val="bottom"/>
            <w:tcBorders>
              <w:top w:val="single" w:sz="8" w:color="auto"/>
              <w:bottom w:val="single" w:sz="8" w:color="auto"/>
              <w:right w:val="single" w:sz="8" w:color="auto"/>
            </w:tcBorders>
          </w:tcPr>
          <w:p>
            <w:pPr>
              <w:spacing w:after="0"/>
              <w:rPr>
                <w:sz w:val="24"/>
                <w:szCs w:val="24"/>
                <w:color w:val="auto"/>
              </w:rPr>
            </w:pPr>
          </w:p>
        </w:tc>
        <w:tc>
          <w:tcPr>
            <w:tcW w:w="3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010000"/>
              </w:rPr>
              <w:t>Section Where Found</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R&amp;D Tax Credits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4.03(n)(xi)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ROFR Notice</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ROFR Offered 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RSUs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Section 59(e) Benefit Amount</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4.03(n)(xii)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Section 59(e) Detriment Amount</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4.03(n)(xiii)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Section 59(e) Election</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4.03(d)</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Senior Securities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2.02(d)(iv)</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SGM</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 Awards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Standardized FMV</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 Acts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Stock Election</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Substituted Member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9.04(a)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 Board Observer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 Call Notice</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 Commitment</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 Director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SoftBank Fund</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Supplemental Notice of Intention to Sell</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SVF Transfer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9.02(c)</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Tag Notice</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Tagged 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Tax Materials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4.03(m)</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Tax Period</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4.03(n)(xiv)</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Total Conversion 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Total Tagged 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9.07(a)(ii)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Total Optional Conversion Shares</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Transferor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291"/>
        </w:trPr>
        <w:tc>
          <w:tcPr>
            <w:tcW w:w="4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Transferring Holder</w:t>
            </w:r>
          </w:p>
        </w:tc>
        <w:tc>
          <w:tcPr>
            <w:tcW w:w="39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942"/>
        </w:trPr>
        <w:tc>
          <w:tcPr>
            <w:tcW w:w="4400" w:type="dxa"/>
            <w:vAlign w:val="bottom"/>
          </w:tcPr>
          <w:p>
            <w:pPr>
              <w:spacing w:after="0"/>
              <w:rPr>
                <w:sz w:val="24"/>
                <w:szCs w:val="24"/>
                <w:color w:val="auto"/>
              </w:rPr>
            </w:pPr>
          </w:p>
        </w:tc>
        <w:tc>
          <w:tcPr>
            <w:tcW w:w="7000" w:type="dxa"/>
            <w:vAlign w:val="bottom"/>
            <w:gridSpan w:val="2"/>
          </w:tcPr>
          <w:p>
            <w:pPr>
              <w:ind w:left="880"/>
              <w:spacing w:after="0"/>
              <w:rPr>
                <w:sz w:val="20"/>
                <w:szCs w:val="20"/>
                <w:color w:val="auto"/>
              </w:rPr>
            </w:pPr>
            <w:r>
              <w:rPr>
                <w:rFonts w:ascii="Arial" w:cs="Arial" w:eastAsia="Arial" w:hAnsi="Arial"/>
                <w:sz w:val="22"/>
                <w:szCs w:val="22"/>
                <w:color w:val="auto"/>
              </w:rPr>
              <w:t>App. I-19</w:t>
            </w:r>
          </w:p>
        </w:tc>
      </w:tr>
    </w:tbl>
    <w:p>
      <w:pPr>
        <w:sectPr>
          <w:pgSz w:w="11900" w:h="16838" w:orient="portrait"/>
          <w:cols w:equalWidth="0" w:num="1">
            <w:col w:w="11400"/>
          </w:cols>
          <w:pgMar w:left="260" w:top="498" w:right="239" w:bottom="1440" w:gutter="0" w:footer="0" w:header="0"/>
        </w:sectPr>
      </w:pPr>
    </w:p>
    <w:bookmarkStart w:id="312" w:name="page313"/>
    <w:bookmarkEnd w:id="312"/>
    <w:p>
      <w:pPr>
        <w:ind w:left="5180"/>
        <w:spacing w:after="0"/>
        <w:rPr>
          <w:sz w:val="20"/>
          <w:szCs w:val="20"/>
          <w:color w:val="auto"/>
        </w:rPr>
      </w:pPr>
      <w:r>
        <w:rPr>
          <w:rFonts w:ascii="Arial" w:cs="Arial" w:eastAsia="Arial" w:hAnsi="Arial"/>
          <w:sz w:val="22"/>
          <w:szCs w:val="22"/>
          <w:b w:val="1"/>
          <w:bCs w:val="1"/>
          <w:u w:val="single" w:color="auto"/>
          <w:color w:val="auto"/>
        </w:rPr>
        <w:t>EXHIBIT I</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JOINDER TO THE SECOND AMENDED AND RESTATED LIMITED LIABILITY COMPANY AGREEMENT OF GM</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CRUISE HOLDINGS LLC</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JOINDER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Second Amended and Restated Limited Liability Company Agreement, dated as of [•], 2018 by and among GM Cruise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certain Members of the Company (the “</w:t>
      </w:r>
      <w:r>
        <w:rPr>
          <w:rFonts w:ascii="Arial" w:cs="Arial" w:eastAsia="Arial" w:hAnsi="Arial"/>
          <w:sz w:val="22"/>
          <w:szCs w:val="22"/>
          <w:b w:val="1"/>
          <w:bCs w:val="1"/>
          <w:color w:val="auto"/>
        </w:rPr>
        <w:t>Limited Liability Company Agreement</w:t>
      </w:r>
      <w:r>
        <w:rPr>
          <w:rFonts w:ascii="Arial" w:cs="Arial" w:eastAsia="Arial" w:hAnsi="Arial"/>
          <w:sz w:val="22"/>
          <w:szCs w:val="22"/>
          <w:color w:val="auto"/>
        </w:rPr>
        <w:t>”), is made and entered into as of [•], by and between the Company and [•]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otherwise defined herein shall have the meanings set forth in the Limited Liability Company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 Shares</w:t>
      </w:r>
      <w:r>
        <w:rPr>
          <w:rFonts w:ascii="Arial" w:cs="Arial" w:eastAsia="Arial" w:hAnsi="Arial"/>
          <w:sz w:val="22"/>
          <w:szCs w:val="22"/>
          <w:color w:val="auto"/>
        </w:rPr>
        <w:t>”) and Holder is required, as a holder of the Holder Shares, to become a party to the Limited Liability Company Agreement, and Holder agrees to do so in accordance with the terms hereof.</w:t>
      </w:r>
    </w:p>
    <w:p>
      <w:pPr>
        <w:spacing w:after="0" w:line="18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05" w:lineRule="exact"/>
        <w:rPr>
          <w:sz w:val="20"/>
          <w:szCs w:val="20"/>
          <w:color w:val="auto"/>
        </w:rPr>
      </w:pPr>
    </w:p>
    <w:p>
      <w:pPr>
        <w:jc w:val="both"/>
        <w:ind w:firstLine="656"/>
        <w:spacing w:after="0" w:line="250" w:lineRule="auto"/>
        <w:tabs>
          <w:tab w:leader="none" w:pos="1459"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Holder hereby agrees that upon execution of this Joinder, it shall become a party to the Limited Liability Company Agreement as a [</w:t>
      </w:r>
      <w:r>
        <w:rPr>
          <w:rFonts w:ascii="Arial" w:cs="Arial" w:eastAsia="Arial" w:hAnsi="Arial"/>
          <w:sz w:val="22"/>
          <w:szCs w:val="22"/>
          <w:i w:val="1"/>
          <w:iCs w:val="1"/>
          <w:color w:val="auto"/>
        </w:rPr>
        <w:t>class</w:t>
      </w:r>
      <w:r>
        <w:rPr>
          <w:rFonts w:ascii="Arial" w:cs="Arial" w:eastAsia="Arial" w:hAnsi="Arial"/>
          <w:sz w:val="22"/>
          <w:szCs w:val="22"/>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22"/>
          <w:szCs w:val="22"/>
          <w:i w:val="1"/>
          <w:iCs w:val="1"/>
          <w:color w:val="auto"/>
        </w:rPr>
        <w:t>class</w:t>
      </w:r>
      <w:r>
        <w:rPr>
          <w:rFonts w:ascii="Arial" w:cs="Arial" w:eastAsia="Arial" w:hAnsi="Arial"/>
          <w:sz w:val="22"/>
          <w:szCs w:val="22"/>
          <w:color w:val="auto"/>
        </w:rPr>
        <w:t>] and a Member for all purposes thereof.</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85" w:lineRule="exact"/>
        <w:rPr>
          <w:rFonts w:ascii="Arial" w:cs="Arial" w:eastAsia="Arial" w:hAnsi="Arial"/>
          <w:sz w:val="22"/>
          <w:szCs w:val="22"/>
          <w:color w:val="auto"/>
        </w:rPr>
      </w:pPr>
    </w:p>
    <w:p>
      <w:pPr>
        <w:ind w:firstLine="656"/>
        <w:spacing w:after="0" w:line="287" w:lineRule="auto"/>
        <w:tabs>
          <w:tab w:leader="none" w:pos="1459"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Joinder may be executed in any number of counterparts (including by facsimile or electronic copy), each of which shall be an original and all of which together shall constitute one and the same agreement.</w:t>
      </w:r>
    </w:p>
    <w:p>
      <w:pPr>
        <w:spacing w:after="0" w:line="151" w:lineRule="exact"/>
        <w:rPr>
          <w:rFonts w:ascii="Arial" w:cs="Arial" w:eastAsia="Arial" w:hAnsi="Arial"/>
          <w:sz w:val="21"/>
          <w:szCs w:val="21"/>
          <w:color w:val="auto"/>
        </w:rPr>
      </w:pPr>
    </w:p>
    <w:p>
      <w:pPr>
        <w:ind w:firstLine="656"/>
        <w:spacing w:after="0" w:line="343" w:lineRule="auto"/>
        <w:tabs>
          <w:tab w:leader="none" w:pos="1459"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104" w:lineRule="exact"/>
        <w:rPr>
          <w:rFonts w:ascii="Arial" w:cs="Arial" w:eastAsia="Arial" w:hAnsi="Arial"/>
          <w:sz w:val="19"/>
          <w:szCs w:val="19"/>
          <w:color w:val="auto"/>
        </w:rPr>
      </w:pPr>
    </w:p>
    <w:p>
      <w:pPr>
        <w:jc w:val="both"/>
        <w:ind w:firstLine="656"/>
        <w:spacing w:after="0" w:line="247" w:lineRule="auto"/>
        <w:tabs>
          <w:tab w:leader="none" w:pos="1459"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jurisdiction and venue therein.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I-1</w:t>
      </w:r>
    </w:p>
    <w:p>
      <w:pPr>
        <w:sectPr>
          <w:pgSz w:w="11900" w:h="16838" w:orient="portrait"/>
          <w:cols w:equalWidth="0" w:num="1">
            <w:col w:w="11420"/>
          </w:cols>
          <w:pgMar w:left="240" w:top="368" w:right="239" w:bottom="1440" w:gutter="0" w:footer="0" w:header="0"/>
        </w:sectPr>
      </w:pPr>
    </w:p>
    <w:bookmarkStart w:id="313" w:name="page314"/>
    <w:bookmarkEnd w:id="313"/>
    <w:p>
      <w:pPr>
        <w:ind w:left="-20" w:firstLine="656"/>
        <w:spacing w:after="0" w:line="263" w:lineRule="auto"/>
        <w:tabs>
          <w:tab w:leader="none" w:pos="1439"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I-2</w:t>
      </w:r>
    </w:p>
    <w:p>
      <w:pPr>
        <w:sectPr>
          <w:pgSz w:w="11900" w:h="16838" w:orient="portrait"/>
          <w:cols w:equalWidth="0" w:num="1">
            <w:col w:w="11400"/>
          </w:cols>
          <w:pgMar w:left="260" w:top="374"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22"/>
          <w:szCs w:val="22"/>
          <w:b w:val="1"/>
          <w:bCs w:val="1"/>
          <w:u w:val="single" w:color="auto"/>
          <w:color w:val="auto"/>
        </w:rPr>
        <w:t>EXHIBIT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 Notice/Optional SoftBank Conversion Notice Fair Market Value of the Company</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20" w:lineRule="exact"/>
        <w:rPr>
          <w:sz w:val="20"/>
          <w:szCs w:val="20"/>
          <w:color w:val="auto"/>
        </w:rPr>
      </w:pPr>
    </w:p>
    <w:p>
      <w:pPr>
        <w:ind w:firstLine="1305"/>
        <w:spacing w:after="0" w:line="287" w:lineRule="auto"/>
        <w:tabs>
          <w:tab w:leader="none" w:pos="2185" w:val="left"/>
        </w:tabs>
        <w:numPr>
          <w:ilvl w:val="0"/>
          <w:numId w:val="303"/>
        </w:numPr>
        <w:rPr>
          <w:rFonts w:ascii="Arial" w:cs="Arial" w:eastAsia="Arial" w:hAnsi="Arial"/>
          <w:sz w:val="21"/>
          <w:szCs w:val="21"/>
          <w:color w:val="auto"/>
        </w:rPr>
      </w:pPr>
      <w:r>
        <w:rPr>
          <w:rFonts w:ascii="Arial" w:cs="Arial" w:eastAsia="Arial" w:hAnsi="Arial"/>
          <w:sz w:val="21"/>
          <w:szCs w:val="21"/>
          <w:color w:val="auto"/>
        </w:rPr>
        <w:t>One Qualified Appraiser shall be selected by the GM Investor and the other Qualified Appraiser shall be selected by the Majority of the Class A-1 Preferred (such Members, the “</w:t>
      </w:r>
      <w:r>
        <w:rPr>
          <w:rFonts w:ascii="Arial" w:cs="Arial" w:eastAsia="Arial" w:hAnsi="Arial"/>
          <w:sz w:val="21"/>
          <w:szCs w:val="21"/>
          <w:b w:val="1"/>
          <w:bCs w:val="1"/>
          <w:color w:val="auto"/>
        </w:rPr>
        <w:t>Applicable FMV Parties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305"/>
        <w:spacing w:after="0" w:line="265" w:lineRule="auto"/>
        <w:tabs>
          <w:tab w:leader="none" w:pos="2197" w:val="left"/>
        </w:tabs>
        <w:numPr>
          <w:ilvl w:val="0"/>
          <w:numId w:val="303"/>
        </w:numPr>
        <w:rPr>
          <w:rFonts w:ascii="Arial" w:cs="Arial" w:eastAsia="Arial" w:hAnsi="Arial"/>
          <w:sz w:val="21"/>
          <w:szCs w:val="21"/>
          <w:color w:val="auto"/>
        </w:rPr>
      </w:pPr>
      <w:r>
        <w:rPr>
          <w:rFonts w:ascii="Arial" w:cs="Arial" w:eastAsia="Arial" w:hAnsi="Arial"/>
          <w:sz w:val="21"/>
          <w:szCs w:val="21"/>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75" w:lineRule="exact"/>
        <w:rPr>
          <w:rFonts w:ascii="Arial" w:cs="Arial" w:eastAsia="Arial" w:hAnsi="Arial"/>
          <w:sz w:val="21"/>
          <w:szCs w:val="21"/>
          <w:color w:val="auto"/>
        </w:rPr>
      </w:pPr>
    </w:p>
    <w:p>
      <w:pPr>
        <w:jc w:val="both"/>
        <w:ind w:firstLine="1305"/>
        <w:spacing w:after="0" w:line="297" w:lineRule="auto"/>
        <w:tabs>
          <w:tab w:leader="none" w:pos="2185" w:val="left"/>
        </w:tabs>
        <w:numPr>
          <w:ilvl w:val="0"/>
          <w:numId w:val="303"/>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47" w:lineRule="exact"/>
        <w:rPr>
          <w:rFonts w:ascii="Arial" w:cs="Arial" w:eastAsia="Arial" w:hAnsi="Arial"/>
          <w:sz w:val="19"/>
          <w:szCs w:val="19"/>
          <w:color w:val="auto"/>
        </w:rPr>
      </w:pPr>
    </w:p>
    <w:p>
      <w:pPr>
        <w:jc w:val="both"/>
        <w:ind w:firstLine="1305"/>
        <w:spacing w:after="0" w:line="288" w:lineRule="auto"/>
        <w:tabs>
          <w:tab w:leader="none" w:pos="219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 to agree upon the Call Notice/Optional SoftBank Conversion Notice Fair Market Value, any such agreement to be made by each Applicable FMV Party and to be set forth in writing signed by each of the Applicable FMV Parties (and any such agreement will be final and binding on the relevant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II-1</w:t>
      </w:r>
    </w:p>
    <w:p>
      <w:pPr>
        <w:sectPr>
          <w:pgSz w:w="11900" w:h="16838" w:orient="portrait"/>
          <w:cols w:equalWidth="0" w:num="1">
            <w:col w:w="11420"/>
          </w:cols>
          <w:pgMar w:left="240" w:top="368" w:right="239" w:bottom="1440" w:gutter="0" w:footer="0" w:header="0"/>
        </w:sectPr>
      </w:pPr>
    </w:p>
    <w:bookmarkStart w:id="315" w:name="page316"/>
    <w:bookmarkEnd w:id="315"/>
    <w:p>
      <w:pPr>
        <w:jc w:val="both"/>
        <w:spacing w:after="0" w:line="259" w:lineRule="auto"/>
        <w:rPr>
          <w:sz w:val="20"/>
          <w:szCs w:val="20"/>
          <w:color w:val="auto"/>
        </w:rPr>
      </w:pPr>
      <w:r>
        <w:rPr>
          <w:rFonts w:ascii="Arial" w:cs="Arial" w:eastAsia="Arial" w:hAnsi="Arial"/>
          <w:sz w:val="21"/>
          <w:szCs w:val="21"/>
          <w:color w:val="auto"/>
        </w:rPr>
        <w:t>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84" w:lineRule="exact"/>
        <w:rPr>
          <w:sz w:val="20"/>
          <w:szCs w:val="20"/>
          <w:color w:val="auto"/>
        </w:rPr>
      </w:pPr>
    </w:p>
    <w:p>
      <w:pPr>
        <w:jc w:val="both"/>
        <w:ind w:firstLine="1305"/>
        <w:spacing w:after="0" w:line="253" w:lineRule="auto"/>
        <w:tabs>
          <w:tab w:leader="none" w:pos="2185"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85" w:lineRule="exact"/>
        <w:rPr>
          <w:rFonts w:ascii="Arial" w:cs="Arial" w:eastAsia="Arial" w:hAnsi="Arial"/>
          <w:sz w:val="22"/>
          <w:szCs w:val="22"/>
          <w:color w:val="auto"/>
        </w:rPr>
      </w:pPr>
    </w:p>
    <w:p>
      <w:pPr>
        <w:jc w:val="both"/>
        <w:ind w:firstLine="1305"/>
        <w:spacing w:after="0" w:line="271" w:lineRule="auto"/>
        <w:tabs>
          <w:tab w:leader="none" w:pos="2161" w:val="left"/>
        </w:tabs>
        <w:numPr>
          <w:ilvl w:val="0"/>
          <w:numId w:val="304"/>
        </w:numPr>
        <w:rPr>
          <w:rFonts w:ascii="Arial" w:cs="Arial" w:eastAsia="Arial" w:hAnsi="Arial"/>
          <w:sz w:val="21"/>
          <w:szCs w:val="21"/>
          <w:color w:val="auto"/>
        </w:rPr>
      </w:pPr>
      <w:r>
        <w:rPr>
          <w:rFonts w:ascii="Arial" w:cs="Arial" w:eastAsia="Arial" w:hAnsi="Arial"/>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88" w:lineRule="exact"/>
        <w:rPr>
          <w:sz w:val="20"/>
          <w:szCs w:val="20"/>
          <w:color w:val="auto"/>
        </w:rPr>
      </w:pPr>
    </w:p>
    <w:p>
      <w:pPr>
        <w:jc w:val="both"/>
        <w:ind w:firstLine="1305"/>
        <w:spacing w:after="0" w:line="247" w:lineRule="auto"/>
        <w:tabs>
          <w:tab w:leader="none" w:pos="2185"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3"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305"/>
        </w:numPr>
        <w:rPr>
          <w:rFonts w:ascii="Arial" w:cs="Arial" w:eastAsia="Arial" w:hAnsi="Arial"/>
          <w:sz w:val="21"/>
          <w:szCs w:val="21"/>
          <w:color w:val="auto"/>
        </w:rPr>
      </w:pPr>
      <w:r>
        <w:rPr>
          <w:rFonts w:ascii="Arial" w:cs="Arial" w:eastAsia="Arial" w:hAnsi="Arial"/>
          <w:sz w:val="21"/>
          <w:szCs w:val="21"/>
          <w:color w:val="auto"/>
        </w:rPr>
        <w:t xml:space="preserve">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 Company and its Subsidiaries provided to the Qualified Appraisers cover a period of ten (10) years or less, and the Qualified Appraisers so request, be extended (in the case of the projected financial and operating results) for reasonable period exceeding ten (10) years, and (iii) take into account, consistent with the Company’s ordinary course forecasting and subject to the restrictions in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(except as otherwise expressly stated in this </w:t>
      </w:r>
      <w:r>
        <w:rPr>
          <w:rFonts w:ascii="Arial" w:cs="Arial" w:eastAsia="Arial" w:hAnsi="Arial"/>
          <w:sz w:val="21"/>
          <w:szCs w:val="21"/>
          <w:u w:val="single" w:color="auto"/>
          <w:color w:val="auto"/>
        </w:rPr>
        <w:t>Exhibit II</w:t>
      </w:r>
      <w:r>
        <w:rPr>
          <w:rFonts w:ascii="Arial" w:cs="Arial" w:eastAsia="Arial" w:hAnsi="Arial"/>
          <w:sz w:val="21"/>
          <w:szCs w:val="21"/>
          <w:color w:val="auto"/>
        </w:rPr>
        <w:t xml:space="preserve"> in connection with the IP Upsizing), the scope of the intellectual property portfolio of the Company and its Subsidiaries. SoftBank will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II-2</w:t>
      </w:r>
    </w:p>
    <w:p>
      <w:pPr>
        <w:sectPr>
          <w:pgSz w:w="11900" w:h="16838" w:orient="portrait"/>
          <w:cols w:equalWidth="0" w:num="1">
            <w:col w:w="11420"/>
          </w:cols>
          <w:pgMar w:left="240" w:top="374" w:right="239" w:bottom="1440" w:gutter="0" w:footer="0" w:header="0"/>
        </w:sectPr>
      </w:pPr>
    </w:p>
    <w:bookmarkStart w:id="316" w:name="page317"/>
    <w:bookmarkEnd w:id="316"/>
    <w:p>
      <w:pPr>
        <w:jc w:val="both"/>
        <w:spacing w:after="0" w:line="253" w:lineRule="auto"/>
        <w:rPr>
          <w:sz w:val="20"/>
          <w:szCs w:val="20"/>
          <w:color w:val="auto"/>
        </w:rPr>
      </w:pPr>
      <w:r>
        <w:rPr>
          <w:rFonts w:ascii="Arial" w:cs="Arial" w:eastAsia="Arial" w:hAnsi="Arial"/>
          <w:sz w:val="22"/>
          <w:szCs w:val="22"/>
          <w:color w:val="auto"/>
        </w:rPr>
        <w:t>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86" w:lineRule="exact"/>
        <w:rPr>
          <w:sz w:val="20"/>
          <w:szCs w:val="20"/>
          <w:color w:val="auto"/>
        </w:rPr>
      </w:pPr>
    </w:p>
    <w:p>
      <w:pPr>
        <w:jc w:val="both"/>
        <w:ind w:firstLine="1305"/>
        <w:spacing w:after="0" w:line="271" w:lineRule="auto"/>
        <w:tabs>
          <w:tab w:leader="none" w:pos="2185" w:val="left"/>
        </w:tabs>
        <w:numPr>
          <w:ilvl w:val="0"/>
          <w:numId w:val="306"/>
        </w:numPr>
        <w:rPr>
          <w:rFonts w:ascii="Arial" w:cs="Arial" w:eastAsia="Arial" w:hAnsi="Arial"/>
          <w:sz w:val="21"/>
          <w:szCs w:val="21"/>
          <w:color w:val="auto"/>
        </w:rPr>
      </w:pPr>
      <w:r>
        <w:rPr>
          <w:rFonts w:ascii="Arial" w:cs="Arial" w:eastAsia="Arial" w:hAnsi="Arial"/>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67" w:lineRule="exact"/>
        <w:rPr>
          <w:rFonts w:ascii="Arial" w:cs="Arial" w:eastAsia="Arial" w:hAnsi="Arial"/>
          <w:sz w:val="21"/>
          <w:szCs w:val="21"/>
          <w:color w:val="auto"/>
        </w:rPr>
      </w:pPr>
    </w:p>
    <w:p>
      <w:pPr>
        <w:ind w:left="2200" w:hanging="895"/>
        <w:spacing w:after="0"/>
        <w:tabs>
          <w:tab w:leader="none" w:pos="220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Qualified Appraisers shall assume an arms-length sale between a willing buyer and a willing seller;</w:t>
      </w:r>
    </w:p>
    <w:p>
      <w:pPr>
        <w:spacing w:after="0" w:line="254"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306"/>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188" w:lineRule="exact"/>
        <w:rPr>
          <w:rFonts w:ascii="Arial" w:cs="Arial" w:eastAsia="Arial" w:hAnsi="Arial"/>
          <w:sz w:val="22"/>
          <w:szCs w:val="22"/>
          <w:color w:val="auto"/>
        </w:rPr>
      </w:pPr>
    </w:p>
    <w:p>
      <w:pPr>
        <w:ind w:firstLine="1305"/>
        <w:spacing w:after="0" w:line="263" w:lineRule="auto"/>
        <w:tabs>
          <w:tab w:leader="none" w:pos="2161"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Qualified Appraisers shall value the Company as at the date of delivery of the Call Notice or Optional SoftBank Conversion Notice (as applicable); and</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 depreciation and amortization as would be allowable to the Company in respect of the Company’s assets immediately prior to such deemed sale.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The Qualified Appraisers shall contemporaneously calculate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valuations: (A) a valuation based on the Commercial Agreements as in force at the time (the “</w:t>
      </w:r>
      <w:r>
        <w:rPr>
          <w:rFonts w:ascii="Arial" w:cs="Arial" w:eastAsia="Arial" w:hAnsi="Arial"/>
          <w:sz w:val="22"/>
          <w:szCs w:val="22"/>
          <w:b w:val="1"/>
          <w:bCs w:val="1"/>
          <w:color w:val="auto"/>
        </w:rPr>
        <w:t>Standardized FMV</w:t>
      </w:r>
      <w:r>
        <w:rPr>
          <w:rFonts w:ascii="Arial" w:cs="Arial" w:eastAsia="Arial" w:hAnsi="Arial"/>
          <w:sz w:val="22"/>
          <w:szCs w:val="22"/>
          <w:color w:val="auto"/>
        </w:rPr>
        <w:t>”), and (B) a valuation (the “</w:t>
      </w:r>
      <w:r>
        <w:rPr>
          <w:rFonts w:ascii="Arial" w:cs="Arial" w:eastAsia="Arial" w:hAnsi="Arial"/>
          <w:sz w:val="22"/>
          <w:szCs w:val="22"/>
          <w:b w:val="1"/>
          <w:bCs w:val="1"/>
          <w:color w:val="auto"/>
        </w:rPr>
        <w:t>IP Upsized FMV</w:t>
      </w:r>
      <w:r>
        <w:rPr>
          <w:rFonts w:ascii="Arial" w:cs="Arial" w:eastAsia="Arial" w:hAnsi="Arial"/>
          <w:sz w:val="22"/>
          <w:szCs w:val="22"/>
          <w:color w:val="auto"/>
        </w:rPr>
        <w:t xml:space="preserve">”) as if the Transferred Assets (as defined in the IPMA) had been assigned, transferred, conveyed, and delivered to the Company (pursuant to Section 2.2 of the IPMA) immediately prior to the calculation of Call Notice/Optional SoftBank Conversion Notice Fair Market Value and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does not apply (the “</w:t>
      </w:r>
      <w:r>
        <w:rPr>
          <w:rFonts w:ascii="Arial" w:cs="Arial" w:eastAsia="Arial" w:hAnsi="Arial"/>
          <w:sz w:val="22"/>
          <w:szCs w:val="22"/>
          <w:b w:val="1"/>
          <w:bCs w:val="1"/>
          <w:color w:val="auto"/>
        </w:rPr>
        <w:t>IP Upsizing</w:t>
      </w:r>
      <w:r>
        <w:rPr>
          <w:rFonts w:ascii="Arial" w:cs="Arial" w:eastAsia="Arial" w:hAnsi="Arial"/>
          <w:sz w:val="22"/>
          <w:szCs w:val="22"/>
          <w:color w:val="auto"/>
        </w:rPr>
        <w:t>”). The Standardized FMV and the IP Upsized FMV shall be identical other than the value attributable to the IP Upsizing.</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22"/>
          <w:szCs w:val="22"/>
          <w:u w:val="single" w:color="auto"/>
          <w:color w:val="auto"/>
        </w:rPr>
        <w:t>provided</w:t>
      </w:r>
      <w:r>
        <w:rPr>
          <w:rFonts w:ascii="Arial" w:cs="Arial" w:eastAsia="Arial" w:hAnsi="Arial"/>
          <w:sz w:val="22"/>
          <w:szCs w:val="22"/>
          <w:color w:val="auto"/>
        </w:rPr>
        <w:t>, that, following the application of the IP Upsized FMV, in no event will, with respect to each Class A-1-A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II-3</w:t>
      </w:r>
    </w:p>
    <w:p>
      <w:pPr>
        <w:sectPr>
          <w:pgSz w:w="11900" w:h="16838" w:orient="portrait"/>
          <w:cols w:equalWidth="0" w:num="1">
            <w:col w:w="11420"/>
          </w:cols>
          <w:pgMar w:left="240" w:top="375"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2018</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Adam Opel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AFS SenSub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Consumer Loan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Banco GMAC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Korea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Deutschland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FAW-GM Light Duty Commercial Vehicle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Fundacion Chevrolet</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Advisory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Belgique Automobile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380"/>
          </w:cols>
          <w:pgMar w:left="280" w:top="121" w:right="239" w:bottom="1440" w:gutter="0" w:footer="0" w:header="0"/>
        </w:sectPr>
      </w:pPr>
    </w:p>
    <w:bookmarkStart w:id="318" w:name="page319"/>
    <w:bookmarkEnd w:id="318"/>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IT Services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319" w:name="page320"/>
    <w:bookmarkEnd w:id="319"/>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CME Holdings C.V.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Defense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Colombia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Colombia S.A. Compania de Financiamiento</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Propulsion Systems -Torino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Treasury Centre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Holden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Mexico Holdings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Mobility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PSA Purchasing Services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Prestadora de Servicios de Mao de 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GMACI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320" w:name="page321"/>
    <w:bookmarkEnd w:id="3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2018</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Australia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LLP</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Funding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Wholesale Receivables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Connected Services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Prestadora de Servicios GMF Colombia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Private Auto Lease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321" w:name="page322"/>
    <w:bookmarkEnd w:id="321"/>
    <w:p>
      <w:pPr>
        <w:jc w:val="center"/>
        <w:ind w:right="-37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 OF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SAIC-GMF Leasing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Strobe,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Vehicle Asset Universal Leasing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Zona Franca Industrial Colmotores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rPr>
              <w:t>Total - 180</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2018. Additionally 88 subsidiaries of General Motors Financial Company, Inc. have been omitted that operate in the U.S. in the same line of business as General Motors Financial Company, Inc. at December 31, 2018.</w:t>
      </w:r>
    </w:p>
    <w:p>
      <w:pPr>
        <w:sectPr>
          <w:pgSz w:w="11900" w:h="16838" w:orient="portrait"/>
          <w:cols w:equalWidth="0" w:num="1">
            <w:col w:w="11040"/>
          </w:cols>
          <w:pgMar w:left="240" w:top="121" w:right="61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following Registration Statements of General Motors Company:</w:t>
      </w:r>
    </w:p>
    <w:p>
      <w:pPr>
        <w:spacing w:after="0" w:line="144" w:lineRule="exact"/>
        <w:rPr>
          <w:sz w:val="20"/>
          <w:szCs w:val="20"/>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Registration Statement (Form S-3 No. 333-215924),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Registration Statement (Form S-8 No. 333-218793) pertaining to the General Motors Company 2017 Long-Term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Registration Statement (Form S-8 No. 333-211344) pertaining to the General Motors Company 2016 Equity Incentive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Registration Statement (Form S-8 No. 333-196812) pertaining to the General Motors Company 2014 Long-Term Incentive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6, 2019, with respect to the consolidated financial statements of General Motors Company and subsidiaries and the effectiveness of internal control over financial reporting of General Motors Company and subsidiaries included in this Annual Report (Form 10-K) for the year ended December 31, 2018.</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p>
      <w:pPr>
        <w:sectPr>
          <w:pgSz w:w="11900" w:h="16838" w:orient="portrait"/>
          <w:cols w:equalWidth="0" w:num="1">
            <w:col w:w="11420"/>
          </w:cols>
          <w:pgMar w:left="240" w:top="121"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333-218793, 333-211344, and 333-196812 on Form S-8, and Registration Statement No. 333-215924 on Form S-3 of our report dated February 6, 2018 (July 25, 2018 as to Note 25, Segment Reporting), relating to the consolidated financial statements of General Motors Company, appearing in this Annual Report on Form 10-K of General Motors Company for the year ended December 31, 2018.</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2019</w:t>
      </w:r>
    </w:p>
    <w:p>
      <w:pPr>
        <w:sectPr>
          <w:pgSz w:w="11900" w:h="16838" w:orient="portrait"/>
          <w:cols w:equalWidth="0" w:num="1">
            <w:col w:w="11420"/>
          </w:cols>
          <w:pgMar w:left="240" w:top="121"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Jane L. Mendillo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21"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Judith A. Miscik</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Michael T. Kahler,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3860" w:type="dxa"/>
            <w:vAlign w:val="bottom"/>
            <w:gridSpan w:val="3"/>
          </w:tcPr>
          <w:p>
            <w:pPr>
              <w:ind w:left="156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368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3860" w:type="dxa"/>
            <w:vAlign w:val="bottom"/>
            <w:gridSpan w:val="3"/>
          </w:tcPr>
          <w:p>
            <w:pPr>
              <w:ind w:left="1560"/>
              <w:spacing w:after="0"/>
              <w:rPr>
                <w:sz w:val="20"/>
                <w:szCs w:val="20"/>
                <w:color w:val="auto"/>
              </w:rPr>
            </w:pPr>
            <w:r>
              <w:rPr>
                <w:rFonts w:ascii="Arial" w:cs="Arial" w:eastAsia="Arial" w:hAnsi="Arial"/>
                <w:sz w:val="18"/>
                <w:szCs w:val="18"/>
                <w:color w:val="auto"/>
                <w:w w:val="88"/>
              </w:rPr>
              <w:t>Year Ended December 31, 2018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Devin N. Wenig</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1"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6073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2019</w:t>
      </w:r>
    </w:p>
    <w:p>
      <w:pPr>
        <w:sectPr>
          <w:pgSz w:w="11900" w:h="16838" w:orient="portrait"/>
          <w:cols w:equalWidth="0" w:num="1">
            <w:col w:w="11420"/>
          </w:cols>
          <w:pgMar w:left="240" w:top="337"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6, 2019</w:t>
      </w:r>
    </w:p>
    <w:p>
      <w:pPr>
        <w:sectPr>
          <w:pgSz w:w="11900" w:h="16838" w:orient="portrait"/>
          <w:cols w:equalWidth="0" w:num="1">
            <w:col w:w="11420"/>
          </w:cols>
          <w:pgMar w:left="240" w:top="337"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2018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1)"/>
      <w:numFmt w:val="lowerLetter"/>
      <w:start w:val="1"/>
    </w:lvl>
  </w:abstractNum>
  <w:abstractNum w:abstractNumId="3">
    <w:nsid w:val="25413BEC"/>
    <w:multiLevelType w:val="hybridMultilevel"/>
    <w:lvl w:ilvl="0">
      <w:lvlJc w:val="left"/>
      <w:lvlText w:val="(%1)"/>
      <w:numFmt w:val="lowerLetter"/>
      <w:start w:val="1"/>
    </w:lvl>
  </w:abstractNum>
  <w:abstractNum w:abstractNumId="4">
    <w:nsid w:val="17180B0B"/>
    <w:multiLevelType w:val="hybridMultilevel"/>
    <w:lvl w:ilvl="0">
      <w:lvlJc w:val="left"/>
      <w:lvlText w:val="(%1)"/>
      <w:numFmt w:val="decimal"/>
      <w:start w:val="7"/>
    </w:lvl>
  </w:abstractNum>
  <w:abstractNum w:abstractNumId="5">
    <w:nsid w:val="579328B9"/>
    <w:multiLevelType w:val="hybridMultilevel"/>
    <w:lvl w:ilvl="0">
      <w:lvlJc w:val="left"/>
      <w:lvlText w:val="(%1)"/>
      <w:numFmt w:val="decimal"/>
      <w:start w:val="15"/>
    </w:lvl>
  </w:abstractNum>
  <w:abstractNum w:abstractNumId="6">
    <w:nsid w:val="5D205E20"/>
    <w:multiLevelType w:val="hybridMultilevel"/>
    <w:lvl w:ilvl="0">
      <w:lvlJc w:val="left"/>
      <w:lvlText w:val="(%1)"/>
      <w:numFmt w:val="lowerLetter"/>
      <w:start w:val="1"/>
    </w:lvl>
    <w:lvl w:ilvl="1">
      <w:lvlJc w:val="left"/>
      <w:lvlText w:val="*"/>
      <w:numFmt w:val="bullet"/>
      <w:start w:val="1"/>
    </w:lvl>
  </w:abstractNum>
  <w:abstractNum w:abstractNumId="7">
    <w:nsid w:val="11CCA8BA"/>
    <w:multiLevelType w:val="hybridMultilevel"/>
    <w:lvl w:ilvl="0">
      <w:lvlJc w:val="left"/>
      <w:lvlText w:val="(%1)"/>
      <w:numFmt w:val="lowerLetter"/>
      <w:start w:val="1"/>
    </w:lvl>
  </w:abstractNum>
  <w:abstractNum w:abstractNumId="8">
    <w:nsid w:val="4D32AB86"/>
    <w:multiLevelType w:val="hybridMultilevel"/>
    <w:lvl w:ilvl="0">
      <w:lvlJc w:val="left"/>
      <w:lvlText w:val="(%1)"/>
      <w:numFmt w:val="lowerLetter"/>
      <w:start w:val="1"/>
    </w:lvl>
  </w:abstractNum>
  <w:abstractNum w:abstractNumId="9">
    <w:nsid w:val="3F07ACC3"/>
    <w:multiLevelType w:val="hybridMultilevel"/>
    <w:lvl w:ilvl="0">
      <w:lvlJc w:val="left"/>
      <w:lvlText w:val="(%1)"/>
      <w:numFmt w:val="lowerLetter"/>
      <w:start w:val="1"/>
    </w:lvl>
  </w:abstractNum>
  <w:abstractNum w:abstractNumId="10">
    <w:nsid w:val="6B47F63E"/>
    <w:multiLevelType w:val="hybridMultilevel"/>
    <w:lvl w:ilvl="0">
      <w:lvlJc w:val="left"/>
      <w:lvlText w:val="(%1)"/>
      <w:numFmt w:val="lowerLetter"/>
      <w:start w:val="1"/>
    </w:lvl>
  </w:abstractNum>
  <w:abstractNum w:abstractNumId="11">
    <w:nsid w:val="5CB44A05"/>
    <w:multiLevelType w:val="hybridMultilevel"/>
    <w:lvl w:ilvl="0">
      <w:lvlJc w:val="left"/>
      <w:lvlText w:val="(%1)"/>
      <w:numFmt w:val="lowerLetter"/>
      <w:start w:val="1"/>
    </w:lvl>
  </w:abstractNum>
  <w:abstractNum w:abstractNumId="12">
    <w:nsid w:val="16CF80F1"/>
    <w:multiLevelType w:val="hybridMultilevel"/>
    <w:lvl w:ilvl="0">
      <w:lvlJc w:val="left"/>
      <w:lvlText w:val="(%1)"/>
      <w:numFmt w:val="lowerLetter"/>
      <w:start w:val="1"/>
    </w:lvl>
  </w:abstractNum>
  <w:abstractNum w:abstractNumId="13">
    <w:nsid w:val="1C695DEC"/>
    <w:multiLevelType w:val="hybridMultilevel"/>
    <w:lvl w:ilvl="0">
      <w:lvlJc w:val="left"/>
      <w:lvlText w:val="(%1)"/>
      <w:numFmt w:val="lowerLetter"/>
      <w:start w:val="1"/>
    </w:lvl>
  </w:abstractNum>
  <w:abstractNum w:abstractNumId="14">
    <w:nsid w:val="3FCFAED9"/>
    <w:multiLevelType w:val="hybridMultilevel"/>
    <w:lvl w:ilvl="0">
      <w:lvlJc w:val="left"/>
      <w:lvlText w:val="(%1)"/>
      <w:numFmt w:val="decimal"/>
      <w:start w:val="6"/>
    </w:lvl>
  </w:abstractNum>
  <w:abstractNum w:abstractNumId="15">
    <w:nsid w:val="F856867"/>
    <w:multiLevelType w:val="hybridMultilevel"/>
    <w:lvl w:ilvl="0">
      <w:lvlJc w:val="left"/>
      <w:lvlText w:val="(%1)"/>
      <w:numFmt w:val="lowerLetter"/>
      <w:start w:val="1"/>
    </w:lvl>
  </w:abstractNum>
  <w:abstractNum w:abstractNumId="16">
    <w:nsid w:val="11B1CC33"/>
    <w:multiLevelType w:val="hybridMultilevel"/>
    <w:lvl w:ilvl="0">
      <w:lvlJc w:val="left"/>
      <w:lvlText w:val="(%1)"/>
      <w:numFmt w:val="lowerLetter"/>
      <w:start w:val="1"/>
    </w:lvl>
  </w:abstractNum>
  <w:abstractNum w:abstractNumId="17">
    <w:nsid w:val="2E22FBB7"/>
    <w:multiLevelType w:val="hybridMultilevel"/>
    <w:lvl w:ilvl="0">
      <w:lvlJc w:val="left"/>
      <w:lvlText w:val="(%1)"/>
      <w:numFmt w:val="decimal"/>
      <w:start w:val="1"/>
    </w:lvl>
  </w:abstractNum>
  <w:abstractNum w:abstractNumId="18">
    <w:nsid w:val="29934699"/>
    <w:multiLevelType w:val="hybridMultilevel"/>
    <w:lvl w:ilvl="0">
      <w:lvlJc w:val="left"/>
      <w:lvlText w:val="(%1)"/>
      <w:numFmt w:val="lowerLetter"/>
      <w:start w:val="1"/>
    </w:lvl>
  </w:abstractNum>
  <w:abstractNum w:abstractNumId="19">
    <w:nsid w:val="77485850"/>
    <w:multiLevelType w:val="hybridMultilevel"/>
    <w:lvl w:ilvl="0">
      <w:lvlJc w:val="left"/>
      <w:lvlText w:val="(%1)"/>
      <w:numFmt w:val="lowerLetter"/>
      <w:start w:val="1"/>
    </w:lvl>
  </w:abstractNum>
  <w:abstractNum w:abstractNumId="20">
    <w:nsid w:val="744939A3"/>
    <w:multiLevelType w:val="hybridMultilevel"/>
    <w:lvl w:ilvl="0">
      <w:lvlJc w:val="left"/>
      <w:lvlText w:val="(%1)"/>
      <w:numFmt w:val="lowerLetter"/>
      <w:start w:val="1"/>
    </w:lvl>
  </w:abstractNum>
  <w:abstractNum w:abstractNumId="21">
    <w:nsid w:val="4FA0D2E3"/>
    <w:multiLevelType w:val="hybridMultilevel"/>
    <w:lvl w:ilvl="0">
      <w:lvlJc w:val="left"/>
      <w:lvlText w:val="(%1)"/>
      <w:numFmt w:val="lowerLetter"/>
      <w:start w:val="1"/>
    </w:lvl>
  </w:abstractNum>
  <w:abstractNum w:abstractNumId="22">
    <w:nsid w:val="6B1D2C14"/>
    <w:multiLevelType w:val="hybridMultilevel"/>
    <w:lvl w:ilvl="0">
      <w:lvlJc w:val="left"/>
      <w:lvlText w:val="(%1)"/>
      <w:numFmt w:val="lowerLetter"/>
      <w:start w:val="1"/>
    </w:lvl>
  </w:abstractNum>
  <w:abstractNum w:abstractNumId="23">
    <w:nsid w:val="68B867D3"/>
    <w:multiLevelType w:val="hybridMultilevel"/>
    <w:lvl w:ilvl="0">
      <w:lvlJc w:val="left"/>
      <w:lvlText w:val="(%1)"/>
      <w:numFmt w:val="lowerLetter"/>
      <w:start w:val="1"/>
    </w:lvl>
  </w:abstractNum>
  <w:abstractNum w:abstractNumId="24">
    <w:nsid w:val="3F7F5DD9"/>
    <w:multiLevelType w:val="hybridMultilevel"/>
    <w:lvl w:ilvl="0">
      <w:lvlJc w:val="left"/>
      <w:lvlText w:val="(%1)"/>
      <w:numFmt w:val="lowerLetter"/>
      <w:start w:val="1"/>
    </w:lvl>
  </w:abstractNum>
  <w:abstractNum w:abstractNumId="25">
    <w:nsid w:val="2AE05A34"/>
    <w:multiLevelType w:val="hybridMultilevel"/>
    <w:lvl w:ilvl="0">
      <w:lvlJc w:val="left"/>
      <w:lvlText w:val="(%1)"/>
      <w:numFmt w:val="lowerLetter"/>
      <w:start w:val="1"/>
    </w:lvl>
  </w:abstractNum>
  <w:abstractNum w:abstractNumId="26">
    <w:nsid w:val="32794FF7"/>
    <w:multiLevelType w:val="hybridMultilevel"/>
    <w:lvl w:ilvl="0">
      <w:lvlJc w:val="left"/>
      <w:lvlText w:val="(%1)"/>
      <w:numFmt w:val="lowerLetter"/>
      <w:start w:val="1"/>
    </w:lvl>
  </w:abstractNum>
  <w:abstractNum w:abstractNumId="27">
    <w:nsid w:val="5454945E"/>
    <w:multiLevelType w:val="hybridMultilevel"/>
    <w:lvl w:ilvl="0">
      <w:lvlJc w:val="left"/>
      <w:lvlText w:val="(%1)"/>
      <w:numFmt w:val="lowerLetter"/>
      <w:start w:val="1"/>
    </w:lvl>
  </w:abstractNum>
  <w:abstractNum w:abstractNumId="28">
    <w:nsid w:val="4DEFDFA0"/>
    <w:multiLevelType w:val="hybridMultilevel"/>
    <w:lvl w:ilvl="0">
      <w:lvlJc w:val="left"/>
      <w:lvlText w:val="(%1)"/>
      <w:numFmt w:val="lowerLetter"/>
      <w:start w:val="1"/>
    </w:lvl>
  </w:abstractNum>
  <w:abstractNum w:abstractNumId="29">
    <w:nsid w:val="2123D5F2"/>
    <w:multiLevelType w:val="hybridMultilevel"/>
    <w:lvl w:ilvl="0">
      <w:lvlJc w:val="left"/>
      <w:lvlText w:val="(%1)"/>
      <w:numFmt w:val="lowerLetter"/>
      <w:start w:val="1"/>
    </w:lvl>
  </w:abstractNum>
  <w:abstractNum w:abstractNumId="30">
    <w:nsid w:val="135B8110"/>
    <w:multiLevelType w:val="hybridMultilevel"/>
    <w:lvl w:ilvl="0">
      <w:lvlJc w:val="left"/>
      <w:lvlText w:val="(%1)"/>
      <w:numFmt w:val="lowerLetter"/>
      <w:start w:val="1"/>
    </w:lvl>
  </w:abstractNum>
  <w:abstractNum w:abstractNumId="31">
    <w:nsid w:val="94927A8"/>
    <w:multiLevelType w:val="hybridMultilevel"/>
    <w:lvl w:ilvl="0">
      <w:lvlJc w:val="left"/>
      <w:lvlText w:val="(%1)"/>
      <w:numFmt w:val="lowerLetter"/>
      <w:start w:val="1"/>
    </w:lvl>
  </w:abstractNum>
  <w:abstractNum w:abstractNumId="32">
    <w:nsid w:val="DCDF8F6"/>
    <w:multiLevelType w:val="hybridMultilevel"/>
    <w:lvl w:ilvl="0">
      <w:lvlJc w:val="left"/>
      <w:lvlText w:val="(%1)"/>
      <w:numFmt w:val="lowerLetter"/>
      <w:start w:val="1"/>
    </w:lvl>
    <w:lvl w:ilvl="1">
      <w:lvlJc w:val="left"/>
      <w:lvlText w:val="%2."/>
      <w:numFmt w:val="decimal"/>
      <w:start w:val="2"/>
    </w:lvl>
  </w:abstractNum>
  <w:abstractNum w:abstractNumId="33">
    <w:nsid w:val="52D7B105"/>
    <w:multiLevelType w:val="hybridMultilevel"/>
    <w:lvl w:ilvl="0">
      <w:lvlJc w:val="left"/>
      <w:lvlText w:val="%1"/>
      <w:numFmt w:val="decimal"/>
      <w:start w:val="21"/>
    </w:lvl>
  </w:abstractNum>
  <w:abstractNum w:abstractNumId="34">
    <w:nsid w:val="2E8A6394"/>
    <w:multiLevelType w:val="hybridMultilevel"/>
    <w:lvl w:ilvl="0">
      <w:lvlJc w:val="left"/>
      <w:lvlText w:val="%1"/>
      <w:numFmt w:val="decimal"/>
      <w:start w:val="24"/>
    </w:lvl>
  </w:abstractNum>
  <w:abstractNum w:abstractNumId="35">
    <w:nsid w:val="24E60401"/>
    <w:multiLevelType w:val="hybridMultilevel"/>
    <w:lvl w:ilvl="0">
      <w:lvlJc w:val="left"/>
      <w:lvlText w:val="†"/>
      <w:numFmt w:val="bullet"/>
      <w:start w:val="1"/>
    </w:lvl>
  </w:abstractNum>
  <w:abstractNum w:abstractNumId="36">
    <w:nsid w:val="2A6AD9BE"/>
    <w:multiLevelType w:val="hybridMultilevel"/>
    <w:lvl w:ilvl="0">
      <w:lvlJc w:val="left"/>
      <w:lvlText w:val="*"/>
      <w:numFmt w:val="bullet"/>
      <w:start w:val="1"/>
    </w:lvl>
  </w:abstractNum>
  <w:abstractNum w:abstractNumId="37">
    <w:nsid w:val="BAAC1B4"/>
    <w:multiLevelType w:val="hybridMultilevel"/>
    <w:lvl w:ilvl="0">
      <w:lvlJc w:val="left"/>
      <w:lvlText w:val="**"/>
      <w:numFmt w:val="bullet"/>
      <w:start w:val="1"/>
    </w:lvl>
  </w:abstractNum>
  <w:abstractNum w:abstractNumId="38">
    <w:nsid w:val="36B2ACBC"/>
    <w:multiLevelType w:val="hybridMultilevel"/>
    <w:lvl w:ilvl="0">
      <w:lvlJc w:val="left"/>
      <w:lvlText w:val="(%1)"/>
      <w:numFmt w:val="lowerLetter"/>
      <w:start w:val="1"/>
    </w:lvl>
  </w:abstractNum>
  <w:abstractNum w:abstractNumId="39">
    <w:nsid w:val="779D8544"/>
    <w:multiLevelType w:val="hybridMultilevel"/>
    <w:lvl w:ilvl="0">
      <w:lvlJc w:val="left"/>
      <w:lvlText w:val="(%1)"/>
      <w:numFmt w:val="lowerLetter"/>
      <w:start w:val="1"/>
    </w:lvl>
  </w:abstractNum>
  <w:abstractNum w:abstractNumId="40">
    <w:nsid w:val="4AB26E78"/>
    <w:multiLevelType w:val="hybridMultilevel"/>
    <w:lvl w:ilvl="0">
      <w:lvlJc w:val="left"/>
      <w:lvlText w:val="(%1)"/>
      <w:numFmt w:val="lowerLetter"/>
      <w:start w:val="1"/>
    </w:lvl>
  </w:abstractNum>
  <w:abstractNum w:abstractNumId="41">
    <w:nsid w:val="21FAA2FA"/>
    <w:multiLevelType w:val="hybridMultilevel"/>
    <w:lvl w:ilvl="0">
      <w:lvlJc w:val="left"/>
      <w:lvlText w:val="(%1)"/>
      <w:numFmt w:val="lowerLetter"/>
      <w:start w:val="4"/>
    </w:lvl>
  </w:abstractNum>
  <w:abstractNum w:abstractNumId="42">
    <w:nsid w:val="5451CF49"/>
    <w:multiLevelType w:val="hybridMultilevel"/>
    <w:lvl w:ilvl="0">
      <w:lvlJc w:val="left"/>
      <w:lvlText w:val="(%1)"/>
      <w:numFmt w:val="lowerLetter"/>
      <w:start w:val="1"/>
    </w:lvl>
  </w:abstractNum>
  <w:abstractNum w:abstractNumId="43">
    <w:nsid w:val="6181EF69"/>
    <w:multiLevelType w:val="hybridMultilevel"/>
    <w:lvl w:ilvl="0">
      <w:lvlJc w:val="left"/>
      <w:lvlText w:val="%1"/>
      <w:numFmt w:val="lowerLetter"/>
      <w:start w:val="1"/>
    </w:lvl>
    <w:lvl w:ilvl="1">
      <w:lvlJc w:val="left"/>
      <w:lvlText w:val="(%2)"/>
      <w:numFmt w:val="lowerLetter"/>
      <w:start w:val="3"/>
    </w:lvl>
  </w:abstractNum>
  <w:abstractNum w:abstractNumId="44">
    <w:nsid w:val="3E6400E6"/>
    <w:multiLevelType w:val="hybridMultilevel"/>
    <w:lvl w:ilvl="0">
      <w:lvlJc w:val="left"/>
      <w:lvlText w:val="(%1)"/>
      <w:numFmt w:val="lowerLetter"/>
      <w:start w:val="61"/>
    </w:lvl>
    <w:lvl w:ilvl="1">
      <w:lvlJc w:val="left"/>
      <w:lvlText w:val="(%2)"/>
      <w:numFmt w:val="lowerLetter"/>
      <w:start w:val="8"/>
    </w:lvl>
  </w:abstractNum>
  <w:abstractNum w:abstractNumId="45">
    <w:nsid w:val="14217E23"/>
    <w:multiLevelType w:val="hybridMultilevel"/>
    <w:lvl w:ilvl="0">
      <w:lvlJc w:val="left"/>
      <w:lvlText w:val="(%1)"/>
      <w:numFmt w:val="lowerLetter"/>
      <w:start w:val="9"/>
    </w:lvl>
  </w:abstractNum>
  <w:abstractNum w:abstractNumId="46">
    <w:nsid w:val="710757D0"/>
    <w:multiLevelType w:val="hybridMultilevel"/>
    <w:lvl w:ilvl="0">
      <w:lvlJc w:val="left"/>
      <w:lvlText w:val="(%1)"/>
      <w:numFmt w:val="lowerLetter"/>
      <w:start w:val="1"/>
    </w:lvl>
  </w:abstractNum>
  <w:abstractNum w:abstractNumId="47">
    <w:nsid w:val="5015CD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424479D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9">
    <w:nsid w:val="1A9A9E69"/>
    <w:multiLevelType w:val="hybridMultilevel"/>
    <w:lvl w:ilvl="0">
      <w:lvlJc w:val="left"/>
      <w:lvlText w:val="(%1)"/>
      <w:numFmt w:val="lowerRoman"/>
      <w:start w:val="6"/>
    </w:lvl>
  </w:abstractNum>
  <w:abstractNum w:abstractNumId="50">
    <w:nsid w:val="475E256A"/>
    <w:multiLevelType w:val="hybridMultilevel"/>
    <w:lvl w:ilvl="0">
      <w:lvlJc w:val="left"/>
      <w:lvlText w:val="(%1)"/>
      <w:numFmt w:val="lowerLetter"/>
      <w:start w:val="2"/>
    </w:lvl>
  </w:abstractNum>
  <w:abstractNum w:abstractNumId="51">
    <w:nsid w:val="368DB37E"/>
    <w:multiLevelType w:val="hybridMultilevel"/>
    <w:lvl w:ilvl="0">
      <w:lvlJc w:val="left"/>
      <w:lvlText w:val="(%1)"/>
      <w:numFmt w:val="lowerLetter"/>
      <w:start w:val="1"/>
    </w:lvl>
  </w:abstractNum>
  <w:abstractNum w:abstractNumId="52">
    <w:nsid w:val="6A3B714C"/>
    <w:multiLevelType w:val="hybridMultilevel"/>
    <w:lvl w:ilvl="0">
      <w:lvlJc w:val="left"/>
      <w:lvlText w:val="%1"/>
      <w:numFmt w:val="lowerLetter"/>
      <w:start w:val="1"/>
    </w:lvl>
    <w:lvl w:ilvl="1">
      <w:lvlJc w:val="left"/>
      <w:lvlText w:val="(%2)"/>
      <w:numFmt w:val="lowerLetter"/>
      <w:start w:val="4"/>
    </w:lvl>
  </w:abstractNum>
  <w:abstractNum w:abstractNumId="53">
    <w:nsid w:val="327B517E"/>
    <w:multiLevelType w:val="hybridMultilevel"/>
    <w:lvl w:ilvl="0">
      <w:lvlJc w:val="left"/>
      <w:lvlText w:val="(%1)"/>
      <w:numFmt w:val="lowerLetter"/>
      <w:start w:val="35"/>
    </w:lvl>
    <w:lvl w:ilvl="1">
      <w:lvlJc w:val="left"/>
      <w:lvlText w:val="(%2)"/>
      <w:numFmt w:val="lowerLetter"/>
      <w:start w:val="8"/>
    </w:lvl>
  </w:abstractNum>
  <w:abstractNum w:abstractNumId="54">
    <w:nsid w:val="1F461B51"/>
    <w:multiLevelType w:val="hybridMultilevel"/>
    <w:lvl w:ilvl="0">
      <w:lvlJc w:val="left"/>
      <w:lvlText w:val="(%1)"/>
      <w:numFmt w:val="lowerRoman"/>
      <w:start w:val="1"/>
    </w:lvl>
  </w:abstractNum>
  <w:abstractNum w:abstractNumId="55">
    <w:nsid w:val="29BACF25"/>
    <w:multiLevelType w:val="hybridMultilevel"/>
    <w:lvl w:ilvl="0">
      <w:lvlJc w:val="left"/>
      <w:lvlText w:val="(%1)"/>
      <w:numFmt w:val="lowerLetter"/>
      <w:start w:val="1"/>
    </w:lvl>
  </w:abstractNum>
  <w:abstractNum w:abstractNumId="56">
    <w:nsid w:val="5D5BABB3"/>
    <w:multiLevelType w:val="hybridMultilevel"/>
    <w:lvl w:ilvl="0">
      <w:lvlJc w:val="left"/>
      <w:lvlText w:val="%1"/>
      <w:numFmt w:val="decimal"/>
      <w:start w:val="1"/>
    </w:lvl>
    <w:lvl w:ilvl="1">
      <w:lvlJc w:val="left"/>
      <w:lvlText w:val="(%2)"/>
      <w:numFmt w:val="lowerLetter"/>
      <w:start w:val="3"/>
    </w:lvl>
  </w:abstractNum>
  <w:abstractNum w:abstractNumId="57">
    <w:nsid w:val="51BF6B48"/>
    <w:multiLevelType w:val="hybridMultilevel"/>
    <w:lvl w:ilvl="0">
      <w:lvlJc w:val="left"/>
      <w:lvlText w:val="(%1)"/>
      <w:numFmt w:val="decimal"/>
      <w:start w:val="6"/>
    </w:lvl>
    <w:lvl w:ilvl="1">
      <w:lvlJc w:val="left"/>
      <w:lvlText w:val="%2"/>
      <w:numFmt w:val="lowerLetter"/>
      <w:start w:val="1"/>
    </w:lvl>
  </w:abstractNum>
  <w:abstractNum w:abstractNumId="58">
    <w:nsid w:val="7E0F6384"/>
    <w:multiLevelType w:val="hybridMultilevel"/>
    <w:lvl w:ilvl="0">
      <w:lvlJc w:val="left"/>
      <w:lvlText w:val="(%1)"/>
      <w:numFmt w:val="lowerLetter"/>
      <w:start w:val="1"/>
    </w:lvl>
  </w:abstractNum>
  <w:abstractNum w:abstractNumId="59">
    <w:nsid w:val="2B4B8B53"/>
    <w:multiLevelType w:val="hybridMultilevel"/>
    <w:lvl w:ilvl="0">
      <w:lvlJc w:val="left"/>
      <w:lvlText w:val="(%1)"/>
      <w:numFmt w:val="upperLetter"/>
      <w:start w:val="4"/>
    </w:lvl>
    <w:lvl w:ilvl="1">
      <w:lvlJc w:val="left"/>
      <w:lvlText w:val="(%2)"/>
      <w:numFmt w:val="lowerLetter"/>
      <w:start w:val="2"/>
    </w:lvl>
  </w:abstractNum>
  <w:abstractNum w:abstractNumId="60">
    <w:nsid w:val="72E3413A"/>
    <w:multiLevelType w:val="hybridMultilevel"/>
    <w:lvl w:ilvl="0">
      <w:lvlJc w:val="left"/>
      <w:lvlText w:val="(%1)"/>
      <w:numFmt w:val="lowerLetter"/>
      <w:start w:val="1"/>
    </w:lvl>
  </w:abstractNum>
  <w:abstractNum w:abstractNumId="61">
    <w:nsid w:val="116AE494"/>
    <w:multiLevelType w:val="hybridMultilevel"/>
    <w:lvl w:ilvl="0">
      <w:lvlJc w:val="left"/>
      <w:lvlText w:val="(%1)"/>
      <w:numFmt w:val="lowerLetter"/>
      <w:start w:val="1"/>
    </w:lvl>
  </w:abstractNum>
  <w:abstractNum w:abstractNumId="62">
    <w:nsid w:val="3494B2FB"/>
    <w:multiLevelType w:val="hybridMultilevel"/>
    <w:lvl w:ilvl="0">
      <w:lvlJc w:val="left"/>
      <w:lvlText w:val="(%1)"/>
      <w:numFmt w:val="lowerLetter"/>
      <w:start w:val="1"/>
    </w:lvl>
  </w:abstractNum>
  <w:abstractNum w:abstractNumId="63">
    <w:nsid w:val="B13A31"/>
    <w:multiLevelType w:val="hybridMultilevel"/>
    <w:lvl w:ilvl="0">
      <w:lvlJc w:val="left"/>
      <w:lvlText w:val="(%1)"/>
      <w:numFmt w:val="lowerLetter"/>
      <w:start w:val="1"/>
    </w:lvl>
  </w:abstractNum>
  <w:abstractNum w:abstractNumId="64">
    <w:nsid w:val="64429599"/>
    <w:multiLevelType w:val="hybridMultilevel"/>
    <w:lvl w:ilvl="0">
      <w:lvlJc w:val="left"/>
      <w:lvlText w:val="(%1)"/>
      <w:numFmt w:val="lowerLetter"/>
      <w:start w:val="1"/>
    </w:lvl>
  </w:abstractNum>
  <w:abstractNum w:abstractNumId="65">
    <w:nsid w:val="631F1690"/>
    <w:multiLevelType w:val="hybridMultilevel"/>
    <w:lvl w:ilvl="0">
      <w:lvlJc w:val="left"/>
      <w:lvlText w:val="(%1)"/>
      <w:numFmt w:val="lowerLetter"/>
      <w:start w:val="2"/>
    </w:lvl>
  </w:abstractNum>
  <w:abstractNum w:abstractNumId="66">
    <w:nsid w:val="25973E32"/>
    <w:multiLevelType w:val="hybridMultilevel"/>
    <w:lvl w:ilvl="0">
      <w:lvlJc w:val="left"/>
      <w:lvlText w:val="(%1)"/>
      <w:numFmt w:val="lowerLetter"/>
      <w:start w:val="1"/>
    </w:lvl>
  </w:abstractNum>
  <w:abstractNum w:abstractNumId="67">
    <w:nsid w:val="EAD6F57"/>
    <w:multiLevelType w:val="hybridMultilevel"/>
    <w:lvl w:ilvl="0">
      <w:lvlJc w:val="left"/>
      <w:lvlText w:val="(%1)"/>
      <w:numFmt w:val="lowerLetter"/>
      <w:start w:val="2"/>
    </w:lvl>
  </w:abstractNum>
  <w:abstractNum w:abstractNumId="68">
    <w:nsid w:val="6EC9D844"/>
    <w:multiLevelType w:val="hybridMultilevel"/>
    <w:lvl w:ilvl="0">
      <w:lvlJc w:val="left"/>
      <w:lvlText w:val="(%1)"/>
      <w:numFmt w:val="lowerLetter"/>
      <w:start w:val="1"/>
    </w:lvl>
    <w:lvl w:ilvl="1">
      <w:lvlJc w:val="left"/>
      <w:lvlText w:val="(%2)"/>
      <w:numFmt w:val="lowerRoman"/>
      <w:start w:val="1"/>
    </w:lvl>
  </w:abstractNum>
  <w:abstractNum w:abstractNumId="69">
    <w:nsid w:val="5C49EAEE"/>
    <w:multiLevelType w:val="hybridMultilevel"/>
    <w:lvl w:ilvl="0">
      <w:lvlJc w:val="left"/>
      <w:lvlText w:val="(%1)"/>
      <w:numFmt w:val="lowerLetter"/>
      <w:start w:val="1"/>
    </w:lvl>
  </w:abstractNum>
  <w:abstractNum w:abstractNumId="70">
    <w:nsid w:val="64AF49B"/>
    <w:multiLevelType w:val="hybridMultilevel"/>
    <w:lvl w:ilvl="0">
      <w:lvlJc w:val="left"/>
      <w:lvlText w:val="(%1)"/>
      <w:numFmt w:val="lowerLetter"/>
      <w:start w:val="2"/>
    </w:lvl>
  </w:abstractNum>
  <w:abstractNum w:abstractNumId="71">
    <w:nsid w:val="397C46BC"/>
    <w:multiLevelType w:val="hybridMultilevel"/>
    <w:lvl w:ilvl="0">
      <w:lvlJc w:val="left"/>
      <w:lvlText w:val="(%1)"/>
      <w:numFmt w:val="lowerLetter"/>
      <w:start w:val="2"/>
    </w:lvl>
  </w:abstractNum>
  <w:abstractNum w:abstractNumId="72">
    <w:nsid w:val="7E448DE9"/>
    <w:multiLevelType w:val="hybridMultilevel"/>
    <w:lvl w:ilvl="0">
      <w:lvlJc w:val="left"/>
      <w:lvlText w:val="(%1)"/>
      <w:numFmt w:val="lowerLetter"/>
      <w:start w:val="1"/>
    </w:lvl>
  </w:abstractNum>
  <w:abstractNum w:abstractNumId="73">
    <w:nsid w:val="5A9CC3E5"/>
    <w:multiLevelType w:val="hybridMultilevel"/>
    <w:lvl w:ilvl="0">
      <w:lvlJc w:val="left"/>
      <w:lvlText w:val="(%1)"/>
      <w:numFmt w:val="lowerLetter"/>
      <w:start w:val="2"/>
    </w:lvl>
  </w:abstractNum>
  <w:abstractNum w:abstractNumId="74">
    <w:nsid w:val="1AFE3625"/>
    <w:multiLevelType w:val="hybridMultilevel"/>
    <w:lvl w:ilvl="0">
      <w:lvlJc w:val="left"/>
      <w:lvlText w:val="(%1)"/>
      <w:numFmt w:val="lowerLetter"/>
      <w:start w:val="1"/>
    </w:lvl>
  </w:abstractNum>
  <w:abstractNum w:abstractNumId="75">
    <w:nsid w:val="3CA88ECF"/>
    <w:multiLevelType w:val="hybridMultilevel"/>
    <w:lvl w:ilvl="0">
      <w:lvlJc w:val="left"/>
      <w:lvlText w:val="%1"/>
      <w:numFmt w:val="lowerLetter"/>
      <w:start w:val="1"/>
    </w:lvl>
    <w:lvl w:ilvl="1">
      <w:lvlJc w:val="left"/>
      <w:lvlText w:val="(%2)"/>
      <w:numFmt w:val="lowerLetter"/>
      <w:start w:val="4"/>
    </w:lvl>
  </w:abstractNum>
  <w:abstractNum w:abstractNumId="76">
    <w:nsid w:val="6EBE4208"/>
    <w:multiLevelType w:val="hybridMultilevel"/>
    <w:lvl w:ilvl="0">
      <w:lvlJc w:val="left"/>
      <w:lvlText w:val="(%1)"/>
      <w:numFmt w:val="lowerLetter"/>
      <w:start w:val="35"/>
    </w:lvl>
    <w:lvl w:ilvl="1">
      <w:lvlJc w:val="left"/>
      <w:lvlText w:val="(%2)"/>
      <w:numFmt w:val="lowerLetter"/>
      <w:start w:val="5"/>
    </w:lvl>
  </w:abstractNum>
  <w:abstractNum w:abstractNumId="77">
    <w:nsid w:val="C058DF5"/>
    <w:multiLevelType w:val="hybridMultilevel"/>
    <w:lvl w:ilvl="0">
      <w:lvlJc w:val="left"/>
      <w:lvlText w:val="(%1)"/>
      <w:numFmt w:val="lowerLetter"/>
      <w:start w:val="1"/>
    </w:lvl>
  </w:abstractNum>
  <w:abstractNum w:abstractNumId="78">
    <w:nsid w:val="CBE5BE9"/>
    <w:multiLevelType w:val="hybridMultilevel"/>
    <w:lvl w:ilvl="0">
      <w:lvlJc w:val="left"/>
      <w:lvlText w:val="(%1)"/>
      <w:numFmt w:val="lowerRoman"/>
      <w:start w:val="1"/>
    </w:lvl>
  </w:abstractNum>
  <w:abstractNum w:abstractNumId="79">
    <w:nsid w:val="3102BBE2"/>
    <w:multiLevelType w:val="hybridMultilevel"/>
    <w:lvl w:ilvl="0">
      <w:lvlJc w:val="left"/>
      <w:lvlText w:val="(%1)"/>
      <w:numFmt w:val="lowerRoman"/>
      <w:start w:val="2"/>
    </w:lvl>
  </w:abstractNum>
  <w:abstractNum w:abstractNumId="80">
    <w:nsid w:val="26A02C5E"/>
    <w:multiLevelType w:val="hybridMultilevel"/>
    <w:lvl w:ilvl="0">
      <w:lvlJc w:val="left"/>
      <w:lvlText w:val="(%1)"/>
      <w:numFmt w:val="lowerLetter"/>
      <w:start w:val="2"/>
    </w:lvl>
  </w:abstractNum>
  <w:abstractNum w:abstractNumId="81">
    <w:nsid w:val="541C8153"/>
    <w:multiLevelType w:val="hybridMultilevel"/>
    <w:lvl w:ilvl="0">
      <w:lvlJc w:val="left"/>
      <w:lvlText w:val="(%1)"/>
      <w:numFmt w:val="lowerLetter"/>
      <w:start w:val="1"/>
    </w:lvl>
  </w:abstractNum>
  <w:abstractNum w:abstractNumId="82">
    <w:nsid w:val="67906F60"/>
    <w:multiLevelType w:val="hybridMultilevel"/>
    <w:lvl w:ilvl="0">
      <w:lvlJc w:val="left"/>
      <w:lvlText w:val="(%1)"/>
      <w:numFmt w:val="lowerLetter"/>
      <w:start w:val="2"/>
    </w:lvl>
  </w:abstractNum>
  <w:abstractNum w:abstractNumId="83">
    <w:nsid w:val="10DB9DAA"/>
    <w:multiLevelType w:val="hybridMultilevel"/>
    <w:lvl w:ilvl="0">
      <w:lvlJc w:val="left"/>
      <w:lvlText w:val="(%1)"/>
      <w:numFmt w:val="lowerLetter"/>
      <w:start w:val="1"/>
    </w:lvl>
  </w:abstractNum>
  <w:abstractNum w:abstractNumId="84">
    <w:nsid w:val="697D2D2"/>
    <w:multiLevelType w:val="hybridMultilevel"/>
    <w:lvl w:ilvl="0">
      <w:lvlJc w:val="left"/>
      <w:lvlText w:val="%1"/>
      <w:numFmt w:val="lowerRoman"/>
      <w:start w:val="1"/>
    </w:lvl>
    <w:lvl w:ilvl="1">
      <w:lvlJc w:val="left"/>
      <w:lvlText w:val="(%2)"/>
      <w:numFmt w:val="lowerLetter"/>
      <w:start w:val="2"/>
    </w:lvl>
  </w:abstractNum>
  <w:abstractNum w:abstractNumId="85">
    <w:nsid w:val="6D68AB2"/>
    <w:multiLevelType w:val="hybridMultilevel"/>
    <w:lvl w:ilvl="0">
      <w:lvlJc w:val="left"/>
      <w:lvlText w:val="(%1)"/>
      <w:numFmt w:val="lowerRoman"/>
      <w:start w:val="4"/>
    </w:lvl>
    <w:lvl w:ilvl="1">
      <w:lvlJc w:val="left"/>
      <w:lvlText w:val="%2"/>
      <w:numFmt w:val="lowerLetter"/>
      <w:start w:val="1"/>
    </w:lvl>
  </w:abstractNum>
  <w:abstractNum w:abstractNumId="86">
    <w:nsid w:val="3A966CD0"/>
    <w:multiLevelType w:val="hybridMultilevel"/>
    <w:lvl w:ilvl="0">
      <w:lvlJc w:val="left"/>
      <w:lvlText w:val="(%1)"/>
      <w:numFmt w:val="lowerLetter"/>
      <w:start w:val="1"/>
    </w:lvl>
  </w:abstractNum>
  <w:abstractNum w:abstractNumId="87">
    <w:nsid w:val="63F37E85"/>
    <w:multiLevelType w:val="hybridMultilevel"/>
    <w:lvl w:ilvl="0">
      <w:lvlJc w:val="left"/>
      <w:lvlText w:val="(%1)"/>
      <w:numFmt w:val="lowerLetter"/>
      <w:start w:val="2"/>
    </w:lvl>
  </w:abstractNum>
  <w:abstractNum w:abstractNumId="88">
    <w:nsid w:val="5895F5FA"/>
    <w:multiLevelType w:val="hybridMultilevel"/>
    <w:lvl w:ilvl="0">
      <w:lvlJc w:val="left"/>
      <w:lvlText w:val="(%1)"/>
      <w:numFmt w:val="lowerLetter"/>
      <w:start w:val="5"/>
    </w:lvl>
  </w:abstractNum>
  <w:abstractNum w:abstractNumId="89">
    <w:nsid w:val="38A5D054"/>
    <w:multiLevelType w:val="hybridMultilevel"/>
    <w:lvl w:ilvl="0">
      <w:lvlJc w:val="left"/>
      <w:lvlText w:val="%1."/>
      <w:numFmt w:val="decimal"/>
      <w:start w:val="1"/>
    </w:lvl>
  </w:abstractNum>
  <w:abstractNum w:abstractNumId="90">
    <w:nsid w:val="F3F09D8"/>
    <w:multiLevelType w:val="hybridMultilevel"/>
    <w:lvl w:ilvl="0">
      <w:lvlJc w:val="left"/>
      <w:lvlText w:val="%1."/>
      <w:numFmt w:val="decimal"/>
      <w:start w:val="2"/>
    </w:lvl>
    <w:lvl w:ilvl="1">
      <w:lvlJc w:val="left"/>
      <w:lvlText w:val="(%2)"/>
      <w:numFmt w:val="lowerLetter"/>
      <w:start w:val="1"/>
    </w:lvl>
  </w:abstractNum>
  <w:abstractNum w:abstractNumId="91">
    <w:nsid w:val="4B793735"/>
    <w:multiLevelType w:val="hybridMultilevel"/>
    <w:lvl w:ilvl="0">
      <w:lvlJc w:val="left"/>
      <w:lvlText w:val="%1"/>
      <w:numFmt w:val="decimal"/>
      <w:start w:val="1"/>
    </w:lvl>
    <w:lvl w:ilvl="1">
      <w:lvlJc w:val="left"/>
      <w:lvlText w:val="(%2)"/>
      <w:numFmt w:val="lowerLetter"/>
      <w:start w:val="61"/>
    </w:lvl>
  </w:abstractNum>
  <w:abstractNum w:abstractNumId="92">
    <w:nsid w:val="4A10B4E8"/>
    <w:multiLevelType w:val="hybridMultilevel"/>
    <w:lvl w:ilvl="0">
      <w:lvlJc w:val="left"/>
      <w:lvlText w:val="%1"/>
      <w:numFmt w:val="decimal"/>
      <w:start w:val="1"/>
    </w:lvl>
    <w:lvl w:ilvl="1">
      <w:lvlJc w:val="left"/>
      <w:lvlText w:val="(%2)"/>
      <w:numFmt w:val="lowerLetter"/>
      <w:start w:val="2"/>
    </w:lvl>
  </w:abstractNum>
  <w:abstractNum w:abstractNumId="93">
    <w:nsid w:val="43D3BCD4"/>
    <w:multiLevelType w:val="hybridMultilevel"/>
    <w:lvl w:ilvl="0">
      <w:lvlJc w:val="left"/>
      <w:lvlText w:val="(%1)"/>
      <w:numFmt w:val="lowerLetter"/>
      <w:start w:val="4"/>
    </w:lvl>
    <w:lvl w:ilvl="1">
      <w:lvlJc w:val="left"/>
      <w:lvlText w:val="(%2)"/>
      <w:numFmt w:val="lowerRoman"/>
      <w:start w:val="1"/>
    </w:lvl>
  </w:abstractNum>
  <w:abstractNum w:abstractNumId="94">
    <w:nsid w:val="4C2A7166"/>
    <w:multiLevelType w:val="hybridMultilevel"/>
    <w:lvl w:ilvl="0">
      <w:lvlJc w:val="left"/>
      <w:lvlText w:val="(%1)"/>
      <w:numFmt w:val="lowerLetter"/>
      <w:start w:val="12"/>
    </w:lvl>
  </w:abstractNum>
  <w:abstractNum w:abstractNumId="95">
    <w:nsid w:val="2E534A82"/>
    <w:multiLevelType w:val="hybridMultilevel"/>
    <w:lvl w:ilvl="0">
      <w:lvlJc w:val="left"/>
      <w:lvlText w:val="(%1)"/>
      <w:numFmt w:val="lowerLetter"/>
      <w:start w:val="18"/>
    </w:lvl>
  </w:abstractNum>
  <w:abstractNum w:abstractNumId="96">
    <w:nsid w:val="26F2D364"/>
    <w:multiLevelType w:val="hybridMultilevel"/>
    <w:lvl w:ilvl="0">
      <w:lvlJc w:val="left"/>
      <w:lvlText w:val="(%1)"/>
      <w:numFmt w:val="lowerLetter"/>
      <w:start w:val="27"/>
    </w:lvl>
  </w:abstractNum>
  <w:abstractNum w:abstractNumId="97">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8"/>
    </w:lvl>
    <w:lvl w:ilvl="3">
      <w:lvlJc w:val="left"/>
      <w:lvlText w:val="%4"/>
      <w:numFmt w:val="lowerRoman"/>
      <w:start w:val="1"/>
    </w:lvl>
  </w:abstractNum>
  <w:abstractNum w:abstractNumId="98">
    <w:nsid w:val="3D00B9D9"/>
    <w:multiLevelType w:val="hybridMultilevel"/>
    <w:lvl w:ilvl="0">
      <w:lvlJc w:val="left"/>
      <w:lvlText w:val="%1"/>
      <w:numFmt w:val="decimal"/>
      <w:start w:val="1"/>
    </w:lvl>
    <w:lvl w:ilvl="1">
      <w:lvlJc w:val="left"/>
      <w:lvlText w:val="(%2)"/>
      <w:numFmt w:val="lowerLetter"/>
      <w:start w:val="29"/>
    </w:lvl>
    <w:lvl w:ilvl="2">
      <w:lvlJc w:val="left"/>
      <w:lvlText w:val="(%3)"/>
      <w:numFmt w:val="lowerLetter"/>
      <w:start w:val="30"/>
    </w:lvl>
    <w:lvl w:ilvl="3">
      <w:lvlJc w:val="left"/>
      <w:lvlText w:val="%4"/>
      <w:numFmt w:val="lowerRoman"/>
      <w:start w:val="1"/>
    </w:lvl>
  </w:abstractNum>
  <w:abstractNum w:abstractNumId="99">
    <w:nsid w:val="15BCAB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0">
    <w:nsid w:val="4E0B9A87"/>
    <w:multiLevelType w:val="hybridMultilevel"/>
    <w:lvl w:ilvl="0">
      <w:lvlJc w:val="left"/>
      <w:lvlText w:val="(%1)"/>
      <w:numFmt w:val="lowerRoman"/>
      <w:start w:val="5"/>
    </w:lvl>
  </w:abstractNum>
  <w:abstractNum w:abstractNumId="101">
    <w:nsid w:val="434BAE75"/>
    <w:multiLevelType w:val="hybridMultilevel"/>
    <w:lvl w:ilvl="0">
      <w:lvlJc w:val="left"/>
      <w:lvlText w:val="(%1)"/>
      <w:numFmt w:val="lowerRoman"/>
      <w:start w:val="16"/>
    </w:lvl>
  </w:abstractNum>
  <w:abstractNum w:abstractNumId="102">
    <w:nsid w:val="4F38F265"/>
    <w:multiLevelType w:val="hybridMultilevel"/>
    <w:lvl w:ilvl="0">
      <w:lvlJc w:val="left"/>
      <w:lvlText w:val="%1."/>
      <w:numFmt w:val="decimal"/>
      <w:start w:val="4"/>
    </w:lvl>
    <w:lvl w:ilvl="1">
      <w:lvlJc w:val="left"/>
      <w:lvlText w:val="(%2)"/>
      <w:numFmt w:val="lowerLetter"/>
      <w:start w:val="1"/>
    </w:lvl>
  </w:abstractNum>
  <w:abstractNum w:abstractNumId="103">
    <w:nsid w:val="4C502870"/>
    <w:multiLevelType w:val="hybridMultilevel"/>
    <w:lvl w:ilvl="0">
      <w:lvlJc w:val="left"/>
      <w:lvlText w:val="(%1)"/>
      <w:numFmt w:val="lowerRoman"/>
      <w:start w:val="1"/>
    </w:lvl>
  </w:abstractNum>
  <w:abstractNum w:abstractNumId="104">
    <w:nsid w:val="1DE8725A"/>
    <w:multiLevelType w:val="hybridMultilevel"/>
    <w:lvl w:ilvl="0">
      <w:lvlJc w:val="left"/>
      <w:lvlText w:val="%1"/>
      <w:numFmt w:val="decimal"/>
      <w:start w:val="1"/>
    </w:lvl>
    <w:lvl w:ilvl="1">
      <w:lvlJc w:val="left"/>
      <w:lvlText w:val="(%2)"/>
      <w:numFmt w:val="lowerLetter"/>
      <w:start w:val="4"/>
    </w:lvl>
  </w:abstractNum>
  <w:abstractNum w:abstractNumId="105">
    <w:nsid w:val="6A37288A"/>
    <w:multiLevelType w:val="hybridMultilevel"/>
    <w:lvl w:ilvl="0">
      <w:lvlJc w:val="left"/>
      <w:lvlText w:val="%1."/>
      <w:numFmt w:val="decimal"/>
      <w:start w:val="5"/>
    </w:lvl>
    <w:lvl w:ilvl="1">
      <w:lvlJc w:val="left"/>
      <w:lvlText w:val="(%2)"/>
      <w:numFmt w:val="lowerLetter"/>
      <w:start w:val="1"/>
    </w:lvl>
  </w:abstractNum>
  <w:abstractNum w:abstractNumId="106">
    <w:nsid w:val="8F8B73F"/>
    <w:multiLevelType w:val="hybridMultilevel"/>
    <w:lvl w:ilvl="0">
      <w:lvlJc w:val="left"/>
      <w:lvlText w:val="%1"/>
      <w:numFmt w:val="decimal"/>
      <w:start w:val="1"/>
    </w:lvl>
    <w:lvl w:ilvl="1">
      <w:lvlJc w:val="left"/>
      <w:lvlText w:val="(%2)"/>
      <w:numFmt w:val="lowerLetter"/>
      <w:start w:val="3"/>
    </w:lvl>
  </w:abstractNum>
  <w:abstractNum w:abstractNumId="107">
    <w:nsid w:val="CA6B462"/>
    <w:multiLevelType w:val="hybridMultilevel"/>
    <w:lvl w:ilvl="0">
      <w:lvlJc w:val="left"/>
      <w:lvlText w:val="%1."/>
      <w:numFmt w:val="decimal"/>
      <w:start w:val="7"/>
    </w:lvl>
    <w:lvl w:ilvl="1">
      <w:lvlJc w:val="left"/>
      <w:lvlText w:val="(%2)"/>
      <w:numFmt w:val="lowerLetter"/>
      <w:start w:val="1"/>
    </w:lvl>
  </w:abstractNum>
  <w:abstractNum w:abstractNumId="108">
    <w:nsid w:val="763CB680"/>
    <w:multiLevelType w:val="hybridMultilevel"/>
    <w:lvl w:ilvl="0">
      <w:lvlJc w:val="left"/>
      <w:lvlText w:val="%1"/>
      <w:numFmt w:val="decimal"/>
      <w:start w:val="1"/>
    </w:lvl>
    <w:lvl w:ilvl="1">
      <w:lvlJc w:val="left"/>
      <w:lvlText w:val="(%2)"/>
      <w:numFmt w:val="lowerLetter"/>
      <w:start w:val="1"/>
    </w:lvl>
  </w:abstractNum>
  <w:abstractNum w:abstractNumId="109">
    <w:nsid w:val="15B71329"/>
    <w:multiLevelType w:val="hybridMultilevel"/>
    <w:lvl w:ilvl="0">
      <w:lvlJc w:val="left"/>
      <w:lvlText w:val="%1."/>
      <w:numFmt w:val="decimal"/>
      <w:start w:val="9"/>
    </w:lvl>
    <w:lvl w:ilvl="1">
      <w:lvlJc w:val="left"/>
      <w:lvlText w:val="(%2)"/>
      <w:numFmt w:val="lowerLetter"/>
      <w:start w:val="1"/>
    </w:lvl>
  </w:abstractNum>
  <w:abstractNum w:abstractNumId="110">
    <w:nsid w:val="3DA97044"/>
    <w:multiLevelType w:val="hybridMultilevel"/>
    <w:lvl w:ilvl="0">
      <w:lvlJc w:val="left"/>
      <w:lvlText w:val="(%1)"/>
      <w:numFmt w:val="lowerLetter"/>
      <w:start w:val="2"/>
    </w:lvl>
  </w:abstractNum>
  <w:abstractNum w:abstractNumId="111">
    <w:nsid w:val="1CDCE2D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2">
    <w:nsid w:val="69D3947C"/>
    <w:multiLevelType w:val="hybridMultilevel"/>
    <w:lvl w:ilvl="0">
      <w:lvlJc w:val="left"/>
      <w:lvlText w:val="(%1)"/>
      <w:numFmt w:val="lowerLetter"/>
      <w:start w:val="2"/>
    </w:lvl>
    <w:lvl w:ilvl="1">
      <w:lvlJc w:val="left"/>
      <w:lvlText w:val="(%2)"/>
      <w:numFmt w:val="lowerRoman"/>
      <w:start w:val="1"/>
    </w:lvl>
  </w:abstractNum>
  <w:abstractNum w:abstractNumId="113">
    <w:nsid w:val="2539DFA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4">
    <w:nsid w:val="2DB8808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5">
    <w:nsid w:val="706B674E"/>
    <w:multiLevelType w:val="hybridMultilevel"/>
    <w:lvl w:ilvl="0">
      <w:lvlJc w:val="left"/>
      <w:lvlText w:val="%1"/>
      <w:numFmt w:val="lowerLetter"/>
      <w:start w:val="1"/>
    </w:lvl>
    <w:lvl w:ilvl="1">
      <w:lvlJc w:val="left"/>
      <w:lvlText w:val="(%2)"/>
      <w:numFmt w:val="lowerLetter"/>
      <w:start w:val="61"/>
    </w:lvl>
  </w:abstractNum>
  <w:abstractNum w:abstractNumId="116">
    <w:nsid w:val="2C106A57"/>
    <w:multiLevelType w:val="hybridMultilevel"/>
    <w:lvl w:ilvl="0">
      <w:lvlJc w:val="left"/>
      <w:lvlText w:val="(%1)"/>
      <w:numFmt w:val="lowerLetter"/>
      <w:start w:val="2"/>
    </w:lvl>
    <w:lvl w:ilvl="1">
      <w:lvlJc w:val="left"/>
      <w:lvlText w:val="(%2)"/>
      <w:numFmt w:val="lowerLetter"/>
      <w:start w:val="9"/>
    </w:lvl>
  </w:abstractNum>
  <w:abstractNum w:abstractNumId="117">
    <w:nsid w:val="684EED59"/>
    <w:multiLevelType w:val="hybridMultilevel"/>
    <w:lvl w:ilvl="0">
      <w:lvlJc w:val="left"/>
      <w:lvlText w:val="(%1)"/>
      <w:numFmt w:val="lowerRoman"/>
      <w:start w:val="2"/>
    </w:lvl>
  </w:abstractNum>
  <w:abstractNum w:abstractNumId="118">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9">
    <w:nsid w:val="4A6605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0">
    <w:nsid w:val="20F4BDA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21">
    <w:nsid w:val="639DEFAC"/>
    <w:multiLevelType w:val="hybridMultilevel"/>
    <w:lvl w:ilvl="0">
      <w:lvlJc w:val="left"/>
      <w:lvlText w:val="%1"/>
      <w:numFmt w:val="lowerLetter"/>
      <w:start w:val="1"/>
    </w:lvl>
    <w:lvl w:ilvl="1">
      <w:lvlJc w:val="left"/>
      <w:lvlText w:val="(%2)"/>
      <w:numFmt w:val="lowerRoman"/>
      <w:start w:val="3"/>
    </w:lvl>
  </w:abstractNum>
  <w:abstractNum w:abstractNumId="122">
    <w:nsid w:val="501F9786"/>
    <w:multiLevelType w:val="hybridMultilevel"/>
    <w:lvl w:ilvl="0">
      <w:lvlJc w:val="left"/>
      <w:lvlText w:val="(%1)"/>
      <w:numFmt w:val="lowerLetter"/>
      <w:start w:val="2"/>
    </w:lvl>
    <w:lvl w:ilvl="1">
      <w:lvlJc w:val="left"/>
      <w:lvlText w:val="%2"/>
      <w:numFmt w:val="lowerRoman"/>
      <w:start w:val="1"/>
    </w:lvl>
  </w:abstractNum>
  <w:abstractNum w:abstractNumId="123">
    <w:nsid w:val="6B057295"/>
    <w:multiLevelType w:val="hybridMultilevel"/>
    <w:lvl w:ilvl="0">
      <w:lvlJc w:val="left"/>
      <w:lvlText w:val="%1"/>
      <w:numFmt w:val="decimal"/>
      <w:start w:val="1"/>
    </w:lvl>
    <w:lvl w:ilvl="1">
      <w:lvlJc w:val="left"/>
      <w:lvlText w:val="(%2)"/>
      <w:numFmt w:val="decimal"/>
      <w:start w:val="10"/>
    </w:lvl>
  </w:abstractNum>
  <w:abstractNum w:abstractNumId="124">
    <w:nsid w:val="2771AC80"/>
    <w:multiLevelType w:val="hybridMultilevel"/>
    <w:lvl w:ilvl="0">
      <w:lvlJc w:val="left"/>
      <w:lvlText w:val="%1."/>
      <w:numFmt w:val="decimal"/>
      <w:start w:val="14"/>
    </w:lvl>
    <w:lvl w:ilvl="1">
      <w:lvlJc w:val="left"/>
      <w:lvlText w:val="%2"/>
      <w:numFmt w:val="decimal"/>
      <w:start w:val="1"/>
    </w:lvl>
  </w:abstractNum>
  <w:abstractNum w:abstractNumId="125">
    <w:nsid w:val="1C4A08EC"/>
    <w:multiLevelType w:val="hybridMultilevel"/>
    <w:lvl w:ilvl="0">
      <w:lvlJc w:val="left"/>
      <w:lvlText w:val="%1."/>
      <w:numFmt w:val="decimal"/>
      <w:start w:val="15"/>
    </w:lvl>
    <w:lvl w:ilvl="1">
      <w:lvlJc w:val="left"/>
      <w:lvlText w:val="(%2)"/>
      <w:numFmt w:val="lowerLetter"/>
      <w:start w:val="1"/>
    </w:lvl>
  </w:abstractNum>
  <w:abstractNum w:abstractNumId="126">
    <w:nsid w:val="1958BD17"/>
    <w:multiLevelType w:val="hybridMultilevel"/>
    <w:lvl w:ilvl="0">
      <w:lvlJc w:val="left"/>
      <w:lvlText w:val="(%1)"/>
      <w:numFmt w:val="lowerLetter"/>
      <w:start w:val="3"/>
    </w:lvl>
  </w:abstractNum>
  <w:abstractNum w:abstractNumId="127">
    <w:nsid w:val="4E647FE4"/>
    <w:multiLevelType w:val="hybridMultilevel"/>
    <w:lvl w:ilvl="0">
      <w:lvlJc w:val="left"/>
      <w:lvlText w:val="(%1)"/>
      <w:numFmt w:val="lowerLetter"/>
      <w:start w:val="8"/>
    </w:lvl>
  </w:abstractNum>
  <w:abstractNum w:abstractNumId="128">
    <w:nsid w:val="E0BB885"/>
    <w:multiLevelType w:val="hybridMultilevel"/>
    <w:lvl w:ilvl="0">
      <w:lvlJc w:val="left"/>
      <w:lvlText w:val="(%1)"/>
      <w:numFmt w:val="lowerLetter"/>
      <w:start w:val="11"/>
    </w:lvl>
  </w:abstractNum>
  <w:abstractNum w:abstractNumId="129">
    <w:nsid w:val="565976F1"/>
    <w:multiLevelType w:val="hybridMultilevel"/>
    <w:lvl w:ilvl="0">
      <w:lvlJc w:val="left"/>
      <w:lvlText w:val="(%1)"/>
      <w:numFmt w:val="lowerLetter"/>
      <w:start w:val="12"/>
    </w:lvl>
  </w:abstractNum>
  <w:abstractNum w:abstractNumId="130">
    <w:nsid w:val="64212B8C"/>
    <w:multiLevelType w:val="hybridMultilevel"/>
    <w:lvl w:ilvl="0">
      <w:lvlJc w:val="left"/>
      <w:lvlText w:val="(%1)"/>
      <w:numFmt w:val="lowerLetter"/>
      <w:start w:val="13"/>
    </w:lvl>
  </w:abstractNum>
  <w:abstractNum w:abstractNumId="131">
    <w:nsid w:val="5C17530C"/>
    <w:multiLevelType w:val="hybridMultilevel"/>
    <w:lvl w:ilvl="0">
      <w:lvlJc w:val="left"/>
      <w:lvlText w:val="(%1)"/>
      <w:numFmt w:val="lowerLetter"/>
      <w:start w:val="18"/>
    </w:lvl>
  </w:abstractNum>
  <w:abstractNum w:abstractNumId="132">
    <w:nsid w:val="19A5256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3">
    <w:nsid w:val="335A1D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4">
    <w:nsid w:val="28677B7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5">
    <w:nsid w:val="378D97C0"/>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36">
    <w:nsid w:val="1D91467C"/>
    <w:multiLevelType w:val="hybridMultilevel"/>
    <w:lvl w:ilvl="0">
      <w:lvlJc w:val="left"/>
      <w:lvlText w:val="(%1)"/>
      <w:numFmt w:val="lowerLetter"/>
      <w:start w:val="3"/>
    </w:lvl>
    <w:lvl w:ilvl="1">
      <w:lvlJc w:val="left"/>
      <w:lvlText w:val="(%2)"/>
      <w:numFmt w:val="lowerLetter"/>
      <w:start w:val="9"/>
    </w:lvl>
    <w:lvl w:ilvl="2">
      <w:lvlJc w:val="left"/>
      <w:lvlText w:val="-"/>
      <w:numFmt w:val="bullet"/>
      <w:start w:val="1"/>
    </w:lvl>
  </w:abstractNum>
  <w:abstractNum w:abstractNumId="137">
    <w:nsid w:val="316032B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38">
    <w:nsid w:val="44344C22"/>
    <w:multiLevelType w:val="hybridMultilevel"/>
    <w:lvl w:ilvl="0">
      <w:lvlJc w:val="left"/>
      <w:lvlText w:val="%1."/>
      <w:numFmt w:val="decimal"/>
      <w:start w:val="5"/>
    </w:lvl>
    <w:lvl w:ilvl="1">
      <w:lvlJc w:val="left"/>
      <w:lvlText w:val="(%2)"/>
      <w:numFmt w:val="lowerLetter"/>
      <w:start w:val="1"/>
    </w:lvl>
  </w:abstractNum>
  <w:abstractNum w:abstractNumId="139">
    <w:nsid w:val="13CDFCFC"/>
    <w:multiLevelType w:val="hybridMultilevel"/>
    <w:lvl w:ilvl="0">
      <w:lvlJc w:val="left"/>
      <w:lvlText w:val="%1."/>
      <w:numFmt w:val="decimal"/>
      <w:start w:val="7"/>
    </w:lvl>
    <w:lvl w:ilvl="1">
      <w:lvlJc w:val="left"/>
      <w:lvlText w:val="-"/>
      <w:numFmt w:val="bullet"/>
      <w:start w:val="1"/>
    </w:lvl>
  </w:abstractNum>
  <w:abstractNum w:abstractNumId="140">
    <w:nsid w:val="471745E4"/>
    <w:multiLevelType w:val="hybridMultilevel"/>
    <w:lvl w:ilvl="0">
      <w:lvlJc w:val="left"/>
      <w:lvlText w:val="%1."/>
      <w:numFmt w:val="decimal"/>
      <w:start w:val="8"/>
    </w:lvl>
  </w:abstractNum>
  <w:abstractNum w:abstractNumId="141">
    <w:nsid w:val="1DDBC66"/>
    <w:multiLevelType w:val="hybridMultilevel"/>
    <w:lvl w:ilvl="0">
      <w:lvlJc w:val="left"/>
      <w:lvlText w:val="%1."/>
      <w:numFmt w:val="decimal"/>
      <w:start w:val="9"/>
    </w:lvl>
    <w:lvl w:ilvl="1">
      <w:lvlJc w:val="left"/>
      <w:lvlText w:val="-"/>
      <w:numFmt w:val="bullet"/>
      <w:start w:val="1"/>
    </w:lvl>
  </w:abstractNum>
  <w:abstractNum w:abstractNumId="142">
    <w:nsid w:val="30AADFDA"/>
    <w:multiLevelType w:val="hybridMultilevel"/>
    <w:lvl w:ilvl="0">
      <w:lvlJc w:val="left"/>
      <w:lvlText w:val="(%1)"/>
      <w:numFmt w:val="decimal"/>
      <w:start w:val="90"/>
    </w:lvl>
    <w:lvl w:ilvl="1">
      <w:lvlJc w:val="left"/>
      <w:lvlText w:val="%2."/>
      <w:numFmt w:val="decimal"/>
      <w:start w:val="10"/>
    </w:lvl>
    <w:lvl w:ilvl="2">
      <w:lvlJc w:val="left"/>
      <w:lvlText w:val="%3."/>
      <w:numFmt w:val="decimal"/>
      <w:start w:val="11"/>
    </w:lvl>
  </w:abstractNum>
  <w:abstractNum w:abstractNumId="143">
    <w:nsid w:val="30EADA61"/>
    <w:multiLevelType w:val="hybridMultilevel"/>
    <w:lvl w:ilvl="0">
      <w:lvlJc w:val="left"/>
      <w:lvlText w:val="%1."/>
      <w:numFmt w:val="decimal"/>
      <w:start w:val="14"/>
    </w:lvl>
    <w:lvl w:ilvl="1">
      <w:lvlJc w:val="left"/>
      <w:lvlText w:val="-"/>
      <w:numFmt w:val="bullet"/>
      <w:start w:val="1"/>
    </w:lvl>
  </w:abstractNum>
  <w:abstractNum w:abstractNumId="144">
    <w:nsid w:val="27179C0B"/>
    <w:multiLevelType w:val="hybridMultilevel"/>
    <w:lvl w:ilvl="0">
      <w:lvlJc w:val="left"/>
      <w:lvlText w:val="%1."/>
      <w:numFmt w:val="decimal"/>
      <w:start w:val="1"/>
    </w:lvl>
  </w:abstractNum>
  <w:abstractNum w:abstractNumId="145">
    <w:nsid w:val="5E636063"/>
    <w:multiLevelType w:val="hybridMultilevel"/>
    <w:lvl w:ilvl="0">
      <w:lvlJc w:val="left"/>
      <w:lvlText w:val="(%1)"/>
      <w:numFmt w:val="lowerLetter"/>
      <w:start w:val="1"/>
    </w:lvl>
  </w:abstractNum>
  <w:abstractNum w:abstractNumId="146">
    <w:nsid w:val="215641AF"/>
    <w:multiLevelType w:val="hybridMultilevel"/>
    <w:lvl w:ilvl="0">
      <w:lvlJc w:val="left"/>
      <w:lvlText w:val="(%1)"/>
      <w:numFmt w:val="lowerLetter"/>
      <w:start w:val="7"/>
    </w:lvl>
  </w:abstractNum>
  <w:abstractNum w:abstractNumId="147">
    <w:nsid w:val="53280662"/>
    <w:multiLevelType w:val="hybridMultilevel"/>
    <w:lvl w:ilvl="0">
      <w:lvlJc w:val="left"/>
      <w:lvlText w:val="%1."/>
      <w:numFmt w:val="decimal"/>
      <w:start w:val="4"/>
    </w:lvl>
  </w:abstractNum>
  <w:abstractNum w:abstractNumId="148">
    <w:nsid w:val="46B24DBC"/>
    <w:multiLevelType w:val="hybridMultilevel"/>
    <w:lvl w:ilvl="0">
      <w:lvlJc w:val="left"/>
      <w:lvlText w:val="(%1)"/>
      <w:numFmt w:val="lowerLetter"/>
      <w:start w:val="1"/>
    </w:lvl>
  </w:abstractNum>
  <w:abstractNum w:abstractNumId="149">
    <w:nsid w:val="75B5278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50">
    <w:nsid w:val="57CE66B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51">
    <w:nsid w:val="67A70B69"/>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9"/>
    </w:lvl>
  </w:abstractNum>
  <w:abstractNum w:abstractNumId="152">
    <w:nsid w:val="5953172F"/>
    <w:multiLevelType w:val="hybridMultilevel"/>
    <w:lvl w:ilvl="0">
      <w:lvlJc w:val="left"/>
      <w:lvlText w:val="%1."/>
      <w:numFmt w:val="decimal"/>
      <w:start w:val="5"/>
    </w:lvl>
  </w:abstractNum>
  <w:abstractNum w:abstractNumId="153">
    <w:nsid w:val="27EDFE3A"/>
    <w:multiLevelType w:val="hybridMultilevel"/>
    <w:lvl w:ilvl="0">
      <w:lvlJc w:val="left"/>
      <w:lvlText w:val="(%1)"/>
      <w:numFmt w:val="lowerLetter"/>
      <w:start w:val="1"/>
    </w:lvl>
    <w:lvl w:ilvl="1">
      <w:lvlJc w:val="left"/>
      <w:lvlText w:val="(%2)"/>
      <w:numFmt w:val="lowerRoman"/>
      <w:start w:val="1"/>
    </w:lvl>
  </w:abstractNum>
  <w:abstractNum w:abstractNumId="154">
    <w:nsid w:val="52AC7DFF"/>
    <w:multiLevelType w:val="hybridMultilevel"/>
    <w:lvl w:ilvl="0">
      <w:lvlJc w:val="left"/>
      <w:lvlText w:val="(%1)"/>
      <w:numFmt w:val="lowerRoman"/>
      <w:start w:val="1"/>
    </w:lvl>
  </w:abstractNum>
  <w:abstractNum w:abstractNumId="155">
    <w:nsid w:val="C4C3AF"/>
    <w:multiLevelType w:val="hybridMultilevel"/>
    <w:lvl w:ilvl="0">
      <w:lvlJc w:val="left"/>
      <w:lvlText w:val="(%1)"/>
      <w:numFmt w:val="lowerLetter"/>
      <w:start w:val="3"/>
    </w:lvl>
  </w:abstractNum>
  <w:abstractNum w:abstractNumId="156">
    <w:nsid w:val="44380727"/>
    <w:multiLevelType w:val="hybridMultilevel"/>
    <w:lvl w:ilvl="0">
      <w:lvlJc w:val="left"/>
      <w:lvlText w:val="%1."/>
      <w:numFmt w:val="decimal"/>
      <w:start w:val="6"/>
    </w:lvl>
  </w:abstractNum>
  <w:abstractNum w:abstractNumId="157">
    <w:nsid w:val="6C053B16"/>
    <w:multiLevelType w:val="hybridMultilevel"/>
    <w:lvl w:ilvl="0">
      <w:lvlJc w:val="left"/>
      <w:lvlText w:val="%1."/>
      <w:numFmt w:val="decimal"/>
      <w:start w:val="8"/>
    </w:lvl>
  </w:abstractNum>
  <w:abstractNum w:abstractNumId="158">
    <w:nsid w:val="4F294393"/>
    <w:multiLevelType w:val="hybridMultilevel"/>
    <w:lvl w:ilvl="0">
      <w:lvlJc w:val="left"/>
      <w:lvlText w:val="(%1)"/>
      <w:numFmt w:val="lowerLetter"/>
      <w:start w:val="1"/>
    </w:lvl>
  </w:abstractNum>
  <w:abstractNum w:abstractNumId="159">
    <w:nsid w:val="5243BFAC"/>
    <w:multiLevelType w:val="hybridMultilevel"/>
    <w:lvl w:ilvl="0">
      <w:lvlJc w:val="left"/>
      <w:lvlText w:val="%1."/>
      <w:numFmt w:val="decimal"/>
      <w:start w:val="9"/>
    </w:lvl>
  </w:abstractNum>
  <w:abstractNum w:abstractNumId="160">
    <w:nsid w:val="425EB207"/>
    <w:multiLevelType w:val="hybridMultilevel"/>
    <w:lvl w:ilvl="0">
      <w:lvlJc w:val="left"/>
      <w:lvlText w:val="%1."/>
      <w:numFmt w:val="decimal"/>
      <w:start w:val="10"/>
    </w:lvl>
  </w:abstractNum>
  <w:abstractNum w:abstractNumId="161">
    <w:nsid w:val="334A6F1F"/>
    <w:multiLevelType w:val="hybridMultilevel"/>
    <w:lvl w:ilvl="0">
      <w:lvlJc w:val="left"/>
      <w:lvlText w:val="%1."/>
      <w:numFmt w:val="decimal"/>
      <w:start w:val="13"/>
    </w:lvl>
    <w:lvl w:ilvl="1">
      <w:lvlJc w:val="left"/>
      <w:lvlText w:val="(%2)"/>
      <w:numFmt w:val="lowerLetter"/>
      <w:start w:val="1"/>
    </w:lvl>
  </w:abstractNum>
  <w:abstractNum w:abstractNumId="162">
    <w:nsid w:val="2E5B12B8"/>
    <w:multiLevelType w:val="hybridMultilevel"/>
    <w:lvl w:ilvl="0">
      <w:lvlJc w:val="left"/>
      <w:lvlText w:val="(%1)"/>
      <w:numFmt w:val="lowerLetter"/>
      <w:start w:val="2"/>
    </w:lvl>
  </w:abstractNum>
  <w:abstractNum w:abstractNumId="163">
    <w:nsid w:val="5C03D76D"/>
    <w:multiLevelType w:val="hybridMultilevel"/>
    <w:lvl w:ilvl="0">
      <w:lvlJc w:val="left"/>
      <w:lvlText w:val="(%1)"/>
      <w:numFmt w:val="lowerLetter"/>
      <w:start w:val="1"/>
    </w:lvl>
  </w:abstractNum>
  <w:abstractNum w:abstractNumId="164">
    <w:nsid w:val="66A48D11"/>
    <w:multiLevelType w:val="hybridMultilevel"/>
    <w:lvl w:ilvl="0">
      <w:lvlJc w:val="left"/>
      <w:lvlText w:val="(%1)"/>
      <w:numFmt w:val="lowerLetter"/>
      <w:start w:val="3"/>
    </w:lvl>
  </w:abstractNum>
  <w:abstractNum w:abstractNumId="165">
    <w:nsid w:val="56C28E34"/>
    <w:multiLevelType w:val="hybridMultilevel"/>
    <w:lvl w:ilvl="0">
      <w:lvlJc w:val="left"/>
      <w:lvlText w:val="(%1)"/>
      <w:numFmt w:val="lowerLetter"/>
      <w:start w:val="1"/>
    </w:lvl>
  </w:abstractNum>
  <w:abstractNum w:abstractNumId="166">
    <w:nsid w:val="13916F2D"/>
    <w:multiLevelType w:val="hybridMultilevel"/>
    <w:lvl w:ilvl="0">
      <w:lvlJc w:val="left"/>
      <w:lvlText w:val="(%1)"/>
      <w:numFmt w:val="lowerLetter"/>
      <w:start w:val="1"/>
    </w:lvl>
  </w:abstractNum>
  <w:abstractNum w:abstractNumId="167">
    <w:nsid w:val="435D38D"/>
    <w:multiLevelType w:val="hybridMultilevel"/>
    <w:lvl w:ilvl="0">
      <w:lvlJc w:val="left"/>
      <w:lvlText w:val="(%1)"/>
      <w:numFmt w:val="lowerLetter"/>
      <w:start w:val="1"/>
    </w:lvl>
  </w:abstractNum>
  <w:abstractNum w:abstractNumId="168">
    <w:nsid w:val="822C0EF"/>
    <w:multiLevelType w:val="hybridMultilevel"/>
    <w:lvl w:ilvl="0">
      <w:lvlJc w:val="left"/>
      <w:lvlText w:val="(%1)"/>
      <w:numFmt w:val="lowerLetter"/>
      <w:start w:val="1"/>
    </w:lvl>
  </w:abstractNum>
  <w:abstractNum w:abstractNumId="169">
    <w:nsid w:val="57C5BB4F"/>
    <w:multiLevelType w:val="hybridMultilevel"/>
    <w:lvl w:ilvl="0">
      <w:lvlJc w:val="left"/>
      <w:lvlText w:val="(%1)"/>
      <w:numFmt w:val="lowerLetter"/>
      <w:start w:val="7"/>
    </w:lvl>
  </w:abstractNum>
  <w:abstractNum w:abstractNumId="170">
    <w:nsid w:val="1803D089"/>
    <w:multiLevelType w:val="hybridMultilevel"/>
    <w:lvl w:ilvl="0">
      <w:lvlJc w:val="left"/>
      <w:lvlText w:val="(%1)"/>
      <w:numFmt w:val="decimal"/>
      <w:start w:val="3"/>
    </w:lvl>
  </w:abstractNum>
  <w:abstractNum w:abstractNumId="171">
    <w:nsid w:val="4F3A06D4"/>
    <w:multiLevelType w:val="hybridMultilevel"/>
    <w:lvl w:ilvl="0">
      <w:lvlJc w:val="left"/>
      <w:lvlText w:val="(%1)"/>
      <w:numFmt w:val="lowerLetter"/>
      <w:start w:val="2"/>
    </w:lvl>
  </w:abstractNum>
  <w:abstractNum w:abstractNumId="172">
    <w:nsid w:val="59A377B6"/>
    <w:multiLevelType w:val="hybridMultilevel"/>
    <w:lvl w:ilvl="0">
      <w:lvlJc w:val="left"/>
      <w:lvlText w:val="(%1)"/>
      <w:numFmt w:val="lowerLetter"/>
      <w:start w:val="1"/>
    </w:lvl>
  </w:abstractNum>
  <w:abstractNum w:abstractNumId="173">
    <w:nsid w:val="48AEB063"/>
    <w:multiLevelType w:val="hybridMultilevel"/>
    <w:lvl w:ilvl="0">
      <w:lvlJc w:val="left"/>
      <w:lvlText w:val="(%1)"/>
      <w:numFmt w:val="lowerLetter"/>
      <w:start w:val="2"/>
    </w:lvl>
  </w:abstractNum>
  <w:abstractNum w:abstractNumId="174">
    <w:nsid w:val="24E135"/>
    <w:multiLevelType w:val="hybridMultilevel"/>
    <w:lvl w:ilvl="0">
      <w:lvlJc w:val="left"/>
      <w:lvlText w:val="%1."/>
      <w:numFmt w:val="upperLetter"/>
      <w:start w:val="1"/>
    </w:lvl>
  </w:abstractNum>
  <w:abstractNum w:abstractNumId="175">
    <w:nsid w:val="BB13C1"/>
    <w:multiLevelType w:val="hybridMultilevel"/>
    <w:lvl w:ilvl="0">
      <w:lvlJc w:val="left"/>
      <w:lvlText w:val="(%1)"/>
      <w:numFmt w:val="lowerLetter"/>
      <w:start w:val="1"/>
    </w:lvl>
  </w:abstractNum>
  <w:abstractNum w:abstractNumId="176">
    <w:nsid w:val="271210C7"/>
    <w:multiLevelType w:val="hybridMultilevel"/>
    <w:lvl w:ilvl="0">
      <w:lvlJc w:val="left"/>
      <w:lvlText w:val="(%1)"/>
      <w:numFmt w:val="lowerLetter"/>
      <w:start w:val="1"/>
    </w:lvl>
  </w:abstractNum>
  <w:abstractNum w:abstractNumId="177">
    <w:nsid w:val="217B22E4"/>
    <w:multiLevelType w:val="hybridMultilevel"/>
    <w:lvl w:ilvl="0">
      <w:lvlJc w:val="left"/>
      <w:lvlText w:val="(%1)"/>
      <w:numFmt w:val="lowerLetter"/>
      <w:start w:val="2"/>
    </w:lvl>
  </w:abstractNum>
  <w:abstractNum w:abstractNumId="178">
    <w:nsid w:val="53E31A24"/>
    <w:multiLevelType w:val="hybridMultilevel"/>
    <w:lvl w:ilvl="0">
      <w:lvlJc w:val="left"/>
      <w:lvlText w:val="(%1)"/>
      <w:numFmt w:val="lowerLetter"/>
      <w:start w:val="1"/>
    </w:lvl>
  </w:abstractNum>
  <w:abstractNum w:abstractNumId="179">
    <w:nsid w:val="6DC45E83"/>
    <w:multiLevelType w:val="hybridMultilevel"/>
    <w:lvl w:ilvl="0">
      <w:lvlJc w:val="left"/>
      <w:lvlText w:val="(%1)"/>
      <w:numFmt w:val="lowerRoman"/>
      <w:start w:val="1"/>
    </w:lvl>
  </w:abstractNum>
  <w:abstractNum w:abstractNumId="180">
    <w:nsid w:val="17304A67"/>
    <w:multiLevelType w:val="hybridMultilevel"/>
    <w:lvl w:ilvl="0">
      <w:lvlJc w:val="left"/>
      <w:lvlText w:val="(%1)"/>
      <w:numFmt w:val="lowerRoman"/>
      <w:start w:val="2"/>
    </w:lvl>
  </w:abstractNum>
  <w:abstractNum w:abstractNumId="181">
    <w:nsid w:val="2BB180D8"/>
    <w:multiLevelType w:val="hybridMultilevel"/>
    <w:lvl w:ilvl="0">
      <w:lvlJc w:val="left"/>
      <w:lvlText w:val="(%1)"/>
      <w:numFmt w:val="lowerRoman"/>
      <w:start w:val="1"/>
    </w:lvl>
  </w:abstractNum>
  <w:abstractNum w:abstractNumId="182">
    <w:nsid w:val="556B69ED"/>
    <w:multiLevelType w:val="hybridMultilevel"/>
    <w:lvl w:ilvl="0">
      <w:lvlJc w:val="left"/>
      <w:lvlText w:val="%1"/>
      <w:numFmt w:val="lowerLetter"/>
      <w:start w:val="1"/>
    </w:lvl>
    <w:lvl w:ilvl="1">
      <w:lvlJc w:val="left"/>
      <w:lvlText w:val="(%2)"/>
      <w:numFmt w:val="lowerLetter"/>
      <w:start w:val="61"/>
    </w:lvl>
  </w:abstractNum>
  <w:abstractNum w:abstractNumId="183">
    <w:nsid w:val="70836196"/>
    <w:multiLevelType w:val="hybridMultilevel"/>
    <w:lvl w:ilvl="0">
      <w:lvlJc w:val="left"/>
      <w:lvlText w:val="(%1)"/>
      <w:numFmt w:val="lowerLetter"/>
      <w:start w:val="4"/>
    </w:lvl>
    <w:lvl w:ilvl="1">
      <w:lvlJc w:val="left"/>
      <w:lvlText w:val="(%2)"/>
      <w:numFmt w:val="lowerLetter"/>
      <w:start w:val="9"/>
    </w:lvl>
  </w:abstractNum>
  <w:abstractNum w:abstractNumId="184">
    <w:nsid w:val="539F7F12"/>
    <w:multiLevelType w:val="hybridMultilevel"/>
    <w:lvl w:ilvl="0">
      <w:lvlJc w:val="left"/>
      <w:lvlText w:val="(%1)"/>
      <w:numFmt w:val="lowerRoman"/>
      <w:start w:val="2"/>
    </w:lvl>
  </w:abstractNum>
  <w:abstractNum w:abstractNumId="185">
    <w:nsid w:val="2817E7EC"/>
    <w:multiLevelType w:val="hybridMultilevel"/>
    <w:lvl w:ilvl="0">
      <w:lvlJc w:val="left"/>
      <w:lvlText w:val="(%1)"/>
      <w:numFmt w:val="lowerRoman"/>
      <w:start w:val="4"/>
    </w:lvl>
  </w:abstractNum>
  <w:abstractNum w:abstractNumId="186">
    <w:nsid w:val="71482545"/>
    <w:multiLevelType w:val="hybridMultilevel"/>
    <w:lvl w:ilvl="0">
      <w:lvlJc w:val="left"/>
      <w:lvlText w:val="(%1)"/>
      <w:numFmt w:val="lowerLetter"/>
      <w:start w:val="5"/>
    </w:lvl>
  </w:abstractNum>
  <w:abstractNum w:abstractNumId="187">
    <w:nsid w:val="17D78639"/>
    <w:multiLevelType w:val="hybridMultilevel"/>
    <w:lvl w:ilvl="0">
      <w:lvlJc w:val="left"/>
      <w:lvlText w:val="(%1)"/>
      <w:numFmt w:val="lowerLetter"/>
      <w:start w:val="1"/>
    </w:lvl>
  </w:abstractNum>
  <w:abstractNum w:abstractNumId="188">
    <w:nsid w:val="141D2302"/>
    <w:multiLevelType w:val="hybridMultilevel"/>
    <w:lvl w:ilvl="0">
      <w:lvlJc w:val="left"/>
      <w:lvlText w:val="(%1)"/>
      <w:numFmt w:val="lowerLetter"/>
      <w:start w:val="5"/>
    </w:lvl>
    <w:lvl w:ilvl="1">
      <w:lvlJc w:val="left"/>
      <w:lvlText w:val="(%2)"/>
      <w:numFmt w:val="lowerRoman"/>
      <w:start w:val="1"/>
    </w:lvl>
  </w:abstractNum>
  <w:abstractNum w:abstractNumId="189">
    <w:nsid w:val="407168D8"/>
    <w:multiLevelType w:val="hybridMultilevel"/>
    <w:lvl w:ilvl="0">
      <w:lvlJc w:val="left"/>
      <w:lvlText w:val="(%1)"/>
      <w:numFmt w:val="lowerLetter"/>
      <w:start w:val="1"/>
    </w:lvl>
  </w:abstractNum>
  <w:abstractNum w:abstractNumId="190">
    <w:nsid w:val="6A1B45E5"/>
    <w:multiLevelType w:val="hybridMultilevel"/>
    <w:lvl w:ilvl="0">
      <w:lvlJc w:val="left"/>
      <w:lvlText w:val="(%1)"/>
      <w:numFmt w:val="lowerLetter"/>
      <w:start w:val="3"/>
    </w:lvl>
    <w:lvl w:ilvl="1">
      <w:lvlJc w:val="left"/>
      <w:lvlText w:val="(%2)"/>
      <w:numFmt w:val="lowerRoman"/>
      <w:start w:val="1"/>
    </w:lvl>
  </w:abstractNum>
  <w:abstractNum w:abstractNumId="191">
    <w:nsid w:val="567BD50A"/>
    <w:multiLevelType w:val="hybridMultilevel"/>
    <w:lvl w:ilvl="0">
      <w:lvlJc w:val="left"/>
      <w:lvlText w:val="(%1)"/>
      <w:numFmt w:val="lowerRoman"/>
      <w:start w:val="5"/>
    </w:lvl>
  </w:abstractNum>
  <w:abstractNum w:abstractNumId="192">
    <w:nsid w:val="73BBD7F8"/>
    <w:multiLevelType w:val="hybridMultilevel"/>
    <w:lvl w:ilvl="0">
      <w:lvlJc w:val="left"/>
      <w:lvlText w:val="(%1)"/>
      <w:numFmt w:val="lowerLetter"/>
      <w:start w:val="1"/>
    </w:lvl>
  </w:abstractNum>
  <w:abstractNum w:abstractNumId="193">
    <w:nsid w:val="1876589D"/>
    <w:multiLevelType w:val="hybridMultilevel"/>
    <w:lvl w:ilvl="0">
      <w:lvlJc w:val="left"/>
      <w:lvlText w:val="(%1)"/>
      <w:numFmt w:val="lowerLetter"/>
      <w:start w:val="1"/>
    </w:lvl>
  </w:abstractNum>
  <w:abstractNum w:abstractNumId="194">
    <w:nsid w:val="327FAC77"/>
    <w:multiLevelType w:val="hybridMultilevel"/>
    <w:lvl w:ilvl="0">
      <w:lvlJc w:val="left"/>
      <w:lvlText w:val="(%1)"/>
      <w:numFmt w:val="lowerLetter"/>
      <w:start w:val="2"/>
    </w:lvl>
  </w:abstractNum>
  <w:abstractNum w:abstractNumId="195">
    <w:nsid w:val="5A606509"/>
    <w:multiLevelType w:val="hybridMultilevel"/>
    <w:lvl w:ilvl="0">
      <w:lvlJc w:val="left"/>
      <w:lvlText w:val="(%1)"/>
      <w:numFmt w:val="lowerLetter"/>
      <w:start w:val="1"/>
    </w:lvl>
    <w:lvl w:ilvl="1">
      <w:lvlJc w:val="left"/>
      <w:lvlText w:val="(%2)"/>
      <w:numFmt w:val="lowerRoman"/>
      <w:start w:val="1"/>
    </w:lvl>
  </w:abstractNum>
  <w:abstractNum w:abstractNumId="196">
    <w:nsid w:val="6F38E6D1"/>
    <w:multiLevelType w:val="hybridMultilevel"/>
    <w:lvl w:ilvl="0">
      <w:lvlJc w:val="left"/>
      <w:lvlText w:val="%1"/>
      <w:numFmt w:val="lowerLetter"/>
      <w:start w:val="1"/>
    </w:lvl>
    <w:lvl w:ilvl="1">
      <w:lvlJc w:val="left"/>
      <w:lvlText w:val="(%2)"/>
      <w:numFmt w:val="lowerLetter"/>
      <w:start w:val="61"/>
    </w:lvl>
  </w:abstractNum>
  <w:abstractNum w:abstractNumId="197">
    <w:nsid w:val="46111BA5"/>
    <w:multiLevelType w:val="hybridMultilevel"/>
    <w:lvl w:ilvl="0">
      <w:lvlJc w:val="left"/>
      <w:lvlText w:val="(%1)"/>
      <w:numFmt w:val="lowerLetter"/>
      <w:start w:val="3"/>
    </w:lvl>
    <w:lvl w:ilvl="1">
      <w:lvlJc w:val="left"/>
      <w:lvlText w:val="%2"/>
      <w:numFmt w:val="lowerLetter"/>
      <w:start w:val="1"/>
    </w:lvl>
  </w:abstractNum>
  <w:abstractNum w:abstractNumId="198">
    <w:nsid w:val="5E963896"/>
    <w:multiLevelType w:val="hybridMultilevel"/>
    <w:lvl w:ilvl="0">
      <w:lvlJc w:val="left"/>
      <w:lvlText w:val="(%1)"/>
      <w:numFmt w:val="lowerLetter"/>
      <w:start w:val="1"/>
    </w:lvl>
    <w:lvl w:ilvl="1">
      <w:lvlJc w:val="left"/>
      <w:lvlText w:val="(%2)"/>
      <w:numFmt w:val="lowerLetter"/>
      <w:start w:val="9"/>
    </w:lvl>
  </w:abstractNum>
  <w:abstractNum w:abstractNumId="199">
    <w:nsid w:val="775BA7C1"/>
    <w:multiLevelType w:val="hybridMultilevel"/>
    <w:lvl w:ilvl="0">
      <w:lvlJc w:val="left"/>
      <w:lvlText w:val="%1"/>
      <w:numFmt w:val="lowerLetter"/>
      <w:start w:val="1"/>
    </w:lvl>
    <w:lvl w:ilvl="1">
      <w:lvlJc w:val="left"/>
      <w:lvlText w:val="(%2)"/>
      <w:numFmt w:val="lowerRoman"/>
      <w:start w:val="2"/>
    </w:lvl>
  </w:abstractNum>
  <w:abstractNum w:abstractNumId="200">
    <w:nsid w:val="1DD6D6F4"/>
    <w:multiLevelType w:val="hybridMultilevel"/>
    <w:lvl w:ilvl="0">
      <w:lvlJc w:val="left"/>
      <w:lvlText w:val="(%1)"/>
      <w:numFmt w:val="lowerLetter"/>
      <w:start w:val="2"/>
    </w:lvl>
    <w:lvl w:ilvl="1">
      <w:lvlJc w:val="left"/>
      <w:lvlText w:val="%2"/>
      <w:numFmt w:val="lowerRoman"/>
      <w:start w:val="1"/>
    </w:lvl>
  </w:abstractNum>
  <w:abstractNum w:abstractNumId="201">
    <w:nsid w:val="769A091F"/>
    <w:multiLevelType w:val="hybridMultilevel"/>
    <w:lvl w:ilvl="0">
      <w:lvlJc w:val="left"/>
      <w:lvlText w:val="(%1)"/>
      <w:numFmt w:val="lowerLetter"/>
      <w:start w:val="1"/>
    </w:lvl>
  </w:abstractNum>
  <w:abstractNum w:abstractNumId="202">
    <w:nsid w:val="4695AE95"/>
    <w:multiLevelType w:val="hybridMultilevel"/>
    <w:lvl w:ilvl="0">
      <w:lvlJc w:val="left"/>
      <w:lvlText w:val="(%1)"/>
      <w:numFmt w:val="lowerLetter"/>
      <w:start w:val="2"/>
    </w:lvl>
    <w:lvl w:ilvl="1">
      <w:lvlJc w:val="left"/>
      <w:lvlText w:val="(%2)"/>
      <w:numFmt w:val="lowerRoman"/>
      <w:start w:val="1"/>
    </w:lvl>
  </w:abstractNum>
  <w:abstractNum w:abstractNumId="203">
    <w:nsid w:val="777A4EA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04">
    <w:nsid w:val="3F48B98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05">
    <w:nsid w:val="46BA8F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6">
    <w:nsid w:val="7835626C"/>
    <w:multiLevelType w:val="hybridMultilevel"/>
    <w:lvl w:ilvl="0">
      <w:lvlJc w:val="left"/>
      <w:lvlText w:val="(%1)"/>
      <w:numFmt w:val="upperLetter"/>
      <w:start w:val="2"/>
    </w:lvl>
  </w:abstractNum>
  <w:abstractNum w:abstractNumId="207">
    <w:nsid w:val="665ACA49"/>
    <w:multiLevelType w:val="hybridMultilevel"/>
    <w:lvl w:ilvl="0">
      <w:lvlJc w:val="left"/>
      <w:lvlText w:val="(%1)"/>
      <w:numFmt w:val="lowerLetter"/>
      <w:start w:val="5"/>
    </w:lvl>
  </w:abstractNum>
  <w:abstractNum w:abstractNumId="208">
    <w:nsid w:val="6835B2AE"/>
    <w:multiLevelType w:val="hybridMultilevel"/>
    <w:lvl w:ilvl="0">
      <w:lvlJc w:val="left"/>
      <w:lvlText w:val="(%1)"/>
      <w:numFmt w:val="lowerLetter"/>
      <w:start w:val="9"/>
    </w:lvl>
  </w:abstractNum>
  <w:abstractNum w:abstractNumId="209">
    <w:nsid w:val="4C187C90"/>
    <w:multiLevelType w:val="hybridMultilevel"/>
    <w:lvl w:ilvl="0">
      <w:lvlJc w:val="left"/>
      <w:lvlText w:val="(%1)"/>
      <w:numFmt w:val="lowerLetter"/>
      <w:start w:val="14"/>
    </w:lvl>
    <w:lvl w:ilvl="1">
      <w:lvlJc w:val="left"/>
      <w:lvlText w:val="(%2)"/>
      <w:numFmt w:val="lowerRoman"/>
      <w:start w:val="1"/>
    </w:lvl>
  </w:abstractNum>
  <w:abstractNum w:abstractNumId="210">
    <w:nsid w:val="541F28CD"/>
    <w:multiLevelType w:val="hybridMultilevel"/>
    <w:lvl w:ilvl="0">
      <w:lvlJc w:val="left"/>
      <w:lvlText w:val="(%1)"/>
      <w:numFmt w:val="lowerRoman"/>
      <w:start w:val="9"/>
    </w:lvl>
  </w:abstractNum>
  <w:abstractNum w:abstractNumId="211">
    <w:nsid w:val="7F65FD16"/>
    <w:multiLevelType w:val="hybridMultilevel"/>
    <w:lvl w:ilvl="0">
      <w:lvlJc w:val="left"/>
      <w:lvlText w:val="(%1)"/>
      <w:numFmt w:val="lowerLetter"/>
      <w:start w:val="1"/>
    </w:lvl>
  </w:abstractNum>
  <w:abstractNum w:abstractNumId="212">
    <w:nsid w:val="77C9FD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3">
    <w:nsid w:val="298A92BA"/>
    <w:multiLevelType w:val="hybridMultilevel"/>
    <w:lvl w:ilvl="0">
      <w:lvlJc w:val="left"/>
      <w:lvlText w:val="(%1)"/>
      <w:numFmt w:val="upperLetter"/>
      <w:start w:val="3"/>
    </w:lvl>
  </w:abstractNum>
  <w:abstractNum w:abstractNumId="214">
    <w:nsid w:val="6FE95EAC"/>
    <w:multiLevelType w:val="hybridMultilevel"/>
    <w:lvl w:ilvl="0">
      <w:lvlJc w:val="left"/>
      <w:lvlText w:val="%1"/>
      <w:numFmt w:val="lowerLetter"/>
      <w:start w:val="1"/>
    </w:lvl>
    <w:lvl w:ilvl="1">
      <w:lvlJc w:val="left"/>
      <w:lvlText w:val="(%2)"/>
      <w:numFmt w:val="lowerLetter"/>
      <w:start w:val="35"/>
    </w:lvl>
  </w:abstractNum>
  <w:abstractNum w:abstractNumId="215">
    <w:nsid w:val="4B697C7A"/>
    <w:multiLevelType w:val="hybridMultilevel"/>
    <w:lvl w:ilvl="0">
      <w:lvlJc w:val="left"/>
      <w:lvlText w:val="(%1)"/>
      <w:numFmt w:val="lowerLetter"/>
      <w:start w:val="3"/>
    </w:lvl>
    <w:lvl w:ilvl="1">
      <w:lvlJc w:val="left"/>
      <w:lvlText w:val="%2"/>
      <w:numFmt w:val="lowerLetter"/>
      <w:start w:val="1"/>
    </w:lvl>
  </w:abstractNum>
  <w:abstractNum w:abstractNumId="216">
    <w:nsid w:val="51A27AA6"/>
    <w:multiLevelType w:val="hybridMultilevel"/>
    <w:lvl w:ilvl="0">
      <w:lvlJc w:val="left"/>
      <w:lvlText w:val="(%1)"/>
      <w:numFmt w:val="lowerLetter"/>
      <w:start w:val="1"/>
    </w:lvl>
  </w:abstractNum>
  <w:abstractNum w:abstractNumId="217">
    <w:nsid w:val="613183F2"/>
    <w:multiLevelType w:val="hybridMultilevel"/>
    <w:lvl w:ilvl="0">
      <w:lvlJc w:val="left"/>
      <w:lvlText w:val="(%1)"/>
      <w:numFmt w:val="lowerLetter"/>
      <w:start w:val="2"/>
    </w:lvl>
  </w:abstractNum>
  <w:abstractNum w:abstractNumId="218">
    <w:nsid w:val="634102B4"/>
    <w:multiLevelType w:val="hybridMultilevel"/>
    <w:lvl w:ilvl="0">
      <w:lvlJc w:val="left"/>
      <w:lvlText w:val="(%1)"/>
      <w:numFmt w:val="lowerLetter"/>
      <w:start w:val="1"/>
    </w:lvl>
  </w:abstractNum>
  <w:abstractNum w:abstractNumId="219">
    <w:nsid w:val="65BF9DA8"/>
    <w:multiLevelType w:val="hybridMultilevel"/>
    <w:lvl w:ilvl="0">
      <w:lvlJc w:val="left"/>
      <w:lvlText w:val="(%1)"/>
      <w:numFmt w:val="lowerLetter"/>
      <w:start w:val="2"/>
    </w:lvl>
  </w:abstractNum>
  <w:abstractNum w:abstractNumId="220">
    <w:nsid w:val="21A2ECCA"/>
    <w:multiLevelType w:val="hybridMultilevel"/>
    <w:lvl w:ilvl="0">
      <w:lvlJc w:val="left"/>
      <w:lvlText w:val="(%1)"/>
      <w:numFmt w:val="lowerLetter"/>
      <w:start w:val="1"/>
    </w:lvl>
  </w:abstractNum>
  <w:abstractNum w:abstractNumId="221">
    <w:nsid w:val="4D5C4899"/>
    <w:multiLevelType w:val="hybridMultilevel"/>
    <w:lvl w:ilvl="0">
      <w:lvlJc w:val="left"/>
      <w:lvlText w:val="(%1)"/>
      <w:numFmt w:val="lowerLetter"/>
      <w:start w:val="2"/>
    </w:lvl>
  </w:abstractNum>
  <w:abstractNum w:abstractNumId="222">
    <w:nsid w:val="3C3B72B2"/>
    <w:multiLevelType w:val="hybridMultilevel"/>
    <w:lvl w:ilvl="0">
      <w:lvlJc w:val="left"/>
      <w:lvlText w:val="(%1)"/>
      <w:numFmt w:val="lowerRoman"/>
      <w:start w:val="2"/>
    </w:lvl>
  </w:abstractNum>
  <w:abstractNum w:abstractNumId="223">
    <w:nsid w:val="155EC4C2"/>
    <w:multiLevelType w:val="hybridMultilevel"/>
    <w:lvl w:ilvl="0">
      <w:lvlJc w:val="left"/>
      <w:lvlText w:val="(%1)"/>
      <w:numFmt w:val="lowerLetter"/>
      <w:start w:val="1"/>
    </w:lvl>
  </w:abstractNum>
  <w:abstractNum w:abstractNumId="224">
    <w:nsid w:val="65D2A137"/>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25">
    <w:nsid w:val="6EBB1F2A"/>
    <w:multiLevelType w:val="hybridMultilevel"/>
    <w:lvl w:ilvl="0">
      <w:lvlJc w:val="left"/>
      <w:lvlText w:val="(%1)"/>
      <w:numFmt w:val="lowerLetter"/>
      <w:start w:val="1"/>
    </w:lvl>
  </w:abstractNum>
  <w:abstractNum w:abstractNumId="226">
    <w:nsid w:val="6FBF29CB"/>
    <w:multiLevelType w:val="hybridMultilevel"/>
    <w:lvl w:ilvl="0">
      <w:lvlJc w:val="left"/>
      <w:lvlText w:val="(%1)"/>
      <w:numFmt w:val="lowerLetter"/>
      <w:start w:val="1"/>
    </w:lvl>
  </w:abstractNum>
  <w:abstractNum w:abstractNumId="227">
    <w:nsid w:val="550B8808"/>
    <w:multiLevelType w:val="hybridMultilevel"/>
    <w:lvl w:ilvl="0">
      <w:lvlJc w:val="left"/>
      <w:lvlText w:val="(%1)"/>
      <w:numFmt w:val="lowerLetter"/>
      <w:start w:val="2"/>
    </w:lvl>
  </w:abstractNum>
  <w:abstractNum w:abstractNumId="228">
    <w:nsid w:val="34CC3ACF"/>
    <w:multiLevelType w:val="hybridMultilevel"/>
    <w:lvl w:ilvl="0">
      <w:lvlJc w:val="left"/>
      <w:lvlText w:val="(%1)"/>
      <w:numFmt w:val="lowerLetter"/>
      <w:start w:val="1"/>
    </w:lvl>
    <w:lvl w:ilvl="1">
      <w:lvlJc w:val="left"/>
      <w:lvlText w:val="(%2)"/>
      <w:numFmt w:val="lowerRoman"/>
      <w:start w:val="1"/>
    </w:lvl>
  </w:abstractNum>
  <w:abstractNum w:abstractNumId="229">
    <w:nsid w:val="4E556261"/>
    <w:multiLevelType w:val="hybridMultilevel"/>
    <w:lvl w:ilvl="0">
      <w:lvlJc w:val="left"/>
      <w:lvlText w:val="(%1)"/>
      <w:numFmt w:val="lowerRoman"/>
      <w:start w:val="3"/>
    </w:lvl>
  </w:abstractNum>
  <w:abstractNum w:abstractNumId="230">
    <w:nsid w:val="4C672FC9"/>
    <w:multiLevelType w:val="hybridMultilevel"/>
    <w:lvl w:ilvl="0">
      <w:lvlJc w:val="left"/>
      <w:lvlText w:val="(%1)"/>
      <w:numFmt w:val="lowerLetter"/>
      <w:start w:val="1"/>
    </w:lvl>
  </w:abstractNum>
  <w:abstractNum w:abstractNumId="231">
    <w:nsid w:val="52A311C3"/>
    <w:multiLevelType w:val="hybridMultilevel"/>
    <w:lvl w:ilvl="0">
      <w:lvlJc w:val="left"/>
      <w:lvlText w:val="(%1)"/>
      <w:numFmt w:val="lowerLetter"/>
      <w:start w:val="4"/>
    </w:lvl>
  </w:abstractNum>
  <w:abstractNum w:abstractNumId="232">
    <w:nsid w:val="44EF6B80"/>
    <w:multiLevelType w:val="hybridMultilevel"/>
    <w:lvl w:ilvl="0">
      <w:lvlJc w:val="left"/>
      <w:lvlText w:val="%1"/>
      <w:numFmt w:val="lowerRoman"/>
      <w:start w:val="1"/>
    </w:lvl>
    <w:lvl w:ilvl="1">
      <w:lvlJc w:val="left"/>
      <w:lvlText w:val="(%2)"/>
      <w:numFmt w:val="lowerRoman"/>
      <w:start w:val="1"/>
    </w:lvl>
  </w:abstractNum>
  <w:abstractNum w:abstractNumId="233">
    <w:nsid w:val="12FCDE5E"/>
    <w:multiLevelType w:val="hybridMultilevel"/>
    <w:lvl w:ilvl="0">
      <w:lvlJc w:val="left"/>
      <w:lvlText w:val="(%1)"/>
      <w:numFmt w:val="lowerRoman"/>
      <w:start w:val="1"/>
    </w:lvl>
    <w:lvl w:ilvl="1">
      <w:lvlJc w:val="left"/>
      <w:lvlText w:val="%2"/>
      <w:numFmt w:val="lowerRoman"/>
      <w:start w:val="1"/>
    </w:lvl>
  </w:abstractNum>
  <w:abstractNum w:abstractNumId="234">
    <w:nsid w:val="4A1D606E"/>
    <w:multiLevelType w:val="hybridMultilevel"/>
    <w:lvl w:ilvl="0">
      <w:lvlJc w:val="left"/>
      <w:lvlText w:val="%1"/>
      <w:numFmt w:val="upperLetter"/>
      <w:start w:val="1"/>
    </w:lvl>
    <w:lvl w:ilvl="1">
      <w:lvlJc w:val="left"/>
      <w:lvlText w:val="(%2)"/>
      <w:numFmt w:val="lowerRoman"/>
      <w:start w:val="5"/>
    </w:lvl>
  </w:abstractNum>
  <w:abstractNum w:abstractNumId="235">
    <w:nsid w:val="4382503"/>
    <w:multiLevelType w:val="hybridMultilevel"/>
    <w:lvl w:ilvl="0">
      <w:lvlJc w:val="left"/>
      <w:lvlText w:val="(%1)"/>
      <w:numFmt w:val="upperLetter"/>
      <w:start w:val="2"/>
    </w:lvl>
    <w:lvl w:ilvl="1">
      <w:lvlJc w:val="left"/>
      <w:lvlText w:val="%2"/>
      <w:numFmt w:val="lowerRoman"/>
      <w:start w:val="1"/>
    </w:lvl>
  </w:abstractNum>
  <w:abstractNum w:abstractNumId="236">
    <w:nsid w:val="59B76E28"/>
    <w:multiLevelType w:val="hybridMultilevel"/>
    <w:lvl w:ilvl="0">
      <w:lvlJc w:val="left"/>
      <w:lvlText w:val="(%1)"/>
      <w:numFmt w:val="lowerLetter"/>
      <w:start w:val="2"/>
    </w:lvl>
  </w:abstractNum>
  <w:abstractNum w:abstractNumId="237">
    <w:nsid w:val="4252C2DA"/>
    <w:multiLevelType w:val="hybridMultilevel"/>
    <w:lvl w:ilvl="0">
      <w:lvlJc w:val="left"/>
      <w:lvlText w:val="(%1)"/>
      <w:numFmt w:val="lowerLetter"/>
      <w:start w:val="1"/>
    </w:lvl>
  </w:abstractNum>
  <w:abstractNum w:abstractNumId="238">
    <w:nsid w:val="6A92EF4C"/>
    <w:multiLevelType w:val="hybridMultilevel"/>
    <w:lvl w:ilvl="0">
      <w:lvlJc w:val="left"/>
      <w:lvlText w:val="(%1)"/>
      <w:numFmt w:val="lowerLetter"/>
      <w:start w:val="1"/>
    </w:lvl>
  </w:abstractNum>
  <w:abstractNum w:abstractNumId="239">
    <w:nsid w:val="41ED20D7"/>
    <w:multiLevelType w:val="hybridMultilevel"/>
    <w:lvl w:ilvl="0">
      <w:lvlJc w:val="left"/>
      <w:lvlText w:val="(%1)"/>
      <w:numFmt w:val="lowerLetter"/>
      <w:start w:val="2"/>
    </w:lvl>
  </w:abstractNum>
  <w:abstractNum w:abstractNumId="240">
    <w:nsid w:val="E6B3F6A"/>
    <w:multiLevelType w:val="hybridMultilevel"/>
    <w:lvl w:ilvl="0">
      <w:lvlJc w:val="left"/>
      <w:lvlText w:val="(%1)"/>
      <w:numFmt w:val="lowerLetter"/>
      <w:start w:val="1"/>
    </w:lvl>
  </w:abstractNum>
  <w:abstractNum w:abstractNumId="241">
    <w:nsid w:val="3EB21819"/>
    <w:multiLevelType w:val="hybridMultilevel"/>
    <w:lvl w:ilvl="0">
      <w:lvlJc w:val="left"/>
      <w:lvlText w:val="(%1)"/>
      <w:numFmt w:val="lowerLetter"/>
      <w:start w:val="1"/>
    </w:lvl>
    <w:lvl w:ilvl="1">
      <w:lvlJc w:val="left"/>
      <w:lvlText w:val="(%2)"/>
      <w:numFmt w:val="lowerLetter"/>
      <w:start w:val="9"/>
    </w:lvl>
  </w:abstractNum>
  <w:abstractNum w:abstractNumId="242">
    <w:nsid w:val="41531DED"/>
    <w:multiLevelType w:val="hybridMultilevel"/>
    <w:lvl w:ilvl="0">
      <w:lvlJc w:val="left"/>
      <w:lvlText w:val="(%1)"/>
      <w:numFmt w:val="lowerRoman"/>
      <w:start w:val="2"/>
    </w:lvl>
  </w:abstractNum>
  <w:abstractNum w:abstractNumId="243">
    <w:nsid w:val="6353CD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44">
    <w:nsid w:val="683CAAD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45">
    <w:nsid w:val="313C7C99"/>
    <w:multiLevelType w:val="hybridMultilevel"/>
    <w:lvl w:ilvl="0">
      <w:lvlJc w:val="left"/>
      <w:lvlText w:val="(%1)"/>
      <w:numFmt w:val="lowerLetter"/>
      <w:start w:val="4"/>
    </w:lvl>
  </w:abstractNum>
  <w:abstractNum w:abstractNumId="246">
    <w:nsid w:val="519EB94C"/>
    <w:multiLevelType w:val="hybridMultilevel"/>
    <w:lvl w:ilvl="0">
      <w:lvlJc w:val="left"/>
      <w:lvlText w:val="(%1)"/>
      <w:numFmt w:val="lowerLetter"/>
      <w:start w:val="1"/>
    </w:lvl>
  </w:abstractNum>
  <w:abstractNum w:abstractNumId="247">
    <w:nsid w:val="39DF2579"/>
    <w:multiLevelType w:val="hybridMultilevel"/>
    <w:lvl w:ilvl="0">
      <w:lvlJc w:val="left"/>
      <w:lvlText w:val="(%1)"/>
      <w:numFmt w:val="lowerLetter"/>
      <w:start w:val="2"/>
    </w:lvl>
  </w:abstractNum>
  <w:abstractNum w:abstractNumId="248">
    <w:nsid w:val="126E008B"/>
    <w:multiLevelType w:val="hybridMultilevel"/>
    <w:lvl w:ilvl="0">
      <w:lvlJc w:val="left"/>
      <w:lvlText w:val="(%1)"/>
      <w:numFmt w:val="lowerLetter"/>
      <w:start w:val="4"/>
    </w:lvl>
  </w:abstractNum>
  <w:abstractNum w:abstractNumId="249">
    <w:nsid w:val="34DFBC00"/>
    <w:multiLevelType w:val="hybridMultilevel"/>
    <w:lvl w:ilvl="0">
      <w:lvlJc w:val="left"/>
      <w:lvlText w:val="(%1)"/>
      <w:numFmt w:val="lowerLetter"/>
      <w:start w:val="7"/>
    </w:lvl>
  </w:abstractNum>
  <w:abstractNum w:abstractNumId="250">
    <w:nsid w:val="1F9EC322"/>
    <w:multiLevelType w:val="hybridMultilevel"/>
    <w:lvl w:ilvl="0">
      <w:lvlJc w:val="left"/>
      <w:lvlText w:val="(%1)"/>
      <w:numFmt w:val="lowerLetter"/>
      <w:start w:val="1"/>
    </w:lvl>
  </w:abstractNum>
  <w:abstractNum w:abstractNumId="251">
    <w:nsid w:val="3410ED56"/>
    <w:multiLevelType w:val="hybridMultilevel"/>
    <w:lvl w:ilvl="0">
      <w:lvlJc w:val="left"/>
      <w:lvlText w:val="(%1)"/>
      <w:numFmt w:val="lowerLetter"/>
      <w:start w:val="2"/>
    </w:lvl>
  </w:abstractNum>
  <w:abstractNum w:abstractNumId="252">
    <w:nsid w:val="23C049A"/>
    <w:multiLevelType w:val="hybridMultilevel"/>
    <w:lvl w:ilvl="0">
      <w:lvlJc w:val="left"/>
      <w:lvlText w:val="(%1)"/>
      <w:numFmt w:val="lowerLetter"/>
      <w:start w:val="1"/>
    </w:lvl>
  </w:abstractNum>
  <w:abstractNum w:abstractNumId="253">
    <w:nsid w:val="5BDA35D4"/>
    <w:multiLevelType w:val="hybridMultilevel"/>
    <w:lvl w:ilvl="0">
      <w:lvlJc w:val="left"/>
      <w:lvlText w:val="(%1)"/>
      <w:numFmt w:val="lowerLetter"/>
      <w:start w:val="2"/>
    </w:lvl>
  </w:abstractNum>
  <w:abstractNum w:abstractNumId="254">
    <w:nsid w:val="496FB218"/>
    <w:multiLevelType w:val="hybridMultilevel"/>
    <w:lvl w:ilvl="0">
      <w:lvlJc w:val="left"/>
      <w:lvlText w:val="(%1)"/>
      <w:numFmt w:val="lowerLetter"/>
      <w:start w:val="1"/>
    </w:lvl>
  </w:abstractNum>
  <w:abstractNum w:abstractNumId="255">
    <w:nsid w:val="680EA5D1"/>
    <w:multiLevelType w:val="hybridMultilevel"/>
    <w:lvl w:ilvl="0">
      <w:lvlJc w:val="left"/>
      <w:lvlText w:val="(%1)"/>
      <w:numFmt w:val="lowerLetter"/>
      <w:start w:val="3"/>
    </w:lvl>
  </w:abstractNum>
  <w:abstractNum w:abstractNumId="256">
    <w:nsid w:val="4A9554FE"/>
    <w:multiLevelType w:val="hybridMultilevel"/>
    <w:lvl w:ilvl="0">
      <w:lvlJc w:val="left"/>
      <w:lvlText w:val="(%1)"/>
      <w:numFmt w:val="lowerLetter"/>
      <w:start w:val="1"/>
    </w:lvl>
  </w:abstractNum>
  <w:abstractNum w:abstractNumId="257">
    <w:nsid w:val="392EDBE4"/>
    <w:multiLevelType w:val="hybridMultilevel"/>
    <w:lvl w:ilvl="0">
      <w:lvlJc w:val="left"/>
      <w:lvlText w:val="(%1)"/>
      <w:numFmt w:val="lowerLetter"/>
      <w:start w:val="2"/>
    </w:lvl>
  </w:abstractNum>
  <w:abstractNum w:abstractNumId="258">
    <w:nsid w:val="3D1A2DD9"/>
    <w:multiLevelType w:val="hybridMultilevel"/>
    <w:lvl w:ilvl="0">
      <w:lvlJc w:val="left"/>
      <w:lvlText w:val="(%1)"/>
      <w:numFmt w:val="lowerLetter"/>
      <w:start w:val="3"/>
    </w:lvl>
  </w:abstractNum>
  <w:abstractNum w:abstractNumId="259">
    <w:nsid w:val="7F618FCD"/>
    <w:multiLevelType w:val="hybridMultilevel"/>
    <w:lvl w:ilvl="0">
      <w:lvlJc w:val="left"/>
      <w:lvlText w:val="(%1)"/>
      <w:numFmt w:val="lowerLetter"/>
      <w:start w:val="1"/>
    </w:lvl>
  </w:abstractNum>
  <w:abstractNum w:abstractNumId="260">
    <w:nsid w:val="7843E45"/>
    <w:multiLevelType w:val="hybridMultilevel"/>
    <w:lvl w:ilvl="0">
      <w:lvlJc w:val="left"/>
      <w:lvlText w:val="(%1)"/>
      <w:numFmt w:val="lowerLetter"/>
      <w:start w:val="4"/>
    </w:lvl>
  </w:abstractNum>
  <w:abstractNum w:abstractNumId="261">
    <w:nsid w:val="9815DA3"/>
    <w:multiLevelType w:val="hybridMultilevel"/>
    <w:lvl w:ilvl="0">
      <w:lvlJc w:val="left"/>
      <w:lvlText w:val="(%1)"/>
      <w:numFmt w:val="lowerLetter"/>
      <w:start w:val="1"/>
    </w:lvl>
  </w:abstractNum>
  <w:abstractNum w:abstractNumId="262">
    <w:nsid w:val="5204A191"/>
    <w:multiLevelType w:val="hybridMultilevel"/>
    <w:lvl w:ilvl="0">
      <w:lvlJc w:val="left"/>
      <w:lvlText w:val="(%1)"/>
      <w:numFmt w:val="lowerLetter"/>
      <w:start w:val="3"/>
    </w:lvl>
  </w:abstractNum>
  <w:abstractNum w:abstractNumId="263">
    <w:nsid w:val="4C73A9C6"/>
    <w:multiLevelType w:val="hybridMultilevel"/>
    <w:lvl w:ilvl="0">
      <w:lvlJc w:val="left"/>
      <w:lvlText w:val="(%1)"/>
      <w:numFmt w:val="lowerLetter"/>
      <w:start w:val="1"/>
    </w:lvl>
  </w:abstractNum>
  <w:abstractNum w:abstractNumId="264">
    <w:nsid w:val="1C7E3C01"/>
    <w:multiLevelType w:val="hybridMultilevel"/>
    <w:lvl w:ilvl="0">
      <w:lvlJc w:val="left"/>
      <w:lvlText w:val="(%1)"/>
      <w:numFmt w:val="lowerLetter"/>
      <w:start w:val="1"/>
    </w:lvl>
  </w:abstractNum>
  <w:abstractNum w:abstractNumId="265">
    <w:nsid w:val="1C2201FF"/>
    <w:multiLevelType w:val="hybridMultilevel"/>
    <w:lvl w:ilvl="0">
      <w:lvlJc w:val="left"/>
      <w:lvlText w:val="(%1)"/>
      <w:numFmt w:val="lowerLetter"/>
      <w:start w:val="1"/>
    </w:lvl>
  </w:abstractNum>
  <w:abstractNum w:abstractNumId="266">
    <w:nsid w:val="50ABCEC9"/>
    <w:multiLevelType w:val="hybridMultilevel"/>
    <w:lvl w:ilvl="0">
      <w:lvlJc w:val="left"/>
      <w:lvlText w:val="(%1)"/>
      <w:numFmt w:val="lowerLetter"/>
      <w:start w:val="2"/>
    </w:lvl>
    <w:lvl w:ilvl="1">
      <w:lvlJc w:val="left"/>
      <w:lvlText w:val="(%2)"/>
      <w:numFmt w:val="lowerRoman"/>
      <w:start w:val="1"/>
    </w:lvl>
  </w:abstractNum>
  <w:abstractNum w:abstractNumId="267">
    <w:nsid w:val="7635AA2A"/>
    <w:multiLevelType w:val="hybridMultilevel"/>
    <w:lvl w:ilvl="0">
      <w:lvlJc w:val="left"/>
      <w:lvlText w:val="%1"/>
      <w:numFmt w:val="lowerLetter"/>
      <w:start w:val="1"/>
    </w:lvl>
    <w:lvl w:ilvl="1">
      <w:lvlJc w:val="left"/>
      <w:lvlText w:val="(%2)"/>
      <w:numFmt w:val="lowerRoman"/>
      <w:start w:val="8"/>
    </w:lvl>
  </w:abstractNum>
  <w:abstractNum w:abstractNumId="268">
    <w:nsid w:val="5E74C4D9"/>
    <w:multiLevelType w:val="hybridMultilevel"/>
    <w:lvl w:ilvl="0">
      <w:lvlJc w:val="left"/>
      <w:lvlText w:val="(%1)"/>
      <w:numFmt w:val="lowerLetter"/>
      <w:start w:val="3"/>
    </w:lvl>
    <w:lvl w:ilvl="1">
      <w:lvlJc w:val="left"/>
      <w:lvlText w:val="%2"/>
      <w:numFmt w:val="lowerRoman"/>
      <w:start w:val="1"/>
    </w:lvl>
  </w:abstractNum>
  <w:abstractNum w:abstractNumId="269">
    <w:nsid w:val="3B3EBE15"/>
    <w:multiLevelType w:val="hybridMultilevel"/>
    <w:lvl w:ilvl="0">
      <w:lvlJc w:val="left"/>
      <w:lvlText w:val="(%1)"/>
      <w:numFmt w:val="lowerLetter"/>
      <w:start w:val="1"/>
    </w:lvl>
  </w:abstractNum>
  <w:abstractNum w:abstractNumId="270">
    <w:nsid w:val="3822CB01"/>
    <w:multiLevelType w:val="hybridMultilevel"/>
    <w:lvl w:ilvl="0">
      <w:lvlJc w:val="left"/>
      <w:lvlText w:val="(%1)"/>
      <w:numFmt w:val="lowerLetter"/>
      <w:start w:val="2"/>
    </w:lvl>
  </w:abstractNum>
  <w:abstractNum w:abstractNumId="271">
    <w:nsid w:val="6CE00443"/>
    <w:multiLevelType w:val="hybridMultilevel"/>
    <w:lvl w:ilvl="0">
      <w:lvlJc w:val="left"/>
      <w:lvlText w:val="(%1)"/>
      <w:numFmt w:val="lowerLetter"/>
      <w:start w:val="1"/>
    </w:lvl>
  </w:abstractNum>
  <w:abstractNum w:abstractNumId="272">
    <w:nsid w:val="79F0D62F"/>
    <w:multiLevelType w:val="hybridMultilevel"/>
    <w:lvl w:ilvl="0">
      <w:lvlJc w:val="left"/>
      <w:lvlText w:val="(%1)"/>
      <w:numFmt w:val="lowerLetter"/>
      <w:start w:val="2"/>
    </w:lvl>
  </w:abstractNum>
  <w:abstractNum w:abstractNumId="273">
    <w:nsid w:val="7975E8EE"/>
    <w:multiLevelType w:val="hybridMultilevel"/>
    <w:lvl w:ilvl="0">
      <w:lvlJc w:val="left"/>
      <w:lvlText w:val="(%1)"/>
      <w:numFmt w:val="lowerLetter"/>
      <w:start w:val="1"/>
    </w:lvl>
  </w:abstractNum>
  <w:abstractNum w:abstractNumId="274">
    <w:nsid w:val="73154115"/>
    <w:multiLevelType w:val="hybridMultilevel"/>
    <w:lvl w:ilvl="0">
      <w:lvlJc w:val="left"/>
      <w:lvlText w:val="(%1)"/>
      <w:numFmt w:val="lowerLetter"/>
      <w:start w:val="3"/>
    </w:lvl>
  </w:abstractNum>
  <w:abstractNum w:abstractNumId="275">
    <w:nsid w:val="622D8102"/>
    <w:multiLevelType w:val="hybridMultilevel"/>
    <w:lvl w:ilvl="0">
      <w:lvlJc w:val="left"/>
      <w:lvlText w:val="(%1)"/>
      <w:numFmt w:val="lowerLetter"/>
      <w:start w:val="8"/>
    </w:lvl>
  </w:abstractNum>
  <w:abstractNum w:abstractNumId="276">
    <w:nsid w:val="2AB26587"/>
    <w:multiLevelType w:val="hybridMultilevel"/>
    <w:lvl w:ilvl="0">
      <w:lvlJc w:val="left"/>
      <w:lvlText w:val="(%1)"/>
      <w:numFmt w:val="lowerRoman"/>
      <w:start w:val="2"/>
    </w:lvl>
  </w:abstractNum>
  <w:abstractNum w:abstractNumId="277">
    <w:nsid w:val="44B3FA61"/>
    <w:multiLevelType w:val="hybridMultilevel"/>
    <w:lvl w:ilvl="0">
      <w:lvlJc w:val="left"/>
      <w:lvlText w:val="(%1)"/>
      <w:numFmt w:val="lowerLetter"/>
      <w:start w:val="1"/>
    </w:lvl>
  </w:abstractNum>
  <w:abstractNum w:abstractNumId="278">
    <w:nsid w:val="1C0CA67C"/>
    <w:multiLevelType w:val="hybridMultilevel"/>
    <w:lvl w:ilvl="0">
      <w:lvlJc w:val="left"/>
      <w:lvlText w:val="(%1)"/>
      <w:numFmt w:val="lowerLetter"/>
      <w:start w:val="9"/>
    </w:lvl>
  </w:abstractNum>
  <w:abstractNum w:abstractNumId="279">
    <w:nsid w:val="3D206613"/>
    <w:multiLevelType w:val="hybridMultilevel"/>
    <w:lvl w:ilvl="0">
      <w:lvlJc w:val="left"/>
      <w:lvlText w:val="(%1)"/>
      <w:numFmt w:val="lowerLetter"/>
      <w:start w:val="19"/>
    </w:lvl>
  </w:abstractNum>
  <w:abstractNum w:abstractNumId="280">
    <w:nsid w:val="7993B662"/>
    <w:multiLevelType w:val="hybridMultilevel"/>
    <w:lvl w:ilvl="0">
      <w:lvlJc w:val="left"/>
      <w:lvlText w:val="(%1)"/>
      <w:numFmt w:val="lowerLetter"/>
      <w:start w:val="27"/>
    </w:lvl>
  </w:abstractNum>
  <w:abstractNum w:abstractNumId="281">
    <w:nsid w:val="3BAB699E"/>
    <w:multiLevelType w:val="hybridMultilevel"/>
    <w:lvl w:ilvl="0">
      <w:lvlJc w:val="left"/>
      <w:lvlText w:val="(%1)"/>
      <w:numFmt w:val="lowerLetter"/>
      <w:start w:val="28"/>
    </w:lvl>
  </w:abstractNum>
  <w:abstractNum w:abstractNumId="282">
    <w:nsid w:val="71315369"/>
    <w:multiLevelType w:val="hybridMultilevel"/>
    <w:lvl w:ilvl="0">
      <w:lvlJc w:val="left"/>
      <w:lvlText w:val="(%1)"/>
      <w:numFmt w:val="lowerLetter"/>
      <w:start w:val="41"/>
    </w:lvl>
  </w:abstractNum>
  <w:abstractNum w:abstractNumId="283">
    <w:nsid w:val="7BCFBAFC"/>
    <w:multiLevelType w:val="hybridMultilevel"/>
    <w:lvl w:ilvl="0">
      <w:lvlJc w:val="left"/>
      <w:lvlText w:val="(%1)"/>
      <w:numFmt w:val="lowerLetter"/>
      <w:start w:val="49"/>
    </w:lvl>
  </w:abstractNum>
  <w:abstractNum w:abstractNumId="284">
    <w:nsid w:val="17859F72"/>
    <w:multiLevelType w:val="hybridMultilevel"/>
    <w:lvl w:ilvl="0">
      <w:lvlJc w:val="left"/>
      <w:lvlText w:val="(%1)"/>
      <w:numFmt w:val="lowerLetter"/>
      <w:start w:val="53"/>
    </w:lvl>
  </w:abstractNum>
  <w:abstractNum w:abstractNumId="285">
    <w:nsid w:val="3AA10581"/>
    <w:multiLevelType w:val="hybridMultilevel"/>
    <w:lvl w:ilvl="0">
      <w:lvlJc w:val="left"/>
      <w:lvlText w:val="(%1)"/>
      <w:numFmt w:val="lowerLetter"/>
      <w:start w:val="56"/>
    </w:lvl>
  </w:abstractNum>
  <w:abstractNum w:abstractNumId="286">
    <w:nsid w:val="63DE60CD"/>
    <w:multiLevelType w:val="hybridMultilevel"/>
    <w:lvl w:ilvl="0">
      <w:lvlJc w:val="left"/>
      <w:lvlText w:val="(%1)"/>
      <w:numFmt w:val="lowerLetter"/>
      <w:start w:val="67"/>
    </w:lvl>
  </w:abstractNum>
  <w:abstractNum w:abstractNumId="287">
    <w:nsid w:val="621AF471"/>
    <w:multiLevelType w:val="hybridMultilevel"/>
    <w:lvl w:ilvl="0">
      <w:lvlJc w:val="left"/>
      <w:lvlText w:val="(%1)"/>
      <w:numFmt w:val="lowerLetter"/>
      <w:start w:val="72"/>
    </w:lvl>
  </w:abstractNum>
  <w:abstractNum w:abstractNumId="288">
    <w:nsid w:val="73CFE165"/>
    <w:multiLevelType w:val="hybridMultilevel"/>
    <w:lvl w:ilvl="0">
      <w:lvlJc w:val="left"/>
      <w:lvlText w:val="(%1)"/>
      <w:numFmt w:val="lowerLetter"/>
      <w:start w:val="79"/>
    </w:lvl>
  </w:abstractNum>
  <w:abstractNum w:abstractNumId="289">
    <w:nsid w:val="20F88EA6"/>
    <w:multiLevelType w:val="hybridMultilevel"/>
    <w:lvl w:ilvl="0">
      <w:lvlJc w:val="left"/>
      <w:lvlText w:val="(%1)"/>
      <w:numFmt w:val="lowerLetter"/>
      <w:start w:val="83"/>
    </w:lvl>
  </w:abstractNum>
  <w:abstractNum w:abstractNumId="290">
    <w:nsid w:val="617C843E"/>
    <w:multiLevelType w:val="hybridMultilevel"/>
    <w:lvl w:ilvl="0">
      <w:lvlJc w:val="left"/>
      <w:lvlText w:val="%1"/>
      <w:numFmt w:val="upperLetter"/>
      <w:start w:val="1"/>
    </w:lvl>
    <w:lvl w:ilvl="1">
      <w:lvlJc w:val="left"/>
      <w:lvlText w:val="(%2)"/>
      <w:numFmt w:val="lowerLetter"/>
      <w:start w:val="92"/>
    </w:lvl>
    <w:lvl w:ilvl="2">
      <w:lvlJc w:val="left"/>
      <w:lvlText w:val="(%3)"/>
      <w:numFmt w:val="lowerRoman"/>
      <w:start w:val="1"/>
    </w:lvl>
  </w:abstractNum>
  <w:abstractNum w:abstractNumId="291">
    <w:nsid w:val="7B541FAB"/>
    <w:multiLevelType w:val="hybridMultilevel"/>
    <w:lvl w:ilvl="0">
      <w:lvlJc w:val="left"/>
      <w:lvlText w:val="(%1)"/>
      <w:numFmt w:val="upperLetter"/>
      <w:start w:val="2"/>
    </w:lvl>
    <w:lvl w:ilvl="1">
      <w:lvlJc w:val="left"/>
      <w:lvlText w:val="(%2)"/>
      <w:numFmt w:val="lowerLetter"/>
      <w:start w:val="93"/>
    </w:lvl>
    <w:lvl w:ilvl="2">
      <w:lvlJc w:val="left"/>
      <w:lvlText w:val="%3"/>
      <w:numFmt w:val="lowerRoman"/>
      <w:start w:val="1"/>
    </w:lvl>
  </w:abstractNum>
  <w:abstractNum w:abstractNumId="292">
    <w:nsid w:val="2A79EC49"/>
    <w:multiLevelType w:val="hybridMultilevel"/>
    <w:lvl w:ilvl="0">
      <w:lvlJc w:val="left"/>
      <w:lvlText w:val="(%1)"/>
      <w:numFmt w:val="lowerLetter"/>
      <w:start w:val="96"/>
    </w:lvl>
  </w:abstractNum>
  <w:abstractNum w:abstractNumId="293">
    <w:nsid w:val="338125CF"/>
    <w:multiLevelType w:val="hybridMultilevel"/>
    <w:lvl w:ilvl="0">
      <w:lvlJc w:val="left"/>
      <w:lvlText w:val="(%1)"/>
      <w:numFmt w:val="lowerLetter"/>
      <w:start w:val="102"/>
    </w:lvl>
  </w:abstractNum>
  <w:abstractNum w:abstractNumId="294">
    <w:nsid w:val="47C7C971"/>
    <w:multiLevelType w:val="hybridMultilevel"/>
    <w:lvl w:ilvl="0">
      <w:lvlJc w:val="left"/>
      <w:lvlText w:val="(%1)"/>
      <w:numFmt w:val="lowerLetter"/>
      <w:start w:val="103"/>
    </w:lvl>
  </w:abstractNum>
  <w:abstractNum w:abstractNumId="295">
    <w:nsid w:val="46F8284B"/>
    <w:multiLevelType w:val="hybridMultilevel"/>
    <w:lvl w:ilvl="0">
      <w:lvlJc w:val="left"/>
      <w:lvlText w:val="(%1)"/>
      <w:numFmt w:val="lowerLetter"/>
      <w:start w:val="105"/>
    </w:lvl>
  </w:abstractNum>
  <w:abstractNum w:abstractNumId="296">
    <w:nsid w:val="4FA327CE"/>
    <w:multiLevelType w:val="hybridMultilevel"/>
    <w:lvl w:ilvl="0">
      <w:lvlJc w:val="left"/>
      <w:lvlText w:val="(%1)"/>
      <w:numFmt w:val="lowerLetter"/>
      <w:start w:val="109"/>
    </w:lvl>
  </w:abstractNum>
  <w:abstractNum w:abstractNumId="297">
    <w:nsid w:val="1873983A"/>
    <w:multiLevelType w:val="hybridMultilevel"/>
    <w:lvl w:ilvl="0">
      <w:lvlJc w:val="left"/>
      <w:lvlText w:val="(%1)"/>
      <w:numFmt w:val="lowerLetter"/>
      <w:start w:val="118"/>
    </w:lvl>
  </w:abstractNum>
  <w:abstractNum w:abstractNumId="298">
    <w:nsid w:val="3D2DD275"/>
    <w:multiLevelType w:val="hybridMultilevel"/>
    <w:lvl w:ilvl="0">
      <w:lvlJc w:val="left"/>
      <w:lvlText w:val="(%1)"/>
      <w:numFmt w:val="lowerLetter"/>
      <w:start w:val="124"/>
    </w:lvl>
  </w:abstractNum>
  <w:abstractNum w:abstractNumId="299">
    <w:nsid w:val="2E17ECA7"/>
    <w:multiLevelType w:val="hybridMultilevel"/>
    <w:lvl w:ilvl="0">
      <w:lvlJc w:val="left"/>
      <w:lvlText w:val="(%1)"/>
      <w:numFmt w:val="lowerLetter"/>
      <w:start w:val="131"/>
    </w:lvl>
  </w:abstractNum>
  <w:abstractNum w:abstractNumId="300">
    <w:nsid w:val="53B2564F"/>
    <w:multiLevelType w:val="hybridMultilevel"/>
    <w:lvl w:ilvl="0">
      <w:lvlJc w:val="left"/>
      <w:lvlText w:val="%1."/>
      <w:numFmt w:val="decimal"/>
      <w:start w:val="1"/>
    </w:lvl>
  </w:abstractNum>
  <w:abstractNum w:abstractNumId="301">
    <w:nsid w:val="75509D76"/>
    <w:multiLevelType w:val="hybridMultilevel"/>
    <w:lvl w:ilvl="0">
      <w:lvlJc w:val="left"/>
      <w:lvlText w:val="%1."/>
      <w:numFmt w:val="decimal"/>
      <w:start w:val="6"/>
    </w:lvl>
  </w:abstractNum>
  <w:abstractNum w:abstractNumId="302">
    <w:nsid w:val="1AF7F0EA"/>
    <w:multiLevelType w:val="hybridMultilevel"/>
    <w:lvl w:ilvl="0">
      <w:lvlJc w:val="left"/>
      <w:lvlText w:val="(%1)"/>
      <w:numFmt w:val="lowerLetter"/>
      <w:start w:val="1"/>
    </w:lvl>
  </w:abstractNum>
  <w:abstractNum w:abstractNumId="303">
    <w:nsid w:val="4DA32C7E"/>
    <w:multiLevelType w:val="hybridMultilevel"/>
    <w:lvl w:ilvl="0">
      <w:lvlJc w:val="left"/>
      <w:lvlText w:val="(%1)"/>
      <w:numFmt w:val="lowerLetter"/>
      <w:start w:val="5"/>
    </w:lvl>
  </w:abstractNum>
  <w:abstractNum w:abstractNumId="304">
    <w:nsid w:val="6EC68664"/>
    <w:multiLevelType w:val="hybridMultilevel"/>
    <w:lvl w:ilvl="0">
      <w:lvlJc w:val="left"/>
      <w:lvlText w:val="(%1)"/>
      <w:numFmt w:val="lowerLetter"/>
      <w:start w:val="1"/>
    </w:lvl>
  </w:abstractNum>
  <w:abstractNum w:abstractNumId="305">
    <w:nsid w:val="E0D31FF"/>
    <w:multiLevelType w:val="hybridMultilevel"/>
    <w:lvl w:ilvl="0">
      <w:lvlJc w:val="left"/>
      <w:lvlText w:val="(%1)"/>
      <w:numFmt w:val="lowerLetter"/>
      <w:start w:val="3"/>
    </w:lvl>
  </w:abstractNum>
  <w:abstractNum w:abstractNumId="306">
    <w:nsid w:val="2FD0AD81"/>
    <w:multiLevelType w:val="hybridMultilevel"/>
    <w:lvl w:ilvl="0">
      <w:lvlJc w:val="left"/>
      <w:lvlText w:val="(%1)"/>
      <w:numFmt w:val="decimal"/>
      <w:start w:val="1"/>
    </w:lvl>
  </w:abstractNum>
  <w:abstractNum w:abstractNumId="307">
    <w:nsid w:val="1978EBEB"/>
    <w:multiLevelType w:val="hybridMultilevel"/>
    <w:lvl w:ilvl="0">
      <w:lvlJc w:val="left"/>
      <w:lvlText w:val="%1."/>
      <w:numFmt w:val="decimal"/>
      <w:start w:val="1"/>
    </w:lvl>
    <w:lvl w:ilvl="1">
      <w:lvlJc w:val="left"/>
      <w:lvlText w:val="%2)"/>
      <w:numFmt w:val="lowerLetter"/>
      <w:start w:val="1"/>
    </w:lvl>
  </w:abstractNum>
  <w:abstractNum w:abstractNumId="308">
    <w:nsid w:val="52C12C61"/>
    <w:multiLevelType w:val="hybridMultilevel"/>
    <w:lvl w:ilvl="0">
      <w:lvlJc w:val="left"/>
      <w:lvlText w:val="%1."/>
      <w:numFmt w:val="decimal"/>
      <w:start w:val="1"/>
    </w:lvl>
    <w:lvl w:ilvl="1">
      <w:lvlJc w:val="left"/>
      <w:lvlText w:val="%2)"/>
      <w:numFmt w:val="lowerLetter"/>
      <w:start w:val="1"/>
    </w:lvl>
  </w:abstractNum>
  <w:abstractNum w:abstractNumId="309">
    <w:nsid w:val="4BDD53F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68" Type="http://schemas.openxmlformats.org/officeDocument/2006/relationships/image" Target="media/image23.png"/><Relationship Id="rId69" Type="http://schemas.openxmlformats.org/officeDocument/2006/relationships/image" Target="media/image24.png"/><Relationship Id="rId70"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30" Type="http://schemas.openxmlformats.org/officeDocument/2006/relationships/hyperlink" Target="http://www.sec.gov/Archives/edgar/data/1467858/000119312518068900/d512821dex11.htm" TargetMode="External"/><Relationship Id="rId31" Type="http://schemas.openxmlformats.org/officeDocument/2006/relationships/hyperlink" Target="http://www.sec.gov/Archives/edgar/data/1467858/000119312518270117/d616437dex11.htm" TargetMode="External"/><Relationship Id="rId32" Type="http://schemas.openxmlformats.org/officeDocument/2006/relationships/hyperlink" Target="http://www.sec.gov/Archives/edgar/data/1467858/000146785817000070/ex-21x03312017.htm" TargetMode="External"/><Relationship Id="rId33" Type="http://schemas.openxmlformats.org/officeDocument/2006/relationships/hyperlink" Target="http://www.sec.gov/Archives/edgar/data/1467858/000146785818000089/ex215312018purchaseagreeme.htm" TargetMode="External"/><Relationship Id="rId34" Type="http://schemas.openxmlformats.org/officeDocument/2006/relationships/hyperlink" Target="http://www.sec.gov/Archives/edgar/data/1467858/000119312510279214/dex32.htm" TargetMode="External"/><Relationship Id="rId35" Type="http://schemas.openxmlformats.org/officeDocument/2006/relationships/hyperlink" Target="http://www.sec.gov/Archives/edgar/data/1467858/000119312518252892/d595623dex31.htm" TargetMode="External"/><Relationship Id="rId36" Type="http://schemas.openxmlformats.org/officeDocument/2006/relationships/hyperlink" Target="http://www.sec.gov/Archives/edgar/data/1467858/000146785814000133/ex42043014indenture.htm" TargetMode="External"/><Relationship Id="rId37" Type="http://schemas.openxmlformats.org/officeDocument/2006/relationships/hyperlink" Target="http://www.sec.gov/Archives/edgar/data/1467858/000146785814000149/ex43gmsupplementalindenture.htm" TargetMode="External"/><Relationship Id="rId38" Type="http://schemas.openxmlformats.org/officeDocument/2006/relationships/hyperlink" Target="http://www.sec.gov/Archives/edgar/data/1467858/000146785814000251/ex-44secondsupplementalind.htm" TargetMode="External"/><Relationship Id="rId39" Type="http://schemas.openxmlformats.org/officeDocument/2006/relationships/hyperlink" Target="http://www.sec.gov/Archives/edgar/data/1467858/000119312516473749/d52897dex41.htm" TargetMode="External"/><Relationship Id="rId40" Type="http://schemas.openxmlformats.org/officeDocument/2006/relationships/hyperlink" Target="http://www.sec.gov/Archives/edgar/data/1467858/000119312517251403/d429540dex41.htm" TargetMode="External"/><Relationship Id="rId41" Type="http://schemas.openxmlformats.org/officeDocument/2006/relationships/hyperlink" Target="http://www.sec.gov/Archives/edgar/data/1467858/000119312518270117/d616437dex42.htm" TargetMode="External"/><Relationship Id="rId42" Type="http://schemas.openxmlformats.org/officeDocument/2006/relationships/hyperlink" Target="http://www.sec.gov/Archives/edgar/data/1467858/000119312517251403/d429540dex42.htm" TargetMode="External"/><Relationship Id="rId43" Type="http://schemas.openxmlformats.org/officeDocument/2006/relationships/hyperlink" Target="http://www.sec.gov/Archives/edgar/data/1467858/000119312518270117/d616437dex43.htm" TargetMode="External"/><Relationship Id="rId44" Type="http://schemas.openxmlformats.org/officeDocument/2006/relationships/hyperlink" Target="http://www.sec.gov/Archives/edgar/data/1467858/000119312509235641/dex108.htm" TargetMode="External"/><Relationship Id="rId45" Type="http://schemas.openxmlformats.org/officeDocument/2006/relationships/hyperlink" Target="http://www.sec.gov/Archives/edgar/data/40730/000090951809000714/mm10-2109_8ke101.htm" TargetMode="External"/><Relationship Id="rId46" Type="http://schemas.openxmlformats.org/officeDocument/2006/relationships/hyperlink" Target="http://www.sec.gov/Archives/edgar/data/1467858/000119312510246019/dex1043.htm" TargetMode="External"/><Relationship Id="rId47" Type="http://schemas.openxmlformats.org/officeDocument/2006/relationships/hyperlink" Target="http://www.sec.gov/Archives/edgar/data/1467858/000119312510078119/dex1014.htm" TargetMode="External"/><Relationship Id="rId48" Type="http://schemas.openxmlformats.org/officeDocument/2006/relationships/hyperlink" Target="http://www.sec.gov/Archives/edgar/data/1467858/000119312511130473/dex101.htm" TargetMode="External"/><Relationship Id="rId49" Type="http://schemas.openxmlformats.org/officeDocument/2006/relationships/hyperlink" Target="http://www.sec.gov/Archives/edgar/data/1467858/000146785813000025/ex-1012x12312012.htm" TargetMode="External"/><Relationship Id="rId50" Type="http://schemas.openxmlformats.org/officeDocument/2006/relationships/hyperlink" Target="http://www.sec.gov/Archives/edgar/data/1467858/000119312516449435/d124387dex102.htm" TargetMode="External"/><Relationship Id="rId51" Type="http://schemas.openxmlformats.org/officeDocument/2006/relationships/hyperlink" Target="http://www.sec.gov/Archives/edgar/data/1467858/000146785814000164/ex101-2014longxtermincenti.htm" TargetMode="External"/><Relationship Id="rId52" Type="http://schemas.openxmlformats.org/officeDocument/2006/relationships/hyperlink" Target="http://www.sec.gov/Archives/edgar/data/1467858/000146785815000178/formofawardagreement.htm" TargetMode="External"/><Relationship Id="rId53" Type="http://schemas.openxmlformats.org/officeDocument/2006/relationships/hyperlink" Target="http://www.sec.gov/Archives/edgar/data/1467858/000146785816000317/ex-104xformofrsuawardagree.htm" TargetMode="External"/><Relationship Id="rId54" Type="http://schemas.openxmlformats.org/officeDocument/2006/relationships/hyperlink" Target="http://www.sec.gov/Archives/edgar/data/1467858/000146785816000317/ex-105xformofpsuawardagree.htm" TargetMode="External"/><Relationship Id="rId55" Type="http://schemas.openxmlformats.org/officeDocument/2006/relationships/hyperlink" Target="http://www.sec.gov/Archives/edgar/data/1467858/000146785817000070/ex-101x03312017.htm" TargetMode="External"/><Relationship Id="rId56" Type="http://schemas.openxmlformats.org/officeDocument/2006/relationships/hyperlink" Target="http://www.sec.gov/Archives/edgar/data/1467858/000119312516589990/d169701dex991.htm" TargetMode="External"/><Relationship Id="rId57" Type="http://schemas.openxmlformats.org/officeDocument/2006/relationships/hyperlink" Target="http://www.sec.gov/Archives/edgar/data/40730/000095012406001534/k03376exv10wxgy.htm" TargetMode="External"/><Relationship Id="rId58" Type="http://schemas.openxmlformats.org/officeDocument/2006/relationships/hyperlink" Target="http://www.sec.gov/Archives/edgar/data/1467858/000146785816000317/ex-106xindemnificationagre.htm" TargetMode="External"/><Relationship Id="rId59" Type="http://schemas.openxmlformats.org/officeDocument/2006/relationships/hyperlink" Target="http://www.sec.gov/Archives/edgar/data/1467858/000146785818000022/ex1025-2017stip.htm" TargetMode="External"/><Relationship Id="rId60" Type="http://schemas.openxmlformats.org/officeDocument/2006/relationships/hyperlink" Target="http://www.sec.gov/Archives/edgar/data/1467858/000119312517205999/d405034dex41.htm" TargetMode="External"/><Relationship Id="rId61" Type="http://schemas.openxmlformats.org/officeDocument/2006/relationships/hyperlink" Target="http://www.sec.gov/Archives/edgar/data/1467858/000146785818000068/ex-101x03312018.htm" TargetMode="External"/><Relationship Id="rId62" Type="http://schemas.openxmlformats.org/officeDocument/2006/relationships/hyperlink" Target="http://www.sec.gov/Archives/edgar/data/1467858/000146785818000068/ex-102x03312018.htm" TargetMode="External"/><Relationship Id="rId63" Type="http://schemas.openxmlformats.org/officeDocument/2006/relationships/hyperlink" Target="http://www.sec.gov/Archives/edgar/data/1467858/000119312510078119/dex1030.htm" TargetMode="External"/><Relationship Id="rId64" Type="http://schemas.openxmlformats.org/officeDocument/2006/relationships/hyperlink" Target="http://www.sec.gov/Archives/edgar/data/1467858/000146785814000125/ex-101x03312014.htm" TargetMode="External"/><Relationship Id="rId65" Type="http://schemas.openxmlformats.org/officeDocument/2006/relationships/hyperlink" Target="http://www.sec.gov/Archives/edgar/data/1467858/000146785814000043/ex-1024x12312013psa.htm" TargetMode="External"/><Relationship Id="rId66" Type="http://schemas.openxmlformats.org/officeDocument/2006/relationships/hyperlink" Target="http://www.sec.gov/Archives/edgar/data/1467858/000146785817000103/ex-104x20170502_amendmentt.htm" TargetMode="External"/><Relationship Id="rId67" Type="http://schemas.openxmlformats.org/officeDocument/2006/relationships/hyperlink" Target="http://www.sec.gov/Archives/edgar/data/1467858/000146785817000133/ex-101x07302017_amendmentt.htm" TargetMode="External"/><Relationship Id="rId71" Type="http://schemas.openxmlformats.org/officeDocument/2006/relationships/hyperlink" Target="http://www.sec.gov/Archives/edgar/data/1467858/000146785818000022/ex1031-10302017_amendmentt.htm" TargetMode="External"/><Relationship Id="rId72" Type="http://schemas.openxmlformats.org/officeDocument/2006/relationships/hyperlink" Target="http://www.sec.gov/Archives/edgar/data/1467858/000119312518122841/d489106dex101.htm" TargetMode="External"/><Relationship Id="rId73" Type="http://schemas.openxmlformats.org/officeDocument/2006/relationships/hyperlink" Target="http://www.sec.gov/Archives/edgar/data/1467858/000119312518122841/d489106dex102.htm" TargetMode="External"/><Relationship Id="rId74" Type="http://schemas.openxmlformats.org/officeDocument/2006/relationships/hyperlink" Target="http://www.sec.gov/Archives/edgar/data/1467858/000119312518122841/d489106dex103.htm" TargetMode="External"/><Relationship Id="rId75" Type="http://schemas.openxmlformats.org/officeDocument/2006/relationships/hyperlink" Target="http://www.sec.gov/Archives/edgar/data/1467858/000146785818000025/letterfromdeloittetouchel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2019-12-28T17:05:00Z</dcterms:created>
  <dcterms:modified xsi:type="dcterms:W3CDTF">2019-12-28T17:05:00Z</dcterms:modified>
</cp:coreProperties>
</file>