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Commission file number 001-34960</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31"/>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gridSpan w:val="6"/>
          </w:tcPr>
          <w:p>
            <w:pPr>
              <w:jc w:val="center"/>
              <w:ind w:right="2314"/>
              <w:spacing w:after="0"/>
              <w:rPr>
                <w:sz w:val="20"/>
                <w:szCs w:val="20"/>
                <w:color w:val="auto"/>
              </w:rPr>
            </w:pPr>
            <w:r>
              <w:rPr>
                <w:rFonts w:ascii="Arial" w:cs="Arial" w:eastAsia="Arial" w:hAnsi="Arial"/>
                <w:sz w:val="29"/>
                <w:szCs w:val="29"/>
                <w:b w:val="1"/>
                <w:bCs w:val="1"/>
                <w:color w:val="auto"/>
                <w:w w:val="99"/>
              </w:rPr>
              <w:t>GENERAL MOTORS COMPANY</w:t>
            </w:r>
          </w:p>
        </w:tc>
      </w:tr>
      <w:tr>
        <w:trPr>
          <w:trHeight w:val="230"/>
        </w:trPr>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gridSpan w:val="6"/>
          </w:tcPr>
          <w:p>
            <w:pPr>
              <w:jc w:val="center"/>
              <w:ind w:right="2314"/>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378"/>
        </w:trPr>
        <w:tc>
          <w:tcPr>
            <w:tcW w:w="1380" w:type="dxa"/>
            <w:vAlign w:val="bottom"/>
          </w:tcPr>
          <w:p>
            <w:pPr>
              <w:spacing w:after="0"/>
              <w:rPr>
                <w:sz w:val="24"/>
                <w:szCs w:val="24"/>
                <w:color w:val="auto"/>
              </w:rPr>
            </w:pPr>
          </w:p>
        </w:tc>
        <w:tc>
          <w:tcPr>
            <w:tcW w:w="1560" w:type="dxa"/>
            <w:vAlign w:val="bottom"/>
            <w:gridSpan w:val="2"/>
          </w:tcPr>
          <w:p>
            <w:pPr>
              <w:jc w:val="center"/>
              <w:ind w:left="692"/>
              <w:spacing w:after="0"/>
              <w:rPr>
                <w:sz w:val="20"/>
                <w:szCs w:val="20"/>
                <w:color w:val="auto"/>
              </w:rPr>
            </w:pPr>
            <w:r>
              <w:rPr>
                <w:rFonts w:ascii="Arial" w:cs="Arial" w:eastAsia="Arial" w:hAnsi="Arial"/>
                <w:sz w:val="18"/>
                <w:szCs w:val="18"/>
                <w:b w:val="1"/>
                <w:bCs w:val="1"/>
                <w:color w:val="auto"/>
                <w:w w:val="93"/>
              </w:rPr>
              <w:t>Delaware</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40" w:type="dxa"/>
            <w:vAlign w:val="bottom"/>
            <w:gridSpan w:val="2"/>
          </w:tcPr>
          <w:p>
            <w:pPr>
              <w:jc w:val="center"/>
              <w:ind w:right="514"/>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1380" w:type="dxa"/>
            <w:vAlign w:val="bottom"/>
          </w:tcPr>
          <w:p>
            <w:pPr>
              <w:spacing w:after="0"/>
              <w:rPr>
                <w:sz w:val="22"/>
                <w:szCs w:val="22"/>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(State or other jurisdiction of</w:t>
            </w: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80" w:type="dxa"/>
            <w:vAlign w:val="bottom"/>
          </w:tcPr>
          <w:p>
            <w:pPr>
              <w:jc w:val="center"/>
              <w:ind w:right="554"/>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1380" w:type="dxa"/>
            <w:vAlign w:val="bottom"/>
          </w:tcPr>
          <w:p>
            <w:pPr>
              <w:spacing w:after="0"/>
              <w:rPr>
                <w:sz w:val="20"/>
                <w:szCs w:val="20"/>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Pr>
          <w:p>
            <w:pPr>
              <w:jc w:val="center"/>
              <w:ind w:right="574"/>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2940" w:type="dxa"/>
            <w:vAlign w:val="bottom"/>
            <w:gridSpan w:val="3"/>
          </w:tcPr>
          <w:p>
            <w:pPr>
              <w:ind w:left="920"/>
              <w:spacing w:after="0"/>
              <w:rPr>
                <w:sz w:val="20"/>
                <w:szCs w:val="20"/>
                <w:color w:val="auto"/>
              </w:rPr>
            </w:pPr>
            <w:r>
              <w:rPr>
                <w:rFonts w:ascii="Arial" w:cs="Arial" w:eastAsia="Arial" w:hAnsi="Arial"/>
                <w:sz w:val="18"/>
                <w:szCs w:val="18"/>
                <w:b w:val="1"/>
                <w:bCs w:val="1"/>
                <w:color w:val="auto"/>
                <w:w w:val="94"/>
              </w:rPr>
              <w:t>300 Renaissance Center,</w:t>
            </w: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Detroit,</w:t>
            </w:r>
          </w:p>
        </w:tc>
        <w:tc>
          <w:tcPr>
            <w:tcW w:w="3380" w:type="dxa"/>
            <w:vAlign w:val="bottom"/>
            <w:gridSpan w:val="3"/>
          </w:tcPr>
          <w:p>
            <w:pPr>
              <w:ind w:left="60"/>
              <w:spacing w:after="0"/>
              <w:rPr>
                <w:sz w:val="20"/>
                <w:szCs w:val="20"/>
                <w:color w:val="auto"/>
              </w:rPr>
            </w:pPr>
            <w:r>
              <w:rPr>
                <w:rFonts w:ascii="Arial" w:cs="Arial" w:eastAsia="Arial" w:hAnsi="Arial"/>
                <w:sz w:val="18"/>
                <w:szCs w:val="18"/>
                <w:b w:val="1"/>
                <w:bCs w:val="1"/>
                <w:color w:val="auto"/>
              </w:rPr>
              <w:t>Michigan</w:t>
            </w:r>
          </w:p>
        </w:tc>
        <w:tc>
          <w:tcPr>
            <w:tcW w:w="2940" w:type="dxa"/>
            <w:vAlign w:val="bottom"/>
            <w:gridSpan w:val="2"/>
          </w:tcPr>
          <w:p>
            <w:pPr>
              <w:jc w:val="center"/>
              <w:ind w:right="534"/>
              <w:spacing w:after="0"/>
              <w:rPr>
                <w:sz w:val="20"/>
                <w:szCs w:val="20"/>
                <w:color w:val="auto"/>
              </w:rPr>
            </w:pPr>
            <w:r>
              <w:rPr>
                <w:rFonts w:ascii="Arial" w:cs="Arial" w:eastAsia="Arial" w:hAnsi="Arial"/>
                <w:sz w:val="18"/>
                <w:szCs w:val="18"/>
                <w:b w:val="1"/>
                <w:bCs w:val="1"/>
                <w:color w:val="auto"/>
                <w:w w:val="90"/>
              </w:rPr>
              <w:t>48265 -3000</w:t>
            </w:r>
          </w:p>
        </w:tc>
      </w:tr>
      <w:tr>
        <w:trPr>
          <w:trHeight w:val="270"/>
        </w:trPr>
        <w:tc>
          <w:tcPr>
            <w:tcW w:w="7080" w:type="dxa"/>
            <w:vAlign w:val="bottom"/>
            <w:gridSpan w:val="7"/>
          </w:tcPr>
          <w:p>
            <w:pPr>
              <w:jc w:val="center"/>
              <w:ind w:right="198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60" w:type="dxa"/>
            <w:vAlign w:val="bottom"/>
          </w:tcPr>
          <w:p>
            <w:pPr>
              <w:spacing w:after="0"/>
              <w:rPr>
                <w:sz w:val="23"/>
                <w:szCs w:val="23"/>
                <w:color w:val="auto"/>
              </w:rPr>
            </w:pPr>
          </w:p>
        </w:tc>
        <w:tc>
          <w:tcPr>
            <w:tcW w:w="2880" w:type="dxa"/>
            <w:vAlign w:val="bottom"/>
          </w:tcPr>
          <w:p>
            <w:pPr>
              <w:jc w:val="center"/>
              <w:ind w:right="574"/>
              <w:spacing w:after="0"/>
              <w:rPr>
                <w:sz w:val="20"/>
                <w:szCs w:val="20"/>
                <w:color w:val="auto"/>
              </w:rPr>
            </w:pPr>
            <w:r>
              <w:rPr>
                <w:rFonts w:ascii="Arial" w:cs="Arial" w:eastAsia="Arial" w:hAnsi="Arial"/>
                <w:sz w:val="18"/>
                <w:szCs w:val="18"/>
                <w:i w:val="1"/>
                <w:iCs w:val="1"/>
                <w:color w:val="auto"/>
                <w:w w:val="91"/>
              </w:rPr>
              <w:t>(Zip Code)</w:t>
            </w:r>
          </w:p>
        </w:tc>
      </w:tr>
      <w:tr>
        <w:trPr>
          <w:trHeight w:val="206"/>
        </w:trPr>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gridSpan w:val="2"/>
          </w:tcPr>
          <w:p>
            <w:pPr>
              <w:jc w:val="center"/>
              <w:ind w:left="853"/>
              <w:spacing w:after="0"/>
              <w:rPr>
                <w:sz w:val="20"/>
                <w:szCs w:val="20"/>
                <w:color w:val="auto"/>
              </w:rPr>
            </w:pPr>
            <w:r>
              <w:rPr>
                <w:rFonts w:ascii="Arial" w:cs="Arial" w:eastAsia="Arial" w:hAnsi="Arial"/>
                <w:sz w:val="16"/>
                <w:szCs w:val="16"/>
                <w:b w:val="1"/>
                <w:bCs w:val="1"/>
                <w:color w:val="auto"/>
                <w:w w:val="93"/>
              </w:rPr>
              <w:t>(313) 667-1500</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5"/>
        </w:trPr>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gridSpan w:val="4"/>
          </w:tcPr>
          <w:p>
            <w:pPr>
              <w:jc w:val="center"/>
              <w:ind w:left="444"/>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93"/>
        </w:trPr>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6"/>
                <w:szCs w:val="16"/>
                <w:b w:val="1"/>
                <w:bCs w:val="1"/>
                <w:color w:val="auto"/>
                <w:w w:val="91"/>
              </w:rPr>
              <w:t>Not applicable</w:t>
            </w: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85"/>
        </w:trPr>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60" w:type="dxa"/>
            <w:vAlign w:val="bottom"/>
            <w:gridSpan w:val="7"/>
          </w:tcPr>
          <w:p>
            <w:pPr>
              <w:jc w:val="center"/>
              <w:ind w:right="1954"/>
              <w:spacing w:after="0"/>
              <w:rPr>
                <w:sz w:val="20"/>
                <w:szCs w:val="20"/>
                <w:color w:val="auto"/>
              </w:rPr>
            </w:pPr>
            <w:r>
              <w:rPr>
                <w:rFonts w:ascii="Arial" w:cs="Arial" w:eastAsia="Arial" w:hAnsi="Arial"/>
                <w:sz w:val="16"/>
                <w:szCs w:val="16"/>
                <w:i w:val="1"/>
                <w:iCs w:val="1"/>
                <w:color w:val="auto"/>
                <w:w w:val="92"/>
              </w:rPr>
              <w:t>(Former name, former address and former fiscal year, if changed since last report)</w:t>
            </w:r>
          </w:p>
        </w:tc>
      </w:tr>
      <w:tr>
        <w:trPr>
          <w:trHeight w:val="210"/>
        </w:trPr>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6"/>
          </w:tcPr>
          <w:p>
            <w:pPr>
              <w:jc w:val="center"/>
              <w:ind w:right="231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17"/>
        </w:trPr>
        <w:tc>
          <w:tcPr>
            <w:tcW w:w="138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Title of each class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1"/>
        </w:trPr>
        <w:tc>
          <w:tcPr>
            <w:tcW w:w="3700" w:type="dxa"/>
            <w:vAlign w:val="bottom"/>
            <w:gridSpan w:val="4"/>
          </w:tcPr>
          <w:p>
            <w:pPr>
              <w:ind w:left="920"/>
              <w:spacing w:after="0"/>
              <w:rPr>
                <w:sz w:val="20"/>
                <w:szCs w:val="20"/>
                <w:color w:val="auto"/>
              </w:rPr>
            </w:pPr>
            <w:r>
              <w:rPr>
                <w:rFonts w:ascii="Arial" w:cs="Arial" w:eastAsia="Arial" w:hAnsi="Arial"/>
                <w:sz w:val="16"/>
                <w:szCs w:val="16"/>
                <w:color w:val="auto"/>
              </w:rPr>
              <w:t>Common Stock, $0.01 par value</w:t>
            </w:r>
          </w:p>
        </w:tc>
        <w:tc>
          <w:tcPr>
            <w:tcW w:w="960" w:type="dxa"/>
            <w:vAlign w:val="bottom"/>
          </w:tcPr>
          <w:p>
            <w:pPr>
              <w:spacing w:after="0"/>
              <w:rPr>
                <w:sz w:val="23"/>
                <w:szCs w:val="23"/>
                <w:color w:val="auto"/>
              </w:rPr>
            </w:pPr>
          </w:p>
        </w:tc>
        <w:tc>
          <w:tcPr>
            <w:tcW w:w="2420" w:type="dxa"/>
            <w:vAlign w:val="bottom"/>
            <w:gridSpan w:val="2"/>
          </w:tcPr>
          <w:p>
            <w:pPr>
              <w:jc w:val="center"/>
              <w:ind w:right="1160"/>
              <w:spacing w:after="0"/>
              <w:rPr>
                <w:sz w:val="20"/>
                <w:szCs w:val="20"/>
                <w:color w:val="auto"/>
              </w:rPr>
            </w:pPr>
            <w:r>
              <w:rPr>
                <w:rFonts w:ascii="Arial" w:cs="Arial" w:eastAsia="Arial" w:hAnsi="Arial"/>
                <w:sz w:val="16"/>
                <w:szCs w:val="16"/>
                <w:color w:val="auto"/>
              </w:rPr>
              <w:t>GM</w:t>
            </w:r>
          </w:p>
        </w:tc>
        <w:tc>
          <w:tcPr>
            <w:tcW w:w="6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27"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 (g) of the Act: None</w:t>
      </w:r>
    </w:p>
    <w:p>
      <w:pPr>
        <w:spacing w:after="0" w:line="87"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right="20" w:firstLine="162"/>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600"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firstLine="162"/>
        <w:spacing w:after="0" w:line="275" w:lineRule="auto"/>
        <w:rPr>
          <w:sz w:val="20"/>
          <w:szCs w:val="20"/>
          <w:color w:val="auto"/>
        </w:rPr>
      </w:pPr>
      <w:r>
        <w:rPr>
          <w:rFonts w:ascii="Arial" w:cs="Arial" w:eastAsia="Arial" w:hAnsi="Arial"/>
          <w:sz w:val="16"/>
          <w:szCs w:val="16"/>
          <w:color w:val="auto"/>
        </w:rPr>
        <w:t>The aggregate market value of the voting stock held by non-affiliates of the registrant (assuming only for purposes of this computation that directors and executive officers may be affiliates) was approximately $54.7 billion as of June 30, 2019.</w:t>
      </w:r>
    </w:p>
    <w:p>
      <w:pPr>
        <w:spacing w:after="0" w:line="6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January 24, 2020 there were 1,429,002,063 shares of common stock outstanding.</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firstLine="162"/>
        <w:spacing w:after="0" w:line="257" w:lineRule="auto"/>
        <w:rPr>
          <w:sz w:val="20"/>
          <w:szCs w:val="20"/>
          <w:color w:val="auto"/>
        </w:rPr>
      </w:pPr>
      <w:r>
        <w:rPr>
          <w:rFonts w:ascii="Arial" w:cs="Arial" w:eastAsia="Arial" w:hAnsi="Arial"/>
          <w:sz w:val="16"/>
          <w:szCs w:val="16"/>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Property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Goodwill and Intangible Assets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Accrued and Other Liabilities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Debt</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spacing w:after="0"/>
              <w:rPr>
                <w:sz w:val="17"/>
                <w:szCs w:val="17"/>
                <w:color w:val="auto"/>
              </w:rPr>
            </w:pPr>
          </w:p>
        </w:tc>
        <w:tc>
          <w:tcPr>
            <w:tcW w:w="1100" w:type="dxa"/>
            <w:vAlign w:val="bottom"/>
          </w:tcPr>
          <w:p>
            <w:pPr>
              <w:ind w:left="340"/>
              <w:spacing w:after="0" w:line="202" w:lineRule="exact"/>
              <w:rPr>
                <w:sz w:val="20"/>
                <w:szCs w:val="20"/>
                <w:color w:val="auto"/>
              </w:rPr>
            </w:pPr>
            <w:r>
              <w:rPr>
                <w:rFonts w:ascii="Arial" w:cs="Arial" w:eastAsia="Arial" w:hAnsi="Arial"/>
                <w:sz w:val="18"/>
                <w:szCs w:val="18"/>
                <w:color w:val="auto"/>
              </w:rPr>
              <w:t>Note 26.</w:t>
            </w:r>
          </w:p>
        </w:tc>
        <w:tc>
          <w:tcPr>
            <w:tcW w:w="8780" w:type="dxa"/>
            <w:vAlign w:val="bottom"/>
          </w:tcPr>
          <w:p>
            <w:pPr>
              <w:ind w:left="12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Accounting Fees and Services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1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7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Form 10-K Summary</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Signatures</w:t>
            </w:r>
          </w:p>
        </w:tc>
        <w:tc>
          <w:tcPr>
            <w:tcW w:w="110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62" w:right="23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trucks, crossovers, cars and automobile parts worldwide. Cruise, formerly GM Cruise, is our global segment responsible for the development and commercialization of autonomous vehicle technology. We also provide automotive financing services through General Motors Financial Company, Inc. (GM Financial). Except for per share amounts or as otherwise specified, amounts presented within tables are stated in millions.</w:t>
      </w:r>
    </w:p>
    <w:p>
      <w:pPr>
        <w:spacing w:after="0" w:line="13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consolidated financial statements for all periods presented. Unless otherwise indicated, information in this report relates to our continuing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Our automotive operations meet the demands of our customers through our automotive segments: GM North America (GMNA) and GM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Competitive Position and Vehicle Sales </w:t>
      </w:r>
      <w:r>
        <w:rPr>
          <w:rFonts w:ascii="Arial" w:cs="Arial" w:eastAsia="Arial" w:hAnsi="Arial"/>
          <w:sz w:val="18"/>
          <w:szCs w:val="18"/>
          <w:color w:val="auto"/>
        </w:rPr>
        <w:t>The principal factors that determine consumer vehicle preferences in the markets in which we operate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vehicle design, price, quality, available options, safety, reliability, fuel economy and functionality. Market leadership in individual countries in which we compete varies widely.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2019, 34% of our wholesale vehicle sales volume was generated outside the U.S. The following table summarizes wholesale vehicle sales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58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GMI</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r>
      <w:tr>
        <w:trPr>
          <w:trHeight w:val="27"/>
        </w:trPr>
        <w:tc>
          <w:tcPr>
            <w:tcW w:w="5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58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industry vehicle sales and our related competitive position by geographic region (vehicles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21,550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Other(b)</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21,503</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22,258</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21,288</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Total Asia/Pacific, Middle East and Africa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48,777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49,519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in GM markets</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72,394</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74,828</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75,236</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Worldwide(c)</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91,270</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7,718</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93,756</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8,386</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94,426</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9,600</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Cars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Trucks(d)</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Crossovers(d)</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United States</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2,887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17,721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2,954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China(a)</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SGMW</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3,645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sales by our Automotive China Joint Ventures (Automotive China JVs): SAIC General Motors Sales Co., Ltd. (SGMS) and SAIC GM Wuling Automobile Co., Ltd. (SGMW).</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where we ceased vehicle sales for those domestic markets as of December 31, 2017.</w:t>
      </w:r>
    </w:p>
    <w:p>
      <w:pPr>
        <w:spacing w:after="0" w:line="8"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w:t>
      </w:r>
      <w:r>
        <w:rPr>
          <w:rFonts w:ascii="Arial" w:cs="Arial" w:eastAsia="Arial" w:hAnsi="Arial"/>
          <w:sz w:val="18"/>
          <w:szCs w:val="18"/>
          <w:color w:val="auto"/>
        </w:rPr>
        <w:t>.</w:t>
      </w:r>
      <w:r>
        <w:rPr>
          <w:rFonts w:ascii="Arial" w:cs="Arial" w:eastAsia="Arial" w:hAnsi="Arial"/>
          <w:sz w:val="16"/>
          <w:szCs w:val="16"/>
          <w:color w:val="auto"/>
        </w:rPr>
        <w:t xml:space="preserve"> Accordingly these countries are excluded from industry sales data and corresponding calculation of market share.</w:t>
      </w:r>
    </w:p>
    <w:p>
      <w:pPr>
        <w:spacing w:after="0" w:line="1" w:lineRule="exact"/>
        <w:rPr>
          <w:rFonts w:ascii="Arial" w:cs="Arial" w:eastAsia="Arial" w:hAnsi="Arial"/>
          <w:sz w:val="16"/>
          <w:szCs w:val="16"/>
          <w:color w:val="auto"/>
        </w:rPr>
      </w:pPr>
    </w:p>
    <w:p>
      <w:pPr>
        <w:ind w:left="340" w:right="20" w:hanging="332"/>
        <w:spacing w:after="0" w:line="27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industry vehicles have been reclassified between these vehicle segments. GM vehicles were not impacted by this change. The prior period has been recast to reflect the changes.</w:t>
      </w:r>
    </w:p>
    <w:p>
      <w:pPr>
        <w:spacing w:after="0" w:line="17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year ended December 31, 2019, we estimate we were the market share leader in each of North America and South America, and had the number four market share in the Asia/Pacific, Middle East and Africa region, which included the number two market share in China. Refer to the Overview in Management's Discussion and Analysis of Financial Condition and Results of Operations (MD&amp;A) for discussion on changes in market share by region.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86"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691</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GMI</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541</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1,239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1,218</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1,232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4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Pricing </w:t>
      </w:r>
      <w:r>
        <w:rPr>
          <w:rFonts w:ascii="Arial" w:cs="Arial" w:eastAsia="Arial" w:hAnsi="Arial"/>
          <w:sz w:val="18"/>
          <w:szCs w:val="18"/>
          <w:color w:val="auto"/>
        </w:rPr>
        <w:t>Several methods are used to promote our products, including the use of dealer, retail and fleet incentives such as customer rebates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rate support. The level of incentives is dependent upon the level of competition in the markets in which we operate and the level of demand for our products.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Cyclical and Seasonal Nature of Business </w:t>
      </w:r>
      <w:r>
        <w:rPr>
          <w:rFonts w:ascii="Arial" w:cs="Arial" w:eastAsia="Arial" w:hAnsi="Arial"/>
          <w:sz w:val="18"/>
          <w:szCs w:val="18"/>
          <w:color w:val="auto"/>
        </w:rPr>
        <w:t>The market for vehicles is cyclical and depends in part on general economic conditions, credit availability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spending. Vehicle markets are also seasonal. Production varies from month to month. Vehicle model changeovers occur throughout the year as a result of new market entries.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Relationship with Dealers </w:t>
      </w:r>
      <w:r>
        <w:rPr>
          <w:rFonts w:ascii="Arial" w:cs="Arial" w:eastAsia="Arial" w:hAnsi="Arial"/>
          <w:sz w:val="18"/>
          <w:szCs w:val="18"/>
          <w:color w:val="auto"/>
        </w:rPr>
        <w:t>We market vehicles and automotive parts worldwide primarily through a network of independent authorized retail dealers.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outlets include distributors, dealers and authorized sales, service and parts outlets. The number of authorized dealerships were 4,743 in GMNA and 7,907 in GMI at December 31, 2019.</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program, and those repairs are made only with GM parts. Our dealers generally provide their customers with access to credit or lease financing, vehicle insurance and extended service contracts provided by GM Financial and other financial institutions.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given that dealers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Research, Product and Business Development and Intellectual Property </w:t>
      </w:r>
      <w:r>
        <w:rPr>
          <w:rFonts w:ascii="Arial" w:cs="Arial" w:eastAsia="Arial" w:hAnsi="Arial"/>
          <w:sz w:val="16"/>
          <w:szCs w:val="16"/>
          <w:color w:val="auto"/>
        </w:rPr>
        <w:t>Costs for research, manufacturing engineering, product engineering and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activities primarily relate to developing new products or services or improving existing products or services, including activities related to vehicle and greenhouse gas (GHG) emissions control, improved fuel economy, electrification, autonomous vehicles, the safety of drivers and passengers, and urban mobility. Research and development expenses were $6.8 billion, $7.8 billion and $7.3 billion in the years ended December 31, 2019, 2018 and 2017.</w:t>
      </w:r>
    </w:p>
    <w:p>
      <w:pPr>
        <w:spacing w:after="0" w:line="15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The Product Development organization is responsible for designing and integrating vehicle and propulsion components to maximize</w:t>
      </w:r>
      <w:r>
        <w:rPr>
          <w:rFonts w:ascii="Arial" w:cs="Arial" w:eastAsia="Arial" w:hAnsi="Arial"/>
          <w:sz w:val="16"/>
          <w:szCs w:val="16"/>
          <w:i w:val="1"/>
          <w:iCs w:val="1"/>
          <w:color w:val="auto"/>
        </w:rPr>
        <w:t xml:space="preserve"> </w:t>
      </w:r>
      <w:r>
        <w:rPr>
          <w:rFonts w:ascii="Arial" w:cs="Arial" w:eastAsia="Arial" w:hAnsi="Arial"/>
          <w:sz w:val="16"/>
          <w:szCs w:val="16"/>
          <w:color w:val="auto"/>
        </w:rPr>
        <w:t>part sharing across multiple vehicle segments. Global teams in Design, Program Management, Component &amp; Subsystem Engineering, Product Integrity, Safety, Propulsion Systems and Purchasing &amp; Supply Chain collaborate to meet customer requirements and maximize global economies of scale.</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global vehicle architecture development is headquartered at our Global Technical Center in Warren, Michigan. Cross-segment part sharing is an essential enabler to optimize our current vehicle portfolio, as we expect that more than 75% of our global sales volume will come from five vehicle architectures by mid-decade. We will continue to leverage our current architecture portfolio to accommodate our customers around the world while achieving our financial goals.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Battery Electric Vehicles </w:t>
      </w:r>
      <w:r>
        <w:rPr>
          <w:rFonts w:ascii="Arial" w:cs="Arial" w:eastAsia="Arial" w:hAnsi="Arial"/>
          <w:sz w:val="18"/>
          <w:szCs w:val="18"/>
          <w:color w:val="auto"/>
        </w:rPr>
        <w:t>We have committed to an all-electric future and are investing in multiple technologies offering increasing levels of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electrification with a core focus on zero emission battery electric vehicles as part of our long-term strategy to reduce petroleum consumption and GHG emissions. We currently offer the Chevrolet Bolt EV, which recently improved to 259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miles of range with the 2020 model year. We have also announced our all-new battery electric architecture that will launch on an upcoming Cadillac model. The new platform will be flexible, allowing quick response to customer preferences with a relatively short design and development lead time. It will be leveraged across multiple brands and vehicle sizes, styles and drive configurations. We confirmed the GMC Hummer EV, an upcoming battery electric truck, will be built at Detroit-Hamtramck Assembly, which is being re-tooled into a fully-dedicated electric vehicle facility. In addition, we have announced plans to mass-produce battery cells for future battery electric vehicles through an equally owned joint venture with LG Chem, Ltd.</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To support mass market adoption of electric vehicles, we are working to ensure that our customers will have access to a robust, ubiquitous and seamless charging infrastructure. For personal vehicles, this means strategically addressing charging needs at home, the workplace and in public locations. We have announced collaborative work with several charge network operators to provide real-time data on their respective networks and charge station health to filter into our Energy Assist feature within the myChevrolet app, currently available to Chevrolet Bolt EV drivers. This collaboration will enable access to the largest collective electric vehicle charging network in the U.S.</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i w:val="1"/>
          <w:iCs w:val="1"/>
          <w:color w:val="auto"/>
        </w:rPr>
        <w:t xml:space="preserve">Car- and Ride-Sharing </w:t>
      </w:r>
      <w:r>
        <w:rPr>
          <w:rFonts w:ascii="Arial" w:cs="Arial" w:eastAsia="Arial" w:hAnsi="Arial"/>
          <w:sz w:val="16"/>
          <w:szCs w:val="16"/>
          <w:color w:val="auto"/>
        </w:rPr>
        <w:t>Maven is a shared vehicle marketplace that leverages a versatile software and operational platform to provide members with on-demand access to vehicles through two primary services, Maven Gig and Maven Car Sharing. Maven Gig allows members to access vehicles that can be used in ride-sharing and delivery with companies such as Uber Technologies Inc. and GrubHub Inc. Maven Car Sharing is a consumer service that provides on-demand access to Maven-owned and peer-owned vehicles. Maven is available in 15 cities in the U.S., Canada and Australia at December 31, 2019.</w:t>
      </w:r>
    </w:p>
    <w:p>
      <w:pPr>
        <w:spacing w:after="0" w:line="1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Autonomous Technology </w:t>
      </w:r>
      <w:r>
        <w:rPr>
          <w:rFonts w:ascii="Arial" w:cs="Arial" w:eastAsia="Arial" w:hAnsi="Arial"/>
          <w:sz w:val="18"/>
          <w:szCs w:val="18"/>
          <w:color w:val="auto"/>
        </w:rPr>
        <w:t>We expect autonomous technology to lead to a future of zero crashes, zero emissions and zero congestion. We are among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in the industry with significant global real-world experience in delivering connectivity and advanced safety features that are the building blocks to more advanced automation features that are driving our leadership position in the development of autonomous technology. An example of our advanced technology is Super Cruise, a driver assistance feature that enables hands-free driving on the highway, which will be expanded to all Cadillac models. We are actively testing autonomous vehicles in the U.S. Gated by safety and regulation, we continue to make significant progress toward commercialization of a network of on-demand autonomous vehicles in the U.S. The Cruise AV is our production-intent self-driving vehicle that was engineered from the start to operate safely on its own, with no driver.</w:t>
      </w:r>
    </w:p>
    <w:p>
      <w:pPr>
        <w:spacing w:after="0" w:line="18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Alternative Fuel Vehicles </w:t>
      </w:r>
      <w:r>
        <w:rPr>
          <w:rFonts w:ascii="Arial" w:cs="Arial" w:eastAsia="Arial" w:hAnsi="Arial"/>
          <w:sz w:val="16"/>
          <w:szCs w:val="16"/>
          <w:color w:val="auto"/>
        </w:rPr>
        <w:t>We believe alternative fuels offer significant potential to reduce petroleum consumption and resulting GHG emissions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sector. By leveraging experience and capability developed around these technologies in our global operations, we continue to develop FlexFuel vehicles that can run on ethanol-gasoline blend fuels as well as technologies that support compressed natural gas and liquefied petroleum gas. We offer several 2020 model year FlexFuel vehicles in the U.S. and Canada to retail and fleet customers capable of operating on gasoline, E85 ethanol or any combination of the two. We also support the development of biodiesel blend fuels, which are alternative diesel fuels produced from renewable sources.</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Hydrogen Fuel Cell Technology </w:t>
      </w:r>
      <w:r>
        <w:rPr>
          <w:rFonts w:ascii="Arial" w:cs="Arial" w:eastAsia="Arial" w:hAnsi="Arial"/>
          <w:sz w:val="18"/>
          <w:szCs w:val="18"/>
          <w:color w:val="auto"/>
        </w:rPr>
        <w:t>Another part of our long-term strategy to reduce petroleum consumption and GHG emissions is our commitment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our hydrogen fuel cell technology. Our Chevrolet Equinox fuel cell electric vehicle demonstration programs, such as Project Driveway, have accumulated more than three million miles of real-world driving. These programs are helping us identify consumer and infrastructure needs to understand the business case for potential production of vehicles with this technology. We are exploring non-traditional automotive uses for fuel cells in several areas, including demonstrations with the U.S. Army and U.S. Navy. In addition, we signed a co-development agreement and established a nonconsolidated joint venture with Honda Motor Co., Ltd. (Honda) for a next-generation fuel cell system and hydrogen storage technologies, aiming for commercialization in the early 2020s.</w:t>
      </w:r>
    </w:p>
    <w:p>
      <w:pPr>
        <w:spacing w:after="0" w:line="18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i w:val="1"/>
          <w:iCs w:val="1"/>
          <w:color w:val="auto"/>
        </w:rPr>
        <w:t xml:space="preserve">OnStar and Vehicle Connectivity </w:t>
      </w:r>
      <w:r>
        <w:rPr>
          <w:rFonts w:ascii="Arial" w:cs="Arial" w:eastAsia="Arial" w:hAnsi="Arial"/>
          <w:sz w:val="16"/>
          <w:szCs w:val="16"/>
          <w:color w:val="auto"/>
        </w:rPr>
        <w:t>We offer OnStar and connected services to more than 22 million connected vehicles globally through subscription-based</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complimentary services. OnStar provides safety and security services for retail and fleet customers, including automatic crash response, emergency services, roadside assistance, crisis assist, stolen vehicle assistance and turn-by-turn navigation. We also offer a variety of connected services, including mobile applications for owners to remotely control their vehicles and electric vehicle owners to locate charging stations, on-demand vehicle diagnostics, GM Smart Driver, GM Marketplace in-vehicle commerce, connected navigation, SiriusXM with 360L and 4G LTE wireless connectivity. Additionally, we have announced plans to integrate an in-vehicle Alexa experience through Amazon.com to millions of eligible model year 2018 and newer vehicles in 2020, and integrate Google Voice Assistant, navigation and app ecosystem into GM infotainment systems beginning in 2021.</w:t>
      </w:r>
    </w:p>
    <w:p>
      <w:pPr>
        <w:spacing w:after="0" w:line="16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We are constantly innovating and hold a significant number of patents, copyrights, trade secrets and other intellectual property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those innovations in numerous countries. While no single piece of intellectual property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individually material to our business as a whole, our intellectual property is important to our operations and continued technological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hold a number of trademarks and service marks that are very important to our identity and recognition in the marketplace.</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Raw Materials, Services and Supplies </w:t>
      </w:r>
      <w:r>
        <w:rPr>
          <w:rFonts w:ascii="Arial" w:cs="Arial" w:eastAsia="Arial" w:hAnsi="Arial"/>
          <w:sz w:val="18"/>
          <w:szCs w:val="18"/>
          <w:color w:val="auto"/>
        </w:rPr>
        <w:t>We purchase a wide variety of raw materials, parts, supplies, energy, freight, transportation and other services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suppliers to manufacture our products. The raw materials primarily include steel, aluminum, resins, copper, lead and platinum group metals. We have not experienced any significant shortages of raw materials and normally do not carry substantial inventories of such raw materials in excess of levels reasonably required to meet our production requirements. Costs are expected to remain elevated due to the price of commodities and the continuing existence of tariffs.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Combined purchases from our two largest suppliers were 11% of our total purchases in the year ended December 31, 2019 and 12% of our total purchases in each of the years ended December 31, 2018 and 2017. Refer to Item 1A. Risk Factors for further discussion of these risks.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Automotive Criteria Emissions Control </w:t>
      </w:r>
      <w:r>
        <w:rPr>
          <w:rFonts w:ascii="Arial" w:cs="Arial" w:eastAsia="Arial" w:hAnsi="Arial"/>
          <w:sz w:val="16"/>
          <w:szCs w:val="16"/>
          <w:color w:val="auto"/>
        </w:rPr>
        <w:t>Our products are subject to laws and regulations globally that require us to control certain non-GHG automotive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While we believe all of our products are designed and manufactured in material compliance with substantially all vehicle emissions requirements, regulatory authorities may conduct ongoing evaluations of products from all manufacturers.</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These emission control standards will likely increase the time and mileage periods over which manufacturers are responsible for a vehicle's emission performance. The Clean Air Act permits states that have areas with air quality compliance issues to adopt California emission standards in lieu of federal requirements. Fourteen states and the District of Columbia have adopted California emission standards, and there is a possibility that additional U.S. jurisdictions could adopt California emission requirements in the future.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Canadian federal government's current vehicle pollutant emission requirements are generally aligned with those of the U.S. federal requirements.</w:t>
      </w:r>
    </w:p>
    <w:p>
      <w:pPr>
        <w:spacing w:after="0" w:line="23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Each model year we must obtain certification that our vehicles and heavy-duty engines will meet emission requirements of the EPA before we can sell vehicles in the U.S. and Canada, and of CARB before we can sell vehicles in California and other states that have adopted the California emission requirements.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is expected in July 2020, and the more stringent China 6b is expected to be implemented in July 2023. Localities can implement China 6 requirements earlier than the nationwide deadlines if certain enabling criteria are met. For additional information, refer to Item 1A. Risk Factors.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Brazil has recently approved a new set of national emissions standards named L7, to be implemented in 2022, and L8, to be implemented in 2025. L7 standards include exhaust, durability, evaporative and noise limits, new OBD requirements and a phase-in for onboard refueling vapor recovery systems. L8 standards include emission targets for real driving emissions and reduce exhaust limits every two years until 2031. Many of the requirements are aligned with those of the EPA.</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a result of the sale of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the EU, increased scrutiny of compliance with emissions standards may result in changes to these standards, including implementation of real driving emissions tests, as well as stricter interpretations or redefinition of these standards and more rigorous enforcement. For example, our former German subsidiary has participated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continuing discussions with German and European authorities concerning emissions control systems. For additional information, refer to Note 22 to our consolidated financial statements.</w:t>
      </w:r>
    </w:p>
    <w:p>
      <w:pPr>
        <w:spacing w:after="0" w:line="17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Automotive Fuel Economy and Greenhouse Gas Emissions </w:t>
      </w:r>
      <w:r>
        <w:rPr>
          <w:rFonts w:ascii="Arial" w:cs="Arial" w:eastAsia="Arial" w:hAnsi="Arial"/>
          <w:sz w:val="16"/>
          <w:szCs w:val="16"/>
          <w:color w:val="auto"/>
        </w:rPr>
        <w:t>In the U.S., the National Highway Traffic Safety Administration (NHTSA) promulgates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enforces Corporate Average Fuel Economy (CAFE) standards for three separate fleets: domestically produced cars, imported cars and light-duty trucks. Manufacturers are subject to substantial civil penalties if they fail to meet the applicable CAFE standard in any model year, after considering all available credits for the preceding five model years, expected credits for the three succeeding model years and credits obtained from other manufacturers. The amount of these civil penalties is the subject of litigation currently pending in the U.S. Court of Appeals for the Second Circuit. In addition to federal CAFE standards, the EPA promulgates and enforces GHG emission standards, which are effectively fuel economy standards because the majority of vehicle GHG emissions are carbon dioxide emissions that are emitted in direct proportion to the amount of fuel consumed by a vehicle. The EPA and NHTSA also regulate the fuel efficiency and GHG emissions of medium- and heavy-duty vehicles, imposing more stringent standards over time.</w:t>
      </w:r>
    </w:p>
    <w:p>
      <w:pPr>
        <w:spacing w:after="0" w:line="16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addition, CARB has asserted the right to promulgate and enforce its own state GHG standards for motor vehicles, and other states have asserted the right to adopt CARB's standards. CARB regulations previously stated that compliance with the EPA light-duty program is deemed compliance with CARB standards. However, on December 12, 2018, CARB amended this regulation to state that, in the event the EPA alters federal GHG stringency, compliance with the EPA's GHG emissions standards will no longer be deemed compliance with CARB's separate requirements. Likewise, NHTSA and the EPA have recently issued a rule asserting that California is preempted from regulating GHG emissions, which is currently being challenged through litigation. As a result, depending on the outcome of the federal CAFE and GHG rulemaking and related litigation and the finality of CARB's regulatory amendment, in the future GM might be required to meet California GHG standards that are different than the EPA standards.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CARB has also imposed the requirement that increasing percentages of Zero Emission Vehicles (ZEVs) must be sold in California. The Clean Air Act permits states to adopt California emission standards, and 11 have adopted the ZEV requirements. The EPA has recently revoked the waiver it had granted to California that permitted its ZEV program. Depending on the finality of that revocation, there is a possibility that additional U.S. jurisdictions could adopt California ZEV requirements in the future.</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Canada, light- and heavy-duty GHG regulations are currently patterned after the EPA GHG emissions standards. However, the Canadian government will be conducting a mid-term review of its 2022 to 2025 model year light-duty GHG standards and there is an increased risk that future Canadian light-duty GHG regulations may not be aligned with the EPA regulations. In addition, the Canadian province of Quebec has adopted ZEV requirements for the 2018 to 2025 model years largely based on California program requirements. The province of British Columbia also passed legislation in May 2019 to enable similar ZEV regulations in the near term, and governments in Canada could adopt additional ZEV requirements in the future.</w:t>
      </w:r>
    </w:p>
    <w:p>
      <w:pPr>
        <w:spacing w:after="0" w:line="15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China has two fuel economy requirements for passenger vehicles: an individual vehicle pass-fail type approval requirement and a fleet average fuel consumption requirement. With a focus on the fleet average program, the current China Phase 4 fleet average fuel consumption requirement, which went into effect in 2016, is based on curb weight with full compliance required by 2020. China Phase 4 has continued subsidies for plug-in hybrid, battery electric and fuel cell vehicles, which are referred to as New Energy Vehicles (NEVs). China Phase 5 has been developed with a planned start in 2021 and full compliance is required by 2025. In addition, China has established an NEV Mandate that will require passenger car manufacturers to produce a certain volume of NEVs to generate credits in 2019 and beyond to offset internal combustion engine vehicle production volume. The number of credits per car is based on the level of electric range and energy efficiency, with the goal of increasing NEV volume penetrations. Uncommitted NEV credits may be used to assist compliance with the fleet average fuel consumption requirement. China has set forth NEV credit targets for 2019 and 2020 and is setting forth new NEV credit targets aiming at further increasing volumes of NEVs between 2021 and 2025.</w:t>
      </w:r>
    </w:p>
    <w:p>
      <w:pPr>
        <w:spacing w:after="0" w:line="18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Brazil, the Secretary of Industry and Development promulgates and enforces CAFE standards and has recently enforced a new CAFE program for the period October 2020 to September 2026 and October 2026 to September 2032 for light-duty and mid-size trucks and sport utility vehicles (SUVs), including diesel vehicles, imposing more stringent standards for each period.</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Regulators in other jurisdictions have already adopted or are developing fuel economy or carbon dioxide regulations. If regulators in these jurisdictions seek to impose and enforce standards that are misaligned with market conditions, we may be forced to take various actions to increase market support programs for certain vehicles and curtail production of others in order to achieve compliance. We regularly evaluate our current and future product plans and strategies for compliance with fuel economy and GHG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Industrial Environmental Control </w:t>
      </w:r>
      <w:r>
        <w:rPr>
          <w:rFonts w:ascii="Arial" w:cs="Arial" w:eastAsia="Arial" w:hAnsi="Arial"/>
          <w:sz w:val="18"/>
          <w:szCs w:val="18"/>
          <w:color w:val="auto"/>
        </w:rPr>
        <w:t>Our operations are subject to a wide range of environmental protection laws including those regulating air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To mitigate the effects of our worldwide operations on the environment, we are converting as many of our worldwide operations as practicable to landfill-free operations, which reduces GHG emissions associated with waste disposal. At December 31, 2019, 58 (or 45%) of our manufacturing operations and 36 (or 38%) of our non-manufacturing operations were landfill-free. At our landfill-free manufacturing operations, 90% of waste materials are composted, reused or recycled and 8% are converted to energy at waste-to-energy facilities. We estimate that our waste reduction program diverted 1.2 million metric tons of waste from landfills in 2019, resulting in 5.6 million metric tons of GHG emissions avoided in global manufacturing operations, including construction, demolition and remediation wastes.</w:t>
      </w:r>
    </w:p>
    <w:p>
      <w:pPr>
        <w:spacing w:after="0" w:line="19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addition to minimizing our impact on the environment, our landfill-free program and total waste reduction commitments generate income from the sale of production by-products, reduce our use of material and help to reduce the risks and financial liabilities associated with waste disposal.</w:t>
      </w:r>
    </w:p>
    <w:p>
      <w:pPr>
        <w:spacing w:after="0" w:line="14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 xml:space="preserve">We continue our efforts to increase our use of renewable energy, improve our energy efficiency and work to drive growth and scale of renewables. We are committed to meeting the electricity needs of our operations worldwide with renewable energy by 2040, pulling forward our previous commitment by 10 years. Through December 31, 2019, we implemented projects and signed renewable energy contracts globally that brought our total renewable energy capacity to over 400 megawatts, which represents approximately 20% of our global electricity use. In 2019, we executed our largest green tariff to date with DTE Energy Company, sourcing 300,000 megawatt hours of renewable energy that will begin supplying us in early 2021. We continue to seek opportunities for a diversified renewable energy portfolio including wind, solar, and landfill gas. In 2019 Energy Star certified one assembly plant in Canada through Natural Resources Canada and eight buildings in the U.S. for superior energy management. We also met the EPA Energy Star Challenge for Industry (EPA Challenge) </w:t>
      </w:r>
      <w:r>
        <w:rPr>
          <w:rFonts w:ascii="Arial" w:cs="Arial" w:eastAsia="Arial" w:hAnsi="Arial"/>
          <w:sz w:val="16"/>
          <w:szCs w:val="16"/>
          <w:color w:val="222222"/>
        </w:rPr>
        <w:t>at two additional sites globally by reducing energy intensity an average of 11% at these sites within two years. To meet the EPA Challenge,</w:t>
      </w:r>
      <w:r>
        <w:rPr>
          <w:rFonts w:ascii="Arial" w:cs="Arial" w:eastAsia="Arial" w:hAnsi="Arial"/>
          <w:sz w:val="16"/>
          <w:szCs w:val="16"/>
          <w:color w:val="auto"/>
        </w:rPr>
        <w:t xml:space="preserve"> </w:t>
      </w:r>
      <w:r>
        <w:rPr>
          <w:rFonts w:ascii="Arial" w:cs="Arial" w:eastAsia="Arial" w:hAnsi="Arial"/>
          <w:sz w:val="16"/>
          <w:szCs w:val="16"/>
          <w:color w:val="222222"/>
        </w:rPr>
        <w:t xml:space="preserve">industrial sites must reduce energy intensity by 10% within a five year period. In total, 73 GM-owned manufacturing sites have met the EPA Challenge, with many sites achieving the goal multiple times for a total of 131 recognitions. Additionally, we received recognition from the U.S. Department of Energy (DOE) of 50001 Ready status for 27 facilities. The U.S. DOE 50001 Ready program is a self-guided approach for facilities to establish an energy management system and self-attest to the structure of ISO 50001, a voluntary global standard for energy management systems in industrial, commercial and institutional facilities. These efforts minimize our utility expenses and </w:t>
      </w:r>
      <w:r>
        <w:rPr>
          <w:rFonts w:ascii="Arial" w:cs="Arial" w:eastAsia="Arial" w:hAnsi="Arial"/>
          <w:sz w:val="16"/>
          <w:szCs w:val="16"/>
          <w:color w:val="000000"/>
        </w:rPr>
        <w:t>are part of our approach to address climate change by setting a GHG emissions</w:t>
      </w:r>
      <w:r>
        <w:rPr>
          <w:rFonts w:ascii="Arial" w:cs="Arial" w:eastAsia="Arial" w:hAnsi="Arial"/>
          <w:sz w:val="16"/>
          <w:szCs w:val="16"/>
          <w:color w:val="222222"/>
        </w:rPr>
        <w:t xml:space="preserve"> </w:t>
      </w:r>
      <w:r>
        <w:rPr>
          <w:rFonts w:ascii="Arial" w:cs="Arial" w:eastAsia="Arial" w:hAnsi="Arial"/>
          <w:sz w:val="16"/>
          <w:szCs w:val="16"/>
          <w:color w:val="000000"/>
        </w:rPr>
        <w:t>reduction target, collecting accurate data, following our business plan to operate more efficiently and publicly reporting progress against our target.</w:t>
      </w:r>
    </w:p>
    <w:p>
      <w:pPr>
        <w:spacing w:after="0" w:line="1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Chemical Regulations </w:t>
      </w:r>
      <w:r>
        <w:rPr>
          <w:rFonts w:ascii="Arial" w:cs="Arial" w:eastAsia="Arial" w:hAnsi="Arial"/>
          <w:sz w:val="18"/>
          <w:szCs w:val="18"/>
          <w:color w:val="auto"/>
        </w:rPr>
        <w:t>We continually monitor the implementation of chemical regulations to maintain compliance and evaluate their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suppliers and the automotive industry.</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Globally, governmental agencies continue to introduce new legislation and regulations related to the selection and use of chemicals by mandating broad prohibitions or restrictions and implementing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Stockholm, Basel and Rotterdam Conventions on Chemicals and Waste and the Minamata Convention on Mercury, are driving chemical regulations across signatory countries. In addition, more global jurisdictions are establishing substance standards with regard to Vehicle Interior Air Quality.</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 xml:space="preserve">Chemical regulations are increasing in North America. In </w:t>
      </w:r>
      <w:r>
        <w:rPr>
          <w:rFonts w:ascii="Arial" w:cs="Arial" w:eastAsia="Arial" w:hAnsi="Arial"/>
          <w:sz w:val="18"/>
          <w:szCs w:val="18"/>
          <w:color w:val="151515"/>
        </w:rPr>
        <w:t>the U.S. the</w:t>
      </w:r>
      <w:r>
        <w:rPr>
          <w:rFonts w:ascii="Arial" w:cs="Arial" w:eastAsia="Arial" w:hAnsi="Arial"/>
          <w:sz w:val="18"/>
          <w:szCs w:val="18"/>
          <w:color w:val="auto"/>
        </w:rPr>
        <w:t xml:space="preserve"> EPA is moving forward with risk analysis and management of high priority chemicals under the authority of the 2016 Lautenberg Chemical Safety for the 21st Century Act, and several U.S. states have chemical management regulations that can affect vehicle design such as the California and Washington laws banning the use of copper in brake friction material. Chemical restrictions in Canada continue to steadily progress as a result of Environment and Climate Change Canada's Chemical Management Plan to assess existing substances and implement risk management controls on any chemical deemed toxic.</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China prohibits the use of several chemical substances in vehicles. There are also various regulations in China stipulating the requirements for chemical management. Among other things, these regulations restrict the use, import and export of various chemical substances. The failure of our joint venture partners or our suppliers to comply with these regulations could disrupt production in China or prevent our joint venture partners from selling the affected products in the China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These emerging laws and regulations will potentially lead to increases in costs and supply chain complexity. We believe that we are materially in compliance with substantially all of these requirements or expect to be materially in compliance by the required dates.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Safety </w:t>
      </w:r>
      <w:r>
        <w:rPr>
          <w:rFonts w:ascii="Arial" w:cs="Arial" w:eastAsia="Arial" w:hAnsi="Arial"/>
          <w:sz w:val="18"/>
          <w:szCs w:val="18"/>
          <w:color w:val="auto"/>
        </w:rPr>
        <w:t>In the U.S. the National Traffic and Motor Vehicle Safety Act of 1966 prohibits the sale of any new vehicle or equipment in the U.S. that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applicable vehicle safety standards established by NHTSA. If we or NHTSA determine that either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adding complexity to regulatory compliance.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Financing - GM Financial </w:t>
      </w:r>
      <w:r>
        <w:rPr>
          <w:rFonts w:ascii="Arial" w:cs="Arial" w:eastAsia="Arial" w:hAnsi="Arial"/>
          <w:sz w:val="18"/>
          <w:szCs w:val="18"/>
          <w:color w:val="auto"/>
        </w:rPr>
        <w:t>GM Financial is our global captive automotive finance company and our global provider of automobile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GM Financial conducts its business in North America, South America and through joint ventures in Asia/Pacific.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lending products to dealers including new and used vehicle inventory floorplan financing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Employees </w:t>
      </w:r>
      <w:r>
        <w:rPr>
          <w:rFonts w:ascii="Arial" w:cs="Arial" w:eastAsia="Arial" w:hAnsi="Arial"/>
          <w:sz w:val="18"/>
          <w:szCs w:val="18"/>
          <w:color w:val="auto"/>
        </w:rPr>
        <w:t>At December 31, 2019 we employed approximately 95,000 (58%) hourly employees and approximately 69,000 (42%) salaried employees.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approximately 48,000 (50%)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79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r>
      <w:tr>
        <w:trPr>
          <w:trHeight w:val="243"/>
        </w:trPr>
        <w:tc>
          <w:tcPr>
            <w:tcW w:w="2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GMI</w:t>
            </w:r>
          </w:p>
        </w:tc>
        <w:tc>
          <w:tcPr>
            <w:tcW w:w="7900" w:type="dxa"/>
            <w:vAlign w:val="bottom"/>
            <w:gridSpan w:val="2"/>
          </w:tcPr>
          <w:p>
            <w:pPr>
              <w:jc w:val="right"/>
              <w:ind w:right="16"/>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6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r>
      <w:tr>
        <w:trPr>
          <w:trHeight w:val="297"/>
        </w:trPr>
        <w:tc>
          <w:tcPr>
            <w:tcW w:w="20" w:type="dxa"/>
            <w:vAlign w:val="bottom"/>
          </w:tcPr>
          <w:p>
            <w:pPr>
              <w:spacing w:after="0"/>
              <w:rPr>
                <w:sz w:val="24"/>
                <w:szCs w:val="24"/>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Worldwide</w:t>
            </w:r>
          </w:p>
        </w:tc>
        <w:tc>
          <w:tcPr>
            <w:tcW w:w="630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164</w:t>
            </w:r>
          </w:p>
        </w:tc>
      </w:tr>
      <w:tr>
        <w:trPr>
          <w:trHeight w:val="109"/>
        </w:trPr>
        <w:tc>
          <w:tcPr>
            <w:tcW w:w="20" w:type="dxa"/>
            <w:vAlign w:val="bottom"/>
          </w:tcPr>
          <w:p>
            <w:pPr>
              <w:spacing w:after="0"/>
              <w:rPr>
                <w:sz w:val="9"/>
                <w:szCs w:val="9"/>
                <w:color w:val="auto"/>
              </w:rPr>
            </w:pPr>
          </w:p>
        </w:tc>
        <w:tc>
          <w:tcPr>
            <w:tcW w:w="3500" w:type="dxa"/>
            <w:vAlign w:val="bottom"/>
            <w:shd w:val="clear" w:color="auto" w:fill="CCEEFF"/>
          </w:tcPr>
          <w:p>
            <w:pPr>
              <w:spacing w:after="0"/>
              <w:rPr>
                <w:sz w:val="9"/>
                <w:szCs w:val="9"/>
                <w:color w:val="auto"/>
              </w:rPr>
            </w:pPr>
          </w:p>
        </w:tc>
        <w:tc>
          <w:tcPr>
            <w:tcW w:w="63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7900" w:type="dxa"/>
            <w:vAlign w:val="bottom"/>
            <w:gridSpan w:val="2"/>
          </w:tcPr>
          <w:p>
            <w:pPr>
              <w:jc w:val="right"/>
              <w:ind w:right="16"/>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79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__________</w:t>
            </w:r>
          </w:p>
        </w:tc>
        <w:tc>
          <w:tcPr>
            <w:tcW w:w="6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6"/>
                <w:szCs w:val="16"/>
                <w:color w:val="auto"/>
              </w:rPr>
              <w:t>(a)  Includes Cruise.</w:t>
            </w:r>
          </w:p>
        </w:tc>
        <w:tc>
          <w:tcPr>
            <w:tcW w:w="6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4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00" w:type="dxa"/>
            <w:vAlign w:val="bottom"/>
          </w:tcPr>
          <w:p>
            <w:pPr>
              <w:jc w:val="right"/>
              <w:ind w:right="3970"/>
              <w:spacing w:after="0"/>
              <w:rPr>
                <w:sz w:val="20"/>
                <w:szCs w:val="20"/>
                <w:color w:val="auto"/>
              </w:rPr>
            </w:pPr>
            <w:r>
              <w:rPr>
                <w:rFonts w:ascii="Arial" w:cs="Arial" w:eastAsia="Arial" w:hAnsi="Arial"/>
                <w:sz w:val="18"/>
                <w:szCs w:val="18"/>
                <w:color w:val="auto"/>
              </w:rPr>
              <w:t>8</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Information About our Executive Officers </w:t>
      </w:r>
      <w:r>
        <w:rPr>
          <w:rFonts w:ascii="Arial" w:cs="Arial" w:eastAsia="Arial" w:hAnsi="Arial"/>
          <w:sz w:val="16"/>
          <w:szCs w:val="16"/>
          <w:color w:val="auto"/>
        </w:rPr>
        <w:t>As of February 5, 2020 the names and ages of our executive officers and their positions with GM are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Name (Age)</w:t>
            </w:r>
          </w:p>
        </w:tc>
        <w:tc>
          <w:tcPr>
            <w:tcW w:w="140" w:type="dxa"/>
            <w:vAlign w:val="bottom"/>
            <w:tcBorders>
              <w:bottom w:val="single" w:sz="8" w:color="CCEEFF"/>
            </w:tcBorders>
          </w:tcPr>
          <w:p>
            <w:pPr>
              <w:spacing w:after="0"/>
              <w:rPr>
                <w:sz w:val="16"/>
                <w:szCs w:val="16"/>
                <w:color w:val="auto"/>
              </w:rPr>
            </w:pPr>
          </w:p>
        </w:tc>
        <w:tc>
          <w:tcPr>
            <w:tcW w:w="2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Present GM Position (Effective Date)</w:t>
            </w:r>
          </w:p>
        </w:tc>
        <w:tc>
          <w:tcPr>
            <w:tcW w:w="100" w:type="dxa"/>
            <w:vAlign w:val="bottom"/>
            <w:tcBorders>
              <w:bottom w:val="single" w:sz="8" w:color="CCEEFF"/>
            </w:tcBorders>
          </w:tcPr>
          <w:p>
            <w:pPr>
              <w:spacing w:after="0"/>
              <w:rPr>
                <w:sz w:val="16"/>
                <w:szCs w:val="16"/>
                <w:color w:val="auto"/>
              </w:rPr>
            </w:pPr>
          </w:p>
        </w:tc>
        <w:tc>
          <w:tcPr>
            <w:tcW w:w="55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21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 T. Barra (58)</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the Board of Directors (2014)</w:t>
            </w:r>
          </w:p>
        </w:tc>
      </w:tr>
      <w:tr>
        <w:trPr>
          <w:trHeight w:val="219"/>
        </w:trPr>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19"/>
                <w:szCs w:val="19"/>
                <w:color w:val="auto"/>
              </w:rPr>
            </w:pP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Barry L. Engle (56)</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President,</w:t>
            </w:r>
          </w:p>
        </w:tc>
        <w:tc>
          <w:tcPr>
            <w:tcW w:w="55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The Americas (2019)</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North America (2019)</w:t>
            </w:r>
          </w:p>
        </w:tc>
        <w:tc>
          <w:tcPr>
            <w:tcW w:w="55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GM International (2018)</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South America (2015)</w:t>
            </w: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Agility Fuel Systems, Chief Executive Officer (2011)</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Craig B. Glidden (62)</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General</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LyondellBasell, Executive Vice President and Chief Legal Officer (2009)</w:t>
            </w:r>
          </w:p>
        </w:tc>
      </w:tr>
      <w:tr>
        <w:trPr>
          <w:trHeight w:val="219"/>
        </w:trPr>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Counsel (2015)</w:t>
            </w:r>
          </w:p>
        </w:tc>
        <w:tc>
          <w:tcPr>
            <w:tcW w:w="5560" w:type="dxa"/>
            <w:vAlign w:val="bottom"/>
            <w:tcBorders>
              <w:bottom w:val="single" w:sz="8" w:color="CCEEFF"/>
            </w:tcBorders>
            <w:shd w:val="clear" w:color="auto" w:fill="CCEEFF"/>
          </w:tcPr>
          <w:p>
            <w:pPr>
              <w:spacing w:after="0"/>
              <w:rPr>
                <w:sz w:val="19"/>
                <w:szCs w:val="19"/>
                <w:color w:val="auto"/>
              </w:rPr>
            </w:pP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Christopher T. Hatto (49)</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Vice President, Global Business Solutions</w:t>
            </w:r>
          </w:p>
        </w:tc>
        <w:tc>
          <w:tcPr>
            <w:tcW w:w="5560" w:type="dxa"/>
            <w:vAlign w:val="bottom"/>
          </w:tcPr>
          <w:p>
            <w:pPr>
              <w:ind w:left="20"/>
              <w:spacing w:after="0"/>
              <w:rPr>
                <w:sz w:val="20"/>
                <w:szCs w:val="20"/>
                <w:color w:val="auto"/>
              </w:rPr>
            </w:pPr>
            <w:r>
              <w:rPr>
                <w:rFonts w:ascii="Arial" w:cs="Arial" w:eastAsia="Arial" w:hAnsi="Arial"/>
                <w:sz w:val="16"/>
                <w:szCs w:val="16"/>
                <w:color w:val="auto"/>
              </w:rPr>
              <w:t>Vice President, Controller and Chief Accounting Officer (2018)</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and Chief Accounting Officer (2020)</w:t>
            </w:r>
          </w:p>
        </w:tc>
        <w:tc>
          <w:tcPr>
            <w:tcW w:w="5560" w:type="dxa"/>
            <w:vAlign w:val="bottom"/>
          </w:tcPr>
          <w:p>
            <w:pPr>
              <w:ind w:left="20"/>
              <w:spacing w:after="0"/>
              <w:rPr>
                <w:sz w:val="20"/>
                <w:szCs w:val="20"/>
                <w:color w:val="auto"/>
              </w:rPr>
            </w:pPr>
            <w:r>
              <w:rPr>
                <w:rFonts w:ascii="Arial" w:cs="Arial" w:eastAsia="Arial" w:hAnsi="Arial"/>
                <w:sz w:val="16"/>
                <w:szCs w:val="16"/>
                <w:color w:val="auto"/>
              </w:rPr>
              <w:t>Chief Financial Officer, U.S. Sales Operations (2016)</w:t>
            </w: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Chief Financial Officer, Customer Care and Aftersales (2013)</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Gerald Johnson (57)</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North America Manufacturing and Labor Relations (2017)</w:t>
            </w:r>
          </w:p>
        </w:tc>
      </w:tr>
      <w:tr>
        <w:trPr>
          <w:trHeight w:val="219"/>
        </w:trPr>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Manufacturing (2019)</w:t>
            </w: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of Operational Excellence (2014)</w:t>
            </w: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Randall D. Mott (63)</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w:t>
            </w:r>
          </w:p>
        </w:tc>
        <w:tc>
          <w:tcPr>
            <w:tcW w:w="5560" w:type="dxa"/>
            <w:vAlign w:val="bottom"/>
          </w:tcPr>
          <w:p>
            <w:pPr>
              <w:ind w:left="20"/>
              <w:spacing w:after="0"/>
              <w:rPr>
                <w:sz w:val="20"/>
                <w:szCs w:val="20"/>
                <w:color w:val="auto"/>
              </w:rPr>
            </w:pPr>
            <w:r>
              <w:rPr>
                <w:rFonts w:ascii="Arial" w:cs="Arial" w:eastAsia="Arial" w:hAnsi="Arial"/>
                <w:sz w:val="16"/>
                <w:szCs w:val="16"/>
                <w:color w:val="auto"/>
              </w:rPr>
              <w:t>Senior Vice President, Global Information Technology and Chief Information</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Information Technology and Chief</w:t>
            </w:r>
          </w:p>
        </w:tc>
        <w:tc>
          <w:tcPr>
            <w:tcW w:w="5560" w:type="dxa"/>
            <w:vAlign w:val="bottom"/>
          </w:tcPr>
          <w:p>
            <w:pPr>
              <w:ind w:left="20"/>
              <w:spacing w:after="0"/>
              <w:rPr>
                <w:sz w:val="20"/>
                <w:szCs w:val="20"/>
                <w:color w:val="auto"/>
              </w:rPr>
            </w:pPr>
            <w:r>
              <w:rPr>
                <w:rFonts w:ascii="Arial" w:cs="Arial" w:eastAsia="Arial" w:hAnsi="Arial"/>
                <w:sz w:val="16"/>
                <w:szCs w:val="16"/>
                <w:color w:val="auto"/>
              </w:rPr>
              <w:t>Officer (2013)</w:t>
            </w: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Information Officer (2019)</w:t>
            </w:r>
          </w:p>
        </w:tc>
        <w:tc>
          <w:tcPr>
            <w:tcW w:w="5560" w:type="dxa"/>
            <w:vAlign w:val="bottom"/>
          </w:tcPr>
          <w:p>
            <w:pPr>
              <w:spacing w:after="0"/>
              <w:rPr>
                <w:sz w:val="17"/>
                <w:szCs w:val="17"/>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Douglas L. Parks (58)</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Autonomous and Electric Vehicles (2017)</w:t>
            </w:r>
          </w:p>
        </w:tc>
      </w:tr>
      <w:tr>
        <w:trPr>
          <w:trHeight w:val="203"/>
        </w:trPr>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Development, Purchasing and Supply Chain</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Autonomous Technology and Vehicle Execution (2016)</w:t>
            </w:r>
          </w:p>
        </w:tc>
      </w:tr>
      <w:tr>
        <w:trPr>
          <w:trHeight w:val="219"/>
        </w:trPr>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Global Product Programs (2012)</w:t>
            </w: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Mark L. Reuss (56)</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President (2019)</w:t>
            </w:r>
          </w:p>
        </w:tc>
        <w:tc>
          <w:tcPr>
            <w:tcW w:w="5560" w:type="dxa"/>
            <w:vAlign w:val="bottom"/>
          </w:tcPr>
          <w:p>
            <w:pPr>
              <w:ind w:left="20"/>
              <w:spacing w:after="0"/>
              <w:rPr>
                <w:sz w:val="20"/>
                <w:szCs w:val="20"/>
                <w:color w:val="auto"/>
              </w:rPr>
            </w:pPr>
            <w:r>
              <w:rPr>
                <w:rFonts w:ascii="Arial" w:cs="Arial" w:eastAsia="Arial" w:hAnsi="Arial"/>
                <w:sz w:val="16"/>
                <w:szCs w:val="16"/>
                <w:color w:val="auto"/>
                <w:w w:val="96"/>
              </w:rPr>
              <w:t>Executive Vice President and President, Global Product Development Group and</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Cadillac (2018)</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Executive Vice President, Global Product Development, Purchasing &amp; Supply</w:t>
            </w: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Chain (2014)</w:t>
            </w:r>
          </w:p>
        </w:tc>
      </w:tr>
      <w:tr>
        <w:trPr>
          <w:trHeight w:val="236"/>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Dhivya Suryadevara (40)</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Corporate Finance (2017)</w:t>
            </w:r>
          </w:p>
        </w:tc>
      </w:tr>
      <w:tr>
        <w:trPr>
          <w:trHeight w:val="203"/>
        </w:trPr>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Financial Officer (2018)</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Finance and Treasurer (2015)</w:t>
            </w:r>
          </w:p>
        </w:tc>
      </w:tr>
      <w:tr>
        <w:trPr>
          <w:trHeight w:val="219"/>
        </w:trPr>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Chief Executive Officer, GM Asset Management (2013)</w:t>
            </w:r>
          </w:p>
        </w:tc>
      </w:tr>
      <w:tr>
        <w:trPr>
          <w:trHeight w:val="220"/>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Matthew Tsien (59)</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w w:val="95"/>
              </w:rPr>
              <w:t>Executive Vice President and President, GM</w:t>
            </w:r>
          </w:p>
        </w:tc>
        <w:tc>
          <w:tcPr>
            <w:tcW w:w="5560" w:type="dxa"/>
            <w:vAlign w:val="bottom"/>
          </w:tcPr>
          <w:p>
            <w:pPr>
              <w:spacing w:after="0"/>
              <w:rPr>
                <w:sz w:val="19"/>
                <w:szCs w:val="19"/>
                <w:color w:val="auto"/>
              </w:rPr>
            </w:pP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China (2014)</w:t>
            </w:r>
          </w:p>
        </w:tc>
        <w:tc>
          <w:tcPr>
            <w:tcW w:w="5560" w:type="dxa"/>
            <w:vAlign w:val="bottom"/>
          </w:tcPr>
          <w:p>
            <w:pPr>
              <w:spacing w:after="0"/>
              <w:rPr>
                <w:sz w:val="17"/>
                <w:szCs w:val="17"/>
                <w:color w:val="auto"/>
              </w:rPr>
            </w:pPr>
          </w:p>
        </w:tc>
      </w:tr>
    </w:tbl>
    <w:p>
      <w:pPr>
        <w:spacing w:after="0" w:line="20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Website Access to Our Reports </w:t>
      </w:r>
      <w:r>
        <w:rPr>
          <w:rFonts w:ascii="Arial" w:cs="Arial" w:eastAsia="Arial" w:hAnsi="Arial"/>
          <w:sz w:val="18"/>
          <w:szCs w:val="18"/>
          <w:color w:val="auto"/>
        </w:rPr>
        <w:t>Our internet website address is www.gm.com. In addition to the information about us and our subsidiaries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2019 Form 10-K, information about us can be found on our website including information on our corporate governance principles and practices. Our Investor Relations website at https://investor.gm.com contains a significant amount of information about us, including financial and other information for investors. We encourage investors to visit our website, as we frequently update and post new information about our company on our website and it is possible that this information could be deemed to be material information. Our website and information included in or linked to our website are not part of this 2019 Form 10-K.</w:t>
      </w:r>
    </w:p>
    <w:p>
      <w:pPr>
        <w:spacing w:after="0" w:line="1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listed below the most significant risk factors applicable to us. These risk factors are not necessarily in the order of importance or probability of occurrence:</w:t>
      </w:r>
    </w:p>
    <w:p>
      <w:pPr>
        <w:spacing w:after="0" w:line="170"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If we do not deliver new products, services and customer experiences in response to increased competition in the automotive industry, our business could suffer. </w:t>
      </w:r>
      <w:r>
        <w:rPr>
          <w:rFonts w:ascii="Arial" w:cs="Arial" w:eastAsia="Arial" w:hAnsi="Arial"/>
          <w:sz w:val="16"/>
          <w:szCs w:val="16"/>
          <w:color w:val="auto"/>
        </w:rPr>
        <w:t>We believe that the automotive industry will continue to experience significant change in the coming years. In addition to our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competitors, we must also be responsive to the entrance of non-traditional participants in the automotive industry. Industry participants are disrupting the historic business model of our industry through the introduction of new technologies, products, services and methods of travel and vehicle ownership. It is strategically significant that we succeed in leading the technological disruption occurring in our industry, including consumer adoption of electric vehicles and commercialization of autonomous vehicles in a rideshare environment. To successfully execute our long-term strategy, we must continue to develop new products and services, including products and services that are outside of our historically core business, such as autonomous and electric vehicles, digital services and transportation as a service. The process of designing and developing new technology, products and services is complex, costly and uncertain and requires extensive capital investment and the ability to retain and recruit talent. There can be no assurance that advances in technology will occur in a timely or feasible way, or that others will not acquire similar or superior technologies sooner than we do or that we will acquire technologies on an exclusive basis or at a significant price advantage. If we do not adequately prepare for and respond to new kinds of technological innovations, market developments and changing customer needs, our sales, profitability and long-term competitiveness may be harmed.</w:t>
      </w:r>
    </w:p>
    <w:p>
      <w:pPr>
        <w:spacing w:after="0" w:line="169"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Our ability to maintain profitability is dependent upon our ability to timely fund and introduce new and improved vehicle models that are able to attract a sufficient number of consumers. </w:t>
      </w:r>
      <w:r>
        <w:rPr>
          <w:rFonts w:ascii="Arial" w:cs="Arial" w:eastAsia="Arial" w:hAnsi="Arial"/>
          <w:sz w:val="16"/>
          <w:szCs w:val="16"/>
          <w:color w:val="auto"/>
        </w:rPr>
        <w:t>We operate in a very competitive industry with market participants routinely introducing new and improved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models and features designed to meet rapidly evolving consumer expectations. Producing new and improved vehicle models that preserve our reputation for designing, building and selling safe, high-quality cars and trucks is critical to our long-term profitability. Successful launches of our new vehicles are critical to our short-term profitability. It generally takes two years or more to design and develop a new vehicle,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and changes in quality, safety, reliability and styling demands and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Our profitability is dependent upon the success of SUVs and full-size pick-up trucks. </w:t>
      </w:r>
      <w:r>
        <w:rPr>
          <w:rFonts w:ascii="Arial" w:cs="Arial" w:eastAsia="Arial" w:hAnsi="Arial"/>
          <w:sz w:val="18"/>
          <w:szCs w:val="18"/>
          <w:color w:val="auto"/>
        </w:rPr>
        <w:t>While we offer a portfolio of cars, crossovers, SUVs and trucks,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recognize higher profit margins on our SUVs and trucks. Our success is dependent upon our ability to sell higher margin vehicles in sufficient volumes. Any shift in consumer preferences toward smaller, more fuel- efficient vehicles, whether as a result of increases in the price of oil or any sustained shortage of oil, including as a result of global political instability, or other reasons, could weaken the demand for our higher margin vehicles. More stringent fuel economy regulations could also impact our ability to sell these vehicles.</w:t>
      </w:r>
    </w:p>
    <w:p>
      <w:pPr>
        <w:spacing w:after="0" w:line="18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We may continue to restructure our operations in the U.S. and various other countries and initiate additional cost reduction actions, but we may not succeed in doing so. </w:t>
      </w:r>
      <w:r>
        <w:rPr>
          <w:rFonts w:ascii="Arial" w:cs="Arial" w:eastAsia="Arial" w:hAnsi="Arial"/>
          <w:sz w:val="17"/>
          <w:szCs w:val="17"/>
          <w:color w:val="auto"/>
        </w:rPr>
        <w:t>Since 2017, we have undertaken restructuring actions to lower our operating costs in response to difficult market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in various parts of the world, including the U.S., Canada, Korea and Europe. As we continue to assess our performance throughout our regions, we may take additional restructuring actions to rationalize our operations, which may result in material asset write-downs or impairments and reduce our profitability in the periods incurred. In addition, we are continuing to implement a number of operating effectiveness initiatives to improve productivity and reduce costs. For example, we are continuing to execute on the transformation actions we announced in 2018 to drive significant cost efficiencies and realign our current manufacturing capacity with demand. While we have achieved significant cost savings, there is no guarantee that we will fully realize the anticipated savings or benefits from past or future restructuring and/or cost reduction actions within the time periods we expect or at all. In addition, these restructuring actions subject us to increased risks of labor unrest or strikes, supplier, dealer, or other third-party litigation, regulator claims or proceedings, negative publicity and business disruption. Failure to realize anticipated savings or benefits from our restructuring and/or cost reduction actions could have a material adverse effect on our business, prospects, financial condition, liquidity, results of operations and cash flows.</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Our electric vehicle strategy is dependent upon our ability to reduce the cost of manufacturing electric vehicles, as well as increased consumer adoption. </w:t>
      </w:r>
      <w:r>
        <w:rPr>
          <w:rFonts w:ascii="Arial" w:cs="Arial" w:eastAsia="Arial" w:hAnsi="Arial"/>
          <w:sz w:val="18"/>
          <w:szCs w:val="18"/>
          <w:color w:val="auto"/>
        </w:rPr>
        <w:t>We anticipate that the production and profitable sale of electric vehicles will become increasingly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important to our business. If we are unable to reduce the costs associated with the manufacture of battery-electric vehicles, it may negatively impact our earnings and financial condition. Our ability to benefit from certain government and economic incentives supporting the development and sale of electric vehicles has been reduced and, in some jurisdictions, eliminated or exhausted, which may negatively affect our ability to profitably sell electric vehicles. In addition, our sale of electric vehicles is dependent on consumer adoption, which could be impacted by numerous factors, including perceptions about electric vehicle features, quality, safety, performance and cost; perceptions about the range over which electric vehicles may be driven on a single battery charge; high fuel-economy internal combustion engine vehicles; volatility in the cost of fuel; government regulations and economic incentives; and access to charging facilities.</w:t>
      </w:r>
    </w:p>
    <w:p>
      <w:pPr>
        <w:spacing w:after="0" w:line="18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Our autonomous vehicle strategy is dependent upon our ability to successfully mitigate unique technological, operational, and regulatory risks. </w:t>
      </w:r>
      <w:r>
        <w:rPr>
          <w:rFonts w:ascii="Arial" w:cs="Arial" w:eastAsia="Arial" w:hAnsi="Arial"/>
          <w:sz w:val="17"/>
          <w:szCs w:val="17"/>
          <w:color w:val="auto"/>
        </w:rPr>
        <w:t>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recent years, we announced significant investments in autonomous vehicle technologies, including in GM Cruise Holdings LLC (Cruise Holdings), our majority-owned subsidiary that is responsible for the development and commercialization of autonomous vehicle technology. Our autonomous vehicle operations are capital intensive and subject to a variety of risks inherent with the development of new technologies, including our ability to continue to develop self-driving software and hardware, such as Light Detection and Ranging (LiDAR) sensors and other components; access to sufficient capital, including with respect to additional Softbank funding; risks related to the manufacture of purpose-built autonomous vehicles; and significant competition from both established automotive companies and technology companies, some of which may have more resources and capital to devote to autonomous vehicle technologies than we do. In addition, we face risks related to the commercial deployment of autonomous vehicles on our targeted timeline or at all, including consumer acceptance, achievement of adequate safety and other performance standards and compliance with uncertain, evolving and potentially conflicting federal and state or provincial regulations. To the extent accidents, cybersecurity breaches or other adverse events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18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Our business is highly dependent upon global automobile market sales volume, which can be volatile. </w:t>
      </w:r>
      <w:r>
        <w:rPr>
          <w:rFonts w:ascii="Arial" w:cs="Arial" w:eastAsia="Arial" w:hAnsi="Arial"/>
          <w:sz w:val="18"/>
          <w:szCs w:val="18"/>
          <w:color w:val="auto"/>
        </w:rPr>
        <w:t>Because we have a high proportion of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structural costs, small changes in sales volume can have a disproportionately large effect on our profitability. A number of economic and market conditions drive changes in vehicle sales, including real estate values, the availability and prices of used vehicles, levels of unemployment, availability of affordable financing, fluctuations in the cost of fuel, consumer confidence, political unrest, the occurrence of a contagious disease or illness, such as the novel coronavirus, barriers to trade and other global economic conditions. While we cannot predict future economic and market conditions with certainty, we expect U.S. and China industry sales volumes to be lower in 2020 relative to 2019. For a discussion of economic and market trends, see the Overview section of the MD&amp;A.</w:t>
      </w:r>
    </w:p>
    <w:p>
      <w:pPr>
        <w:spacing w:after="0" w:line="18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Our significant business in China subjects us to unique operational, competitive and regulatory risks. </w:t>
      </w:r>
      <w:r>
        <w:rPr>
          <w:rFonts w:ascii="Arial" w:cs="Arial" w:eastAsia="Arial" w:hAnsi="Arial"/>
          <w:sz w:val="16"/>
          <w:szCs w:val="16"/>
          <w:color w:val="auto"/>
        </w:rPr>
        <w:t>Maintaining a strong position in the Chinese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is a key component of our global growth strategy. Our business in China is subject to aggressive competition from many of the largest global manufacturers and numerous domestic manufacturers as well as non-traditional market participants, such as domestic technology companies. In addition, our success in China depends upon our ability to adequately address unique market and consumer preferences driven by advancements related to infotainment and other new technologies. Increased competition, increased U.S.-China trade restrictions and weakening economic conditions in China, among other things, may result in price reductions, reduced sales, profitability and margins, and challenges to gain or hold market share. Chinese regulators have implemented increasingly aggressive “green” policy initiatives and recommended quotas for the sale of electric vehicles, which have challenging lead times.</w:t>
      </w:r>
    </w:p>
    <w:p>
      <w:pPr>
        <w:spacing w:after="0" w:line="16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Certain risks and uncertainties of doing business in China are solely within the control of the Chinese government, and Chinese law regulates the scope of our investments and business conducted within China. In order to maintain access to the Chinese market, we may be required to comply with significant technical and other regulatory requirements that are unique to the Chinese market, at times with challenging lead times to implement such requirements. These actions may increase the cost of doing business in China and reduce our profitability.</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A significant amount of our operations are conducted by joint ventures that we cannot operate solely for our benefit. </w:t>
      </w:r>
      <w:r>
        <w:rPr>
          <w:rFonts w:ascii="Arial" w:cs="Arial" w:eastAsia="Arial" w:hAnsi="Arial"/>
          <w:sz w:val="17"/>
          <w:szCs w:val="17"/>
          <w:color w:val="auto"/>
        </w:rPr>
        <w:t>Many of our operations,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China and Korea,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joint venture may be materially adversely affected. The benefits from a successful joint venture are shared among the co-owners, therefore we do not receive all the benefits from our successful joint ventures.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or the failure to satisfy contractual obligations by one or more parties. Moreover, a joint venture may not follow the same requirements regarding compliance, internal controls and internal control over financial reporting that we follow. To the extent another party makes decisions that negatively impact the joint venture or internal control issues arise within the joint venture, we may have to take responsive or other actions or we may be subject to penalties, fines or other related actions for these activities.</w:t>
      </w:r>
    </w:p>
    <w:p>
      <w:pPr>
        <w:spacing w:after="0" w:line="193"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b w:val="1"/>
          <w:bCs w:val="1"/>
          <w:i w:val="1"/>
          <w:iCs w:val="1"/>
          <w:color w:val="auto"/>
        </w:rPr>
        <w:t xml:space="preserve">The international scale and footprint of our operations expose us to additional risks. </w:t>
      </w:r>
      <w:r>
        <w:rPr>
          <w:rFonts w:ascii="Arial" w:cs="Arial" w:eastAsia="Arial" w:hAnsi="Arial"/>
          <w:sz w:val="16"/>
          <w:szCs w:val="16"/>
          <w:color w:val="auto"/>
        </w:rPr>
        <w:t>We manufacture, sell and service products globally and rely upon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including: (1) changes in government leadership; (2) changes in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(4) political instability, civil unrest or government controls over certain sectors; (5) political and economic tensions between governments and changes in international trade policies, including restrictions on the repatriation of dividends, especially between China or Canada and the U.S.; (6) more detailed inspections or new or higher tariffs, for example, on products imported into or exported from the U.S., including under Section 232 of the Trade Expansion Act of 1962, Section 301 of the U.S. Trade Act of 1974, or other trade measures; (7) new barriers to entry or domestic preference procurement requirements, including changes to, withdrawals from or impediments to implementing free trade agreements (for example, the North American Free Trade Agreement or its successor, the United States-Mexico-Canada Agreement), or preferences of foreign nationals for domestically manufactured products; (8) changes in foreign currency exchange rates, particularly in Brazil and Argentina, and interest rates; (9) economic downturns in foreign countries or geographic regions where we have significant operations, or significant changes in conditions in the countries in which we operate; (10) differing local product preferences and product requirements, including government certification requirements related to, among other things, fuel economy, vehicle emissions and safety; (11) impact of compliance with U.S. and foreign countries’ export controls and economic sanctions; (12) liabilities resulting from U.S. and foreign laws and regulations, including, but not limited to, those related to the Foreign Corrupt Practices Act and certain other anti-corruption laws; (13) differing labor regulations, requirements and union relationships; (14) differing dealer and franchise regulations and relationships; (15) difficulties in obtaining financing in foreign countries for local operations; and (16) natural disasters, public health crises, including the occurrence of a contagious disease or illness, such as the novel coronavirus, and other catastrophic events.</w:t>
      </w:r>
    </w:p>
    <w:p>
      <w:pPr>
        <w:spacing w:after="0" w:line="38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Any significant disruption at one of our manufacturing facilities could disrupt our production schedule. </w:t>
      </w:r>
      <w:r>
        <w:rPr>
          <w:rFonts w:ascii="Arial" w:cs="Arial" w:eastAsia="Arial" w:hAnsi="Arial"/>
          <w:sz w:val="17"/>
          <w:szCs w:val="17"/>
          <w:color w:val="auto"/>
        </w:rPr>
        <w:t>We assemble vehicles at various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Should these or other facilities become unavailable either temporarily or permanently for any number of reasons, including labor disruptions, the occurrence of a contagious disease or illness, such as the novel coronavirus, or catastrophic weather events, the inability to manufacture at the affected facility may result in harm to our reputation, increased costs, lower revenues and the loss of customers. In particular, substantially all of our hourly employees are represented by unions and covered by collective bargaining agreements that must be negotiated from time-to-time, often at the local facility level, which increases our risk of work stoppages.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w:t>
      </w:r>
    </w:p>
    <w:p>
      <w:pPr>
        <w:spacing w:after="0" w:line="18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Any disruption in our suppliers’ operations could disrupt our production schedule. </w:t>
      </w:r>
      <w:r>
        <w:rPr>
          <w:rFonts w:ascii="Arial" w:cs="Arial" w:eastAsia="Arial" w:hAnsi="Arial"/>
          <w:sz w:val="18"/>
          <w:szCs w:val="18"/>
          <w:color w:val="auto"/>
        </w:rPr>
        <w:t>Our automotive operations are dependent upon the continued 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suppliers to deliver the systems, components, raw materials and parts that we need to manufacture our products. Our use of “just-in-time” manufacturing processes allows us to maintain minimal inventory. As a result, our ability to maintain production is dependent upon our suppliers delivering sufficient quantities of systems, components, raw materials and parts on time to meet our production schedules. In some instances, we purchase systems, components, raw materials and parts that are ultimately derived from a single source and may be at an increased risk for supply disruptions. Any number of factors, including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labor disruptions, catastrophic weather events, the occurrence of a contagious disease or illness, such as the novel coronavirus, contractual or other disputes, unfavorable economic or industry conditions,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In particular, if the current novel coronavirus outbreak continues and results in a prolonged period of travel, commercial and other similar restrictions, we could experience global supply disruptions. If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 which could cause a loss of revenues, which would adversely affect our operations.</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High prices of raw materials or other inputs used by us and our suppliers could negatively impact our profitability. </w:t>
      </w:r>
      <w:r>
        <w:rPr>
          <w:rFonts w:ascii="Arial" w:cs="Arial" w:eastAsia="Arial" w:hAnsi="Arial"/>
          <w:sz w:val="18"/>
          <w:szCs w:val="18"/>
          <w:color w:val="auto"/>
        </w:rPr>
        <w:t>Increases in prices for raw materials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inputs that we and our suppliers use in manufacturing products, systems, components and parts, such as steel, precious metals, or non-ferrous metals, including aluminum, copper and plastic, may lead to higher production costs for parts, components and vehicles. Changes in trade policies and tariffs, fluctuations in supply and demand and other economic and political factors may continue to create pricing pressure for raw materials and other inputs. This could, in turn, negatively impact our future profitability because we may not be able to pass all of those costs on to our customers or require our suppliers to absorb such costs.</w:t>
      </w:r>
    </w:p>
    <w:p>
      <w:pPr>
        <w:spacing w:after="0" w:line="19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We operate in a highly competitive industry that has excess manufacturing capacity and attempts by our competitors to sell more vehicles could have a significant negative effect on our vehicle pricing, market share and operating results. </w:t>
      </w:r>
      <w:r>
        <w:rPr>
          <w:rFonts w:ascii="Arial" w:cs="Arial" w:eastAsia="Arial" w:hAnsi="Arial"/>
          <w:sz w:val="17"/>
          <w:szCs w:val="17"/>
          <w:color w:val="auto"/>
        </w:rPr>
        <w:t>The global automotive industry is highly competitive in terms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quality, innovation, new technologies, pricing, fuel economy, reliability, safety, customer service and financial services offered. Additionally, overall manufacturing capacity in the industry far exceeds current demand. Many manufacturers, including GM, have relatively high fixed labor costs as well as limitations on their ability to close facilities and reduce fixed costs. In light of such excess capacity and high fixed costs, many of our competitors have attempted to sell more vehicles by providing subsidized financing or leasing programs, offering marketing incentives or reducing vehicle prices. As a result, we may be required to offer similar incentives, which may not necessarily allow us to set vehicle prices that offset cost increases or the impact of adverse currency fluctuations. Our competitors may also seek to benefit from economies of scale by consolidating or entering into other strategic agreements such as alliances or joint ventures intended to enhance their competitiveness.</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Manufacturers in countries that have lower production costs, such as China and India, have become competitors in key emerging markets and announced their intention to export their products to established markets as a low-cost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w:t>
      </w:r>
    </w:p>
    <w:p>
      <w:pPr>
        <w:spacing w:after="0" w:line="18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Arial" w:cs="Arial" w:eastAsia="Arial" w:hAnsi="Arial"/>
          <w:sz w:val="17"/>
          <w:szCs w:val="17"/>
          <w:color w:val="auto"/>
        </w:rPr>
        <w:t>There may be instances where, notwithstanding our intellectual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technology.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rights, we could be required to pay substantial damages or we could be enjoined from offering some of our products and services.</w:t>
      </w:r>
    </w:p>
    <w:p>
      <w:pPr>
        <w:spacing w:after="0" w:line="18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Security breaches and other disruptions to information technology systems and networked products, including connected vehicles, owned or maintained by us, GM Financial, or third-party vendors or suppliers on our behalf, could interfere with our operations and could compromise the confidentiality of private customer data or our proprietary information. </w:t>
      </w:r>
      <w:r>
        <w:rPr>
          <w:rFonts w:ascii="Arial" w:cs="Arial" w:eastAsia="Arial" w:hAnsi="Arial"/>
          <w:sz w:val="16"/>
          <w:szCs w:val="16"/>
          <w:color w:val="auto"/>
        </w:rPr>
        <w:t>We rely upon information technology systems and manufacture networked products, some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managed by third parties, to process, transmit and store electronic information, and to manage or support a variety of our business processes, activities and products. Additionally, we and GM Financial collect and store sensitive data, including intellectual property and proprietary business information (including that of our dealers and suppliers), as well as personally identifiable information of our customers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employees, in data centers and on information technology networks (including networks that may be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Despite security measures and business continuity plans, these systems and products may be vulnerable to damage, disruptions or shutdowns caused by attacks by hackers, computer viruses, malware (including “ransomware”), phishing attacks or breaches due to errors or malfeasance by employees, contractors and others who have access to these systems and products. The occurrence of any of these events could compromise the confidentiality, operational integrity and accessibility of these systems and products and the data that resides therein.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cause us to be non-compliant with applicable laws or regulations, subject us to legal claims or proceedings, liability or regulatory penalties under laws protecting the privacy of personal information; disrupt operations; or reduce the competitive advantage we hope to derive from our investment in advanced technologies. We have experienced such events in the past and, although past events were immaterial, future events may occur and may be material.</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Portions of our information technology systems also may experience interruptions, delays or cessations of service or produce errors due to regular maintenance efforts, such as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design, manufacture and sell products and services, and interrupt other business processes.</w:t>
      </w:r>
    </w:p>
    <w:p>
      <w:pPr>
        <w:spacing w:after="0" w:line="17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Security breaches and other disruptions of our in-vehicle systems could impact the safety of our customers and reduce confidence in GM and our products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vehicles contain complex information technology systems. These systems control various vehicle functions including engine, transmission,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steering, navigation, acceleration, braking, window and door lock functions. We have designed, implemented and tested security measures intended to prevent unauthorized access to these systems. However, hackers have reportedly attempted, and may attempt in the future, to gain unauthorized access to modify, alter and use such systems to gain control of, or to change, our vehicles’ functionality, user interface and performance characteristics, or to gain access to data stored in or generated by the vehicle. Any unauthorized access to or control of our vehicles or their system could adversely impact the safety of our customers or result in legal claims or proceedings, liability or regulatory penalties. In addition, regardless of their veracity, reports of unauthorized access to our vehicles or their systems could negatively affect our brand and harm our business, prospects, financial condition and operating results.</w:t>
      </w:r>
    </w:p>
    <w:p>
      <w:pPr>
        <w:spacing w:after="0" w:line="166"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Our enterprise data practices, including the collection, use, sharing, and security of the Personal Identifiable Information of our customers, employees, or suppliers are subject to increasingly complex, restrictive, and punitive regulations in all key market regions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these regulations, the failure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compliant data practices could result in consumer complaints and regulatory inquiry, resulting in civil or criminal penalties, as well as brand impact or other harm to our business. In addition, increased consumer sensitivity to real or perceived failures in maintaining acceptable data practices could damage our reputation and deter current and potential users or customers from using our products and services. Because many of these laws are new, there is little clarity as to their interpretation, as well as a lack of precedent for the scope of enforcement. The cost of compliance with these laws and regulations will be high and is likely to increase in the future. For example, in Europe, the General Data Protection Regulation came into effect on May 25, 2018, and applies to all of our ongoing operations in the EU as well as some of our operations outside of the EU that involve the processing of EU personal data. This regulation significantly increases the potential financial penalties for noncompliance, including fines of up to 4% of worldwide revenue. Similar regulations are coming into effect in Brazil and China, and in the U.S., California has adopted, and several states and provinces in Canada are considering adopting, laws and regulations imposing obligations regarding personal data. In some cases, these laws provide a private right of action that would allow customers to bring suit directly against us for mishandling their data.</w:t>
      </w:r>
    </w:p>
    <w:p>
      <w:pPr>
        <w:spacing w:after="0" w:line="16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Our operations and products are subject to extensive laws, regulations and policies, including those related to vehicle emissions, fuel economy standards, and greenhouse gas emissions, that can significantly increase our costs and affect how we do business. </w:t>
      </w:r>
      <w:r>
        <w:rPr>
          <w:rFonts w:ascii="Arial" w:cs="Arial" w:eastAsia="Arial" w:hAnsi="Arial"/>
          <w:sz w:val="17"/>
          <w:szCs w:val="17"/>
          <w:color w:val="auto"/>
        </w:rPr>
        <w:t>We are significantly affected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governmental regulations on a global basis that can increase costs related to the production of our vehicles and affect our product portfolio, particularly regulations relating to emissions, fuel economy standards, and greenhouse gas emissions. Meeting or exceeding many of these regulations is costly and often technologically challenging, especially because the standards are not harmonized across jurisdictions. We anticipate that the number and extent of these and other regulations, laws and policies, and the related costs and changes to our product portfolio, may increase significantly in the future, primarily out of concern for the environment (including concerns about global climate change and its impact). These government regulatory requirements, among others, could significantly affect our plans for global product development and given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uncertainty surrounding enforcement and regulatory definitions and interpretations, may result in substantial costs, including civil or criminal penalties. In addition, an evolving but un-harmonized emissions and fuel economy regulatory framework may limit or dictate the types of vehicles we sell and where we sell them, which can affect revenue. Refer to the “Environmental and Regulatory Matters” section of Item 1. Business for further information on regulatory and environmental requirements.</w:t>
      </w:r>
    </w:p>
    <w:p>
      <w:pPr>
        <w:spacing w:after="0" w:line="18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expect that to comply with fuel economy and emission control requirements we will be required to sell a significant volume of electric vehicles, and potentially develop and implement new technologies for conventional internal combustion engines, all at increased costs. There are limits on our ability to achieve fuel economy improvements over a given time frame, however,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these regulatory programs.</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current uncertain regulatory framework, environmental liabilities for which we may be responsible and that are not reasonably estimable could be substantial. Alleged violations of safety, fuel economy or emissions standards could result in legal proceedings, the recall of one or more of our products, negotiated remedial actions, fines, restricted product offerings or a combination of any of those items. Any of these actions could have a material adverse effect on our operations including facility idling, reduced employment, increased costs and loss of revenue.</w:t>
      </w:r>
    </w:p>
    <w:p>
      <w:pPr>
        <w:spacing w:after="0" w:line="17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addition, many of our advanced technologies, including autonomous vehicles, present novel issues with which domestic and foreign regulators have only limited experience and will be subject to evolving regulatory frameworks. Any current or future regulations in these areas could impact whether and how these technologies are designed and integrated into our products, and may ultimately subject us to increased costs and uncertainty.</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We could be materially adversely affected by unusual or significant litigation, governmental investigations or other proceedings. </w:t>
      </w:r>
      <w:r>
        <w:rPr>
          <w:rFonts w:ascii="Arial" w:cs="Arial" w:eastAsia="Arial" w:hAnsi="Arial"/>
          <w:sz w:val="16"/>
          <w:szCs w:val="16"/>
          <w:color w:val="auto"/>
        </w:rPr>
        <w:t>We are subject to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proceedings involving various issues, including product liability lawsuits, class action litigations alleging product defects, emissions litigation (both in the U.S. and elsewhere), stockholder litigation, labor and employment litigation in various countries (including U.S., Canada, Korea and Brazil), claims and actions arising from divestitures of operations and assets and proceedings related to the Ignition Switch Recall. In addition, we are subject to governmental proceedings and investigations. A negative outcome in one or more of these legal proceedings could result in the imposition of damages, including punitive damages, substantial fines, significant reputational harm, civil lawsuits and criminal penalties, interruptions of business, modification of business practices, equitable remedies and other sanctions against us or our personnel as well as significant legal and other costs. In addition, we may become obligated to issue additional shares (Adjustment Shares) of up to 30 million shares of our common stock (subject to adjustment to take into account stock dividends, stock splits and other transactions) to the Motors Liquidation Company (MLC) GUC Trust (GUC Trust) under a provision of the Amended and Restated Master Sale and Purchase Agreement between us and General Motors Corporation and certain of its subsidiaries in the event that allowed general unsecured claims against the GUC Trust, as estimated by the United States Bankruptcy Court for the Southern District of New York (Bankruptcy Court), exceed $35.0 billion. The GUC Trust stated in public filings that allowed general unsecured claims were approximately $32.1 billion as of September 30, 2019. For a further discussion of these matters refer to Note 16 to our consolidated financial statements.</w:t>
      </w:r>
    </w:p>
    <w:p>
      <w:pPr>
        <w:spacing w:after="0" w:line="17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The costs and effect on our reputation of product safety recalls and alleged defects in products and services could materially adversely affect our business. </w:t>
      </w:r>
      <w:r>
        <w:rPr>
          <w:rFonts w:ascii="Arial" w:cs="Arial" w:eastAsia="Arial" w:hAnsi="Arial"/>
          <w:sz w:val="16"/>
          <w:szCs w:val="16"/>
          <w:color w:val="auto"/>
        </w:rPr>
        <w:t>Government safety standards require manufacturers to remedy certain product safety defects through recall campaigns and vehicle repurchases.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these standards, we could be subject to civil or criminal penalties or may incur various costs, including significant costs for repairs made at no cost to the consumer. At present,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autonomous vehicles, whether raised internally or by regulators or consumer advocates, and whether or not based on scientific evidence or supported by data, can result in product delays, recalls, lost sales, governmental investigations, regulatory action, private claims, lawsuits and settlements, and reputational damage. These circumstances can also result in damage to brand image, brand equity and consumer trust in the Company’s products and ability to lead the disruption occurring in the automotive industry.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17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We may incur additional tax expense or become subject to additional tax exposure. </w:t>
      </w:r>
      <w:r>
        <w:rPr>
          <w:rFonts w:ascii="Arial" w:cs="Arial" w:eastAsia="Arial" w:hAnsi="Arial"/>
          <w:sz w:val="16"/>
          <w:szCs w:val="16"/>
          <w:color w:val="auto"/>
        </w:rPr>
        <w:t>We are subject to the tax laws and regulations of the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and/or regulations in the countries in which we do business, the possibility of adverse determinations with respect to the application of existing laws,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We rely on GM Financial to provide financial services to our customers and dealers in North America, South America and Asia/Pacific. </w:t>
      </w:r>
      <w:r>
        <w:rPr>
          <w:rFonts w:ascii="Arial" w:cs="Arial" w:eastAsia="Arial" w:hAnsi="Arial"/>
          <w:sz w:val="18"/>
          <w:szCs w:val="18"/>
          <w:color w:val="auto"/>
        </w:rPr>
        <w:t>GM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faces a number of business, economic and financial 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primary factors that could adversely affect GM Financial’s business and operations and reduce its ability to provide financing services at competitive rates include the sufficiency, availability and cost of sources of financing, including credit facilities, securitization programs and secured and unsecured debt issuances; the performance of loans and leases in its portfolio, which could be materially affected by charge-offs, delinquencies and prepayments; wholesale auction values of used vehicles; higher than expected vehicle return rates and the residual value performance on vehicles GM Financial leases to customers; fluctuations in interest rates and currencies; competition for customers from commercial banks, credit unions and other financing and leasing companies; and changes to regulation, supervision, enforcement and licensing across various jurisdictions.</w:t>
      </w:r>
    </w:p>
    <w:p>
      <w:pPr>
        <w:spacing w:after="0" w:line="17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addition, a substantial portion of GM Financial’s indebtedness bears interest at variable interest rates, primarily based on USD-LIBOR. The U.K. Financial Conduct Authority, which regulates LIBOR, has announced that it will no longer persuade or compel banks to submit rates for the calculation of LIBOR after 2021. It is unknown whether any banks will continue to voluntarily submit rates for the calculation of LIBOR, or whether LIBOR will continue to be published by its administrator based on these submissions or on any other basis, after 2021. At this time, it is not possible to predict the effect that these developments or any discontinuance, modification or other reforms may have on LIBOR, other benchmarks or floating–rate debt instruments, including GM Financial’s floating–rate debt. Any such discontinuance, modification, alternative reference rates or other reforms may materially adversely affect interest rates on GM Financial’s current or future indebtedness. There is a risk that the discontinuation of LIBOR will impact GM Financial's ability to manage interest rate risk effectively without an adequate replacement.</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changes in assumptions or investments that do not achieve adequate returns. </w:t>
      </w:r>
      <w:r>
        <w:rPr>
          <w:rFonts w:ascii="Arial" w:cs="Arial" w:eastAsia="Arial" w:hAnsi="Arial"/>
          <w:sz w:val="16"/>
          <w:szCs w:val="16"/>
          <w:color w:val="auto"/>
        </w:rPr>
        <w:t>Our employee benefit plans currently hold a significant amount of equity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2019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187"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We have manufacturing, assembly, distribution, office or warehousing operations in 32 countries, including equity interests in associated companies, which perform manufacturing, assembly or distribution operations. The major facilities outside the U.S., which are principally vehicle manufacturing and assembly operations, are located in Argentina, Brazil, Canada, China, Colombia, Ecuador, Mexico, and South Korea.</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owns or leases facilities for administration and regional credit centers. GM Financial has 43 facilities, of which 28 are located in the U.S. The major facilities outside the U.S. are located in Brazil, Canada and Mexico.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16 to our consolidated financial statements is incorporated by reference into this Part II - Item 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Shares of our common stock are publicly traded on the New York Stock Exchange under the symbol "GM".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At January 24, 2020 we had 1.4 billion issued and outstanding shares of common stock held by 488 holders of record.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23,723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November 1, 2019 through November 30, 2019</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3,480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2019 through December 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29,090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56,293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issuance of common stock upon the vesting of Restricted Stock Units (RSUs), Performance Stock Units (PSUs) and Restricted Stock Awards (RSAs) relating to compensation plans. In June 2017 our shareholders approved the 2017 Long Term Incentive Plan, which authorizes awards of stock options, stock appreciation rights, RSAs, RSUs, PSUs or other stock-based awards to selected employees, consultants, advisors, and non-employee Directors of the Company. Refer to Note 23 to our consolidated financial statements for additional details on employee stock incentive plans.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January 2017 we announced that our Board of Directors had authorized the purchase of up to an additional $5.0 billion of our common stock with no expiration date.</w:t>
      </w:r>
    </w:p>
    <w:p>
      <w:pPr>
        <w:spacing w:after="0" w:line="214"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10"/>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137,237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135,725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Income from continuing operations(a)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6,667</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8,075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9,269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9,590</w:t>
            </w:r>
          </w:p>
        </w:tc>
      </w:tr>
      <w:tr>
        <w:trPr>
          <w:trHeight w:val="33"/>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 – continuing operations(a)</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Diluted earnings per common share – continuing operations(a)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5.89</w:t>
            </w:r>
          </w:p>
        </w:tc>
      </w:tr>
      <w:tr>
        <w:trPr>
          <w:trHeight w:val="33"/>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r>
      <w:tr>
        <w:trPr>
          <w:trHeight w:val="224"/>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assets(b)</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228,037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194,338</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14,386</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13,963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13,502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10,560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8,535</w:t>
            </w:r>
          </w:p>
        </w:tc>
      </w:tr>
      <w:tr>
        <w:trPr>
          <w:trHeight w:val="33"/>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88,938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45,479</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45,957</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42,777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36,200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44,075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40,323</w:t>
            </w:r>
          </w:p>
        </w:tc>
      </w:tr>
      <w:tr>
        <w:trPr>
          <w:trHeight w:val="249"/>
        </w:trPr>
        <w:tc>
          <w:tcPr>
            <w:tcW w:w="524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82"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estimate that the lost vehicle production volumes and parts sales due to the UAW strike had an unfavorable pre-tax impact of approximately $3.6 billion on our Income from continuing operations in the year ended December 31, 2019. In the year ended December 31, 2019 we recorded: (1) pre-tax charges of $1.8 billion related to transformation activities including accelerated depreciation, supplier-related charges and other charges; and (2) a pre-tax benefit of $1.4 billion related to the retrospective recoveries of indirect taxes in Brazil. In the year ended December 31, 2018 we recorded: (1) pre-tax charges of $1.3 billion related to transformation activities including employee separation, accelerated depreciation and other charges; (2) pre-tax charges of $1.1 billion related to the closure of a facility and other restructuring actions in Korea; (3) pre-tax charges of $0.4 billion for ignition switch related legal matters; and (4) a non-recurring tax benefit of $1.0 billion related to foreign earnings. In the year ended December 31, 2017 we recorded: (1) tax expense of $7.3 billion related to U.S. tax reform legislation; (2) $2.3 billion related to the establishment of a valuation allowance against deferred tax assets that will no longer be realizable as a result of the sale of the Opel/Vauxhall Business; and (3) pre-tax charges of $0.5 billion related to restructuring actions in India and South Africa. In the year ended December 31, 2015 we recorded: (1) the reversal of deferred tax asset valuation allowances of $3.9 billion in Europe; and (2) pre-tax charges related to the Ignition Switch Recall Compensation Program and for various legal matters of approximately $1.6 billion.</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assets included assets held for sale of $20.6 billion and $20.0 billion at December 31, 2016 and 2015.</w:t>
      </w:r>
    </w:p>
    <w:p>
      <w:pPr>
        <w:spacing w:after="0" w:line="20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62"/>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for a discussion of these risks and uncertainties. The discussion of our financial condition and results of operations for the year ended December 31, 2017 included in Item 7. Management's Discussion and Analysis of Financial Condition and Results of Operations in our </w:t>
      </w:r>
      <w:hyperlink r:id="rId9">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into this MD&amp;A.</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Unless otherwise indicated, our non-GAAP measures discussed in this MD&amp;A are related to our continuing operations and not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Our non-GAAP measures include: earnings before interest and taxes (EBIT)-adjusted, presented net of noncontrolling interests; earnings before income taxes (EBT)-adjusted for our GM Financial segment;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6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ROIC-adjusted </w:t>
      </w:r>
      <w:r>
        <w:rPr>
          <w:rFonts w:ascii="Arial" w:cs="Arial" w:eastAsia="Arial" w:hAnsi="Arial"/>
          <w:sz w:val="17"/>
          <w:szCs w:val="17"/>
          <w:color w:val="auto"/>
        </w:rPr>
        <w:t>ROIC-adjusted is used by management and can be used by investors to review our investment and capital allocation decisions. We define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7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Transformation activities(a)</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GM Brazil indirect tax recoveries(b)</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FAW-GM divestiture(c)</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GMI restructuring(d)</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Ignition switch recall and related legal matters(e)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adjustments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 and primarily employee separation charges and accelerated depreciation in the year ended December 31, 2018.</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decisions rendered by the Superior Judicial Court of Brazil resulting in retrospective recoveries of indirect taxes.</w:t>
      </w:r>
    </w:p>
    <w:p>
      <w:pPr>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in the year ended December 31, 2018, all in Korea. The adjustment in the year ended December 31, 2017 primarily consists of asset impairments and other restructuring actions in India, South Africa and Venezuela.</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Adjustments(a)</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Tax effect on adjustments(b)</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adjustments(c)</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9,364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630"/>
              <w:spacing w:after="0"/>
              <w:rPr>
                <w:sz w:val="20"/>
                <w:szCs w:val="20"/>
                <w:color w:val="auto"/>
              </w:rPr>
            </w:pPr>
            <w:r>
              <w:rPr>
                <w:rFonts w:ascii="Arial" w:cs="Arial" w:eastAsia="Arial" w:hAnsi="Arial"/>
                <w:sz w:val="16"/>
                <w:szCs w:val="16"/>
                <w:color w:val="auto"/>
                <w:w w:val="89"/>
              </w:rPr>
              <w:t>________</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EBIT-adjusted within this section of the MD&amp;A for adjustment details.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 ended December 31, 2018, the adjustment consists of: (1) a non-recurring tax benefit related to foreign earnings; and (2) tax effects related to U.S. tax reform legislation. In the year ended December 31, 2017, the adjustment consisted of the tax expense of $7.3 billion related to U.S. tax reform legislation and the establishment of a valuation allowance against deferred tax assets of $2.3 billion that are no longer realizable as a result of the sale of the Opel/Vauxhall Business, partially offset by tax benefits related to tax settlements. These adjustments were excluded because impacts of tax legislation and valuation allowances are not considered part of our core operations.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before</w:t>
            </w:r>
          </w:p>
        </w:tc>
        <w:tc>
          <w:tcPr>
            <w:tcW w:w="880" w:type="dxa"/>
            <w:vAlign w:val="bottom"/>
            <w:gridSpan w:val="2"/>
          </w:tcPr>
          <w:p>
            <w:pPr>
              <w:jc w:val="right"/>
              <w:ind w:right="22"/>
              <w:spacing w:after="0" w:line="153" w:lineRule="exact"/>
              <w:rPr>
                <w:sz w:val="20"/>
                <w:szCs w:val="20"/>
                <w:color w:val="auto"/>
              </w:rPr>
            </w:pPr>
            <w:r>
              <w:rPr>
                <w:rFonts w:ascii="Arial" w:cs="Arial" w:eastAsia="Arial" w:hAnsi="Arial"/>
                <w:sz w:val="14"/>
                <w:szCs w:val="14"/>
                <w:b w:val="1"/>
                <w:bCs w:val="1"/>
                <w:color w:val="auto"/>
              </w:rPr>
              <w:t>Income tax</w:t>
            </w:r>
          </w:p>
        </w:tc>
        <w:tc>
          <w:tcPr>
            <w:tcW w:w="12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before</w:t>
            </w:r>
          </w:p>
        </w:tc>
        <w:tc>
          <w:tcPr>
            <w:tcW w:w="900" w:type="dxa"/>
            <w:vAlign w:val="bottom"/>
            <w:gridSpan w:val="2"/>
          </w:tcPr>
          <w:p>
            <w:pPr>
              <w:jc w:val="right"/>
              <w:ind w:right="22"/>
              <w:spacing w:after="0" w:line="153" w:lineRule="exact"/>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Income before</w:t>
            </w:r>
          </w:p>
        </w:tc>
        <w:tc>
          <w:tcPr>
            <w:tcW w:w="900" w:type="dxa"/>
            <w:vAlign w:val="bottom"/>
            <w:gridSpan w:val="2"/>
          </w:tcPr>
          <w:p>
            <w:pPr>
              <w:jc w:val="right"/>
              <w:ind w:right="42"/>
              <w:spacing w:after="0" w:line="153" w:lineRule="exact"/>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3"/>
                <w:szCs w:val="13"/>
                <w:color w:val="auto"/>
              </w:rPr>
            </w:pPr>
          </w:p>
        </w:tc>
        <w:tc>
          <w:tcPr>
            <w:tcW w:w="9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Effective tax</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income taxes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expense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adjustments(b)</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620" w:type="dxa"/>
            <w:vAlign w:val="bottom"/>
          </w:tcPr>
          <w:p>
            <w:pPr>
              <w:ind w:left="40"/>
              <w:spacing w:after="0"/>
              <w:rPr>
                <w:sz w:val="20"/>
                <w:szCs w:val="20"/>
                <w:color w:val="auto"/>
              </w:rPr>
            </w:pPr>
            <w:r>
              <w:rPr>
                <w:rFonts w:ascii="Arial" w:cs="Arial" w:eastAsia="Arial" w:hAnsi="Arial"/>
                <w:sz w:val="18"/>
                <w:szCs w:val="18"/>
                <w:color w:val="auto"/>
              </w:rPr>
              <w:t>ETR-adjusted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7,981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11,495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2,001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12,517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2,642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 for adjustment details. Net income attributable to noncontrolling interests for these adjustments is included in the years ended December 31, 2019 and 2018. The tax effect of each adjustment is determined based on the tax laws and valuation allowance status of the jurisdiction to which the adjustment relates.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this section of the MD&amp;A for adjustment details.</w:t>
      </w:r>
    </w:p>
    <w:p>
      <w:pPr>
        <w:spacing w:after="0" w:line="22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43.7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42.2</w:t>
            </w: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193"/>
        </w:trPr>
        <w:tc>
          <w:tcPr>
            <w:tcW w:w="20" w:type="dxa"/>
            <w:vAlign w:val="bottom"/>
          </w:tcPr>
          <w:p>
            <w:pPr>
              <w:spacing w:after="0"/>
              <w:rPr>
                <w:sz w:val="16"/>
                <w:szCs w:val="16"/>
                <w:color w:val="auto"/>
              </w:rPr>
            </w:pPr>
          </w:p>
        </w:tc>
        <w:tc>
          <w:tcPr>
            <w:tcW w:w="6540" w:type="dxa"/>
            <w:vAlign w:val="bottom"/>
          </w:tcPr>
          <w:p>
            <w:pPr>
              <w:jc w:val="right"/>
              <w:ind w:right="5892"/>
              <w:spacing w:after="0"/>
              <w:rPr>
                <w:sz w:val="20"/>
                <w:szCs w:val="20"/>
                <w:color w:val="auto"/>
              </w:rPr>
            </w:pPr>
            <w:r>
              <w:rPr>
                <w:rFonts w:ascii="Arial" w:cs="Arial" w:eastAsia="Arial" w:hAnsi="Arial"/>
                <w:sz w:val="16"/>
                <w:szCs w:val="16"/>
                <w:color w:val="auto"/>
                <w:w w:val="86"/>
              </w:rPr>
              <w:t>_______</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w:t>
            </w:r>
          </w:p>
        </w:tc>
      </w:tr>
      <w:tr>
        <w:trPr>
          <w:trHeight w:val="243"/>
        </w:trPr>
        <w:tc>
          <w:tcPr>
            <w:tcW w:w="2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43.7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42.2</w:t>
            </w: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w:t>
            </w:r>
          </w:p>
        </w:tc>
      </w:tr>
      <w:tr>
        <w:trPr>
          <w:trHeight w:val="297"/>
        </w:trPr>
        <w:tc>
          <w:tcPr>
            <w:tcW w:w="20" w:type="dxa"/>
            <w:vAlign w:val="bottom"/>
          </w:tcPr>
          <w:p>
            <w:pPr>
              <w:spacing w:after="0"/>
              <w:rPr>
                <w:sz w:val="24"/>
                <w:szCs w:val="24"/>
                <w:color w:val="auto"/>
              </w:rPr>
            </w:pPr>
          </w:p>
        </w:tc>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45.5</w:t>
            </w: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9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193"/>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________</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the markets and products in which we will invest and compete; building profitable adjacent businesses; and targeting 10% core margins on an EBIT-adjusted basis.</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collective bargaining agreement with the UAW, which was ratified in November 2015, expired on September 14, 2019. The UAW went on strike on September 16, 2019, causing subsequent stoppages to most vehicle production and parts distribution across our North America facilities. On October 25, 2019, the UAW ratified a new collectively bargained labor agreement (Labor Agreement). The Labor Agreement, which has a term of four years, covers the wages, hours, benefits and other terms and conditions of employment for our UAW-represented employees. The key terms and provisions of the Labor Agreement are:</w:t>
      </w:r>
    </w:p>
    <w:p>
      <w:pPr>
        <w:spacing w:after="0" w:line="107"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Lump sum ratification bonus payments to eligible employees of $11,000 and eligible temporary employees of $4,500 in November 2019 totaling $0.5 billion;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Lump sum payments, equivalent to 4% of qualified earnings, to eligible employees in November 2019 and October 2021, totaling approximately $0.2 billion;</w:t>
      </w: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Lump sum payments of $1,000 to be made annually to eligible employees in June 2020 through June 2023, totaling approximately $0.2 billion;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Gross wage increases of 3% in 2020 and 2022 for eligible employees, totaling approximately $0.4 billion during the four-year agreement;</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Detroit Hamtramck Assembly facility will remain open and receive a new product allocation. Lordstown Assembly, Baltimore Transmission and Warren Transmission facilities will close;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severance incentive programs to qualified employees based on employee interest, eligibility and management approval;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manufacturing investments of approximately $7.7 billion to create or retain more than 9,000 UAW jobs during the period of the Labor Agreement.</w:t>
      </w:r>
    </w:p>
    <w:p>
      <w:pPr>
        <w:spacing w:after="0" w:line="18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Lump sum payments are amortized over the term of the Labor Agreement. Restructuring charges for cash severance incentive programs were recorded in the three months ended December 31, 2019 upon receipt of both employee acceptance and management approval. We expect to offset the Labor Agreement's economics with productivity over the four-year contract period.</w:t>
      </w:r>
    </w:p>
    <w:p>
      <w:pPr>
        <w:spacing w:after="0" w:line="10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estimate that the lost vehicle production volumes and parts sales due to the UAW strike had an unfavorable impact of approximately $3.6 billion on our GMNA EBIT-adjusted in the year ended December 31, 2019. In addition, we estimate an unfavorable pre-tax impact to Net cash provided by operating activities in our consolidated statement of cash flows of approximately $5.4 billion in the year ended December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ending December 31, 2020 we expect EPS-diluted and EPS-diluted-adjusted of between $5.75 and $6.25. We do not consider the potential future impact of adjustments on our expected financial results.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face continuing market, operating and regulatory challenges in a number of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for a discussion on these challenges.</w:t>
      </w:r>
    </w:p>
    <w:p>
      <w:pPr>
        <w:spacing w:after="0" w:line="18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expect these transformation activities to drive between $5.5 billion and $6.0 billion of annual cash savings by the end of 2020, consisting of $4.0 billion to $4.5 billion in cost savings resulting from reductions primarily in Automotive and other cost of sales in our consolidated financial statements, with the remainder in reduced capital expenditures. We have achieved $3.3 billion in cost savings since inception through staffing, manufacturing and product initiatives. We are on track to reduce capital expenditures from approximately $8.5 billion to approximately $7.0 billion and expect to meet our revised cost savings target by the end of 2020. As we continue to assess our performance and the needs of our evolving business, additional restructuring and rationalization actions could be required. These additional actions could give rise to future asset impairments or other charges, which may have a material impact on our results of operations. We have recorded charges of $1.8 billion in 2019 and $3.1 billion cumulatively related to our 2018 transformation plans, which were complete at December 31, 2019. These charges are primarily considered special for EBIT-adjusted, EPS diluted-adjusted and adjusted automotive free cash flow purposes.</w:t>
      </w:r>
    </w:p>
    <w:p>
      <w:pPr>
        <w:spacing w:after="0" w:line="18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21.2 million units in the year ended December 31, 2019, representing a decrease of 1.8%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2018. U.S. industry sales were 17.5 million units in the year ended December 31, 2019, representing a decrease of 1.1% compared to the corresponding period in 2018.</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total vehicle sales in the U.S., our largest market in North America, totaled 2.9 million units for a market share of 16.5% in the year ended December 31, 2019, representing a decrease of 0.2 percentage points compared to the corresponding period in 2018, primarily related to the UAW strike. We continue to lead the U.S. industry in market share.</w:t>
      </w:r>
    </w:p>
    <w:p>
      <w:pPr>
        <w:spacing w:after="0" w:line="181"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We estimate GMNA's breakeven point at the U.S. industry level to be in the range of 10.0 to 11.0 million units. We expect to sustain a strong EBIT-adjusted margin in 2020 on the relative strength of U.S. industry light vehicle sales and our recent and upcoming product launches, including our new full-size SUVs.</w:t>
      </w:r>
    </w:p>
    <w:p>
      <w:pPr>
        <w:spacing w:after="0" w:line="124"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Industry sales in China were 25.4 million units in the year ended December 31, 2019, representing a decrease of 4.2% compared to the corresponding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2018. Our total vehicle sales in China were 3.1 million units for a market share of 12.2% in the year ended December 31, 2019, representing a decrease of 1.6 percentage points compared to the corresponding period in 2018. Cadillac achieved 3.9% growth in vehicle sales in the year ended December 31, 2019 compared to the corresponding period in 2018. Buick, Chevrolet, Baojun and Wuling sales were softer amid a continued weak automotive industry since the second half of 2018. Additionally, Baojun and Wuling sales were impacted by unfavorable market shifts in vehicle segments. Our Automotive China JVs generated equity income of $1.1 billion in the year ended December 31, 2019. In 2020 we expect to see continued weakness in the industry with a continuation of pricing pressures, a more challenging regulatory environment related to emissions, fuel consumption and new energy vehicles, and continued weakness in the Chinese Yuan against the U.S. Dollar, which will continue to put pressure on our operations in China. We will continue to build upon our strong brands, network, and partnerships in China as well as continue to drive improvements in vehicle mix and cost.</w:t>
      </w:r>
    </w:p>
    <w:p>
      <w:pPr>
        <w:spacing w:after="0" w:line="16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Outside of China, industry sales were 25.8 million units in the year ended December 31, 2019, representing a decrease of 3.5% compared to the corresponding period in 2018, primarily due to decreased sales in India and Argentina. Our total vehicle sales were 1.3 million units for a market share of 4.9% in the year ended December 31, 2019, representing an increase of 0.2 percentage points compared to the corresponding period in 2018.</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2019 Cruise Holdings entered into a purchase agreement with existing shareholders and new third-party investors, pursuant to which Cruise Holdings received $1.2 billion in exchange for issuing Cruise Class F Preferred Shares, including $0.7 billion from General Motors Holdings LLC. All proceeds are designated exclusively for working capital and general corporate purposes of Cruise. Refer to Note 20 to our consolidated financial statements for further details.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The ignition switch recall has led to various inquiries, investigations, subpoenas, requests for information and complaints from agencies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of U.S., federal, state and Canadian governments. In addition these and other recalls have resulted in a number of claims and lawsuits. Such lawsuits and investigations could result in the imposition of material damages, fines, civil consent orders, civil and criminal penalties or other remedies. Refer to Note 16 to our consolidated financial statements for additional information.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GM and MLC, GM may be obligated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Adjustment Shares of our common stock if allowed general unsecured claims against the GUC Trust, as estimated by the Bankruptcy Court, exceed $35.0 billion. Refer to Note 16 to our consolidated financial statements for a description of the contingently issuable Adjustment Shares.</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Summary and Outlook </w:t>
      </w:r>
      <w:r>
        <w:rPr>
          <w:rFonts w:ascii="Arial" w:cs="Arial" w:eastAsia="Arial" w:hAnsi="Arial"/>
          <w:sz w:val="18"/>
          <w:szCs w:val="18"/>
          <w:color w:val="auto"/>
        </w:rPr>
        <w:t>We believe that offering a comprehensive suite of financing products will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sales of our vehicles, drive incremental GM Financial earnings and help support our sales throughout various economic cycles. GM Financial's leasing program is exposed to residual values, which are heavily dependent on used vehicle prices. Used vehicle prices decreased 3% in 2019 compared to 2018. We expect a decrease of 3% to 4% in 2020 compared to 2019, primarily due to the elevated supply of used vehicles in the industry. The following table summarizes the residual value as well as the number of units included in GM Financial equipment on operating leases, net by vehicle type (units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Financial's penetration of our retail sales in the U.S. decreased to 43% in the year ended December 31, 2019 from 49% in 2018. Penetration levels vary depending on incentive financing programs available and competing third-party financing products in the market. GM Financial's prime loan originations as a percentage of total loan originations in North America decreased to 68% in 2019 from 72% in 2018. In the year ended December 31, 2019, GM Financial's revenue consisted of leased vehicle income of 69%, retail finance charge income of 23%, and commercial finance charge income of 5%.</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106,366</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122,697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133,143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Cruise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 Financial</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Eliminations/Reclassifications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137,237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147,049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Arial" w:cs="Arial" w:eastAsia="Arial" w:hAnsi="Arial"/>
                <w:sz w:val="14"/>
                <w:szCs w:val="14"/>
                <w:color w:val="auto"/>
              </w:rPr>
              <w:t>n.m. = not meaningful</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30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w w:val="92"/>
              </w:rPr>
              <w:t>Automotive and Other Cost of Sales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94,582</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99,445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14,967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20,418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5,451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Cruise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Arial" w:cs="Arial" w:eastAsia="Arial" w:hAnsi="Arial"/>
                <w:sz w:val="18"/>
                <w:szCs w:val="18"/>
                <w:color w:val="auto"/>
              </w:rPr>
              <w:t>Total automotive and other cost of</w:t>
            </w:r>
          </w:p>
        </w:tc>
        <w:tc>
          <w:tcPr>
            <w:tcW w:w="26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110,651</w:t>
            </w:r>
          </w:p>
        </w:tc>
        <w:tc>
          <w:tcPr>
            <w:tcW w:w="4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280" w:type="dxa"/>
            <w:vAlign w:val="bottom"/>
            <w:tcBorders>
              <w:top w:val="single" w:sz="8" w:color="auto"/>
            </w:tcBorders>
            <w:gridSpan w:val="2"/>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120,656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0" w:type="dxa"/>
            <w:vAlign w:val="bottom"/>
          </w:tcPr>
          <w:p>
            <w:pPr>
              <w:ind w:left="20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auto"/>
            </w:tcBorders>
            <w:gridSpan w:val="2"/>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80" w:type="dxa"/>
            <w:vAlign w:val="bottom"/>
            <w:tcBorders>
              <w:bottom w:val="single" w:sz="8" w:color="auto"/>
            </w:tcBorders>
            <w:gridSpan w:val="2"/>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most significant element of our Automotive and other cost of sales is material cost, which makes up approximately two-thirds of the total amount. The remaining portion includes labor costs, depreciation and amortization, engineering, freight and product warranty and recall campaigns.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18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the year ended December 31, 2019, favorable Cost was primarily due to: (1) decreased engineering, manufacturing and other costs of $1.5 billion, primarily related to cost savings associated with transformation activities; (2) a benefit of $1.4 billion related to the retrospective recoveries of indirect taxes in Brazil; (3) charges of $1.1 billion primarily in employee separation charges and asset impairments in Korea in 2018; and (4) favorable material performance of $0.8 billion related to carryover vehicles; partially offset by (5) increased material cost of $1.2 billion related to vehicles launched within the last twelve months incorporating significant exterior and/or interior changes (Majors); (6) increase in large campaigns and other warranty-related costs of $1.0 billion; (7) increased raw material and freight costs related to carryover vehicles of $0.5 billion; and (8) a net increase in charges of $0.4 billion primarily in accelerated depreciation and supplier-related charges resulting from transformation activities. In the year ended December 31, 2019 favorable Other was due to the foreign currency effect resulting from the weakening of the Brazilian Real, Korean Won, Argentine Peso and other currencies against the U.S. Dollar.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restart"/>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Year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1"/>
              </w:rPr>
              <w:t>2019 vs. 2018 Change</w:t>
            </w: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Automotive and other selling, general and administrative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8,491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9,650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9,570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1,159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2019, Automotive and other selling, general and administrative expense decreased primarily due to charges of $0.4 billion for ignition switch related legal matters in 2018 and decreased other costs of $0.5 billion primarily related to cost savings associated with transformation activities.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vMerge w:val="restart"/>
          </w:tcPr>
          <w:p>
            <w:pPr>
              <w:jc w:val="center"/>
              <w:ind w:left="52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2019 vs. 2018 Change</w:t>
            </w: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Favorable/</w:t>
            </w: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1,469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1,645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year ended December 31, 2019, Interest income and other non-operating income, net decreased primarily due to decreased non-service pension income of $0.9 billion, losses related to our investment in Lyft, Inc. (Lyft) of $0.2 billion and losses related to the FAW-GM divestiture of $0.2 billion.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gains (losses) related to our investment in Lyft and PSA warrants: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gridSpan w:val="6"/>
            <w:vMerge w:val="restart"/>
          </w:tcPr>
          <w:p>
            <w:pPr>
              <w:jc w:val="center"/>
              <w:ind w:left="56"/>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91"/>
              </w:rPr>
              <w:t>2019 vs. 2018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Favorable/</w:t>
            </w:r>
          </w:p>
        </w:tc>
        <w:tc>
          <w:tcPr>
            <w:tcW w:w="7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related to Lyft</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Gains (losses) related to PSA warrants</w:t>
            </w:r>
          </w:p>
        </w:tc>
        <w:tc>
          <w:tcPr>
            <w:tcW w:w="74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w w:val="86"/>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gains (losses) on investments</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Income Tax Expense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6"/>
            <w:vMerge w:val="restart"/>
          </w:tcPr>
          <w:p>
            <w:pPr>
              <w:jc w:val="center"/>
              <w:ind w:left="56"/>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91"/>
              </w:rPr>
              <w:t>2019 vs. 2018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Favorable/</w:t>
            </w:r>
          </w:p>
        </w:tc>
        <w:tc>
          <w:tcPr>
            <w:tcW w:w="7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40" w:type="dxa"/>
            <w:vAlign w:val="bottom"/>
            <w:tcBorders>
              <w:top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769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11,533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2019, Income tax expense increased primarily due to the absence of certain tax benefits related to foreign dividends which occurred in 2018, partially offset by a decrease in 2019 pre-tax income, U.S. tax benefits from foreign activity and tax benefits related to the release of valuation allowances.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2018, Income tax expense decreased primarily due to the absence of certain expense items which occurred in 2017, including $7.3 billion of tax expense related to U.S. tax reform and $2.3 billion of tax expense related to the recording of a valuation allowance on the sale of the Opel/Vauxhall Business, combined with the impact of a lower U.S. statutory tax rate and pre-tax income in 2018.</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2019 our ETR-adjusted was 12.0%. We expect our adjusted effective tax rate to be approximately 20% for the year ending December 31, 2020, primarily due to certain 2019 tax items that will not reoccur.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consolidated financial statements for additional information related to Income tax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6"/>
                <w:szCs w:val="6"/>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Mix</w:t>
            </w:r>
          </w:p>
        </w:tc>
        <w:tc>
          <w:tcPr>
            <w:tcW w:w="340" w:type="dxa"/>
            <w:vAlign w:val="bottom"/>
          </w:tcPr>
          <w:p>
            <w:pPr>
              <w:spacing w:after="0"/>
              <w:rPr>
                <w:sz w:val="6"/>
                <w:szCs w:val="6"/>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106,366</w:t>
            </w:r>
          </w:p>
        </w:tc>
        <w:tc>
          <w:tcPr>
            <w:tcW w:w="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113,792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8,204</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10,769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3,214</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3,555</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GMNA Total Net Sales and Revenue </w:t>
      </w:r>
      <w:r>
        <w:rPr>
          <w:rFonts w:ascii="Arial" w:cs="Arial" w:eastAsia="Arial" w:hAnsi="Arial"/>
          <w:sz w:val="16"/>
          <w:szCs w:val="16"/>
          <w:color w:val="auto"/>
        </w:rPr>
        <w:t>In the year ended December 31, 2019, Total net sales and revenue decreased primarily due to: (1) decreased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wholesale volumes due to lost production resulting from the UAW strike, a decrease in sales of passenger cars, full-size SUVs and fleet vehicles, partially offset by an increase in sales of crossover vehicles and higher planned downtime in 2018 in preparation for the launch of full-size pickup trucks; and (2) unfavorable Other primarily due to the foreign currency effect resulting from the weakening of the Canadian Dollar against the U.S. Dollar; partially offset by</w:t>
      </w:r>
    </w:p>
    <w:p>
      <w:pPr>
        <w:spacing w:after="0" w:line="2" w:lineRule="exact"/>
        <w:rPr>
          <w:sz w:val="20"/>
          <w:szCs w:val="20"/>
          <w:color w:val="auto"/>
        </w:rPr>
      </w:pPr>
    </w:p>
    <w:p>
      <w:pPr>
        <w:ind w:firstLine="8"/>
        <w:spacing w:after="0" w:line="261"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mix associated with a decrease in sales of passenger cars partially offset by a decrease in sales of full-size SUVs; and (4) favorable pricing for Majors of $1.3 billion associated with the launch of our new full-size pickup trucks.</w:t>
      </w:r>
    </w:p>
    <w:p>
      <w:pPr>
        <w:spacing w:after="0" w:line="18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The most significant factors that influence profitability are industry volume and market share. While not as significant as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 and market share, another factor affecting profitability is the relative mix of vehicles sold. Trucks, crossovers and cars sold currently have a variable profit of approximately 170%, 60% and 30% of our GMNA portfolio on a weighted-average basis.</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2019, EBIT-adjusted decreased primarily due to: (1) decreased net wholesale volumes; and (2) unfavorable Cost due to increased vehicle content for Majors of $1.1 billion, an increase in large campaigns and other warranty-related cost of $1.1 billion, decreased non-service pension income of $0.7 billion, increased raw material and freight costs of $0.4 billion related to carryover vehicles, increased depreciation and amortization expense of $0.3 billion; partially offset by engineering, manufacturing and administrative cost savings of $1.8 billion primarily related to transformation activities and favorable materials performance of $0.7 billion related to carryover vehicles; partially offset by (3) favorable pricing.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ind w:left="24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6"/>
                <w:szCs w:val="6"/>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6"/>
                <w:szCs w:val="6"/>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6"/>
                <w:szCs w:val="6"/>
                <w:color w:val="auto"/>
              </w:rPr>
            </w:pPr>
          </w:p>
        </w:tc>
        <w:tc>
          <w:tcPr>
            <w:tcW w:w="5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4"/>
          </w:tcPr>
          <w:p>
            <w:pPr>
              <w:jc w:val="center"/>
              <w:ind w:left="24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16,111</w:t>
            </w: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(202)</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12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i w:val="1"/>
                <w:iCs w:val="1"/>
                <w:color w:val="auto"/>
                <w:w w:val="98"/>
              </w:rPr>
              <w:t>Equity income — Automotive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80" w:type="dxa"/>
            <w:vAlign w:val="bottom"/>
          </w:tcPr>
          <w:p>
            <w:pPr>
              <w:jc w:val="right"/>
              <w:ind w:right="70"/>
              <w:spacing w:after="0"/>
              <w:rPr>
                <w:sz w:val="20"/>
                <w:szCs w:val="20"/>
                <w:color w:val="auto"/>
              </w:rPr>
            </w:pPr>
            <w:r>
              <w:rPr>
                <w:rFonts w:ascii="Arial" w:cs="Arial" w:eastAsia="Arial" w:hAnsi="Arial"/>
                <w:sz w:val="18"/>
                <w:szCs w:val="18"/>
                <w:i w:val="1"/>
                <w:iCs w:val="1"/>
                <w:color w:val="auto"/>
                <w:w w:val="99"/>
              </w:rPr>
              <w:t>$</w:t>
            </w:r>
          </w:p>
        </w:tc>
        <w:tc>
          <w:tcPr>
            <w:tcW w:w="980" w:type="dxa"/>
            <w:vAlign w:val="bottom"/>
          </w:tcPr>
          <w:p>
            <w:pPr>
              <w:jc w:val="right"/>
              <w:ind w:right="174"/>
              <w:spacing w:after="0"/>
              <w:rPr>
                <w:sz w:val="20"/>
                <w:szCs w:val="20"/>
                <w:color w:val="auto"/>
              </w:rPr>
            </w:pPr>
            <w:r>
              <w:rPr>
                <w:rFonts w:ascii="Arial" w:cs="Arial" w:eastAsia="Arial" w:hAnsi="Arial"/>
                <w:sz w:val="18"/>
                <w:szCs w:val="18"/>
                <w:i w:val="1"/>
                <w:iCs w:val="1"/>
                <w:color w:val="auto"/>
              </w:rPr>
              <w:t>1,132</w:t>
            </w:r>
          </w:p>
        </w:tc>
        <w:tc>
          <w:tcPr>
            <w:tcW w:w="360" w:type="dxa"/>
            <w:vAlign w:val="bottom"/>
          </w:tcPr>
          <w:p>
            <w:pPr>
              <w:jc w:val="right"/>
              <w:ind w:right="74"/>
              <w:spacing w:after="0"/>
              <w:rPr>
                <w:sz w:val="20"/>
                <w:szCs w:val="20"/>
                <w:color w:val="auto"/>
              </w:rPr>
            </w:pPr>
            <w:r>
              <w:rPr>
                <w:rFonts w:ascii="Arial" w:cs="Arial" w:eastAsia="Arial" w:hAnsi="Arial"/>
                <w:sz w:val="18"/>
                <w:szCs w:val="18"/>
                <w:i w:val="1"/>
                <w:iCs w:val="1"/>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i w:val="1"/>
                <w:iCs w:val="1"/>
                <w:color w:val="auto"/>
              </w:rPr>
              <w:t>1,981</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(849)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(42.9)%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i w:val="1"/>
                <w:iCs w:val="1"/>
                <w:color w:val="auto"/>
                <w:w w:val="99"/>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i w:val="1"/>
                <w:iCs w:val="1"/>
                <w:color w:val="auto"/>
              </w:rPr>
              <w:t>(1,334)</w:t>
            </w: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(1,558)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995</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1,152</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year ended December 31, 2019, Total net sales and revenue decreased primarily due to: (1) decreased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volumes in Asia/Pacific and Argentina primarily driven by lower industry volumes, partially offset by increased volumes in Brazil primarily due to increased sales of the Chevrolet Onix; (2) unfavorable mix in Asia/Pacific and in Brazil, primarily due to increased sales of the Chevrolet Onix; and (3) unfavorable Other primarily due to the foreign currency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 resulting from the weakening of the Argentine Peso and Brazilian Real against the U.S. Dollar; partially offset by (4) favorable pricing related to carryover vehicles in Argentina and Brazil.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year ended December 31, 2019, EBIT (loss)-adjusted increased primarily due to: (1) unfavorable mix in Asia/Pacific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Middle East; (2) unfavorable volume; and (3) unfavorable Other primarily due to decreased equity income and the foreign currency effect resulting from the weakening of the Argentine Peso against the U.S. Dollar; partially offset by (4) favorable fixed cost in Australia, Korea and Argentina; and (5) favorable pricing.</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7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Wholesale vehicle sales including vehicles exported to markets outside of China</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39,123</w:t>
            </w: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50,316</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3,992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57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6"/>
          </w:tcPr>
          <w:p>
            <w:pPr>
              <w:jc w:val="right"/>
              <w:ind w:right="35"/>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Cruise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8"/>
          </w:tcPr>
          <w:p>
            <w:pPr>
              <w:jc w:val="right"/>
              <w:ind w:right="4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9"/>
          </w:tcPr>
          <w:p>
            <w:pPr>
              <w:spacing w:after="0"/>
              <w:rPr>
                <w:sz w:val="20"/>
                <w:szCs w:val="20"/>
                <w:color w:val="auto"/>
              </w:rPr>
            </w:pPr>
            <w:r>
              <w:rPr>
                <w:rFonts w:ascii="Arial" w:cs="Arial" w:eastAsia="Arial" w:hAnsi="Arial"/>
                <w:sz w:val="14"/>
                <w:szCs w:val="14"/>
                <w:b w:val="1"/>
                <w:bCs w:val="1"/>
                <w:color w:val="auto"/>
              </w:rPr>
              <w:t>2019 vs. 2018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8"/>
          </w:tcPr>
          <w:p>
            <w:pPr>
              <w:ind w:left="280"/>
              <w:spacing w:after="0" w:line="153" w:lineRule="exact"/>
              <w:rPr>
                <w:sz w:val="20"/>
                <w:szCs w:val="20"/>
                <w:color w:val="auto"/>
              </w:rPr>
            </w:pPr>
            <w:r>
              <w:rPr>
                <w:rFonts w:ascii="Arial" w:cs="Arial" w:eastAsia="Arial" w:hAnsi="Arial"/>
                <w:sz w:val="14"/>
                <w:szCs w:val="14"/>
                <w:b w:val="1"/>
                <w:bCs w:val="1"/>
                <w:color w:val="auto"/>
              </w:rPr>
              <w:t>Favorable/</w:t>
            </w:r>
          </w:p>
        </w:tc>
        <w:tc>
          <w:tcPr>
            <w:tcW w:w="9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Arial" w:cs="Arial" w:eastAsia="Arial" w:hAnsi="Arial"/>
                <w:sz w:val="18"/>
                <w:szCs w:val="18"/>
                <w:color w:val="auto"/>
                <w:w w:val="99"/>
              </w:rPr>
              <w:t>$</w:t>
            </w:r>
          </w:p>
        </w:tc>
        <w:tc>
          <w:tcPr>
            <w:tcW w:w="760" w:type="dxa"/>
            <w:vAlign w:val="bottom"/>
            <w:gridSpan w:val="6"/>
          </w:tcPr>
          <w:p>
            <w:pPr>
              <w:jc w:val="right"/>
              <w:ind w:right="4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6"/>
                <w:szCs w:val="16"/>
                <w:color w:val="auto"/>
              </w:rPr>
              <w:t>________</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n.m. = not meaningful</w:t>
      </w:r>
    </w:p>
    <w:p>
      <w:pPr>
        <w:spacing w:after="0" w:line="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Reclassified to Interest income and other non-operating income, net in our consolidated income statement in the year ended December 31, 2019.</w:t>
      </w:r>
    </w:p>
    <w:p>
      <w:pPr>
        <w:spacing w:after="0" w:line="1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year ended December 31, 2019, EBIT (loss)-adjusted increased primarily due to increased engineering costs as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 towards the commercialization of autonomous vehicles.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w w:val="92"/>
              </w:rPr>
              <w:t>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2019 vs. 2018 Change</w:t>
            </w:r>
          </w:p>
        </w:tc>
      </w:tr>
      <w:tr>
        <w:trPr>
          <w:trHeight w:val="264"/>
        </w:trPr>
        <w:tc>
          <w:tcPr>
            <w:tcW w:w="5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EBT-adjusted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Average debt outstanding (dollars in billions)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91.2</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rate of interest paid</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5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year ended December 31, 2019, Total revenue increased primarily due to increased finance charge income of $0.4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growth in the retail and commercial finance receivables portfolios and increased leased vehicle income of $0.1 billion.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GM Financial EBT-Adjusted </w:t>
      </w:r>
      <w:r>
        <w:rPr>
          <w:rFonts w:ascii="Arial" w:cs="Arial" w:eastAsia="Arial" w:hAnsi="Arial"/>
          <w:sz w:val="17"/>
          <w:szCs w:val="17"/>
          <w:color w:val="auto"/>
        </w:rPr>
        <w:t>In the year ended December 31, 2019, EBT-adjusted increased primarily due to: (1) increased finance charge income of $0.4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due to growth in the retail and commercial finance receivables portfolios; (2) increased leased vehicle income net of leased vehicle expenses of $0.3 billion primarily due to gains on a higher volume of lease terminations; partially offset by (3) increased interest expense of $0.4 billion due to an increase in average debt outstanding resulting from growth in earning assets and an increase in the effective rate of interest on debt.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We believe that our current level of cash and cash equivalents, marketable debt securities and availability under our</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the three objectives of our capital allocation program: (1) reinvest in our business at an average target ROIC-adjusted rate of 20% or greater; (2) maintain a strong investment-grade balance sheet, including a target average automotive cash balance of $18 billion; and (3) return available cash to shareholders. Our senior management evaluates our capital allocation program on an ongoing basis and recommends any modifications to the program to our Board of Directors, not less than once annually.</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known current and future material uses of cash include, among other possible demands: (1) capital expenditures of approximately $7.0 billion in 2020 in addition to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Item 1A. Risk Factors,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January 2017 we announced that our Board of Directors had authorized the purchase of up to $5.0 billion of our common stock with no expiration date, as part of our common stock repurchase program. We have completed $1.6 billion of the $5.0 billion program through December 31, 2019.</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debt securities and funds available under credit facilities.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available liquidity is subject to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Approximately 90% of our cash and marketable debt securities were managed within North America and at our regional treasury centers at December 31, 2019. We have used and will continue to use other methods including intercompany loans to utilize these funds across our global operations as needed.</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At December 31, 2018 the total size of our credit facilities was $16.5 billion, which consisted principally of three primary revolving credit facilities. In January 2019, we entered into a fourth facility, increasing our aggregate borrowing capacity from $16.5 billion to $19.5 billion. These facilities consist of a three-year, $4.0 billion facility, a five-year, $10.5 billion facility, a 364-day, $2.0 billion facility and a three-year, $3.0 billion facility. The three-year, $4.0 billion facility allows for borrowings in U.S. Dollars and other currencies and includes a letter of credit sub-facility of $1.1 billion. The five-year, $10.5 billion facility allows for borrowings in U.S. Dollars and other currencies. GM Financial has exclusive use of our 364-day, $2.0 billion credit facility, which allows for borrowing in U.S. Dollars only and was renewed in April 2019 for an additional 364-day term. The new three-year unsecured revolving credit facility has an initial borrowing capacity of $3.0 billion, reducing to $2.0 billion in July 2020. The facility provides additional financial flexibility and was used in 2019 to fund transformation activities announced in November 2018 for $0.7 billion, which we repaid in full in 2019. Total automotive borrowing capacity under the credit facility was $17.5 billion and $14.5 billion at December 31, 2019 and 2018. We did not have any borrowings against our other primary facilities at December 31, 2019 and 2018. We had letters of credit outstanding under our sub-facility of $0.2 billion and $0.3 billion at December 31, 2019 and 2018.</w:t>
      </w:r>
    </w:p>
    <w:p>
      <w:pPr>
        <w:spacing w:after="0" w:line="1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had access to our revolving credit facilities, except for the $3.0 billion facility executed in January 2019, but did not have borrowings outstanding against them at December 31, 2019. Refer to Note 13 to our consolidated financial statements for additional information on credit facilities. We had intercompany loans from GM Financial of $0.5 billion and $0.6 billion at December 31, 2019 and 2018, which primarily consisted of commercial loans to dealers we consolidate, and we had no intercompany loans to GM Financial. Refer to Note 5 of our consolidated financial statements for additional information.</w:t>
      </w:r>
    </w:p>
    <w:p>
      <w:pPr>
        <w:spacing w:after="0" w:line="18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GM Financial's Board of Directors declared and paid dividends of $0.4 billion on its common stock in October 2019 and 2018. Future dividends from GM Financial will depend on a number of factors including business and economic conditions, its financial condition, earnings, liquidity requirements and leverage ratio.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Marketable debt securities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debt securities(a)(b)</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Cruise cash and cash equivalents(c)</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Cruise marketable debt securities(c)</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available liquidity(a)(d)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may not sum due to rounding.</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$0.2 billion and $0.6 billion that is designated exclusively to fund capital expenditures in GM Korea Company (GM Korea) at December 31, 2019 and 2018. Refer to Note 20 to our consolidated financial statements for further details.</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Cruise. Refer to Note 20 to our consolidated financial statements for further details.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our remaining investment in Lyft, which had a fair value of $0.5 billion at December 31, 2019.</w:t>
      </w:r>
    </w:p>
    <w:p>
      <w:pPr>
        <w:spacing w:after="0" w:line="203"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In the year ended December 31, 2019, we estimate that lost production volumes and parts sales due to the UAW strike had an unfavorable pre-tax impact to Net cash provided by operating activities of approximately $5.4 billion, which materially impacted our available liquidity at December 31,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3480"/>
              <w:spacing w:after="0"/>
              <w:rPr>
                <w:sz w:val="20"/>
                <w:szCs w:val="20"/>
                <w:color w:val="auto"/>
              </w:rPr>
            </w:pPr>
            <w:r>
              <w:rPr>
                <w:rFonts w:ascii="Arial" w:cs="Arial" w:eastAsia="Arial" w:hAnsi="Arial"/>
                <w:sz w:val="18"/>
                <w:szCs w:val="18"/>
                <w:b w:val="1"/>
                <w:bCs w:val="1"/>
                <w:color w:val="auto"/>
              </w:rPr>
              <w:t>GENERAL MOTORS COMPANY AND SUBSIDIARIES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00" w:type="dxa"/>
            <w:vAlign w:val="bottom"/>
          </w:tcPr>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0" w:type="dxa"/>
            <w:vAlign w:val="bottom"/>
          </w:tcPr>
          <w:p>
            <w:pPr>
              <w:spacing w:after="0"/>
              <w:rPr>
                <w:sz w:val="24"/>
                <w:szCs w:val="24"/>
                <w:color w:val="auto"/>
              </w:rPr>
            </w:pPr>
          </w:p>
        </w:tc>
        <w:tc>
          <w:tcPr>
            <w:tcW w:w="1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GM investment in Cruise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non-operating(a)</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$0.3 billion of proceeds from the sale of a portion of our Lyft shares.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71"/>
        </w:trPr>
        <w:tc>
          <w:tcPr>
            <w:tcW w:w="65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2019, the decrease in Net automotive cash provided by operating activities was primarily due to the unfavorable pre-tax impact of lost production volumes and parts sales due to the UAW strike of approximately $5.4 billion, partially offset by favorable pension contributions of $1.1 billion primarily made to our U.K., Canada and Korea pension plans in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71"/>
        </w:trPr>
        <w:tc>
          <w:tcPr>
            <w:tcW w:w="65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net(a)</w:t>
            </w:r>
          </w:p>
        </w:tc>
        <w:tc>
          <w:tcPr>
            <w:tcW w:w="74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Cruise</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includes $0.3 billion of proceeds from the sale of a portion of our Lyft shares in the year ended December 31, 2019.</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71"/>
        </w:trPr>
        <w:tc>
          <w:tcPr>
            <w:tcW w:w="65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proceeds (payments) on short-term debt</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Adjusted Automotive Free Cash Flow </w:t>
      </w:r>
      <w:r>
        <w:rPr>
          <w:rFonts w:ascii="Arial" w:cs="Arial" w:eastAsia="Arial" w:hAnsi="Arial"/>
          <w:sz w:val="16"/>
          <w:szCs w:val="16"/>
          <w:color w:val="auto"/>
        </w:rPr>
        <w:t>We measure adjusted automotive free cash flow as automotive operating cash flow from continuing operations less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adjusted for management actions. For the year ended December 31, 2019, net automotive cash provided by operating activities under U.S. GAAP was $7.4 billion, capital expenditures were $7.5 billion and adjustments for management actions, primarily related to transformation activities, were $1.2 billion. For the year ended December 31, 2018, net automotive cash provided by operating activities under U.S. GAAP was $11.7 billion, capital expenditures were $8.7 billion and an adjustment for management actions related to restructuring in Korea was $0.8 billion.</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(Fitch),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All four credit rating agencies currently rate our corporate credit at investment grade. The following table summarizes our credit ratings at January 24,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BBB (high)</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BBB (high)</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ind w:left="620"/>
              <w:spacing w:after="0"/>
              <w:rPr>
                <w:sz w:val="20"/>
                <w:szCs w:val="20"/>
                <w:color w:val="auto"/>
              </w:rPr>
            </w:pPr>
            <w:r>
              <w:rPr>
                <w:rFonts w:ascii="Arial" w:cs="Arial" w:eastAsia="Arial" w:hAnsi="Arial"/>
                <w:sz w:val="18"/>
                <w:szCs w:val="18"/>
                <w:color w:val="auto"/>
              </w:rPr>
              <w:t>Stable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1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ind w:left="620"/>
              <w:spacing w:after="0"/>
              <w:rPr>
                <w:sz w:val="20"/>
                <w:szCs w:val="20"/>
                <w:color w:val="auto"/>
              </w:rPr>
            </w:pPr>
            <w:r>
              <w:rPr>
                <w:rFonts w:ascii="Arial" w:cs="Arial" w:eastAsia="Arial" w:hAnsi="Arial"/>
                <w:sz w:val="18"/>
                <w:szCs w:val="18"/>
                <w:color w:val="auto"/>
              </w:rPr>
              <w:t>Stable</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April 2019 DBRS Limited upgraded our corporate rating and revolving credit facilities rating to BBB (high) from BBB and revised their outlook to Stable from Positive. All other credit ratings remained unchanged from January 1, 2019 through January 24, 2020.</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Cruise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Issuance of Cruise Preferred Shares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Cruise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Cruise available liquidity</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When Cruise's autonomous vehicles are ready for commercial deployment, Softbank Vision Fund (AIV M2), L.P. (The Vision Fund) is obligated to purchase additional Cruise Preferred Shares for $1.35 billion.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58"/>
        </w:trPr>
        <w:tc>
          <w:tcPr>
            <w:tcW w:w="65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2019 Net cash provided by financing activities decreased primarily due to a reduction in the issuance of preferred and common shares.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credit facilities, interest costs, and operating expenses. In 2018 GM Financial issued $0.5 billion of Fixed-to-Floating Rate Cumulative Perpetual Preferred Stock, Series B, $0.01 par value, with a liquidation preference of $1,000 per share. The following table summarizes GM Financial's available liquidity (dollars in billions):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2019, available liquidity decreased primarily due to a decrease in cash and cash equivalents and increased credit facility utilization, resulting from a decrease in issuances of securitizations and unsecured debt. At December 31, 2019, available liquidity was in line with our liquidity targets.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access to $16.5 billion of our revolving credit facilities with exclusive access to the 364-day, $2.0 billion facility. Refer to the Automotive Liquidity section of this MD&amp;A for additional details. We have a support agreement with GM Financial which, among other things, establishes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secured or unsecured, and GM Financial repays these borrowings as appropriate under its cash management strategy. At December 31, 2019 secured, committed unsecured and uncommitted unsecured credit facilities totaled $26.7 billion, $0.4 billion and $1.8 billion with advances outstanding of $6.2 billion, an insignificant amount and $1.8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58"/>
        </w:trPr>
        <w:tc>
          <w:tcPr>
            <w:tcW w:w="65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2019, Net cash provided by operating activities increased primarily due to a decrease in net collateral posted for derivative positions of $0.8 billion as a result of favorable changes in interest rates on GM Financial’s collateralized derivative portfolio.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2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2019, Net cash used in investing activities decreased primarily due to: (1) increased collections and recoveries on finance receivables of $6.2 billion; (2) decreased purchases of finance receivables of $3.6 billion; (3) increased proceeds from the termination of leased vehicles of $2.4 billion; and (4) decreased purchases of leased vehicles of $0.3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2019, Net cash used in financing activities increased primarily due to an increase in debt repayments of $9.2 billion, a decrease in borrowings of $4.8 billion and a decrease in proceeds from issuance of preferred stock of $0.5 billion.</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Off-Balance Sheet Arrangements </w:t>
      </w:r>
      <w:r>
        <w:rPr>
          <w:rFonts w:ascii="Arial" w:cs="Arial" w:eastAsia="Arial" w:hAnsi="Arial"/>
          <w:sz w:val="18"/>
          <w:szCs w:val="18"/>
          <w:color w:val="auto"/>
        </w:rPr>
        <w:t>We do not currently utilize off-balance sheet securitization arrangements. All trade or finance receivables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subject to securitization programs are recorded on our consolidated balance sheets at December 31, 2019 and 2018.</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Contractual Obligations and Other Long-Term Liabilities </w:t>
      </w:r>
      <w:r>
        <w:rPr>
          <w:rFonts w:ascii="Arial" w:cs="Arial" w:eastAsia="Arial" w:hAnsi="Arial"/>
          <w:sz w:val="16"/>
          <w:szCs w:val="16"/>
          <w:color w:val="auto"/>
        </w:rPr>
        <w:t>We have minimum commitments under contractual obligations, including purchase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that include fixed or minimum obligations. The majority of our purchases are not included in the table as they are made under purchase orders that are requirements-based and accordingly do not specify minimum quantities. The following table summarizes aggregated information about our outstanding contractual obligations and other long-term liabilities at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2021-2022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2025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89,033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Material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contractual commitments(d)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44,653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39,910</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18,121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29,194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131,878</w:t>
            </w:r>
          </w:p>
        </w:tc>
      </w:tr>
      <w:tr>
        <w:trPr>
          <w:trHeight w:val="109"/>
        </w:trPr>
        <w:tc>
          <w:tcPr>
            <w:tcW w:w="5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Non-contractual benefits(e)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11,477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340" w:hanging="332"/>
        <w:spacing w:after="0" w:line="24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finance lease obligations. Automotive interest payments based on variable interest rates were determined using the interest rate in effect at December 31, 2019.</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2019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OPEB payments under the current U.S. contractual labor agreements through 2023 and Canada labor agreements through 2021. These agreements are generally renegotiated in the year of expiration. Amounts do not include pension funding obligations, which are discussed in Note 15 to our consolidated financial statements.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do not include future cash payments for purchase obligations and certain other accrued expenditures (unless specifically listed in the table above), which were recorded in Accounts payable, Accrued liabilities and Other liabilities at December 31, 2019.</w:t>
      </w:r>
    </w:p>
    <w:p>
      <w:pPr>
        <w:jc w:val="both"/>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2019 for OPEB obligations for salaried and hourly employees extending beyond the current North American union contract agreements, workers' compensation and extended disability benefits. Amounts do not include pension funding obligations, which are discussed in Note 15 to our consolidated financial statements.</w:t>
      </w:r>
    </w:p>
    <w:p>
      <w:pPr>
        <w:spacing w:after="0" w:line="15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table above does not reflect product warranty and related liabilities, certified pre-owned, extended warranty and free maintenance of $8.6 billion and unrecognized tax benefits of $0.8 billion due to the uncertainty regarding the future cash outflows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potentially associated with these amounts. In addition, future cash outflows related to transformation activities announced in November 2018 are not included in the table above. Refer to Note 18 of our consolidated financial statements for additional information.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The consolidated financial statements are prepared in conformity with U.S. GAAP, which requires the use of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Warranty and Recall Campaigns </w:t>
      </w:r>
      <w:r>
        <w:rPr>
          <w:rFonts w:ascii="Arial" w:cs="Arial" w:eastAsia="Arial" w:hAnsi="Arial"/>
          <w:sz w:val="18"/>
          <w:szCs w:val="18"/>
          <w:color w:val="auto"/>
        </w:rPr>
        <w:t>The estimates related to product warranties are established using historical information on the nature,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accrue the costs related to product warranty at the time of vehicle sale and we accrue the estimated cost of recall campaigns when they are probable and estimable, which is generally at the time of sale.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$0.3 billion.</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Subsequent adjustments to incentive estimates are possible as facts and circumstances change over time, which could affect the revenue previously recognized in Automotive net sales and revenue.</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Valuation of GM Financial Equipment on Operating Leases Assets and Residuals </w:t>
      </w:r>
      <w:r>
        <w:rPr>
          <w:rFonts w:ascii="Arial" w:cs="Arial" w:eastAsia="Arial" w:hAnsi="Arial"/>
          <w:sz w:val="16"/>
          <w:szCs w:val="16"/>
          <w:color w:val="auto"/>
        </w:rPr>
        <w:t>GM Financial has investments in leased vehicles recorded as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which relate to vehicle leases to retail customers with lease terms that typically range from two to five years. At the beginning of the lease an estimate is made of the expected residual value at the end of the lease term. The expected residual value is based on third-party data that considers various data points and assumptions, including, but not limited to, recent auction values, the expected future volume of returning leased vehicles, used vehicle prices, manufacturer incentive programs and fuel prices. Realization of the residual values is dependent on the future ability to market the vehicles under prevailing market conditions. The customer is obligated to make payments during the term of the lease for the difference between the purchase price and the contract residual value plus a money factor. Since the customer is not obligated to purchase the vehicle at the end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we are exposed to a risk of loss to the extent the customer returns the vehicle prior to or at the end of the lease term and the value of the vehicle is below the expected residual value estimated at the inception of the lease.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2019</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Trucks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SUVs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Cars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379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2019, the estimated residual value of our leased assets at the end of the lease term was $30.4 billion. We periodically review the adequacy of the depreciation rates. If we believe that the expected residual values of the leased assets have changed, we revise the depreciation rate to ensure the net investment in the operating leases reflects the revised estimate of expected residual value at the end of the lease term. Such adjustments to the depreciation rate would result in a change in depreciation expense on leased assets which is recorded prospectively on a straight-line basis. The following table illustrates the effect of a 1% change in the estimated residual values at December 31, 2019, which would increase or decrease depreciation expense over the remaining term of our operating lease portfolio, holding all other assumptions constant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Impact to Depreciation</w:t>
            </w:r>
          </w:p>
        </w:tc>
      </w:t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73</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33</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also evaluate the carrying value of the operating leases aggregated by vehicle make, year and model into leased asset groups, check for indicators of impairment and test for impairment to the extent necessary in accordance with applicable accounting standards. We believe no impairment indicators existed during 2019, 2018 or 2017.</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Pension and OPEB Plans </w:t>
      </w:r>
      <w:r>
        <w:rPr>
          <w:rFonts w:ascii="Arial" w:cs="Arial" w:eastAsia="Arial" w:hAnsi="Arial"/>
          <w:sz w:val="18"/>
          <w:szCs w:val="18"/>
          <w:color w:val="auto"/>
        </w:rPr>
        <w:t>Our defined benefit pension plans are accounted for on an actuarial basis, which requires the selection of various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2019 an investment policy study was completed for the U.S. pension plans. As a result of changes to our capital market assumptions the weighted-average long-term rate of return on assets decreased from 6.4% at December 31, 2018 to 5.9% at December 31, 2019. The expected long-term rate of return on plan assets used in determining pension expense for non-U.S. plans is determined in a similar manner to the U.S. plans.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Society of Actuaries (SOA) issued mortality improvement tables in the three months ended December 31, 2019. We reviewed our recent mortality experience and we determined our current mortality assumptions are appropriate to measure our December 31, 2019 U.S. pension and OPEB plans obligations.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$6.7 billion and $4.7 billion at December 31, 2019 and 2018. The year-over-year change is primarily due to a decrease in discount rates partially offset by higher than expected asset returns. At December 31, 2019, $3.0 billion of the unamortized pre-tax actuarial loss is outside the corridor (primarily 10% of the projected benefit obligation (PBO) and subject to amortization. The weighted-average amortization period for the pension obligation is approximately 16 years resulting in amortization expense of $0.2 billion in 2020.</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underfunded status of the U.S. pension plans increased by $0.4 billion in the year ended December 31, 2019 to $5.4 billion primarily due to: (1) the unfavorable effect of a decrease in discount rates of $6.4 billion; and (2) service and interest costs of $2.4 billion; partially offset by (3) a favorable effect of actual returns on plan assets of $8.5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U.S. Plans(a)</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Non-U.S. Plans(a)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2020</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on 2020</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13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PBO</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sensitivity does not include the effects of the individual annual yield curve rates applied for the calculation of the service and interest cost.</w:t>
      </w:r>
    </w:p>
    <w:p>
      <w:pPr>
        <w:spacing w:after="0" w:line="20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Valuation of Deferred Tax Assets </w:t>
      </w:r>
      <w:r>
        <w:rPr>
          <w:rFonts w:ascii="Arial" w:cs="Arial" w:eastAsia="Arial" w:hAnsi="Arial"/>
          <w:sz w:val="16"/>
          <w:szCs w:val="16"/>
          <w:color w:val="auto"/>
        </w:rPr>
        <w:t>The ability to realize deferred tax assets depends on the ability to generate sufficient taxable income within the carryback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 Refer to Note 17 to our consolidated financial statements for additional information on the composition of these valuation allowances.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w:t>
      </w:r>
    </w:p>
    <w:p>
      <w:pPr>
        <w:spacing w:after="0" w:line="12" w:lineRule="exact"/>
        <w:rPr>
          <w:sz w:val="20"/>
          <w:szCs w:val="20"/>
          <w:color w:val="auto"/>
        </w:rPr>
      </w:pPr>
    </w:p>
    <w:p>
      <w:pPr>
        <w:jc w:val="both"/>
        <w:ind w:firstLine="8"/>
        <w:spacing w:after="0" w:line="253" w:lineRule="auto"/>
        <w:tabs>
          <w:tab w:leader="none" w:pos="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Item 1A. Risk Factors.</w:t>
      </w:r>
    </w:p>
    <w:p>
      <w:pPr>
        <w:spacing w:after="0" w:line="19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Automotive </w:t>
      </w:r>
      <w:r>
        <w:rPr>
          <w:rFonts w:ascii="Arial" w:cs="Arial" w:eastAsia="Arial" w:hAnsi="Arial"/>
          <w:sz w:val="17"/>
          <w:szCs w:val="17"/>
          <w:color w:val="auto"/>
        </w:rPr>
        <w:t>The following analyses provide quantitative information regarding exposure to foreign currency exchange rate risk, interest rate risk and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price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change instantaneously. In addition, the analyses are unable to reflect the complex market reactions that normally would arise from the market shifts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modeled and do not contemplate the effects of correlations between foreign currency exposures and offsetting long-short positions in currency or other exposures, such as interest rates, which may significantly reduce the potential loss in value.</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We have foreign currency exposures related to buying, selling and financing in currencies other than the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currencies of our operations. At December 31, 2019 our most significant foreign currency exposures were between the U.S. Dollar and the Canadian Dollar, Korean Won, Euro, Brazilian Real, Australian Dollar, Mexican Peso and Chinese Yuan.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2019.</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net fair value liability of financial instruments with exposure to foreign currency risk was $1.4 billion and $0.9 billion at December 31, 2019 and 2018.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$0.2 billion and $0.1 billion at December 31, 2019 and 2018.</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We had foreign currency derivatives with notional amounts of $5.1 billion and $2.7 billion at December 31, 2019 and 2018. The fair value of these derivative financial instruments was insignificant. Fluctuations in foreign currency exchange rates can therefore create volatility in the results of operations and may adversely affect our financial condition.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amounts of automotive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losses recorded in Accumulated other comprehensive loss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Transaction and remeasurement (gains) losses recorded in earnings</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market risk from exposure to changes in interest rates related to certain financial instruments, primarily debt,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obligations and certain marketable debt securities. We did not have any interest rate swap positions to manage interest rate exposures in our automotive operations at December 31, 2019 and 2018. The fair value liability of debt and finance leases was $15.9 billion and $13.5 billion at December 31, 2019 and 2018. The potential increase in fair value resulting from a 10% decrease in quoted interest rates would have been $0.6 billion and $0.8 billion at December 31, 2019 and 2018.</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had marketable debt securities of $4.2 billion and $6.0 billion classified as available-for-sale at December 31, 2019 and 2018. The potential decrease in fair value from a 50 basis point increase in interest rates would have had an insignificant effect at December 31, 2019 and 2018.</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We are subject to equity price risk due to market price volatility related to our investment in Lyft and PSA warrants.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with exposure to equity price risk was $1.5 billion at December 31, 2019. In March 2019 Lyft filed for an initial public offering, which significantly increased the volatility in the fair value of our investment in Lyft. Our investment in Lyft is valued based on the quoted market price, and our investment in PSA warrants is valued based on a Black-Scholes formula. We estimate that a 10% adverse change in quoted security prices in Lyft and PSA Group would impact our investments by $0.1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Fluctuations in market interest rates can affect GM Financial's gross interest rate spread, which is the difference between interest earned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2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Quantitative Disclosure </w:t>
      </w:r>
      <w:r>
        <w:rPr>
          <w:rFonts w:ascii="Arial" w:cs="Arial" w:eastAsia="Arial" w:hAnsi="Arial"/>
          <w:sz w:val="16"/>
          <w:szCs w:val="16"/>
          <w:color w:val="auto"/>
        </w:rPr>
        <w:t>GM Financial measures the sensitivity of its net interest income to changes in interest rates by using interest rate scenarios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our analysis. Therefore, the actual impact to net interest income could be higher or lower than the results detailed in the table below. These interest rate scenarios are purely hypothetical and do not represent our view of future interest rate movements.</w:t>
      </w:r>
    </w:p>
    <w:p>
      <w:pPr>
        <w:spacing w:after="0" w:line="15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2019, GM Financial was liability-sensitive, meaning that more liabilities than assets were expected to re-price within the next twelve months. During a period of rising interest rates, the interest paid on liabilities would increase more than the interest earned on assets, which would initially decrease net interest income. During a period of falling interest rates, net interest income would be expected to initially increase. At December 31, 2018, GM Financial was asset-sensitive, meaning that more assets than liabilities were expected to re-price within the next twelve months. During a period of rising interest rates, the interest earned on assets would increase more than the interest paid on debt, which would initially increase net interest income. During a period of falling interest rates, net interest income would be expected to initially decrease.</w:t>
      </w:r>
    </w:p>
    <w:p>
      <w:pPr>
        <w:spacing w:after="0" w:line="17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Financial's net interest income sensitivity continued to decrease in 2019 from 2018 primarily due to GM Financial's strategy of hedging fixed-rate asset originations with pay-fixed interest rate swaps. The following table presents GM Financial's net interest income sensitivity to interest rate movement: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hundred basis points instantaneous increase in interest rates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One hundred basis points instantaneous decrease in interest rates(a)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0"/>
        </w:trPr>
        <w:tc>
          <w:tcPr>
            <w:tcW w:w="7900" w:type="dxa"/>
            <w:vAlign w:val="bottom"/>
          </w:tcPr>
          <w:p>
            <w:pPr>
              <w:jc w:val="right"/>
              <w:ind w:right="6993"/>
              <w:spacing w:after="0"/>
              <w:rPr>
                <w:sz w:val="20"/>
                <w:szCs w:val="20"/>
                <w:color w:val="auto"/>
              </w:rPr>
            </w:pPr>
            <w:r>
              <w:rPr>
                <w:rFonts w:ascii="Arial" w:cs="Arial" w:eastAsia="Arial" w:hAnsi="Arial"/>
                <w:sz w:val="16"/>
                <w:szCs w:val="16"/>
                <w:color w:val="auto"/>
                <w:w w:val="89"/>
              </w:rPr>
              <w:t>__________</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ind w:left="340" w:right="20" w:hanging="332"/>
        <w:spacing w:after="0" w:line="25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34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Additional Model Assumptions </w:t>
      </w:r>
      <w:r>
        <w:rPr>
          <w:rFonts w:ascii="Arial" w:cs="Arial" w:eastAsia="Arial" w:hAnsi="Arial"/>
          <w:sz w:val="18"/>
          <w:szCs w:val="18"/>
          <w:color w:val="auto"/>
        </w:rPr>
        <w:t>The sensitivity analysis presented is GM Financial's best estimate of the effect of the hypothetical interest rate scenarios;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GM Financial is exposed to foreign currency risk due to the translation and remeasurement of the results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had foreign currency swaps with notional amounts of $6.2 billion and $3.9 billion at December 31, 2019 and 2018. The fair value of these derivative financial instruments was insignificant at December 31, 2019 and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Transaction and remeasurement (gains) losses, net recorded in earnings</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General Motors Company and subsidiaries (the Company) as of December 31, 2019 and 2018, the related consolidated statements of income, comprehensive income, cash flows, and equity for the two years in the period ended December 31, 2019,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(2013 framework) and our report dated February 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2014-09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financial statements, the Company changed its method of accounting for revenue from contracts with customers in 2018 due to the adoption of ASU No. 2014-09, "Revenue from Contracts with Customers,"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6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Product warranty and recall campaigns</w:t>
      </w:r>
    </w:p>
    <w:p>
      <w:pPr>
        <w:sectPr>
          <w:pgSz w:w="11900" w:h="16838" w:orient="portrait"/>
          <w:cols w:equalWidth="0" w:num="1">
            <w:col w:w="11420"/>
          </w:cols>
          <w:pgMar w:left="240" w:top="341"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in Note 12 to the financial statements, the liabilities for product warranty and recall campaigns amount to $7.8 billion at December 31, 2019. The Company accrues for costs related to product warranty at the time of vehicle sale and accrues the estimated cost of recall campaigns when they are probable and estimable, which is generally at the time of sale.</w:t>
      </w:r>
    </w:p>
    <w:p>
      <w:pPr>
        <w:spacing w:after="0" w:line="200" w:lineRule="exact"/>
        <w:rPr>
          <w:sz w:val="20"/>
          <w:szCs w:val="20"/>
          <w:color w:val="auto"/>
        </w:rPr>
      </w:pPr>
    </w:p>
    <w:p>
      <w:pPr>
        <w:sectPr>
          <w:pgSz w:w="11900" w:h="16838" w:orient="portrait"/>
          <w:cols w:equalWidth="0" w:num="2">
            <w:col w:w="2060" w:space="720"/>
            <w:col w:w="8640"/>
          </w:cols>
          <w:pgMar w:left="240" w:top="341" w:right="239"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Auditing these liabilities is complex and involves a high degree of subjectivity in evaluating management’s estimates, due to the size, uncertainties, and potential volatility related to the estimated liabilities. Management’s estimates consider historical claims experience, including the nature, frequency, and average cost of claims of each vehicle line or each model year of the vehicle line, and the key assumptions of historical data being predictive of future activity and events, in particular, the number of historical periods used and the weighing of historical data in the reserve studies.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1" w:lineRule="exact"/>
        <w:rPr>
          <w:sz w:val="20"/>
          <w:szCs w:val="20"/>
          <w:color w:val="auto"/>
        </w:rPr>
      </w:pPr>
    </w:p>
    <w:p>
      <w:pPr>
        <w:sectPr>
          <w:pgSz w:w="11900" w:h="16838" w:orient="portrait"/>
          <w:cols w:equalWidth="0" w:num="2">
            <w:col w:w="2700" w:space="80"/>
            <w:col w:w="8620"/>
          </w:cols>
          <w:pgMar w:left="240" w:top="341" w:right="259" w:bottom="1440" w:gutter="0" w:footer="0" w:header="0"/>
          <w:type w:val="continuous"/>
        </w:sectPr>
      </w:pPr>
    </w:p>
    <w:p>
      <w:pPr>
        <w:ind w:left="2780"/>
        <w:spacing w:after="0"/>
        <w:rPr>
          <w:sz w:val="20"/>
          <w:szCs w:val="20"/>
          <w:color w:val="auto"/>
        </w:rPr>
      </w:pPr>
      <w:r>
        <w:rPr>
          <w:rFonts w:ascii="Arial" w:cs="Arial" w:eastAsia="Arial" w:hAnsi="Arial"/>
          <w:sz w:val="18"/>
          <w:szCs w:val="18"/>
          <w:b w:val="1"/>
          <w:bCs w:val="1"/>
          <w:color w:val="auto"/>
        </w:rPr>
        <w:t>Sales incentives</w:t>
      </w:r>
    </w:p>
    <w:p>
      <w:pPr>
        <w:spacing w:after="0" w:line="67" w:lineRule="exact"/>
        <w:rPr>
          <w:sz w:val="20"/>
          <w:szCs w:val="20"/>
          <w:color w:val="auto"/>
        </w:rPr>
      </w:pPr>
    </w:p>
    <w:p>
      <w:pPr>
        <w:ind w:left="40"/>
        <w:spacing w:after="0"/>
        <w:tabs>
          <w:tab w:leader="none" w:pos="2760" w:val="left"/>
        </w:tabs>
        <w:rPr>
          <w:sz w:val="20"/>
          <w:szCs w:val="20"/>
          <w:color w:val="auto"/>
        </w:rPr>
      </w:pPr>
      <w:r>
        <w:rPr>
          <w:rFonts w:ascii="Arial" w:cs="Arial" w:eastAsia="Arial" w:hAnsi="Arial"/>
          <w:sz w:val="18"/>
          <w:szCs w:val="18"/>
          <w:b w:val="1"/>
          <w:bCs w:val="1"/>
          <w:i w:val="1"/>
          <w:iCs w:val="1"/>
          <w:color w:val="auto"/>
        </w:rPr>
        <w:t>Description of the matter</w:t>
      </w:r>
      <w:r>
        <w:rPr>
          <w:sz w:val="20"/>
          <w:szCs w:val="20"/>
          <w:color w:val="auto"/>
        </w:rPr>
        <w:tab/>
      </w:r>
      <w:r>
        <w:rPr>
          <w:rFonts w:ascii="Arial" w:cs="Arial" w:eastAsia="Arial" w:hAnsi="Arial"/>
          <w:sz w:val="16"/>
          <w:szCs w:val="16"/>
          <w:color w:val="auto"/>
        </w:rPr>
        <w:t>Automotive sales and revenue represents the amount of consideration to which the Company expects to be entitled in</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exchange for transferring goods or providing services, which is net of dealer and customer sales incentives the</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Company expects to pay. As discussed in Note 2 to the financial statements, provisions for dealer and customer</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incentives are recorded as a reduction to Automotive net sales and revenue at the time of vehicle sale. The liabilities for</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dealer and customer allowances, claims and discounts amount to $10.4 billion at December 31, 2019.</w:t>
      </w:r>
    </w:p>
    <w:p>
      <w:pPr>
        <w:spacing w:after="0" w:line="4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Auditing the estimate of sales incentives involved a high degree of judgment. Significant factors used by the Company</w:t>
      </w:r>
    </w:p>
    <w:p>
      <w:pPr>
        <w:spacing w:after="0" w:line="4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in estimating its liability for retail incentives include forecasted sales volumes, product mix, and the rate of customer</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acceptance of incentive programs, all of which are estimated based on historical experience and assumptions</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concerning future customer behavior and market conditions. The Company’s estimation model reflects the best</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estimate of the total incentive amount that the Company reasonably expects to pay at the time of sale. The estimated</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cost of incentives is forward-looking, and could be materially affected by future economic and market conditions.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How we addressed the matter in our </w:t>
      </w:r>
      <w:r>
        <w:rPr>
          <w:rFonts w:ascii="Arial" w:cs="Arial" w:eastAsia="Arial" w:hAnsi="Arial"/>
          <w:sz w:val="16"/>
          <w:szCs w:val="16"/>
          <w:color w:val="auto"/>
        </w:rPr>
        <w:t>We evaluated the design and tested the operating effectiveness of internal controls over the Company’s sales incentive</w:t>
      </w:r>
    </w:p>
    <w:p>
      <w:pPr>
        <w:spacing w:after="0" w:line="46" w:lineRule="exact"/>
        <w:rPr>
          <w:sz w:val="20"/>
          <w:szCs w:val="20"/>
          <w:color w:val="auto"/>
        </w:rPr>
      </w:pPr>
    </w:p>
    <w:p>
      <w:pPr>
        <w:ind w:left="2780" w:hanging="2739"/>
        <w:spacing w:after="0" w:line="250" w:lineRule="auto"/>
        <w:tabs>
          <w:tab w:leader="none" w:pos="2760" w:val="left"/>
        </w:tabs>
        <w:rPr>
          <w:sz w:val="20"/>
          <w:szCs w:val="20"/>
          <w:color w:val="auto"/>
        </w:rPr>
      </w:pPr>
      <w:r>
        <w:rPr>
          <w:rFonts w:ascii="Arial" w:cs="Arial" w:eastAsia="Arial" w:hAnsi="Arial"/>
          <w:sz w:val="18"/>
          <w:szCs w:val="18"/>
          <w:b w:val="1"/>
          <w:bCs w:val="1"/>
          <w:i w:val="1"/>
          <w:iCs w:val="1"/>
          <w:color w:val="auto"/>
        </w:rPr>
        <w:t>audit</w:t>
      </w:r>
      <w:r>
        <w:rPr>
          <w:sz w:val="20"/>
          <w:szCs w:val="20"/>
          <w:color w:val="auto"/>
        </w:rPr>
        <w:tab/>
      </w:r>
      <w:r>
        <w:rPr>
          <w:rFonts w:ascii="Arial" w:cs="Arial" w:eastAsia="Arial" w:hAnsi="Arial"/>
          <w:sz w:val="18"/>
          <w:szCs w:val="18"/>
          <w:color w:val="auto"/>
        </w:rPr>
        <w:t>process, including management’s review of the estimation model, the significant assumptions (e.g., incentive cost per unit, customer take rate, and market conditions), and the data inputs used in the model.</w:t>
      </w:r>
    </w:p>
    <w:p>
      <w:pPr>
        <w:spacing w:after="0" w:line="1" w:lineRule="exact"/>
        <w:rPr>
          <w:sz w:val="20"/>
          <w:szCs w:val="20"/>
          <w:color w:val="auto"/>
        </w:rPr>
      </w:pPr>
    </w:p>
    <w:p>
      <w:pPr>
        <w:jc w:val="both"/>
        <w:ind w:left="2780"/>
        <w:spacing w:after="0" w:line="252" w:lineRule="auto"/>
        <w:rPr>
          <w:sz w:val="20"/>
          <w:szCs w:val="20"/>
          <w:color w:val="auto"/>
        </w:rPr>
      </w:pPr>
      <w:r>
        <w:rPr>
          <w:rFonts w:ascii="Arial" w:cs="Arial" w:eastAsia="Arial" w:hAnsi="Arial"/>
          <w:sz w:val="18"/>
          <w:szCs w:val="18"/>
          <w:color w:val="auto"/>
        </w:rPr>
        <w:t>Our audit procedures included, among others, the performance of analytical procedures to develop an independent range of the liability for retail incentives as of the balance sheet date. Our independent range was developed for comparison to the Company’s recorded accrual,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41" w:right="2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right"/>
        <w:ind w:right="4040"/>
        <w:spacing w:after="0"/>
        <w:rPr>
          <w:sz w:val="20"/>
          <w:szCs w:val="20"/>
          <w:color w:val="auto"/>
        </w:rPr>
      </w:pPr>
      <w:r>
        <w:rPr>
          <w:rFonts w:ascii="Arial" w:cs="Arial" w:eastAsia="Arial" w:hAnsi="Arial"/>
          <w:sz w:val="18"/>
          <w:szCs w:val="18"/>
          <w:b w:val="1"/>
          <w:bCs w:val="1"/>
          <w:color w:val="auto"/>
        </w:rPr>
        <w:t>Valuation of GM Financial Equipment on Operating Leases</w:t>
      </w:r>
    </w:p>
    <w:p>
      <w:pPr>
        <w:sectPr>
          <w:pgSz w:w="11900" w:h="16838" w:orient="portrait"/>
          <w:cols w:equalWidth="0" w:num="1">
            <w:col w:w="11400"/>
          </w:cols>
          <w:pgMar w:left="240" w:top="341" w:right="25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The Company’s estimated residual value of leased vehicles at the end of lease term was $30.4 billion as of December 31, 2019.</w:t>
      </w:r>
    </w:p>
    <w:p>
      <w:pPr>
        <w:spacing w:after="0" w:line="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Auditing management’s estimate of the residual value of leased vehicles involved a high degree of judgment. Management’s estimate is based, in part, on third-party data which considers inputs including recent auction values and significant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1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jc w:val="both"/>
        <w:ind w:right="20"/>
        <w:spacing w:after="0" w:line="295" w:lineRule="auto"/>
        <w:rPr>
          <w:sz w:val="20"/>
          <w:szCs w:val="20"/>
          <w:color w:val="auto"/>
        </w:rPr>
      </w:pPr>
      <w:r>
        <w:rPr>
          <w:rFonts w:ascii="Arial" w:cs="Arial" w:eastAsia="Arial" w:hAnsi="Arial"/>
          <w:sz w:val="16"/>
          <w:szCs w:val="16"/>
          <w:color w:val="auto"/>
        </w:rPr>
        <w:t>Our procedures also included, among others, independently recalculating depreciation related to equipment on operating lease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676" w:lineRule="exact"/>
        <w:rPr>
          <w:sz w:val="20"/>
          <w:szCs w:val="20"/>
          <w:color w:val="auto"/>
        </w:rPr>
      </w:pPr>
    </w:p>
    <w:p>
      <w:pPr>
        <w:sectPr>
          <w:pgSz w:w="11900" w:h="16838" w:orient="portrait"/>
          <w:cols w:equalWidth="0" w:num="2">
            <w:col w:w="2700" w:space="80"/>
            <w:col w:w="8620"/>
          </w:cols>
          <w:pgMar w:left="240" w:top="341" w:right="25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341"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General Motors Company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cash flows and equity for the two years in the period ended December 31, 2019, and the related notes and our report dated February 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Statements of Income, Comprehensive Income, Cash Flows, and Equity of General Motors Company and subsidiaries (the "Company") for the year ended December 31, 2017, and the related notes (collectively referred to as the "financial statements"). In our opinion, the 2017 financial statements present fairly, in all material respects, the results of the Company's operations and its cash flows for the year ended December 31, 2017,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February 6, 2018 (July 25, 2018 as to Note 25,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1918. In 2018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ind w:left="62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0"/>
                <w:szCs w:val="20"/>
                <w:color w:val="auto"/>
              </w:rPr>
            </w:pPr>
          </w:p>
        </w:tc>
      </w:tr>
      <w:tr>
        <w:trPr>
          <w:trHeight w:val="210"/>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4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122,697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133,449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14,540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12,139</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3)</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137,237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4"/>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110,651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120,656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116,229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12,614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11,128</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131,756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142,604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136,927</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Automotive interest expense</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575</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 (Note 19)</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Equity income (Note 8)</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2,132</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7,436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Income tax expense (Note 17)</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11,533</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tax (Note 22)</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4,212</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76"/>
        </w:trPr>
        <w:tc>
          <w:tcPr>
            <w:tcW w:w="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21)</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 xml:space="preserve">Basic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loss per common share – discontinued operations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Basic earnings (loss) per common share</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22"/>
        </w:trPr>
        <w:tc>
          <w:tcPr>
            <w:tcW w:w="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Diluted loss per common share – discontinued operations</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 (loss) per common share</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1,492</w:t>
            </w:r>
          </w:p>
        </w:tc>
        <w:tc>
          <w:tcPr>
            <w:tcW w:w="20" w:type="dxa"/>
            <w:vAlign w:val="bottom"/>
          </w:tcPr>
          <w:p>
            <w:pPr>
              <w:spacing w:after="0"/>
              <w:rPr>
                <w:sz w:val="20"/>
                <w:szCs w:val="20"/>
                <w:color w:val="auto"/>
              </w:rPr>
            </w:pPr>
          </w:p>
        </w:tc>
      </w:tr>
      <w:tr>
        <w:trPr>
          <w:trHeight w:val="312"/>
        </w:trPr>
        <w:tc>
          <w:tcPr>
            <w:tcW w:w="40" w:type="dxa"/>
            <w:vAlign w:val="bottom"/>
          </w:tcPr>
          <w:p>
            <w:pPr>
              <w:spacing w:after="0"/>
              <w:rPr>
                <w:sz w:val="24"/>
                <w:szCs w:val="24"/>
                <w:color w:val="auto"/>
              </w:rPr>
            </w:pPr>
          </w:p>
        </w:tc>
        <w:tc>
          <w:tcPr>
            <w:tcW w:w="8780" w:type="dxa"/>
            <w:vAlign w:val="bottom"/>
            <w:gridSpan w:val="7"/>
          </w:tcPr>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80" w:type="dxa"/>
            <w:vAlign w:val="bottom"/>
            <w:gridSpan w:val="3"/>
          </w:tcPr>
          <w:p>
            <w:pPr>
              <w:jc w:val="right"/>
              <w:ind w:right="15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20)</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 and other</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6"/>
                <w:szCs w:val="16"/>
                <w:color w:val="auto"/>
              </w:rPr>
              <w:t>Defined benefit plans</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20" w:type="dxa"/>
            <w:vAlign w:val="bottom"/>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5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7,069</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(2,565)</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58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(2,545)</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14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1149"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10"/>
        </w:trPr>
        <w:tc>
          <w:tcPr>
            <w:tcW w:w="8120" w:type="dxa"/>
            <w:vAlign w:val="bottom"/>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20,844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debt securities (Note 4)</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5,966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 of allowance of $201 and $211)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11 at VIEs)</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26,601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26,850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current assets (Note 4; Note 11 at VIEs)</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7,953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5,268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75,293</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5; Note 11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25,083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8,562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 (Note 9)</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38,758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 and intangible assets, net (Note 10)</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7; Note 11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43,559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 (Note 17)</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24,640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24,082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(Note 4; Note 11 at VIEs)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153,045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152,046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227,339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676"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20)</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21,018</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22,297</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35,503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30,956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26,487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28,049</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84,905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82,237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12,489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13,028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53,435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60,032</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5,370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12,170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11,538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13,146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12,357</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97,175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102,325</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182,080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184,562</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26,074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25,563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26,860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22,322</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(9,039)</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41,792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38,860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3,917</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676"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42,777</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227,339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676"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41" w:right="239" w:bottom="676"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impairment of Equipment on operating leases, net</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6,805</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amortization and impairment charges on Property,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5,456</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Foreign currency remeasurement and transaction (gains) losses</w:t>
            </w:r>
          </w:p>
        </w:tc>
        <w:tc>
          <w:tcPr>
            <w:tcW w:w="3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Undistributed earnings of nonconsolidated affiliates,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OPEB income,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10,880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other operating assets and liabilities (Note 26)</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 – continuing operations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17,338</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Net cash used in operating activities – discontinued operations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15,256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17,328</w:t>
            </w: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(8,453)</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(5,503)</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finance receivables, net</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(24,538)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(19,325)</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12,578</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(16,404)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(19,180)</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6,667</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 – continuing operations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(24,072)</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Net cash provided by (used in) investing activities – discontinued operations (Note 22)</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r>
        <w:trPr>
          <w:trHeight w:val="202"/>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(10,899)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(27,572)</w:t>
            </w: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36,937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43,801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52,187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(33,592)</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Payments to purchase common stock</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(4,492)</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subsidiary preferred and common stock (Note 20)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Arial" w:cs="Arial" w:eastAsia="Arial" w:hAnsi="Arial"/>
                <w:sz w:val="14"/>
                <w:szCs w:val="14"/>
                <w:color w:val="auto"/>
              </w:rPr>
              <w:t>Net cash provided by financing activities – continuing operations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12,410</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 – discontinued operations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11,454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12,584</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15,160</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23,496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17,848</w:t>
            </w: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 continuing operations at end of period (Note 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22,943</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23,496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17,848</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Significant Non-cash Investing and Financing Activity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Non-cash property additions –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2,837</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3,813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3,996</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proceeds on sale of discontinued operations (Note 22)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1"/>
              <w:spacing w:after="0"/>
              <w:rPr>
                <w:sz w:val="20"/>
                <w:szCs w:val="20"/>
                <w:color w:val="auto"/>
              </w:rPr>
            </w:pPr>
            <w:r>
              <w:rPr>
                <w:rFonts w:ascii="Arial" w:cs="Arial" w:eastAsia="Arial" w:hAnsi="Arial"/>
                <w:sz w:val="13"/>
                <w:szCs w:val="13"/>
                <w:b w:val="1"/>
                <w:bCs w:val="1"/>
                <w:color w:val="auto"/>
                <w:w w:val="86"/>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Total Equity</w:t>
            </w: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44,075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subsidiary preferred stock (Note 20)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25,371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Adoption of accounting standards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subsidiary preferred and common stock (Note 20)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2,862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42,777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6,667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subsidiary preferred stock (Note 20)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140</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45,957</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trucks, crossovers, cars and automobile parts worldwide and are investing in and growing an autonomous vehicle business. We also provide automotive financing services through GM Financial. We analyze the results of our continuing operations through the following operating segments: GMNA, GM International Operations (GMIO), GM South America (GMSA), Cruise and GM Financial. Our GMSA and GMIO operating segments are reported as one, combined international segment, GMI. Cruise, formerly GM Cruise, is our global segment responsible for the development and commercialization of autonomous vehicle technology. Nonsegment operations and Maven, our ride- and car-sharing business, are classified as Corporate. Corporate includes certain centrally recorded income and costs such as interest, income taxes, corporate expenditures and certain nonsegment-specific revenues and expenses.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July 31, 2017 we closed the sale of the Opel/Vauxhall Business to PSA Group. On October 31, 2017 we closed the sale of the Fincos to Banque PSA Finance S.A. and BNP Paribas Personal Finance S.A. The European Business is presented as discontinued operations in our consolidated financial statements for all periods presented. Unless otherwise indicated, information in this report relates to our continuing operations. Refer to Note 22 for additional information on our discontinued operations.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2019 we changed the presentation of our consolidated balance sheets to reclassify the current portion of Equipment on operating leases, net to Other current assets. We have made corresponding reclassifications to the comparable information for all periods presented.</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are prepared in conformity with U.S. GAAP. All intercompany balances 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eliminated in consolidation. Except for per share amounts or as otherwise specified, amounts presented within tables are stated in millions.</w:t>
      </w:r>
    </w:p>
    <w:p>
      <w:pPr>
        <w:spacing w:after="0" w:line="12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consolidate entities that we control due to ownership of a majority voting interest and we consolidate variable interest 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Use of Estimates in the Preparation of the Financial Statements </w:t>
      </w:r>
      <w:r>
        <w:rPr>
          <w:rFonts w:ascii="Arial" w:cs="Arial" w:eastAsia="Arial" w:hAnsi="Arial"/>
          <w:sz w:val="17"/>
          <w:szCs w:val="17"/>
          <w:color w:val="auto"/>
        </w:rPr>
        <w:t>Accounting estimates are an integral part of the consolidated financial statements. These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include the effect of our tax attributes on GM Financial's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and provision for income taxes,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that follow are utilized by our automotive, automotive financing and Cruise operations, unless otherwise indicated.</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adopted Accounting Standards Update (ASU) 2014-09 "Revenue from Contracts with Customers" on January 1, 2018,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us to recognize revenue when a customer obtains control rather than when we have transferred substantially all risks and rewards of a good or service, by applying the modified retrospective method to all noncompleted contracts as of the date of adoption. The comparative information has not been restated and continues to be reported under the accounting standards in effect for those periods. The following accounting policies became effective on January 1, 2018:</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Automotive net sales and revenue represents the amount of consideration to which we expect to be entitled in exchange for vehicle, parts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future customer behavior and market conditions. Subsequent adjustments to incentive estimates are possible as facts and circumstances change over time.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9"/>
          <w:szCs w:val="19"/>
          <w:i w:val="1"/>
          <w:iCs w:val="1"/>
          <w:color w:val="auto"/>
        </w:rPr>
        <w:t>e</w:t>
      </w:r>
      <w:r>
        <w:rPr>
          <w:rFonts w:ascii="Arial" w:cs="Arial" w:eastAsia="Arial" w:hAnsi="Arial"/>
          <w:sz w:val="18"/>
          <w:szCs w:val="18"/>
          <w:i w:val="1"/>
          <w:iCs w:val="1"/>
          <w:color w:val="auto"/>
        </w:rPr>
        <w:t xml:space="preserve">hicle, Parts and Accessories </w:t>
      </w:r>
      <w:r>
        <w:rPr>
          <w:rFonts w:ascii="Arial" w:cs="Arial" w:eastAsia="Arial" w:hAnsi="Arial"/>
          <w:sz w:val="18"/>
          <w:szCs w:val="18"/>
          <w:color w:val="auto"/>
        </w:rPr>
        <w:t>For the majority of vehicle and accessories sales our customers obtain control and we recognize revenue when the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dealer, which generally occurs when the vehicle is released to the carrier responsible for transporting it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17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Certain transfers to daily rental companies are accounted for as sales, with revenue recognized at the time of transfer. At the time of transfer, we defer revenue for remarketing obligations, record a residual value guarantee and reflect a deposit liability for amounts expected to be returned once the remarketing services are complete. Deferred revenue is recognized in earnings upon completion of the remarketing service. Transfers that occurred prior to January 1, 2018 and future transfers containing a substantive repurchase obligation are accounted for as operating leases and rental income is recognized over the estimated term of the lease. Our total exposure to vehicle repurchase obligations would be reduced to the extent vehicles are able to be resold to a third party.</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Used Vehicles </w:t>
      </w:r>
      <w:r>
        <w:rPr>
          <w:rFonts w:ascii="Arial" w:cs="Arial" w:eastAsia="Arial" w:hAnsi="Arial"/>
          <w:sz w:val="18"/>
          <w:szCs w:val="18"/>
          <w:color w:val="auto"/>
        </w:rPr>
        <w:t>Proceeds from the auction of vehicles returned from daily rental car companies and vehicles utilized by our employees are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net sales and revenue upon transfer of control of the vehicle to the customer and the related vehicle carrying value is recognized in Automotive and other cost of sales.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Services and Other </w:t>
      </w:r>
      <w:r>
        <w:rPr>
          <w:rFonts w:ascii="Arial" w:cs="Arial" w:eastAsia="Arial" w:hAnsi="Arial"/>
          <w:sz w:val="17"/>
          <w:szCs w:val="17"/>
          <w:color w:val="auto"/>
        </w:rPr>
        <w:t>Services and other revenue primarily consists of revenue from vehicle-related service arrangements and after-sale services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less than three years.</w:t>
      </w:r>
    </w:p>
    <w:p>
      <w:pPr>
        <w:spacing w:after="0" w:line="17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is recorded as operating lease revenue on a straight-line basis over the term of the lease agreement.</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Advertising and Promotion Expenditures </w:t>
      </w:r>
      <w:r>
        <w:rPr>
          <w:rFonts w:ascii="Arial" w:cs="Arial" w:eastAsia="Arial" w:hAnsi="Arial"/>
          <w:sz w:val="17"/>
          <w:szCs w:val="17"/>
          <w:color w:val="auto"/>
        </w:rPr>
        <w:t>Advertising and promotion expenditures, which are expensed as incurred in Automotive and other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and administrative expense, were $3.7 billion, $4.0 billion and $4.3 billion in the years ended December 31, 2019, 2018 and 2017.</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Research and Development Expenditures </w:t>
      </w:r>
      <w:r>
        <w:rPr>
          <w:rFonts w:ascii="Arial" w:cs="Arial" w:eastAsia="Arial" w:hAnsi="Arial"/>
          <w:sz w:val="18"/>
          <w:szCs w:val="18"/>
          <w:color w:val="auto"/>
        </w:rPr>
        <w:t>Research and development expenditures, which are expensed as incurred in Automotive and other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were $6.8 billion, $7.8 billion and $7.3 billion in the years ended December 31, 2019, 2018 and 2017. We enter into cost sharing arrangements with third parties or nonconsolidated affiliates for product-related research, engineering, design and development activities. Cost sharing payments and fees related to these arrangements are presented in Automotive and other cost of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Cash Equivalents and Restricted Cash </w:t>
      </w:r>
      <w:r>
        <w:rPr>
          <w:rFonts w:ascii="Arial" w:cs="Arial" w:eastAsia="Arial" w:hAnsi="Arial"/>
          <w:sz w:val="18"/>
          <w:szCs w:val="18"/>
          <w:color w:val="auto"/>
        </w:rPr>
        <w:t>Cash equivalents are defined as short-term, highly-liquid investments with original maturities of 90 days or less. We</w:t>
      </w: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to post cash as collateral as part of certain agreements that we enter into as part of our operations.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A three-level valuation hierarchy, based upon observable and unobservable inputs, is used for fair value measurements.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guidelines, are considered in determining the classification of securities. Available-for-sale debt securities are recorded at fair value with unrealized gains and losses recorded net of related income taxes in Accumulated other comprehensive loss until realized. Trading debt securities are recorded at fair value with changes in fair value recorded in Interest income and other non-operating income, net. We determine realized gains and losses for all debt securities using the specific identification method.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debt securities are other-than-temporary. Factors considered include the length of time and extent to which the fair value has been below cost, the financial condition and near-term prospects of the issuer and the intent to sell or likelihood to be forced to sell the debt security before any anticipated recovery.</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Accounts and Notes Receivable </w:t>
      </w:r>
      <w:r>
        <w:rPr>
          <w:rFonts w:ascii="Arial" w:cs="Arial" w:eastAsia="Arial" w:hAnsi="Arial"/>
          <w:sz w:val="17"/>
          <w:szCs w:val="17"/>
          <w:color w:val="auto"/>
        </w:rPr>
        <w:t>Accounts and notes receivable primarily consists of amounts that are due and payable from our customers for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vehicles, parts, and accessories. We evaluate the collectability of receivables each reporting period and record an allowance for doubtful accounts representing our estimate of probable losses. Additions to the allowance are charged to bad debt expense reported in Automotive and other selling, general and administrative expense and were insignificant in the years ended December 31, 2019, 2018 and 2017.</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GM Financial Receivables </w:t>
      </w:r>
      <w:r>
        <w:rPr>
          <w:rFonts w:ascii="Arial" w:cs="Arial" w:eastAsia="Arial" w:hAnsi="Arial"/>
          <w:sz w:val="16"/>
          <w:szCs w:val="16"/>
          <w:color w:val="auto"/>
        </w:rPr>
        <w:t>Finance receivables are carried at amortized cost, net of allowance for loan losses. GM Financial uses forecasting models to</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the collective allowance for loan losses based on factors including historical delinquency migration to loss, probability of default and loss given default. The loss confirmation period is a key assumption within the models and represents the average amount of time from when a loss event first occurs to when the receivable is charged off. GM Financial also considers an evaluation of overall portfolio credit quality based on various indicators.</w:t>
      </w:r>
    </w:p>
    <w:p>
      <w:pPr>
        <w:spacing w:after="0" w:line="15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finance receivables that become classified as troubled debt restructurings (TDRs) are separately assessed for impairment. A specific allowance is estimated based on the present value of the expected future cash flows of the receivables discounted at the original weighted average effective interest rate.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finance receivables are generally charged off in the month in which the account becomes 120 days contractually delinquent if GM Financial has not yet recorded a repossession charge-off. A repossession charge-off generally represents the difference between the estimated net sales proceeds and the unpaid balance of the contract, including accrued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Net realizable value is the estimated selling price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Productive material, supplies, work in process and service parts are reviewed to determine if inventory quantities are in excess of forecasted usage or if they have become obsolete.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Equipment on Operating Leases </w:t>
      </w:r>
      <w:r>
        <w:rPr>
          <w:rFonts w:ascii="Arial" w:cs="Arial" w:eastAsia="Arial" w:hAnsi="Arial"/>
          <w:sz w:val="17"/>
          <w:szCs w:val="17"/>
          <w:color w:val="auto"/>
        </w:rPr>
        <w:t>Equipment on operating leases, net consists of vehicle leases to retail customers with lease terms of two to five years and</w:t>
      </w:r>
      <w:r>
        <w:rPr>
          <w:rFonts w:ascii="Arial" w:cs="Arial" w:eastAsia="Arial" w:hAnsi="Arial"/>
          <w:sz w:val="17"/>
          <w:szCs w:val="17"/>
          <w:b w:val="1"/>
          <w:bCs w:val="1"/>
          <w:color w:val="auto"/>
        </w:rPr>
        <w:t xml:space="preserve"> </w:t>
      </w:r>
      <w:r>
        <w:rPr>
          <w:rFonts w:ascii="Arial" w:cs="Arial" w:eastAsia="Arial" w:hAnsi="Arial"/>
          <w:sz w:val="17"/>
          <w:szCs w:val="17"/>
          <w:color w:val="auto"/>
        </w:rPr>
        <w:t>vehicle sales to rental car companies that are expected to be repurchased in an average of seven 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operations when a vehicle that is accounted for as a lease is returned the asset is reclassified from Equipment on operating leases, net to Inventories at the lower of cost or net realizable value. Upon disposition, proceeds are recorded in Automotive net sales and revenue and costs are recorded in Automotive and other cost of sales.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Equity Investments </w:t>
      </w:r>
      <w:r>
        <w:rPr>
          <w:rFonts w:ascii="Arial" w:cs="Arial" w:eastAsia="Arial" w:hAnsi="Arial"/>
          <w:sz w:val="16"/>
          <w:szCs w:val="16"/>
          <w:color w:val="auto"/>
        </w:rPr>
        <w:t>When events and circumstances warrant, equity investments accounted for under the equity method of accounting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15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Property, net </w:t>
      </w:r>
      <w:r>
        <w:rPr>
          <w:rFonts w:ascii="Arial" w:cs="Arial" w:eastAsia="Arial" w:hAnsi="Arial"/>
          <w:sz w:val="16"/>
          <w:szCs w:val="16"/>
          <w:color w:val="auto"/>
        </w:rPr>
        <w:t>Property, plant and equipment, including internal use software, is recorded at cost. Major improvements that extend the useful life or add</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functionality are capitalized. The gross amount of assets under finance leases, prior to 2019, capital leases, is included in property, plant and equipment.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prior to 2019, capital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Tools </w:t>
      </w:r>
      <w:r>
        <w:rPr>
          <w:rFonts w:ascii="Arial" w:cs="Arial" w:eastAsia="Arial" w:hAnsi="Arial"/>
          <w:sz w:val="18"/>
          <w:szCs w:val="18"/>
          <w:color w:val="auto"/>
        </w:rPr>
        <w:t>Special tools represent product-specific propulsion and non-propulsion related tools, dies, molds and other items used in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is not amortized but rather tested for impairment annually on October 1 or when events occur or circumstances change that would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such a review. The impairment test 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color w:val="auto"/>
        </w:rPr>
        <w:t>Intangible assets, excluding goodwill, primarily include brand names, technology and intellectual property, customer relationships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dealer networks. Intangible assets are amortized on a straight-line or an accelerated method of amortization over their estimated useful lives. An accelerated amortization method reflecting the pattern in which the asset will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 consumed is utilized if that pattern can be reliably determined. We consider the period of expected cash flows and underlying data used to measure the fair value of the intangible assets when selecting a useful life.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Valuation of Long-Lived Assets </w:t>
      </w:r>
      <w:r>
        <w:rPr>
          <w:rFonts w:ascii="Arial" w:cs="Arial" w:eastAsia="Arial" w:hAnsi="Arial"/>
          <w:sz w:val="18"/>
          <w:szCs w:val="18"/>
          <w:color w:val="auto"/>
        </w:rPr>
        <w:t>The carrying amount of long-lived assets and finite-lived intangible assets to be held and used in the business is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Attribution, Methods and Assumptions </w:t>
      </w:r>
      <w:r>
        <w:rPr>
          <w:rFonts w:ascii="Arial" w:cs="Arial" w:eastAsia="Arial" w:hAnsi="Arial"/>
          <w:sz w:val="18"/>
          <w:szCs w:val="18"/>
          <w:color w:val="auto"/>
        </w:rPr>
        <w:t>The cost of benefits provided by defined benefit pension plans is recorded in the period employees provide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5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benefit obligation for pension plans in Canada, the U.K. and Germany represents 93% of the non-U.S. pension benefit obligation at December 31, 2019. The discount rates for plans in Canada, the U.K. and Germany are determined using a cash flow matching approach like the U.S.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Plan Asset Valuation </w:t>
      </w:r>
      <w:r>
        <w:rPr>
          <w:rFonts w:ascii="Arial" w:cs="Arial" w:eastAsia="Arial" w:hAnsi="Arial"/>
          <w:sz w:val="18"/>
          <w:szCs w:val="18"/>
          <w:color w:val="auto"/>
        </w:rPr>
        <w:t>Due to the lack of timely available market information for certain investments in the asset classes described below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uncertainty of valuation, reported fair values may differ from fair values that would have been used had timely available market information been available.</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 xml:space="preserve">Common and Preferred Stock </w:t>
      </w:r>
      <w:r>
        <w:rPr>
          <w:rFonts w:ascii="Arial" w:cs="Arial" w:eastAsia="Arial" w:hAnsi="Arial"/>
          <w:sz w:val="17"/>
          <w:szCs w:val="17"/>
          <w:color w:val="auto"/>
        </w:rPr>
        <w:t>Common and preferred stock for which market prices are readily available at the measurement date are valued at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Valuations for debt securities are based on quotations received from independent pricing services or from dealers who make markets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Debt securities priced via pricing services that utilize matrix pricing which considers readily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observable inputs such as the yield or price of bonds of comparable quality, coupon, maturity and type as well as dealer supplied prices, are classified in Level</w:t>
      </w:r>
    </w:p>
    <w:p>
      <w:pPr>
        <w:spacing w:after="0" w:line="46" w:lineRule="exact"/>
        <w:rPr>
          <w:sz w:val="20"/>
          <w:szCs w:val="20"/>
          <w:color w:val="auto"/>
        </w:rPr>
      </w:pPr>
    </w:p>
    <w:p>
      <w:pPr>
        <w:jc w:val="both"/>
        <w:ind w:firstLine="8"/>
        <w:spacing w:after="0" w:line="255"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9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Investment Funds, Private Equity and Debt Investments and Real Estate Investments </w:t>
      </w:r>
      <w:r>
        <w:rPr>
          <w:rFonts w:ascii="Arial" w:cs="Arial" w:eastAsia="Arial" w:hAnsi="Arial"/>
          <w:sz w:val="18"/>
          <w:szCs w:val="18"/>
          <w:color w:val="auto"/>
        </w:rPr>
        <w:t>Investment funds, private equity and debt investments and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valued based on the Net Asset Value (NAV) per Share (or its equivalent) as a practical expedient to estimate fair value due to the absence of readily available market prices.</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Our stock incentive plans include RSUs, RSAs, PSUs, stock options and awards that may be settled in our stock, the stock of our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or in cash. We measure and record compensation expense based on the fair value of GM or Cruise's common stock on the date of grant for RSUs, RSAs and PSUs and the grant date fair value, determined utilizing a lattice model or the Black-Scholes formula, for stock options and PSUs. RSUs granted in stock of Cruise vest upon satisfaction of both a service condition and a liquidity condition, defined as a change in control transaction or the consummation of an initial public offering. Compensation cost for awards that do not have an established accounting grant date, but for which the service inception date has been established, or are settled in cash is based on the fair value of GM or Cruise's common stock at the end of each reporting period. We record compensation cost for service-based RSUs, RSAs, PSUs and service-based stock options on a straight-line basis over the entire vesting period, or for retirement eligible employees over the requisite service period. Compensation costs for RSUs granted in stock of Cruise will be recorded when the liquidity condition described above is met. We use the graded vesting method to record compensation cost for stock options with market conditions over the lesser of the vesting period or the time period an employee becomes eligible to retain the award at retirement.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Warranty and Recall Campaigns </w:t>
      </w:r>
      <w:r>
        <w:rPr>
          <w:rFonts w:ascii="Arial" w:cs="Arial" w:eastAsia="Arial" w:hAnsi="Arial"/>
          <w:sz w:val="18"/>
          <w:szCs w:val="18"/>
          <w:color w:val="auto"/>
        </w:rPr>
        <w:t>The estimated costs related to product warranties are accrued at the time products are sold and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18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estimated costs related to recall campaigns are accrued when probable and estimable, which is generally at the time of vehicle sale.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liability method is used in accounting for income taxes. Deferred tax assets and liabilities are recorded for temporary differences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w:t>
      </w:r>
    </w:p>
    <w:p>
      <w:pPr>
        <w:spacing w:after="0" w:line="18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 We record Global Intangible Low Tax Income (GILTI) as a current period expense when incurred.</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Foreign Currency Transactions and Translation </w:t>
      </w:r>
      <w:r>
        <w:rPr>
          <w:rFonts w:ascii="Arial" w:cs="Arial" w:eastAsia="Arial" w:hAnsi="Arial"/>
          <w:sz w:val="17"/>
          <w:szCs w:val="17"/>
          <w:color w:val="auto"/>
        </w:rPr>
        <w:t>The assets and liabilities of foreign subsidiaries that use the local currency as their functional currency are</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 and remeasurement gains were $85 million and losses were $168 million and $52 million in the years ended December 31, 2019, 2018 and 2017.</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Derivative financial instruments are recognized as either assets or liabilities at fair value. The accounting for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each derivative financial instrument depends on whether it has been designated and qualifies as an accounting hedge, as well as the type of hedging relationship identified. Derivative instruments are not used for trading or speculative purposes.</w:t>
      </w:r>
    </w:p>
    <w:p>
      <w:pPr>
        <w:spacing w:after="0" w:line="1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We utilize options, swaps and forward contracts to manage foreign currency and commodity price risk. The change in fair value of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contracts not designated as hedges is recorded in Interest income and other non-operating income, net. Cash flows for all derivative financial instruments are classified in cash flows from operating activities.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 Gains or losses as a result of the change in the fair value of the PSA warrants are recorded in Interest income and other non-operating income, net.</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Automotive Financing - GM Financial </w:t>
      </w:r>
      <w:r>
        <w:rPr>
          <w:rFonts w:ascii="Arial" w:cs="Arial" w:eastAsia="Arial" w:hAnsi="Arial"/>
          <w:sz w:val="16"/>
          <w:szCs w:val="16"/>
          <w:color w:val="auto"/>
        </w:rPr>
        <w:t>GM Financial utilizes interest rate derivative instruments to manage interest rate risk and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instruments to manage foreign currency risk. The change in fair value of the derivative instruments not designated as hedges is recorded in GM Financial interest, operating and other expenses. Cash flows for all derivative financial instruments are classified in cash flows from operating activities.</w:t>
      </w:r>
    </w:p>
    <w:p>
      <w:pPr>
        <w:spacing w:after="0" w:line="14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15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Recently Adopted Accounting Standards </w:t>
      </w:r>
      <w:r>
        <w:rPr>
          <w:rFonts w:ascii="Arial" w:cs="Arial" w:eastAsia="Arial" w:hAnsi="Arial"/>
          <w:sz w:val="17"/>
          <w:szCs w:val="17"/>
          <w:color w:val="auto"/>
        </w:rPr>
        <w:t>Effective January 1, 2019, we adopted ASU 2016-02, "Leases" (ASU 2016-02) using the modified retrospective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method, resulting in a cumulative-effect adjustment to the opening balance of Retained earnings for an insignificant amount. We recognized $1.0 billion of right of use assets and lease obligations included in Other assets, Accrued liabilities and Other liabilities on our consolidated balance sheet for our existing operating lease portfolio at January 1, 2019. We elected to apply the practical expedient related to land easements, as well as the package of practical expedients permitted under the transition guidance in the new standard, which allowed us to carry forward our historical lease classification. The accounting for our finance leases and leases where we are the lessor remained substantially unchanged. The application of ASU 2016-02 had no impact on our consolidated income statement or consolidated statement of cash flows.</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at December 31, 2018 as disclosed in our 2018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commitments(a)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4360" w:type="dxa"/>
            <w:vAlign w:val="bottom"/>
            <w:vMerge w:val="restart"/>
          </w:tcPr>
          <w:p>
            <w:pPr>
              <w:jc w:val="right"/>
              <w:ind w:right="3532"/>
              <w:spacing w:after="0"/>
              <w:rPr>
                <w:sz w:val="20"/>
                <w:szCs w:val="20"/>
                <w:color w:val="auto"/>
              </w:rPr>
            </w:pPr>
            <w:r>
              <w:rPr>
                <w:rFonts w:ascii="Arial" w:cs="Arial" w:eastAsia="Arial" w:hAnsi="Arial"/>
                <w:sz w:val="16"/>
                <w:szCs w:val="16"/>
                <w:color w:val="auto"/>
                <w:w w:val="89"/>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for information on our operating leases at December 31, 2019.</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Accounting Standards Not Yet Adopted </w:t>
      </w:r>
      <w:r>
        <w:rPr>
          <w:rFonts w:ascii="Arial" w:cs="Arial" w:eastAsia="Arial" w:hAnsi="Arial"/>
          <w:sz w:val="18"/>
          <w:szCs w:val="18"/>
          <w:color w:val="auto"/>
        </w:rPr>
        <w:t>In June 2016 the Financial Accounting Standards Board issued ASU 2016-13, "Financial Instruments –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(Topic 326): Measurement of Credit Losses on Financial Instruments" (ASU 2016-13), which requires entities to use a new impairment model based on Current Expected Credit Losses (CECL) rather than incurred losses. We adopted ASU 2016-13 on January 1, 2020 on a modified retrospective basis. Upon adoption, estimated credit losses under CECL consider relevant information about past events, current conditions and reasonable and supportable forecasts that affect the collectibility of the reported amount, resulting in recognition of lifetime expected credit losses upon loan origination. The adoption impact of ASU 2016-13 will increase our allowance for credit losses by approximately $800 million, with an after-tax reduction to Retained earnings of approximately $600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r>
        <w:rPr>
          <w:rFonts w:ascii="Arial" w:cs="Arial" w:eastAsia="Arial" w:hAnsi="Arial"/>
          <w:sz w:val="19"/>
          <w:szCs w:val="19"/>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1"/>
              </w:rPr>
              <w:t>Cruise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3"/>
                <w:szCs w:val="13"/>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Reclassifications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101,346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116,277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116,277</w:t>
            </w:r>
          </w:p>
        </w:tc>
        <w:tc>
          <w:tcPr>
            <w:tcW w:w="0" w:type="dxa"/>
            <w:vAlign w:val="bottom"/>
          </w:tcPr>
          <w:p>
            <w:pPr>
              <w:spacing w:after="0"/>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106,366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16,111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122,697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122,697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10,032</w:t>
            </w:r>
          </w:p>
        </w:tc>
        <w:tc>
          <w:tcPr>
            <w:tcW w:w="0" w:type="dxa"/>
            <w:vAlign w:val="bottom"/>
          </w:tcPr>
          <w:p>
            <w:pPr>
              <w:spacing w:after="0"/>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14,554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14,540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122,697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137,237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22"/>
              <w:spacing w:after="0"/>
              <w:rPr>
                <w:sz w:val="20"/>
                <w:szCs w:val="20"/>
                <w:color w:val="auto"/>
              </w:rPr>
            </w:pPr>
            <w:r>
              <w:rPr>
                <w:rFonts w:ascii="Arial" w:cs="Arial" w:eastAsia="Arial" w:hAnsi="Arial"/>
                <w:sz w:val="14"/>
                <w:szCs w:val="14"/>
                <w:b w:val="1"/>
                <w:bCs w:val="1"/>
                <w:color w:val="auto"/>
              </w:rPr>
              <w:t>Year Ended December 31,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3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GMI</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Total Automotive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GM Financial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36"/>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125,155</w:t>
            </w: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3,354</w:t>
            </w:r>
          </w:p>
        </w:tc>
      </w:tr>
      <w:tr>
        <w:trPr>
          <w:trHeight w:val="33"/>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4,536</w:t>
            </w:r>
          </w:p>
        </w:tc>
      </w:tr>
      <w:tr>
        <w:trPr>
          <w:trHeight w:val="217"/>
        </w:trPr>
        <w:tc>
          <w:tcPr>
            <w:tcW w:w="3080" w:type="dxa"/>
            <w:vAlign w:val="bottom"/>
          </w:tcPr>
          <w:p>
            <w:pPr>
              <w:ind w:left="160"/>
              <w:spacing w:after="0"/>
              <w:rPr>
                <w:sz w:val="20"/>
                <w:szCs w:val="20"/>
                <w:color w:val="auto"/>
              </w:rPr>
            </w:pPr>
            <w:r>
              <w:rPr>
                <w:rFonts w:ascii="Arial" w:cs="Arial" w:eastAsia="Arial" w:hAnsi="Arial"/>
                <w:sz w:val="16"/>
                <w:szCs w:val="16"/>
                <w:color w:val="auto"/>
              </w:rPr>
              <w:t>Automotive net sales and revenue</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113,792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19,148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133,143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133,045</w:t>
            </w:r>
          </w:p>
        </w:tc>
      </w:tr>
      <w:tr>
        <w:trPr>
          <w:trHeight w:val="33"/>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9,963</w:t>
            </w: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3,621</w:t>
            </w:r>
          </w:p>
        </w:tc>
      </w:tr>
      <w:tr>
        <w:trPr>
          <w:trHeight w:val="33"/>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r>
      <w:tr>
        <w:trPr>
          <w:trHeight w:val="217"/>
        </w:trPr>
        <w:tc>
          <w:tcPr>
            <w:tcW w:w="3080" w:type="dxa"/>
            <w:vAlign w:val="bottom"/>
          </w:tcPr>
          <w:p>
            <w:pPr>
              <w:ind w:left="160"/>
              <w:spacing w:after="0"/>
              <w:rPr>
                <w:sz w:val="20"/>
                <w:szCs w:val="20"/>
                <w:color w:val="auto"/>
              </w:rPr>
            </w:pPr>
            <w:r>
              <w:rPr>
                <w:rFonts w:ascii="Arial" w:cs="Arial" w:eastAsia="Arial" w:hAnsi="Arial"/>
                <w:sz w:val="16"/>
                <w:szCs w:val="16"/>
                <w:color w:val="auto"/>
              </w:rPr>
              <w:t>GM Financial net sales and revenue</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14,004</w:t>
            </w:r>
          </w:p>
        </w:tc>
      </w:tr>
      <w:tr>
        <w:trPr>
          <w:trHeight w:val="33"/>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19,148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133,143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147,049</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Revenue is measured as the amount of consideration we expect to receive in exchange for transferring goods or providing services. Adjustments to sales incentives for previously recognized sales were insignificant during the years ended December 31, 2019 and 2018.</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Contract liabilities in our Automotive segments primarily consist of maintenance, extended warranty and other service contracts. We recognized revenue of $1.5 billion and $1.4 billion related to contract liabilities during the years ended December 31, 2019 and 2018. We expect to recognize revenue of $1.1 billion, $487 million and $658 million in the years ending December 31, 2020, 2021 and thereafter related to contract liabilities as of December 31, 2019.</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and equity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securities(c)</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3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$248 million and $616 million that is designated exclusively to fund capital expenditures in GM Korea at December 31, 2019 and 2018. Refer to Note 20 for additional information.</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$2.3 billion in Cruise at December 31, 2019 and 2018. Refer to Note 20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$266 million in Cruise at December 31,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mortgage- and asset-backed securities of $681 million at December 31, 2019 as these securities are not due at a single maturity date.</w:t>
      </w:r>
    </w:p>
    <w:p>
      <w:pPr>
        <w:spacing w:after="0" w:line="20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Proceeds from the sale of available-for-sale debt investments sold prior to maturity were $4.5 billion, $4.3 billion and $5.6 billion in the years ended December 31, 2019, 2018 and 2017. Net unrealized gains and losses on available-for-sale debt securities were insignificant in the years ended December 31, 2019, 2018 and 2017. Cumulative unrealized gains and losses on available-for-sale debt securities were insignificant at December 31, 2019 and 2018.</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remaining investment in Lyft was measured at fair value at December 31, 2019 using Lyft’s quoted market price, a Level 1 input. Prior to Lyft's initial public offering, our investment in Lyft was measured at fair value using Level 3 inputs at December 31, 2018. The fair value of this investment was $535 million included in Other current assets and $884 million included in Other assets at December 31, 2019 and 2018. We recorded an insignificant unrealized loss and an unrealized gain of $142 million in Interest income and other non-operating income, net in the years ended December 31, 2019 and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7"/>
              </w:rPr>
              <w:t>19,069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w w:val="87"/>
              </w:rPr>
              <w:t>22,943</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23,496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Note 5. GM Financial Receivables and Transactions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4"/>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44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Finance receivables, collectively evaluated for impairment,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39,851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51,446</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38,220</w:t>
            </w:r>
          </w:p>
        </w:tc>
        <w:tc>
          <w:tcPr>
            <w:tcW w:w="62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50,455</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4"/>
              </w:rPr>
              <w:t>Finance receivables, individually evaluated for impairment,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net of fees(b)</w:t>
            </w:r>
          </w:p>
        </w:tc>
        <w:tc>
          <w:tcPr>
            <w:tcW w:w="2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41,363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52,956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39,724</w:t>
            </w:r>
          </w:p>
        </w:tc>
        <w:tc>
          <w:tcPr>
            <w:tcW w:w="6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51,933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utilizing Level 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Fair value of GM Financial receivables utilizing Level 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41,973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39,430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0" w:hanging="332"/>
        <w:spacing w:after="0" w:line="249"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of dealer cash management balances of $1.2 billion and $922 million at December 31, 2019 and 2018. Under the cash management program, subject to certain conditions, a dealer may choose to reduce the amount of interest on their floorplan line by making principal payments to GM Financial in advance.</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allowance for loan losses included $330 million and $321 million of specific allowances on retail receivables at December 31, 2019 and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757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$596 million, $586 million and $611 million and a specific allowance of $348 million, $325 million and $331 million at December 31, 2019, 2018 and 2017. Refer to Note 2 for expected impact of adoption of ASU 2016-13.</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December 31, 2019 and 2018 24% and 25% of retail finance receivables were from consumers with sub-prime credit scores, which are defined as a FICO score or its equivalent of less than 620 at the time of loan origination.</w:t>
      </w:r>
    </w:p>
    <w:p>
      <w:pPr>
        <w:sectPr>
          <w:pgSz w:w="11900" w:h="16838" w:orient="portrait"/>
          <w:cols w:equalWidth="0" w:num="1">
            <w:col w:w="11420"/>
          </w:cols>
          <w:pgMar w:left="240" w:top="34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34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purchase retail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$875 million and $888 million at December 31, 2019 and 2018.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Proprietary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December 31, 2019 and 2018.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53"/>
        </w:trPr>
        <w:tc>
          <w:tcPr>
            <w:tcW w:w="840" w:type="dxa"/>
            <w:vAlign w:val="bottom"/>
            <w:tcBorders>
              <w:bottom w:val="single" w:sz="8" w:color="CCEEFF"/>
            </w:tcBorders>
          </w:tcPr>
          <w:p>
            <w:pPr>
              <w:spacing w:after="0"/>
              <w:rPr>
                <w:sz w:val="4"/>
                <w:szCs w:val="4"/>
                <w:color w:val="auto"/>
              </w:rPr>
            </w:pPr>
          </w:p>
        </w:tc>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77"/>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0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superior financial metrics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r>
      <w:tr>
        <w:trPr>
          <w:trHeight w:val="289"/>
        </w:trPr>
        <w:tc>
          <w:tcPr>
            <w:tcW w:w="840" w:type="dxa"/>
            <w:vAlign w:val="bottom"/>
          </w:tcPr>
          <w:p>
            <w:pPr>
              <w:ind w:left="40"/>
              <w:spacing w:after="0"/>
              <w:rPr>
                <w:sz w:val="20"/>
                <w:szCs w:val="20"/>
                <w:color w:val="auto"/>
              </w:rPr>
            </w:pPr>
            <w:r>
              <w:rPr>
                <w:rFonts w:ascii="Arial" w:cs="Arial" w:eastAsia="Arial" w:hAnsi="Arial"/>
                <w:sz w:val="18"/>
                <w:szCs w:val="18"/>
                <w:color w:val="auto"/>
              </w:rPr>
              <w:t>Group II</w:t>
            </w:r>
          </w:p>
        </w:tc>
        <w:tc>
          <w:tcPr>
            <w:tcW w:w="7060" w:type="dxa"/>
            <w:vAlign w:val="bottom"/>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strong financial metrics</w:t>
            </w:r>
          </w:p>
        </w:tc>
        <w:tc>
          <w:tcPr>
            <w:tcW w:w="200" w:type="dxa"/>
            <w:vAlign w:val="bottom"/>
          </w:tcPr>
          <w:p>
            <w:pPr>
              <w:spacing w:after="0"/>
              <w:rPr>
                <w:sz w:val="24"/>
                <w:szCs w:val="24"/>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4,399</w:t>
            </w:r>
          </w:p>
        </w:tc>
      </w:tr>
      <w:tr>
        <w:trPr>
          <w:trHeight w:val="306"/>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0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fair financial metrics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4,064</w:t>
            </w:r>
          </w:p>
        </w:tc>
      </w:tr>
      <w:tr>
        <w:trPr>
          <w:trHeight w:val="289"/>
        </w:trPr>
        <w:tc>
          <w:tcPr>
            <w:tcW w:w="840" w:type="dxa"/>
            <w:vAlign w:val="bottom"/>
          </w:tcPr>
          <w:p>
            <w:pPr>
              <w:ind w:left="40"/>
              <w:spacing w:after="0"/>
              <w:rPr>
                <w:sz w:val="20"/>
                <w:szCs w:val="20"/>
                <w:color w:val="auto"/>
              </w:rPr>
            </w:pPr>
            <w:r>
              <w:rPr>
                <w:rFonts w:ascii="Arial" w:cs="Arial" w:eastAsia="Arial" w:hAnsi="Arial"/>
                <w:sz w:val="18"/>
                <w:szCs w:val="18"/>
                <w:color w:val="auto"/>
              </w:rPr>
              <w:t>Group IV</w:t>
            </w:r>
          </w:p>
        </w:tc>
        <w:tc>
          <w:tcPr>
            <w:tcW w:w="7060" w:type="dxa"/>
            <w:vAlign w:val="bottom"/>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weak financial metrics</w:t>
            </w:r>
          </w:p>
        </w:tc>
        <w:tc>
          <w:tcPr>
            <w:tcW w:w="200" w:type="dxa"/>
            <w:vAlign w:val="bottom"/>
          </w:tcPr>
          <w:p>
            <w:pPr>
              <w:spacing w:after="0"/>
              <w:rPr>
                <w:sz w:val="24"/>
                <w:szCs w:val="24"/>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1,116</w:t>
            </w:r>
          </w:p>
        </w:tc>
      </w:tr>
      <w:tr>
        <w:trPr>
          <w:trHeight w:val="306"/>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0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warranting special mention due to elevated risks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r>
      <w:tr>
        <w:trPr>
          <w:trHeight w:val="291"/>
        </w:trPr>
        <w:tc>
          <w:tcPr>
            <w:tcW w:w="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Group VI</w:t>
            </w:r>
          </w:p>
        </w:tc>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loans classified as substandard, doubtful or impaired</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r>
      <w:tr>
        <w:trPr>
          <w:trHeight w:val="275"/>
        </w:trPr>
        <w:tc>
          <w:tcPr>
            <w:tcW w:w="84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 xml:space="preserve">Transactions with GM Financial </w:t>
      </w:r>
      <w:r>
        <w:rPr>
          <w:rFonts w:ascii="Arial" w:cs="Arial" w:eastAsia="Arial" w:hAnsi="Arial"/>
          <w:sz w:val="17"/>
          <w:szCs w:val="17"/>
          <w:color w:val="auto"/>
        </w:rPr>
        <w:t>The following table shows transactions between our Automotive segments and GM Financial. These amounts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presented in GM Financial's consolidated balance sheets and statements of income. All balance sheet amounts in the table below are eliminated.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53"/>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Balance Sheets(a)</w:t>
            </w: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Direct-financing lease receivables from GM subsidiaries</w:t>
            </w:r>
          </w:p>
        </w:tc>
        <w:tc>
          <w:tcPr>
            <w:tcW w:w="9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receivable(b)</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9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80"/>
        </w:trPr>
        <w:tc>
          <w:tcPr>
            <w:tcW w:w="6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3,273</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$4.1 billion, $3.8 billion, and $4.3 billion in the years ended December 31, 2019, 2018 and 2017.</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GM Financial's Board of Directors declared and paid dividends of $400 million and $375 million on its common stock in October 2019 and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5,542</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9,816</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55,282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(11,476)</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42,092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43,806</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2019, the estimated residual value of our leased assets at the end of the lease term was $30.4 billion.</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$7.3 billion, $7.5 billion and $6.7 billion in the years ended December 31, 2019, 2018 and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6,517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12,345</w:t>
            </w:r>
          </w:p>
        </w:tc>
      </w:tr>
      <w:tr>
        <w:trPr>
          <w:trHeight w:val="27"/>
        </w:trPr>
        <w:tc>
          <w:tcPr>
            <w:tcW w:w="5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w:t>
      </w:r>
    </w:p>
    <w:p>
      <w:pPr>
        <w:sectPr>
          <w:pgSz w:w="11900" w:h="16838" w:orient="portrait"/>
          <w:cols w:equalWidth="0" w:num="1">
            <w:col w:w="11420"/>
          </w:cols>
          <w:pgMar w:left="240" w:top="34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4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expenses of our joint ventures are not consolidated into our financial statements; rather, our proportionate share of the earnings of each joint venture is reflected as Equity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1,132</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96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1,268</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Investments in Nonconsolidated Affiliates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carrying amount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 carrying amount</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 net assets of nonconsolidated affiliates</w:t>
            </w:r>
          </w:p>
        </w:tc>
        <w:tc>
          <w:tcPr>
            <w:tcW w:w="9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carrying amount of our investments in certain joint ventures exceeded our share of the underlying net assets by $4.2 billion and $4.4 billion at December 31, 2019 and 2018 primarily due to goodwill from the application of fresh-start reporting and the purchase of additional interests in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China JVs: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2019</w:t>
            </w:r>
          </w:p>
        </w:tc>
        <w:tc>
          <w:tcPr>
            <w:tcW w:w="190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53"/>
        </w:trPr>
        <w:tc>
          <w:tcPr>
            <w:tcW w:w="7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Automotive China JVs</w:t>
            </w:r>
          </w:p>
        </w:tc>
        <w:tc>
          <w:tcPr>
            <w:tcW w:w="1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 (SGM)</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GM Wuling Automobile Co., Ltd. (SGMW)</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GM (Shenyang) Norsom Motors Co., Ltd. (SGM Norsom)</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Dong Yue Motors Co., Ltd. (SGM DY)</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GM Dong Yue Powertrain Co., Ltd. (SGM DYPT)</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FAW-GM Light Duty Commercial Vehicle Co., Ltd. (FAW-GM)(a)</w:t>
            </w:r>
          </w:p>
        </w:tc>
        <w:tc>
          <w:tcPr>
            <w:tcW w:w="1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Other joint ventures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SAIC-GMAC Automotive Finance Company Limited (SAIC-GMAC)</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SAIC-GMF Leasing Co., Ltd.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6"/>
          <w:szCs w:val="16"/>
          <w:color w:val="auto"/>
        </w:rPr>
        <w:t>In 2019, we divested our joint venture FAW-GM.</w:t>
      </w:r>
    </w:p>
    <w:p>
      <w:pPr>
        <w:spacing w:after="0" w:line="20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3"/>
              </w:rPr>
              <w:t>December 31, 2018</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Automotive China</w:t>
            </w: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13"/>
                <w:szCs w:val="13"/>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360" w:type="dxa"/>
            <w:vAlign w:val="bottom"/>
            <w:gridSpan w:val="6"/>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Automotive China</w:t>
            </w:r>
          </w:p>
        </w:tc>
        <w:tc>
          <w:tcPr>
            <w:tcW w:w="120" w:type="dxa"/>
            <w:vAlign w:val="bottom"/>
          </w:tcPr>
          <w:p>
            <w:pPr>
              <w:spacing w:after="0"/>
              <w:rPr>
                <w:sz w:val="13"/>
                <w:szCs w:val="13"/>
                <w:color w:val="auto"/>
              </w:rPr>
            </w:pP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Others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JVs</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JVs</w:t>
            </w: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16,506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16,234</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14,012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28,519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20,104</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13,985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1,689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22,224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23,263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16,811</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39,123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40,938</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52,037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Others' net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Transactions with Nonconsolidated Affiliates </w:t>
      </w:r>
      <w:r>
        <w:rPr>
          <w:rFonts w:ascii="Arial" w:cs="Arial" w:eastAsia="Arial" w:hAnsi="Arial"/>
          <w:sz w:val="17"/>
          <w:szCs w:val="17"/>
          <w:color w:val="auto"/>
        </w:rPr>
        <w:t>Our nonconsolidated affiliates are involved in various aspects of the development, production and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1,065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674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cash flows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2,321</w:t>
            </w: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6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3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163</w:t>
            </w:r>
          </w:p>
        </w:tc>
      </w:tr>
      <w:tr>
        <w:trPr>
          <w:trHeight w:val="27"/>
        </w:trPr>
        <w:tc>
          <w:tcPr>
            <w:tcW w:w="4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w:t>
            </w:r>
          </w:p>
        </w:tc>
        <w:tc>
          <w:tcPr>
            <w:tcW w:w="3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2,331</w:t>
            </w:r>
          </w:p>
        </w:tc>
      </w:tr>
      <w:tr>
        <w:trPr>
          <w:trHeight w:val="864"/>
        </w:trPr>
        <w:tc>
          <w:tcPr>
            <w:tcW w:w="4060" w:type="dxa"/>
            <w:vAlign w:val="bottom"/>
          </w:tcPr>
          <w:p>
            <w:pPr>
              <w:spacing w:after="0"/>
              <w:rPr>
                <w:sz w:val="24"/>
                <w:szCs w:val="24"/>
                <w:color w:val="auto"/>
              </w:rPr>
            </w:pPr>
          </w:p>
        </w:tc>
        <w:tc>
          <w:tcPr>
            <w:tcW w:w="3780" w:type="dxa"/>
            <w:vAlign w:val="bottom"/>
          </w:tcPr>
          <w:p>
            <w:pPr>
              <w:jc w:val="right"/>
              <w:ind w:right="199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w:t>
            </w:r>
          </w:p>
        </w:tc>
        <w:tc>
          <w:tcPr>
            <w:tcW w:w="20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15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Lives in Years</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Special tools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67,449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65,483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property, net</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38,750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amount of capitalized software included in Property, net was $1.3 billion and $1.1 billion at December 31, 2019 and 2018. The amount of interest capitalized and excluded from Automotive interest expense related to Property, net was insignificant in the years ended December 31, 2019, 2018 and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4,966</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r>
      <w:tr>
        <w:trPr>
          <w:trHeight w:val="220"/>
        </w:trPr>
        <w:tc>
          <w:tcPr>
            <w:tcW w:w="20" w:type="dxa"/>
            <w:vAlign w:val="bottom"/>
          </w:tcPr>
          <w:p>
            <w:pPr>
              <w:spacing w:after="0"/>
              <w:rPr>
                <w:sz w:val="19"/>
                <w:szCs w:val="19"/>
                <w:color w:val="auto"/>
              </w:rPr>
            </w:pPr>
          </w:p>
        </w:tc>
        <w:tc>
          <w:tcPr>
            <w:tcW w:w="6720" w:type="dxa"/>
            <w:vAlign w:val="bottom"/>
          </w:tcPr>
          <w:p>
            <w:pPr>
              <w:jc w:val="right"/>
              <w:ind w:right="5750"/>
              <w:spacing w:after="0"/>
              <w:rPr>
                <w:sz w:val="20"/>
                <w:szCs w:val="20"/>
                <w:color w:val="auto"/>
              </w:rPr>
            </w:pPr>
            <w:r>
              <w:rPr>
                <w:rFonts w:ascii="Arial" w:cs="Arial" w:eastAsia="Arial" w:hAnsi="Arial"/>
                <w:sz w:val="18"/>
                <w:szCs w:val="18"/>
                <w:color w:val="auto"/>
                <w:w w:val="85"/>
              </w:rPr>
              <w:t>__________</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depreciation and amortization expense.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Goodwill of $1.9 billion consisted of $1.4 billion recorded in GM Financial and $504 million included in Cruise at December 31,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Net Carrying</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Net Carrying</w:t>
            </w:r>
          </w:p>
        </w:tc>
      </w:t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2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3,134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customer relationships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3,718</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amortization expense related to intangible assets was $202 million, $247 million, and $278 million in the years ended December 31, 2019, 2018 and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is estimated to be approximately $160 million in each of the next five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they are separate legal entities and their assets are legally owned by them and are not available to GM Financial's creditors.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83"/>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2,202</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r>
      <w:tr>
        <w:trPr>
          <w:trHeight w:val="289"/>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30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18,304</w:t>
            </w:r>
          </w:p>
        </w:tc>
      </w:tr>
      <w:tr>
        <w:trPr>
          <w:trHeight w:val="289"/>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14,008</w:t>
            </w:r>
          </w:p>
        </w:tc>
      </w:tr>
      <w:tr>
        <w:trPr>
          <w:trHeight w:val="25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21,087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15,819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21,417</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and Other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3,504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Payrolls and employee benefits excluding postemployment benefits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2,233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7,913</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26,487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28,049</w:t>
            </w:r>
          </w:p>
        </w:tc>
      </w:tr>
      <w:tr>
        <w:trPr>
          <w:trHeight w:val="176"/>
        </w:trPr>
        <w:tc>
          <w:tcPr>
            <w:tcW w:w="7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4,802</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658</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3,063</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12,357</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41"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Product Warranty and Related Liabilities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678</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December 31, 2019. Refer to Note 16 for reasonably possible losses 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13,292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528</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13,963</w:t>
            </w:r>
          </w:p>
        </w:tc>
      </w:tr>
      <w:tr>
        <w:trPr>
          <w:trHeight w:val="257"/>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13,628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11,693</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1,838</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13,531</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17,285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14,167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740" w:type="dxa"/>
            <w:vAlign w:val="bottom"/>
            <w:gridSpan w:val="2"/>
          </w:tcPr>
          <w:p>
            <w:pPr>
              <w:jc w:val="right"/>
              <w:ind w:right="675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$540 million and $499 million at December 31, 2019 and 2018.</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17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Finance lease assets in Property, net were $327 million at December 31, 2019. Finance lease costs were $170 million in the year ended December 31, 2019. Finance lease right of use assets obtained in exchange for lease obligations were $196 million in the year ended December 31, 2019. Undiscounted future lease obligations related to finance leases are $129 million for the year 2020, $156 million in aggregate for the years 2021 to 2024 and $354 million thereafter, with imputed interest of $329 million at December 31, 2019. The weighted-average discount rate on finance leases was 10.9% and the weighted-average remaining lease term was 13.7 years at December 31, 2019. Payments for finance leases included in Net cash provided by (used in) financing activities were $183 million at December 31, 2019.</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2019 we executed a new three-year committed unsecured revolving credit facility with an initial borrowing capacity of $3.0 billion, reducing to $2.0 billion in July 2020. The facility provides additional financial flexibility and was used in 2019 to fund transformation activities announced in November 2018 for $700 million, which we repaid in full in 2019. In April 2019 we renewed our 364-day $2.0 billion credit facility for an additional 364-day term. This facility has been allocated for exclusive use by GM Financial since April 2018.</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4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48,979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48,153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47,556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90,988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Securitized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2.95% at December 31, 2019. The revolving credit facilities have maturity dates ranging from 2020 to 2025 and securitization notes payable have maturity dates ranging from 2020 to 2027. At the end of the revolving period, if not renewed, the debt of revolving credit facilities will amortize over a defined period. In the year ended December 31, 2019 GM Financial entered into new or renewed credit facilities with a total net additional borrowing capacity of $225 million, which had substantially the same terms as existing debt and GM Financial issued $16.2 billion in aggregate principal amount of securitization notes payable with an initial weighted average interest rate of 2.75% and maturity dates ranging from 2022 to 2027.</w:t>
      </w:r>
    </w:p>
    <w:p>
      <w:pPr>
        <w:spacing w:after="0" w:line="19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December 31, 2019 are due beginning in 2020 through 2029 and have a weighted-average interest rate of 3.42%. In the year ended December 31, 2019 GM Financial issued $6.9 billion in aggregate principal amount of senior notes with an initial weighted average interest rate of 3.63% and maturity dates ranging from 2021 to 2029.</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January 2020 GM Financial issued $1.25 billion in senior notes with an interest rate of 2.90% due in 2025.</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Unsecured credit facilities and other unsecured debt have original maturities of up to four years. The weighted-average interest rate on these credit facilities and other unsecured debt was 4.73% at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8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Automotive Financing - GM Financial interest expense</w:t>
            </w:r>
          </w:p>
        </w:tc>
        <w:tc>
          <w:tcPr>
            <w:tcW w:w="1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28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4,423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finance leases at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Automotive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Automotive</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Financing(a)</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Compliance with Debt Covenants </w:t>
      </w:r>
      <w:r>
        <w:rPr>
          <w:rFonts w:ascii="Arial" w:cs="Arial" w:eastAsia="Arial" w:hAnsi="Arial"/>
          <w:sz w:val="16"/>
          <w:szCs w:val="16"/>
          <w:color w:val="auto"/>
        </w:rPr>
        <w:t>Several of our loan facilities, including our revolving credit facilities, require compliance with certain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595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2019 and 2018 and the gains/losses included in our consolidated income statements for the years ended December 31, 2019, 2018 and 2017 were insignificant, unless otherwise noted.</w:t>
      </w:r>
    </w:p>
    <w:p>
      <w:pPr>
        <w:jc w:val="both"/>
        <w:ind w:left="340" w:hanging="332"/>
        <w:spacing w:after="0" w:line="25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$964 million and $827 million at December 31, 2019 and 2018. We recorded gains in Interest income and other non-operating income, net of $154 million and $116 million for the years ended December 31, 2019 and 2018, and an insignificant amount for the year ended December 31, 2017.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3"/>
                <w:szCs w:val="13"/>
                <w:color w:val="auto"/>
              </w:rPr>
            </w:pPr>
          </w:p>
        </w:tc>
        <w:tc>
          <w:tcPr>
            <w:tcW w:w="10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40" w:type="dxa"/>
            <w:vAlign w:val="bottom"/>
          </w:tcPr>
          <w:p>
            <w:pPr>
              <w:spacing w:after="0"/>
              <w:rPr>
                <w:sz w:val="13"/>
                <w:szCs w:val="13"/>
                <w:color w:val="auto"/>
              </w:rPr>
            </w:pPr>
          </w:p>
        </w:tc>
        <w:tc>
          <w:tcPr>
            <w:tcW w:w="100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1000" w:type="dxa"/>
            <w:vAlign w:val="bottom"/>
          </w:tcPr>
          <w:p>
            <w:pPr>
              <w:jc w:val="right"/>
              <w:ind w:right="174"/>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 financial instruments(c)</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108,673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113,871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6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gains/losses included in our consolidated income statements and statements of comprehensive income for the years ended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 were insignificant, unless otherwise noted. Amounts accrued for interest payments in a net receivable position are included in Other assets. Amounts accrued for interest payments in a net payable position are included in Other liabilities.</w:t>
      </w:r>
    </w:p>
    <w:p>
      <w:pPr>
        <w:ind w:left="340" w:hanging="332"/>
        <w:spacing w:after="0" w:line="25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gains included in GM Financial interest, operating, and other expenses were $355 million and an insignificant amount for the years ended December 31, 2019 and 2018.</w:t>
      </w:r>
    </w:p>
    <w:p>
      <w:pPr>
        <w:ind w:left="340" w:hanging="332"/>
        <w:spacing w:after="0" w:line="290"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GM Financial held $210 million and an insignificant amount of collateral from counterparties available for netting against GM Financial's asset positions, and posted an insignificant amount and $451 million of collateral to counterparties available for netting against GM Financial's liability positions at December 31, 2019 and 2018.</w:t>
      </w:r>
    </w:p>
    <w:p>
      <w:pPr>
        <w:spacing w:after="0" w:line="13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consolidated balance sheets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4"/>
          </w:tcPr>
          <w:p>
            <w:pPr>
              <w:jc w:val="right"/>
              <w:ind w:right="1439"/>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jc w:val="right"/>
              <w:ind w:right="1439"/>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Carrying Amount of Hedged</w:t>
            </w:r>
          </w:p>
        </w:tc>
        <w:tc>
          <w:tcPr>
            <w:tcW w:w="140" w:type="dxa"/>
            <w:vAlign w:val="bottom"/>
          </w:tcPr>
          <w:p>
            <w:pPr>
              <w:spacing w:after="0"/>
              <w:rPr>
                <w:sz w:val="13"/>
                <w:szCs w:val="13"/>
                <w:color w:val="auto"/>
              </w:rPr>
            </w:pPr>
          </w:p>
        </w:tc>
        <w:tc>
          <w:tcPr>
            <w:tcW w:w="2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Cumulative Amount of Fair</w:t>
            </w:r>
          </w:p>
        </w:tc>
        <w:tc>
          <w:tcPr>
            <w:tcW w:w="140" w:type="dxa"/>
            <w:vAlign w:val="bottom"/>
          </w:tcPr>
          <w:p>
            <w:pPr>
              <w:spacing w:after="0"/>
              <w:rPr>
                <w:sz w:val="13"/>
                <w:szCs w:val="13"/>
                <w:color w:val="auto"/>
              </w:rPr>
            </w:pPr>
          </w:p>
        </w:tc>
        <w:tc>
          <w:tcPr>
            <w:tcW w:w="2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Carrying Amount of Hedged</w:t>
            </w:r>
          </w:p>
        </w:tc>
        <w:tc>
          <w:tcPr>
            <w:tcW w:w="160" w:type="dxa"/>
            <w:vAlign w:val="bottom"/>
          </w:tcPr>
          <w:p>
            <w:pPr>
              <w:spacing w:after="0"/>
              <w:rPr>
                <w:sz w:val="13"/>
                <w:szCs w:val="13"/>
                <w:color w:val="auto"/>
              </w:rPr>
            </w:pPr>
          </w:p>
        </w:tc>
        <w:tc>
          <w:tcPr>
            <w:tcW w:w="190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6"/>
              </w:rPr>
              <w:t>Cumulative Amount of Fair</w:t>
            </w:r>
          </w:p>
        </w:tc>
      </w:tr>
      <w:tr>
        <w:trPr>
          <w:trHeight w:val="192"/>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2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Value Hedging Adjustments(a)</w:t>
            </w:r>
          </w:p>
        </w:tc>
        <w:tc>
          <w:tcPr>
            <w:tcW w:w="14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Value Hedging Adjustments(a)</w:t>
            </w:r>
          </w:p>
        </w:tc>
      </w:tr>
      <w:tr>
        <w:trPr>
          <w:trHeight w:val="250"/>
        </w:trPr>
        <w:tc>
          <w:tcPr>
            <w:tcW w:w="20" w:type="dxa"/>
            <w:vAlign w:val="bottom"/>
          </w:tcPr>
          <w:p>
            <w:pPr>
              <w:spacing w:after="0"/>
              <w:rPr>
                <w:sz w:val="21"/>
                <w:szCs w:val="21"/>
                <w:color w:val="auto"/>
              </w:rPr>
            </w:pPr>
          </w:p>
        </w:tc>
        <w:tc>
          <w:tcPr>
            <w:tcW w:w="2860" w:type="dxa"/>
            <w:vAlign w:val="bottom"/>
            <w:tcBorders>
              <w:top w:val="single" w:sz="8" w:color="CCEEFF"/>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93"/>
              </w:rPr>
              <w:t>GM Financial long-term debt(b)</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w:t>
            </w:r>
          </w:p>
        </w:tc>
      </w:tr>
      <w:tr>
        <w:trPr>
          <w:trHeight w:val="193"/>
        </w:trPr>
        <w:tc>
          <w:tcPr>
            <w:tcW w:w="20" w:type="dxa"/>
            <w:vAlign w:val="bottom"/>
          </w:tcPr>
          <w:p>
            <w:pPr>
              <w:spacing w:after="0"/>
              <w:rPr>
                <w:sz w:val="16"/>
                <w:szCs w:val="16"/>
                <w:color w:val="auto"/>
              </w:rPr>
            </w:pPr>
          </w:p>
        </w:tc>
        <w:tc>
          <w:tcPr>
            <w:tcW w:w="2860" w:type="dxa"/>
            <w:vAlign w:val="bottom"/>
          </w:tcPr>
          <w:p>
            <w:pPr>
              <w:jc w:val="right"/>
              <w:ind w:right="1974"/>
              <w:spacing w:after="0"/>
              <w:rPr>
                <w:sz w:val="20"/>
                <w:szCs w:val="20"/>
                <w:color w:val="auto"/>
              </w:rPr>
            </w:pPr>
            <w:r>
              <w:rPr>
                <w:rFonts w:ascii="Arial" w:cs="Arial" w:eastAsia="Arial" w:hAnsi="Arial"/>
                <w:sz w:val="16"/>
                <w:szCs w:val="16"/>
                <w:color w:val="auto"/>
                <w:w w:val="87"/>
              </w:rPr>
              <w:t>__________</w:t>
            </w: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ind w:left="340" w:hanging="332"/>
        <w:spacing w:after="0" w:line="248"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an insignificant amount and $247 million of amortization remaining on hedged items for which hedge accounting has been discontinued at December 31, 2019 and 2018.</w:t>
      </w:r>
    </w:p>
    <w:p>
      <w:pPr>
        <w:spacing w:after="0" w:line="1" w:lineRule="exact"/>
        <w:rPr>
          <w:rFonts w:ascii="Arial" w:cs="Arial" w:eastAsia="Arial" w:hAnsi="Arial"/>
          <w:sz w:val="16"/>
          <w:szCs w:val="16"/>
          <w:color w:val="auto"/>
        </w:rPr>
      </w:pPr>
    </w:p>
    <w:p>
      <w:pPr>
        <w:ind w:left="340" w:right="20" w:hanging="332"/>
        <w:spacing w:after="0" w:line="27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gains/losses for hedged items </w:t>
      </w:r>
      <w:r>
        <w:rPr>
          <w:rFonts w:ascii="Arial" w:cs="Arial" w:eastAsia="Arial" w:hAnsi="Arial"/>
          <w:sz w:val="18"/>
          <w:szCs w:val="18"/>
          <w:color w:val="auto"/>
        </w:rPr>
        <w:t>–</w:t>
      </w:r>
      <w:r>
        <w:rPr>
          <w:rFonts w:ascii="Arial" w:cs="Arial" w:eastAsia="Arial" w:hAnsi="Arial"/>
          <w:sz w:val="16"/>
          <w:szCs w:val="16"/>
          <w:color w:val="auto"/>
        </w:rPr>
        <w:t xml:space="preserve"> interest rate swaps included in GM Financial interest, operating, and other expenses were a loss of $569 million and an insignificant amount for the years ended December 31, 2019 and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Defined benefit pension plans covering eligible U.S. hourly employees (hired prior to October 2007) and Canadian hourly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2019 all legal funding requirements were met. The following table summarizes contributions made to the defined benefit pension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hourly and salaried</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Non-U.S.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1,153</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expect to contribute approximately $70 million to our U.S. non-qualified plans and approximately $500 million to our non-U.S. pension plans in 2020.</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our current assumptions, over the next five years we expect no significant mandatory contributions to our U.S. qualified pension plans and mandatory contributions totaling $368 million to our U.K. and Canada pension plans.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Postretirement Benefit Plans </w:t>
      </w:r>
      <w:r>
        <w:rPr>
          <w:rFonts w:ascii="Arial" w:cs="Arial" w:eastAsia="Arial" w:hAnsi="Arial"/>
          <w:sz w:val="18"/>
          <w:szCs w:val="18"/>
          <w:color w:val="auto"/>
        </w:rPr>
        <w:t>Certain hourly and salaried defined benefit plans provide postretirement medical, dental, legal service and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$326 million, $325 million and $323 million in the years ended December 31, 2019, 2018 and 2017. Plan participants' contributions were insignificant in the years ended December 31, 2019, 2018 and 2017.</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We have defined contribution plans for eligible U.S. salaried and hourly employees that provide discretionary matching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Contributions are also made to certain non-U.S. defined contribution plans. We made contributions to our defined contribution plans of $537 million, $617 million and $650 million in the years ended December 31, 2019, 2018 and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Other Remeasurements </w:t>
      </w:r>
      <w:r>
        <w:rPr>
          <w:rFonts w:ascii="Arial" w:cs="Arial" w:eastAsia="Arial" w:hAnsi="Arial"/>
          <w:sz w:val="18"/>
          <w:szCs w:val="18"/>
          <w:color w:val="auto"/>
        </w:rPr>
        <w:t>The SOA issued mortality improvement tables in the three months ended December 31, 2019. We determined our current mortality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assumptions are appropriate to measure our December 31, 2019 U.S. pension and OPEB plans obligations. In 2018 we reviewed our mortality experience and updated our base mortality assumptions in the U.S. This change in assumption decreased the December 31, 2018 U.S. pension and OPEB plans' obligations by $264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Year Ended December 31, 2018</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Global OPEB</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Non-U.S.</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OPEB Plans</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benefit obligation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Actuarial (gains) losses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64,684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6,304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61,190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56,102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62,639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59,239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56,102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funded status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amount recorded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recorded in 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credit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recorded in Accumulated other comprehensive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total accumulated benefit obligations (ABO), the ABO and fair value of plan assets for defined benefit pension plans with ABO in excess of plan assets, and the PBO and fair value of plan assets for defined benefit pension plans with PBO in excess of plan assets: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Non-U.S.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64,669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59,239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56,102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3,485</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64,684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61,190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10,356</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59,239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56,102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3,485</w:t>
            </w:r>
          </w:p>
        </w:tc>
      </w:tr>
      <w:tr>
        <w:trPr>
          <w:trHeight w:val="27"/>
        </w:trPr>
        <w:tc>
          <w:tcPr>
            <w:tcW w:w="6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41"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 2019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60"/>
              <w:spacing w:after="0"/>
              <w:rPr>
                <w:sz w:val="20"/>
                <w:szCs w:val="20"/>
                <w:color w:val="auto"/>
              </w:rPr>
            </w:pPr>
            <w:r>
              <w:rPr>
                <w:rFonts w:ascii="Arial" w:cs="Arial" w:eastAsia="Arial" w:hAnsi="Arial"/>
                <w:sz w:val="13"/>
                <w:szCs w:val="13"/>
                <w:b w:val="1"/>
                <w:bCs w:val="1"/>
                <w:color w:val="auto"/>
              </w:rPr>
              <w:t>Year Ended December 31, 2018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 2017</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Global</w:t>
            </w:r>
          </w:p>
        </w:tc>
        <w:tc>
          <w:tcPr>
            <w:tcW w:w="200" w:type="dxa"/>
            <w:vAlign w:val="bottom"/>
          </w:tcPr>
          <w:p>
            <w:pPr>
              <w:spacing w:after="0"/>
              <w:rPr>
                <w:sz w:val="20"/>
                <w:szCs w:val="20"/>
                <w:color w:val="auto"/>
              </w:rPr>
            </w:pPr>
          </w:p>
        </w:tc>
        <w:tc>
          <w:tcPr>
            <w:tcW w:w="166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Global</w:t>
            </w:r>
          </w:p>
        </w:tc>
        <w:tc>
          <w:tcPr>
            <w:tcW w:w="200" w:type="dxa"/>
            <w:vAlign w:val="bottom"/>
          </w:tcPr>
          <w:p>
            <w:pPr>
              <w:spacing w:after="0"/>
              <w:rPr>
                <w:sz w:val="20"/>
                <w:szCs w:val="20"/>
                <w:color w:val="auto"/>
              </w:rPr>
            </w:pPr>
          </w:p>
        </w:tc>
        <w:tc>
          <w:tcPr>
            <w:tcW w:w="166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560" w:type="dxa"/>
            <w:vAlign w:val="bottom"/>
          </w:tcPr>
          <w:p>
            <w:pPr>
              <w:jc w:val="center"/>
              <w:ind w:right="70"/>
              <w:spacing w:after="0"/>
              <w:rPr>
                <w:sz w:val="20"/>
                <w:szCs w:val="20"/>
                <w:color w:val="auto"/>
              </w:rPr>
            </w:pPr>
            <w:r>
              <w:rPr>
                <w:rFonts w:ascii="Arial" w:cs="Arial" w:eastAsia="Arial" w:hAnsi="Arial"/>
                <w:sz w:val="13"/>
                <w:szCs w:val="13"/>
                <w:b w:val="1"/>
                <w:bCs w:val="1"/>
                <w:color w:val="auto"/>
                <w:w w:val="93"/>
              </w:rPr>
              <w:t>Global</w:t>
            </w:r>
          </w:p>
        </w:tc>
        <w:tc>
          <w:tcPr>
            <w:tcW w:w="0" w:type="dxa"/>
            <w:vAlign w:val="bottom"/>
          </w:tcPr>
          <w:p>
            <w:pPr>
              <w:spacing w:after="0"/>
              <w:rPr>
                <w:sz w:val="1"/>
                <w:szCs w:val="1"/>
                <w:color w:val="auto"/>
              </w:rPr>
            </w:pPr>
          </w:p>
        </w:tc>
      </w:tr>
      <w:tr>
        <w:trPr>
          <w:trHeight w:val="32"/>
        </w:trPr>
        <w:tc>
          <w:tcPr>
            <w:tcW w:w="3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OPEB</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OPEB</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92"/>
              </w:rPr>
              <w:t>OPEB</w:t>
            </w: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Plans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Plans</w:t>
            </w:r>
          </w:p>
        </w:tc>
        <w:tc>
          <w:tcPr>
            <w:tcW w:w="2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560" w:type="dxa"/>
            <w:vAlign w:val="bottom"/>
          </w:tcPr>
          <w:p>
            <w:pPr>
              <w:jc w:val="center"/>
              <w:ind w:right="70"/>
              <w:spacing w:after="0"/>
              <w:rPr>
                <w:sz w:val="20"/>
                <w:szCs w:val="20"/>
                <w:color w:val="auto"/>
              </w:rPr>
            </w:pPr>
            <w:r>
              <w:rPr>
                <w:rFonts w:ascii="Arial" w:cs="Arial" w:eastAsia="Arial" w:hAnsi="Arial"/>
                <w:sz w:val="13"/>
                <w:szCs w:val="13"/>
                <w:b w:val="1"/>
                <w:bCs w:val="1"/>
                <w:color w:val="auto"/>
                <w:w w:val="86"/>
              </w:rPr>
              <w:t>Plans</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b w:val="1"/>
                <w:bCs w:val="1"/>
                <w:color w:val="auto"/>
              </w:rPr>
              <w:t>Components of expense</w:t>
            </w: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2,264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2,050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90"/>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Amortization of net actuarial (gains) losses</w:t>
            </w: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Curtailments, settlements and other</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periodic pension and OPEB (income) expense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(794)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06"/>
        </w:trPr>
        <w:tc>
          <w:tcPr>
            <w:tcW w:w="352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Weighted-average assumptions used to determine</w:t>
            </w: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benefit obligations(a)</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w w:val="96"/>
              </w:rPr>
              <w:t>Weighted-average assumptions used to determine net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expense(a)</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rate of return on plan assets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_________</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rate of compensation increase does not have a significant effect on our U.S. pension and OPEB plans.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non-service cost components of the net periodic pension and OPEB income are presented in Interest income and other non-operating income,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for additional information.</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U.S. pension plan service cost includes administrative expenses and Pension Benefit Guarantee Corporation premiums of $214 million and $121 million for the years ended December 31, 2019 and 2018. Weighted-average assumptions used to determine net expense are determined at the beginning of the period and updated for remeasurements. Non-U.S. pension plan administrative expenses included in service cost were insignificant in the years ended December 31, 2019 and 2018.</w:t>
      </w:r>
    </w:p>
    <w:p>
      <w:pPr>
        <w:spacing w:after="0" w:line="18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2020 based on December 31, 2019 plan measurements are $258 million, primarily consisting of amortization of the net actuarial loss in the non-U.S. pension plans.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Investment Strategies and Long-Term Rate of Return </w:t>
      </w:r>
      <w:r>
        <w:rPr>
          <w:rFonts w:ascii="Arial" w:cs="Arial" w:eastAsia="Arial" w:hAnsi="Arial"/>
          <w:sz w:val="17"/>
          <w:szCs w:val="17"/>
          <w:color w:val="auto"/>
        </w:rPr>
        <w:t>Detailed periodic studies are conducted by our internal asset management group as well as outside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41"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assets equal to or greater than the present value of the liabilities) and mitigating the possibility of a deterioration in funded status.</w:t>
      </w:r>
    </w:p>
    <w:p>
      <w:pPr>
        <w:spacing w:after="0" w:line="23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2019, an investment policy study was completed for the U.S. pension plans. As a result of changes to our capital market assumptions, the weighted-average long-term rate of return on assets decreased from 6.4% at December 31, 2018 to 5.9% at December 31, 2019. The expected long-term rate of return on plan assets used in determining pension expense for non-U.S. plans is determined in a similar manner to the U.S. plans.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Target Allocation Percentages </w:t>
      </w:r>
      <w:r>
        <w:rPr>
          <w:rFonts w:ascii="Arial" w:cs="Arial" w:eastAsia="Arial" w:hAnsi="Arial"/>
          <w:sz w:val="18"/>
          <w:szCs w:val="18"/>
          <w:color w:val="auto"/>
        </w:rPr>
        <w:t>The following table summarizes the target allocations by asset category for U.S. and non-U.S.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w w:val="90"/>
              </w:rPr>
              <w:t>December 31, 2019</w:t>
            </w:r>
          </w:p>
        </w:tc>
        <w:tc>
          <w:tcPr>
            <w:tcW w:w="3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7"/>
              </w:rPr>
              <w:t>U.S.</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3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r>
      <w:tr>
        <w:trPr>
          <w:trHeight w:val="25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includes private equity, real estate and absolute return strategies which mainly consist of hedge funds.</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Assets and Fair Value Measurements </w:t>
      </w:r>
      <w:r>
        <w:rPr>
          <w:rFonts w:ascii="Arial" w:cs="Arial" w:eastAsia="Arial" w:hAnsi="Arial"/>
          <w:sz w:val="18"/>
          <w:szCs w:val="18"/>
          <w:color w:val="auto"/>
        </w:rPr>
        <w:t>The following tables summarize the fair value of U.S. and non-U.S. defined benefit pension plan assets by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4,934</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13,843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13,843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12,077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12,077</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24,809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24,645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24,645</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net(b)</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401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6,185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38,696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45,283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36,820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42,457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7,031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6,465</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2,951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3,021</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3,504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13,466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12,990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net(c)</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655</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59,239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56,102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Non-U.S.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3,927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3,927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3,640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3,640</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2,590</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net(b)(d)</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7,051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5,081</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526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980</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7,101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6,587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(liabilities), net(c)</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14,961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13,528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net derivative assets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2 Other investments, net includes Canadian reverse repurchase agreements.</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2019 and 2018.</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Investment Fund Strategies </w:t>
      </w:r>
      <w:r>
        <w:rPr>
          <w:rFonts w:ascii="Arial" w:cs="Arial" w:eastAsia="Arial" w:hAnsi="Arial"/>
          <w:sz w:val="16"/>
          <w:szCs w:val="16"/>
          <w:color w:val="auto"/>
        </w:rPr>
        <w:t>Investment funds include hedge funds, funds of hedge funds, equity funds and fixed income funds. Hedge funds and funds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ectPr>
          <w:pgSz w:w="11900" w:h="16838" w:orient="portrait"/>
          <w:cols w:equalWidth="0" w:num="1">
            <w:col w:w="11420"/>
          </w:cols>
          <w:pgMar w:left="240" w:top="341"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41"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Significant Concentrations of Risk </w:t>
      </w:r>
      <w:r>
        <w:rPr>
          <w:rFonts w:ascii="Arial" w:cs="Arial" w:eastAsia="Arial" w:hAnsi="Arial"/>
          <w:sz w:val="16"/>
          <w:szCs w:val="16"/>
          <w:color w:val="auto"/>
        </w:rPr>
        <w:t>The assets of the pension plans include certain investment funds, private equity and debt investments and 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Benefits for most U.S. pension plans and certain non-U.S. pension plans are paid out of plan assets rather than our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following table summarizes net benefit payments expected to be paid in the future, which include assumptions related to estimated future employee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Non-U.S. Plans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Global OPEB Plans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20,257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1,755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2019 and 2018, we had accruals of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Proceedings Related to Ignition Switch Recall and Other Recalls </w:t>
      </w:r>
      <w:r>
        <w:rPr>
          <w:rFonts w:ascii="Arial" w:cs="Arial" w:eastAsia="Arial" w:hAnsi="Arial"/>
          <w:sz w:val="18"/>
          <w:szCs w:val="18"/>
          <w:color w:val="auto"/>
        </w:rPr>
        <w:t>In 2014 we announced various recalls relating to safety and other matters. Those recalls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recalls to repair ignition switches that could under certain circumstances unintentionally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move from the “run” position to the “accessory” or “off” position with a corresponding loss of power, which could in turn prevent airbags from deploying in the event of a crash.</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U.S. Court of Appeals for the Second Circuit held that the 2009</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the Bankruptcy Court approving the sale of substantially all of the assets of MLC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pending against GM in U.S. and Canadian courts alleging that consumers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or leased vehicles manufactured by GM or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August 2019, the Southern District granted our motion for summary judgment on plaintiffs’ economic loss “benefit of the bargain” damage claims (the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Later in August 2019, the bellwether plaintiffs filed a motion requesting that the Southern District reconsider its summary judgment decision or allow an interlocutory appeal if reconsideration is denied. In December 2019, the Southern District denied plaintiffs' motion for reconsideration of the August 2019 Opinion, but granted the plaintiffs' motion for certification of an interlocutory appeal. Plaintiffs filed their petition requesting interlocutory review with the Second Circuit Court of Appeals, and GM filed its opposition in January 2020.</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GM and MLC,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GM may be obligated to issue Adjustment Shares of our common stock if allowed general unsecured claims against the GUC Trust, as estimated by the Bankruptcy Court, exceed $35.0 billion. The maximum number of Adjustment Shares issuable is 30 million shares (subject to adjustment to take into account stock dividends, stock splits and other transactions), which amounts to approximately $1.0 billion based on the GM share price as of January 24, 2020. The GUC Trust stated in public filings that allowed general unsecured claims were approximately $32.1 billion as of September 30, 2019.</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2019, the GUC Trust and certain personal injury and economic-loss plaintiffs filed a motion with the Bankruptcy Court requesting approval of a settlement to obtain the maximum number of Adjustment Shares. In September 2019, the GUC Trust advised the Bankruptcy Court that it was formally terminating the February 2019 proposed class settlement with plaintiffs because it was no longer viable given the August 2019 Opinion and further briefing was moot.</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December 31, 2019,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19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The Korean Supreme Court has not yet rendered a decision. We estimate our reasonably possible loss in excess of amounts accrued to be approximately $600 million at December 31, 2019. Both the scope of claims asserted and GM Korea's assessment of any or all of the individual claim elements may change if new information becomes available or the legal or regulatory frameworks change.</w:t>
      </w:r>
    </w:p>
    <w:p>
      <w:pPr>
        <w:spacing w:after="0" w:line="18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 to be approximately $170 million at December 31, 2019. Both the scope of claims asserted and GM Korea's assessment of any or all of the individual claim elements may change if new information becomes available or the legal or regulatory frameworks change.</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December 31, 2019, our accrual covering certain asserted claims and claims that we believe are probable of assertion and for which liability is probable was approximately $180 million. We estimate the reasonably possible loss in excess of amounts accrued for other current subcontract workers who may assert similar claims to be approximately $110 million at December 31, 2019. We are currently unable to estimate any possible loss or range of loss that may result from additional claims that may be asserted by former subcontract workers.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jc w:val="both"/>
        <w:ind w:firstLine="162"/>
        <w:spacing w:after="0" w:line="309" w:lineRule="auto"/>
        <w:rPr>
          <w:sz w:val="20"/>
          <w:szCs w:val="20"/>
          <w:color w:val="auto"/>
        </w:rPr>
      </w:pPr>
      <w:r>
        <w:rPr>
          <w:rFonts w:ascii="Arial" w:cs="Arial" w:eastAsia="Arial" w:hAnsi="Arial"/>
          <w:sz w:val="16"/>
          <w:szCs w:val="16"/>
          <w:b w:val="1"/>
          <w:bCs w:val="1"/>
          <w:i w:val="1"/>
          <w:iCs w:val="1"/>
          <w:color w:val="auto"/>
        </w:rPr>
        <w:t xml:space="preserve">GM Brazil Indirect Tax Claim </w:t>
      </w:r>
      <w:r>
        <w:rPr>
          <w:rFonts w:ascii="Arial" w:cs="Arial" w:eastAsia="Arial" w:hAnsi="Arial"/>
          <w:sz w:val="16"/>
          <w:szCs w:val="16"/>
          <w:color w:val="auto"/>
        </w:rPr>
        <w:t>During the year ended December 31, 2019, the Superior Judicial Court of Brazil rendered favorable decisions on three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brought by GM Brazil, each challenging whether a certain state value-added tax should be included in the calculation of federal gross receipts taxes. The decisions will allow the Company the right to recover, through offset of federal tax liabilities, amounts collected by the government from August 2001 to February 2017. As a result of the favorable decisions, we recorded pre-tax recoveries of $1.4 billion in Automotive and other cost of sales in the year ended December 31, 2019. Timing on realization of these recoveries is dependent upon the timing of administrative approvals and generation of federal tax liabilities eligible for offset. The Brazilian IRS has filed a Motion of Clarification on this matter with the Brazilian Supreme Court, which could be decided as early as April 2020. In addition, we expect third parties to make claims on some or all of the pre-tax recoveries, which GM intends to defend against.</w:t>
      </w:r>
    </w:p>
    <w:p>
      <w:pPr>
        <w:spacing w:after="0" w:line="15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18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There are several putative class actions pending against GM in federal courts in the U.S., in the Provincial Courts in Canada and in Israel alleging that various vehicles sold including model year 2011-2016 Duramax Diesel Chevrolet Silverado and GMC Sierra vehicles, violate federal, state and foreign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by the plaintiffs in those actions. We are unable to estimate any reasonably possible loss or range of loss that may result from these actions.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December 31, 2019. We believe that appropriate accruals have been established for losses that are probable and can be reasonably estimated. For indirect tax-related matters we estimate our reasonably possible loss in excess of amounts accrued to be up to approximately $800 million at December 31, 2019.</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There are several putative class actions that have been filed against GM in federal courts in the U.S., in the Provincial Courts in Canada, Mexico and Israel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$544 million and $531 million in Accrued liabilities and Other liabilities at December 31, 2019 and 2018,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General Motors Corporation products for actual damages will be adequately covered by our recorded accruals and, where applicable, excess liability insurance coverage.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2020 to 2024 or upon the occurrence of specific events or are ongoing. We believe that the related potential costs incurred are adequately covered by our recorded accruals, which are insignificant. The maximum future undiscounted payments mainly based on vehicles sold to date were $2.6 billion and $2.4 billion for these guarantees at December 31, 2019 and 2018, the majority of which relates to the indemnification agreements.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22 for additional information on our indemnification obligations to PSA Group under the Master Agreement (the Agreement).</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Credit Cards </w:t>
      </w:r>
      <w:r>
        <w:rPr>
          <w:rFonts w:ascii="Arial" w:cs="Arial" w:eastAsia="Arial" w:hAnsi="Arial"/>
          <w:sz w:val="16"/>
          <w:szCs w:val="16"/>
          <w:color w:val="auto"/>
        </w:rPr>
        <w:t>Credit card programs offer rebates that can be applied primarily against the purchase or lease of our vehicles. At December 31, 2019 and 2018,</w:t>
      </w:r>
      <w:r>
        <w:rPr>
          <w:rFonts w:ascii="Arial" w:cs="Arial" w:eastAsia="Arial" w:hAnsi="Arial"/>
          <w:sz w:val="16"/>
          <w:szCs w:val="16"/>
          <w:b w:val="1"/>
          <w:bCs w:val="1"/>
          <w:color w:val="auto"/>
        </w:rPr>
        <w:t xml:space="preserve"> </w:t>
      </w:r>
      <w:r>
        <w:rPr>
          <w:rFonts w:ascii="Arial" w:cs="Arial" w:eastAsia="Arial" w:hAnsi="Arial"/>
          <w:sz w:val="16"/>
          <w:szCs w:val="16"/>
          <w:color w:val="auto"/>
        </w:rPr>
        <w:t>our redemption liability was insignificant, our deferred revenue was $253 million and $247 million, and qualified cardholders had rebates available, net of deferred program revenue, of $1.4 billion. Our redemption liability and deferred revenue are recorded in Accrued liabilities and Other liabilities.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Our portfolio of leases primarily consists of real estate office space, manufacturing and warehousing facilities, land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leases contain escalation clauses and renewal or purchase options, and generally our leases have no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residual value guarantees or material covenants. We exclude leases with a term of one year or less from our balance sheet, and do not separate non-lease components from our real estate leases.</w:t>
      </w:r>
    </w:p>
    <w:p>
      <w:pPr>
        <w:spacing w:after="0" w:line="170"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Rent expense under operating leases was $354 million in the year ended December 31, 2019. Prior to adoption of ASU 2016-02, rent expense under operating leases was $300 million and $284 million in the years ended December 31, 2018 and 2017. Variable lease costs were insignificant in the year ended December 31, 2019. At December 31, 2019, operating lease right of use assets in Other assets were $1.1 billion, operating lease liabilities in Accrued liabilities were $239 million and non-current operating lease liabilities in Other liabilities were $1.0 billion. Operating lease right of use assets obtained in exchange for lease obligations were $497 million in the year ended December 31, 2019. Our undiscounted future lease obligations related to operating leases having initial terms in excess of one year are $269 million, $247 million, $179 million, $167 million, $130 million and $464 million for the years 2020, 2021, 2022, 2023, 2024 and thereafter, with imputed interest of $207 million as of December 31, 2019. The weighted average discount rate was 4.2% and the weighted-average remaining lease term was 7.2 years at December 31, 2019. Payments for operating leases included in Net cash provided by (used in) operating activities were $337 million in the year ended December 31, 2019. Lease agreements that have not yet commenced were insignificant at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3,826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Non-U.S.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6,168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0"/>
        </w:trPr>
        <w:tc>
          <w:tcPr>
            <w:tcW w:w="67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Current income tax expense (benefit)</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state and local</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expense (benefit)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7,831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and local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Non-U.S.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3,236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 (benefit)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11,533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$3.2 billion and $2.9 billion at December 31, 2019 and 2018. Additional basis differences related to investments in nonconsolidated China JVs exist of $4.1 billion at December 31, 2019 and 2018 as a result of fresh-start reporting. Quantification of the deferred tax liability, if any, associated with indefinitely reinvested basis differences is not practicable.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U.S. federal statutory income tax rate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1,295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 tax expense (benefit)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income taxed at other than the U.S. federal statutory tax rate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tax impact on Non-U.S. income and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tax laws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7,194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business credits and manufacturing incentives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loss expiration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prior year tax matters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Realization of basis differences in affiliates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 statutory approval of net operating losses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remeasurement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11,533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Deferred Income Tax Assets and Liabilities </w:t>
      </w:r>
      <w:r>
        <w:rPr>
          <w:rFonts w:ascii="Arial" w:cs="Arial" w:eastAsia="Arial" w:hAnsi="Arial"/>
          <w:sz w:val="18"/>
          <w:szCs w:val="18"/>
          <w:color w:val="auto"/>
        </w:rPr>
        <w:t>Deferred income tax assets and liabilities at December 31, 2019 and 2018 reflect the effect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3,020</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U.S. capitalized research expenditures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5,176</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operating loss and tax credit carryforwards(a)</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Non-U.S. operating loss and tax credit carryforwards(b)</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6,393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33,105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25,129</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1,098</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1,827</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23,302</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December 31, 2019 U.S. operating loss and tax credit carryforwards of $8.7 billion expire by 2039 if not utilized.</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December 31, 2019 Non-U.S. operating loss and tax credit carryforwards of $1.3 billion expire by 2039 if not utilized and the remaining balance of $5.4 billion may be carried forward indefinitely.</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Valuation Allowances </w:t>
      </w:r>
      <w:r>
        <w:rPr>
          <w:rFonts w:ascii="Arial" w:cs="Arial" w:eastAsia="Arial" w:hAnsi="Arial"/>
          <w:sz w:val="18"/>
          <w:szCs w:val="18"/>
          <w:color w:val="auto"/>
        </w:rPr>
        <w:t>During the years ended December 31, 2019 and 2018, valuation allowances against deferred tax assets of $8.1 billion and $8.0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were comprised of cumulative losses, credits and other timing differences, primarily in Germany, Spain and South Korea.</w:t>
      </w:r>
    </w:p>
    <w:p>
      <w:pPr>
        <w:sectPr>
          <w:pgSz w:w="11900" w:h="16838" w:orient="portrait"/>
          <w:cols w:equalWidth="0" w:num="1">
            <w:col w:w="11420"/>
          </w:cols>
          <w:pgMar w:left="240" w:top="34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41"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$3.3 billion of net operating loss carryforwards in Germany that, as a result of reorganizations that took place in 2008 and 2009 and then existing German Law, were not previously recorded as deferred tax assets. In 2018 a favorable European court decision was statutorily approved in Germany enabling use of those loss carryforwards, and deferred tax assets totaling $1.0 billion were established for the loss carryforwards. Offsetting valuation allowances were also established as the deferred tax assets are not more likely than not to be realized.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following table summarizes activity of the total amounts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prior years'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to prior years' tax positions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1,557</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2019 and 2018 there were $539 million and $991 million of unrecognized tax benefits that if recognized would favorably affect our effective tax rate in the future. In the years ended December 31, 2019, 2018 and 2017 income tax related interest and penalties were insignificant. At December 31, 2019 and 2018 we had liabilities of $117 million and $116 million for income tax related interest and penalties.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2019 it is not possible to reasonably estimate the expected change to the total amount of unrecognized tax benefits in the next twelve months.</w:t>
      </w:r>
    </w:p>
    <w:p>
      <w:pPr>
        <w:spacing w:after="0" w:line="166"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b w:val="1"/>
          <w:bCs w:val="1"/>
          <w:color w:val="auto"/>
        </w:rPr>
        <w:t xml:space="preserve">Other Matters </w:t>
      </w:r>
      <w:r>
        <w:rPr>
          <w:rFonts w:ascii="Arial" w:cs="Arial" w:eastAsia="Arial" w:hAnsi="Arial"/>
          <w:sz w:val="18"/>
          <w:szCs w:val="18"/>
          <w:color w:val="auto"/>
        </w:rPr>
        <w:t>Income tax returns are filed in multiple jurisdictions and are subject to examination by taxing authorities throughout the world.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open tax years from 2009 to 2019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U.S. Tax Cuts and Jobs Act of 2017 (the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year ended December 31, 2017 and recorded $7.3 billion in tax expense. The tax expense primarily relates to the remeasurement of deferred tax assets to the 21% tax rate. We applied the guidance in SAB 118 when accounting for the enactment-date effects of the Tax Act in 2017 and 2018. During the year ended December 31, 2018 we reduced our year ended December 31, 2017 estimated tax expense of $7.3 billion to $7.1 billion, primarily related to the remeasurement of deferred tax assets to the 21% tax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In the year ended December 31, 2019, restructuring and other initiatives primarily included actions related to our announced transformation activities, which include unallocation of products to certain manufacturing facilities and other employee separation programs. We recorded charges of $1.8 billion, primarily in GMNA, in the year ended December 31, 2019 consisting of $1.3 billion primarily in non-cash accelerated depreciation and pension curtailment and other charges, not reflected in the table above, and $535 million primarily in supplier-related charges and employee-related separation charges, which are reflected in the table above. We recorded charges of $1.3 billion, primarily in GMNA, in the year ended December 31, 2018 consisting of $1.0 billion in employee separations and other charges, which are reflected in the table above, and $301 million primarily in non-cash accelerated depreciation, not reflected in the table above. These programs have a total cost since inception of $3.1 billion and were complete at December 31, 2019. We incurred $1.1 billion in cash outflows resulting from these restructuring actions, primarily for employee separation payments and supplier-related payments in the year ended December 31, 2019. We expect additional cash outflows related to these activities of approximately $400 million to be substantially complete by the end of 2020.</w:t>
      </w:r>
    </w:p>
    <w:p>
      <w:pPr>
        <w:spacing w:after="0" w:line="16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2018, restructuring and other initiatives in GMI primarily included the closure of a facility and other restructuring actions in Korea and employee separation programs. We recorded charges of $1.0 billion related to Korea, net of noncontrolling interests. These charges consisted of $537 million in non-cash asset impairments and other charges, not reflected in the table above, and $495 million in employee separation charges, which are reflected in the table above. We incurred $775 million in cash outflows resulting from these Korea restructuring actions, primarily for employee separations and statutory pension payments in the year ended December 31, 2018. These programs were substantially complete at December 31, 2018.</w:t>
      </w:r>
    </w:p>
    <w:p>
      <w:pPr>
        <w:spacing w:after="0" w:line="15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the year ended December 31, 2017, restructuring and other initiatives primarily included restructuring actions announced in the three months ended June 30, 2017 in GMI. These actions primarily related to the withdrawal of Chevrolet from the Indian and South African markets at the end of 2017 and the transition of our South Africa manufacturing operations to Isuzu Motors. We continue to manufacture vehicles in India for sale to certain export markets. We recorded charges of $460 million in GMI primarily consisting of $297 million of asset impairments, sales incentives, inventory provisions and other charges, not reflected in the table above, and $163 million of dealer restructurings, employee separations and other contract cancellation costs, which are reflected in the table above. We completed these programs in GMI in 2017. Other GMI restructuring programs reflected in the table above include separation and other programs in Australia, Korea and India and the withdrawal of the Chevrolet brand from Europe. Collectively, these programs had a total cost of $892 million since inception in 2013 through the completion of the programs in the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Interest Income and Other Non-Operating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pension and OPEB income</w:t>
            </w:r>
          </w:p>
        </w:tc>
        <w:tc>
          <w:tcPr>
            <w:tcW w:w="278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income</w:t>
            </w:r>
          </w:p>
        </w:tc>
        <w:tc>
          <w:tcPr>
            <w:tcW w:w="18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Revaluation of investments</w:t>
            </w:r>
          </w:p>
        </w:tc>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interest income and other non-operating income, net</w:t>
            </w:r>
          </w:p>
        </w:tc>
        <w:tc>
          <w:tcPr>
            <w:tcW w:w="18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1,469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20" w:type="dxa"/>
            <w:vAlign w:val="bottom"/>
            <w:vMerge w:val="restart"/>
          </w:tcPr>
          <w:p>
            <w:pPr>
              <w:jc w:val="right"/>
              <w:ind w:right="850"/>
              <w:spacing w:after="0"/>
              <w:rPr>
                <w:sz w:val="20"/>
                <w:szCs w:val="20"/>
                <w:color w:val="auto"/>
              </w:rPr>
            </w:pPr>
            <w:r>
              <w:rPr>
                <w:rFonts w:ascii="Arial" w:cs="Arial" w:eastAsia="Arial" w:hAnsi="Arial"/>
                <w:sz w:val="18"/>
                <w:szCs w:val="18"/>
                <w:color w:val="auto"/>
              </w:rPr>
              <w:t>85</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 and Noncontrolling Interests</w:t>
      </w:r>
    </w:p>
    <w:p>
      <w:pPr>
        <w:spacing w:after="0" w:line="225" w:lineRule="exact"/>
        <w:rPr>
          <w:sz w:val="20"/>
          <w:szCs w:val="20"/>
          <w:color w:val="auto"/>
        </w:rPr>
      </w:pPr>
    </w:p>
    <w:p>
      <w:pPr>
        <w:jc w:val="both"/>
        <w:ind w:right="20" w:firstLine="162"/>
        <w:spacing w:after="0" w:line="313" w:lineRule="auto"/>
        <w:rPr>
          <w:sz w:val="20"/>
          <w:szCs w:val="20"/>
          <w:color w:val="auto"/>
        </w:rPr>
      </w:pPr>
      <w:r>
        <w:rPr>
          <w:rFonts w:ascii="Arial" w:cs="Arial" w:eastAsia="Arial" w:hAnsi="Arial"/>
          <w:sz w:val="17"/>
          <w:szCs w:val="17"/>
          <w:b w:val="1"/>
          <w:bCs w:val="1"/>
          <w:color w:val="auto"/>
        </w:rPr>
        <w:t xml:space="preserve">Preferred and Common Stock </w:t>
      </w:r>
      <w:r>
        <w:rPr>
          <w:rFonts w:ascii="Arial" w:cs="Arial" w:eastAsia="Arial" w:hAnsi="Arial"/>
          <w:sz w:val="17"/>
          <w:szCs w:val="17"/>
          <w:color w:val="auto"/>
        </w:rPr>
        <w:t>We have 2.0 billion shares of preferred stock and 5.0 billion shares of common stock authorized for issuance.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2019 and 2018 we had no shares of preferred stock and 1.4 billion shares of common stock issued and outstanding.</w:t>
      </w:r>
    </w:p>
    <w:p>
      <w:pPr>
        <w:spacing w:after="0" w:line="14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were $1.52 and our total dividends paid on common stock were $2.2 billion, $2.1 billion and $2.2 billion for the years ended December 31, 2019, 2018 and 2017.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2019, we did not purchase shares of our outstanding common stock. In the years ended December 31, 2018 and 2017, we purchased three million and 120 million shares of our outstanding common stock for $100 million and $4.5 billion as part of the common stock repurchase program announced in March 2015, which our Board of Directors increased and extended in January 2016 and January 2017.</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2018 we had 15 million warrants outstanding that we issued in July 2009. The warrants have expired but were exercisable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time prior to July 10, 2019 at an exercise price of $18.33 per share.</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 Financial Preferred Stock </w:t>
      </w:r>
      <w:r>
        <w:rPr>
          <w:rFonts w:ascii="Arial" w:cs="Arial" w:eastAsia="Arial" w:hAnsi="Arial"/>
          <w:sz w:val="17"/>
          <w:szCs w:val="17"/>
          <w:color w:val="auto"/>
        </w:rPr>
        <w:t>In September 2018 GM Financial issued $500 million of Fixed-to-Floating Rate Cumulative Perpetual Preferred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B, $0.01 par value, with a liquidation preference of $1,000 per share. The preferred stock is classified as noncontrolling interests in our consolidated financial statements. Dividends are paid semi-annually when declared, which started March 30, 2019 at a fixed rate of 6.50%.</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2017 GM Financial issued $1.0 billion of Fixed-to-Floating Rate Cumulative Perpetual Preferred Stock, Series A, $0.01 par value, with a liquidation preference of $1,000 per share. The preferred stock is classified as noncontrolling interests in our consolidated financial statements. Dividends are paid semi-annually when declared, which started March 30, 2018 at a fixed rate of 5.75%.</w:t>
      </w:r>
    </w:p>
    <w:p>
      <w:pPr>
        <w:spacing w:after="0" w:line="181"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Cruise Preferred Shares </w:t>
      </w:r>
      <w:r>
        <w:rPr>
          <w:rFonts w:ascii="Arial" w:cs="Arial" w:eastAsia="Arial" w:hAnsi="Arial"/>
          <w:sz w:val="16"/>
          <w:szCs w:val="16"/>
          <w:color w:val="auto"/>
        </w:rPr>
        <w:t>In 2019 Cruise Holdings entered into a Purchase Agreement with The Vision Fund, General Motors Holdings LLC, Honda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other investors pursuant to which Cruise Holdings received $1.2 billion, including $687 million from General Motors Holdings LLC, in exchange for issuing Cruise Class F Preferred Shares, representing approximately 6.6% of the fully diluted equity in Cruise Holdings. All proceeds related to the Cruise Class F Preferred Shares are designated exclusively for working capital and general corporate purposes of Cruise. The Cruise Class F Preferred Shares participate pari passu with holders of Cruise Holdings common stock in any dividends declared. The Cruise Class F Preferred Shares have the right to vote on the election of one director, who is elected by the vote of a majority of the Cruise Holdings common stock and the Cruise Class F Preferred Shares. Prior to an initial public offering, the holders of Cruise Class F Preferred Shares are restricted from transferring the Cruise Class F Preferred Shares until May 7, 2023. The Cruise Class F Preferred Shares only convert into common stock of Cruise Holdings, at specified exchange ratios, upon occurrence of an initial public offering. No covenants or other events of default that can trigger redemption of the Class F Preferred Shares exist. The Cruise Class F Preferred Shares are entitled to receive the greater of their carrying value or a pro-rata share of any proceeds or distributions upon the occurrence of a merger, sale, liquidation, or dissolution of Cruise Holdings. The Cruise Class F Preferred Shares are classified as noncontrolling interests in our consolidated financial statements. At December 31, 2019, external investors held 17.3% of the fully diluted equity in Cruise Holdings.</w:t>
      </w:r>
    </w:p>
    <w:p>
      <w:pPr>
        <w:spacing w:after="0" w:line="16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June 2018, Cruise Holdings issued $900 million of convertible preferred shares (Cruise Preferred Shares) to an affiliate of The Vision Fund which subsequently assigned such shares to The Vision Fund. Immediately prior to the issuance of the Cruise Preferred Shares, we invested $1.1 billion in Cruise Holdings. When Cruise's autonomous vehicles are ready for commercial deployment, The Vision Fund is obligated to purchase additional Cruise Preferred Shares for $1.35 billion. All proceeds are designated exclusively for working capital and general corporate purposes of Cruise. Dividends are cumulative and accrue at an annual rate of 7.0% and are payable quarterly in cash or in-kind, at Cruise's discretion. The Cruise Preferred Shares are also entitled to participate in Cruise dividends above a defined threshold. Prior to an initial public offering, The Vision Fund is restricted from transferring the Cruise Preferred Shares until June 28, 2025. The Cruise Preferred Shares are classified as noncontrolling interests in our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Cruise Common Shares </w:t>
      </w:r>
      <w:r>
        <w:rPr>
          <w:rFonts w:ascii="Arial" w:cs="Arial" w:eastAsia="Arial" w:hAnsi="Arial"/>
          <w:sz w:val="16"/>
          <w:szCs w:val="16"/>
          <w:color w:val="auto"/>
        </w:rPr>
        <w:t>In October 2018, Cruise Holdings entered into a Purchase Agreement with Honda, pursuant to which Honda invested $750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Cruise Holdings in exchange for Class E Common Shares, representing 5.7% of the fully diluted equity of Cruise Holdings at closing. In addition, Honda agreed to contribute approximately $2.0 billion primarily in the form of a long-term annual fee to Cruise Holdings for certain rights to use Cruise Holdings' trade names and trademarks and the exclusive right to partner with Cruise Holdings to develop, deploy, and maintain a foreign market. The remaining contribution or funding will come in the form of shared development costs for a shared autonomous vehicle that Honda, General Motors Holdings LLC and Cruise Holdings will jointly develop for deployment onto Cruise's autonomous vehicle network. All proceeds are designated exclusively for working capital and general corporate purposes of Cruise. At the later of October 3, 2025 or the termination of the commercial agreements between Cruise Holdings and Honda, Cruise Holdings can call all, but not less than all of the Class E Common Shares at an amount equal to the then fair value of Cruise Holdings. The Class E Common Shares are classified as noncontrolling interests in our consolidated financial statements.</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Korea Preferred Shares </w:t>
      </w:r>
      <w:r>
        <w:rPr>
          <w:rFonts w:ascii="Arial" w:cs="Arial" w:eastAsia="Arial" w:hAnsi="Arial"/>
          <w:sz w:val="18"/>
          <w:szCs w:val="18"/>
          <w:color w:val="auto"/>
        </w:rPr>
        <w:t>In the year ended December 31, 2018, the Korea Development Bank (KDB) purchased $720 million of GM Korea's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Shares (GM Korea Preferred Shares). Dividends on the GM Korea Preferred Shares are cumulative and accrue at an annual rate of 1.0%. GM Korea can call the preferred shares at their original issue price six years from the date of issuance and once called, the preferred shares can be converted into common shares of GM Korea at the option of the holder. The GM Korea Preferred Shares are classified as noncontrolling interests in our consolidated financial statements. The KDB investment proceeds can only be used for purposes of funding capital expenditures in GM Korea. In conjunction with the GM Korea Preferred Share issuance we agreed to provide GM Korea future funding, if needed, not to exceed $2.8 billion through December 31, 2027, inclusive of $2.0 billion of planned capital expenditures through 2027.</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Foreign Currency Translation Adjustments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(2,250)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0" w:type="dxa"/>
            <w:vAlign w:val="bottom"/>
          </w:tcPr>
          <w:p>
            <w:pPr>
              <w:spacing w:after="0"/>
              <w:rPr>
                <w:sz w:val="1"/>
                <w:szCs w:val="1"/>
                <w:color w:val="auto"/>
              </w:rPr>
            </w:pPr>
          </w:p>
        </w:tc>
      </w:tr>
      <w:tr>
        <w:trPr>
          <w:trHeight w:val="212"/>
        </w:trPr>
        <w:tc>
          <w:tcPr>
            <w:tcW w:w="6740" w:type="dxa"/>
            <w:vAlign w:val="bottom"/>
          </w:tcPr>
          <w:p>
            <w:pPr>
              <w:ind w:left="40"/>
              <w:spacing w:after="0"/>
              <w:rPr>
                <w:sz w:val="20"/>
                <w:szCs w:val="20"/>
                <w:color w:val="auto"/>
              </w:rPr>
            </w:pPr>
            <w:r>
              <w:rPr>
                <w:rFonts w:ascii="Arial" w:cs="Arial" w:eastAsia="Arial" w:hAnsi="Arial"/>
                <w:sz w:val="17"/>
                <w:szCs w:val="17"/>
                <w:color w:val="auto"/>
              </w:rPr>
              <w:t>Other comprehensive income (loss) and noncontrolling interests before reclassification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7"/>
                <w:szCs w:val="17"/>
                <w:color w:val="auto"/>
              </w:rPr>
              <w:t>adjustment, net of tax and impact of adoption of accounting standards(a)(b)</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Reclassification adjustment, net of tax(a)</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tax(a)</w:t>
            </w:r>
          </w:p>
        </w:tc>
        <w:tc>
          <w:tcPr>
            <w:tcW w:w="9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31"/>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Defined Benefit Plans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(6,737)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0" w:type="dxa"/>
            <w:vAlign w:val="bottom"/>
          </w:tcPr>
          <w:p>
            <w:pPr>
              <w:spacing w:after="0"/>
              <w:rPr>
                <w:sz w:val="1"/>
                <w:szCs w:val="1"/>
                <w:color w:val="auto"/>
              </w:rPr>
            </w:pPr>
          </w:p>
        </w:tc>
      </w:tr>
      <w:tr>
        <w:trPr>
          <w:trHeight w:val="212"/>
        </w:trPr>
        <w:tc>
          <w:tcPr>
            <w:tcW w:w="6740" w:type="dxa"/>
            <w:vAlign w:val="bottom"/>
          </w:tcPr>
          <w:p>
            <w:pPr>
              <w:ind w:left="40"/>
              <w:spacing w:after="0"/>
              <w:rPr>
                <w:sz w:val="20"/>
                <w:szCs w:val="20"/>
                <w:color w:val="auto"/>
              </w:rPr>
            </w:pPr>
            <w:r>
              <w:rPr>
                <w:rFonts w:ascii="Arial" w:cs="Arial" w:eastAsia="Arial" w:hAnsi="Arial"/>
                <w:sz w:val="17"/>
                <w:szCs w:val="17"/>
                <w:color w:val="auto"/>
                <w:w w:val="92"/>
              </w:rPr>
              <w:t>Other comprehensive loss and noncontrolling interests before reclassification adjustment, net of</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7"/>
                <w:szCs w:val="17"/>
                <w:color w:val="auto"/>
              </w:rPr>
              <w:t>impact of adoption of accounting standards(b)</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(2,769)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 benefit</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line="192" w:lineRule="exact"/>
              <w:rPr>
                <w:sz w:val="20"/>
                <w:szCs w:val="20"/>
                <w:color w:val="auto"/>
              </w:rPr>
            </w:pPr>
            <w:r>
              <w:rPr>
                <w:rFonts w:ascii="Arial" w:cs="Arial" w:eastAsia="Arial" w:hAnsi="Arial"/>
                <w:sz w:val="17"/>
                <w:szCs w:val="17"/>
                <w:color w:val="auto"/>
                <w:w w:val="92"/>
              </w:rPr>
              <w:t>Other comprehensive loss and noncontrolling interests before reclassification adjustment, net of</w:t>
            </w: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7"/>
                <w:szCs w:val="17"/>
                <w:color w:val="auto"/>
              </w:rPr>
              <w:t>tax and impact of adoption of accounting standards(b)</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(2,306)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Reclassification adjustment, net of tax(a)(c)</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1,270</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9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(2,122)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31"/>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period(d)</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(8,859)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2019, 2018 and 2017.</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noncontrolling interests are insignificant in the years ended December 31, 2019, 2018 and 2017.</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 billion is included in the loss on sale of the Opel/Vauxhall Business in the year ended December 31, 2017. An insignificant amount is included in the computation of periodic pension and OPEB (income) expense in the year ended December 31, 2017.</w:t>
      </w:r>
    </w:p>
    <w:p>
      <w:pPr>
        <w:ind w:left="340" w:hanging="3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Primarily consists of unamortized actuarial loss on our defined benefit plans. Refer to the critical accounting estimates section of our MD&amp;A for additional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Basic and diluted earnings (loss) per share are computed by dividing Net income (loss) attributable to common stockholders by the weighted-average common shares outstanding in the period. Diluted earnings (loss) per share is computed by giving effect to all potentially dilutive securities that are outstanding.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operations(a)</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6,732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6,581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r>
      <w:tr>
        <w:trPr>
          <w:trHeight w:val="270"/>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 continuing operations</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Basic loss per common share – discontinued operations</w:t>
            </w: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 – diluted(a)</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 – diluted</w:t>
            </w: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70"/>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9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 continuing operations</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122"/>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dilutive securities(b)</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of Net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were excluded from the computation of diluted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July 31, 2017, we closed the sale of our Opel/Vauxhall Business to PSA Group. On October 31, 2017, we closed the sale of the Fincos to Banque PSA Finance S.A. and BNP Paribas Personal Finance S.A.</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net consideration paid at closing for the European Business was $2.5 billion, inclusive of $808 million in warrants in PSA Group. The total charge from the sale of the European Business during the year ended December 31, 2017 was $6.2 billion, net of tax, of which $3.9 billion was recorded in Loss from discontinued operations, net of tax, and $2.3 billion was recorded in Income tax expense. PSA Group assumed approximately $3.1 billion of net underfunded pension liabilities primarily with respect to active employees of the Opel/Vauxhall Business, and during the year ended December 31, 2017 our wholly-owned subsidiary (the Seller) made payments to PSA Group, or one or more pension funding vehicles, of $3.4 billion in respect of these assumed liabilities.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and pursuant to which the Company agreed to</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41"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guarantee the Seller's obligation to indemnify PSA Group. Certain of these indemnification obligations are subject to time limitations, thresholds and/or caps as to the amount of required payments.</w:t>
      </w:r>
    </w:p>
    <w:p>
      <w:pPr>
        <w:spacing w:after="0" w:line="17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Although the sale reduced our new vehicle presence in Europe, we may still be impacted by actions taken by regulators related to vehicles sold before the sale. In Germany, the Kraftfahrt-Bundesamt (KBA) issued an order in November 2019, which converted a voluntary recall initiated by Opel in 2017 and 2018 into a mandatory recall for allegedly failing to comply with certain emissions regulations. However, because the overwhelming majority of vehicles have already received KBA-approved software calibration updates pursuant to the voluntary recall, the number of vehicles subject to the mandatory recall is insignificant. The Seller may also be obligated to indemnify PSA Group or otherwise absorb costs and expenses resulting from the foregoing as well as certain related potential litigation costs, settlements, judgments and potential fines. In addition, at the KBA's request, the German authorities re-opened a separate criminal investigation related to this matter that had previously been closed with no action. We are unable to estimate any reasonably possible loss or range of loss that may result from this matter.</w:t>
      </w:r>
    </w:p>
    <w:p>
      <w:pPr>
        <w:spacing w:after="0" w:line="19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continue to purchase from and supply to PSA Group certain vehicles, parts and engineering services for a period of time following closing. The following table summarizes transactions with the Opel/Vauxhall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revenue(a)</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and expenses(a)</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payments(b)</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receipts(b)</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1,408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1,161</w:t>
            </w:r>
          </w:p>
        </w:tc>
      </w:tr>
      <w:tr>
        <w:trPr>
          <w:trHeight w:val="220"/>
        </w:trPr>
        <w:tc>
          <w:tcPr>
            <w:tcW w:w="6740" w:type="dxa"/>
            <w:vAlign w:val="bottom"/>
          </w:tcPr>
          <w:p>
            <w:pPr>
              <w:spacing w:after="0"/>
              <w:rPr>
                <w:sz w:val="20"/>
                <w:szCs w:val="20"/>
                <w:color w:val="auto"/>
              </w:rPr>
            </w:pPr>
            <w:r>
              <w:rPr>
                <w:rFonts w:ascii="Arial" w:cs="Arial" w:eastAsia="Arial" w:hAnsi="Arial"/>
                <w:sz w:val="16"/>
                <w:szCs w:val="16"/>
                <w:color w:val="auto"/>
              </w:rPr>
              <w:t>__________</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Included in Income from continuing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Included in Net cash provided by operating activities </w:t>
      </w:r>
      <w:r>
        <w:rPr>
          <w:rFonts w:ascii="Arial" w:cs="Arial" w:eastAsia="Arial" w:hAnsi="Arial"/>
          <w:sz w:val="14"/>
          <w:szCs w:val="14"/>
          <w:color w:val="auto"/>
        </w:rPr>
        <w:t>–</w:t>
      </w:r>
      <w:r>
        <w:rPr>
          <w:rFonts w:ascii="Arial" w:cs="Arial" w:eastAsia="Arial" w:hAnsi="Arial"/>
          <w:sz w:val="16"/>
          <w:szCs w:val="16"/>
          <w:color w:val="auto"/>
        </w:rPr>
        <w:t xml:space="preserve"> continuing operations.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net sales and revenue</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11,257</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GM Financial net sales and revenue</w:t>
            </w:r>
          </w:p>
        </w:tc>
        <w:tc>
          <w:tcPr>
            <w:tcW w:w="10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11,723</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Automotive and other cost of sales</w:t>
            </w:r>
          </w:p>
        </w:tc>
        <w:tc>
          <w:tcPr>
            <w:tcW w:w="10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interest, operating and other expenses</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Automotive and other selling, general, and administrative expense</w:t>
            </w:r>
          </w:p>
        </w:tc>
        <w:tc>
          <w:tcPr>
            <w:tcW w:w="10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items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Loss from discontinued operations before taxes</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discontinued operations before taxes(a)(b)</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Total loss from discontinued operations before taxes</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expense(b)(c)</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4,212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contract cancellation charges associated with the disposal for the year ended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Total loss on sale of discontinued operations, net of tax was $3.9 billion for the year ended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$2.0 billion of deferred tax assets that transferred to PSA Group in the year ended December 31,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 Stock Incentive Awards </w:t>
      </w:r>
      <w:r>
        <w:rPr>
          <w:rFonts w:ascii="Arial" w:cs="Arial" w:eastAsia="Arial" w:hAnsi="Arial"/>
          <w:sz w:val="18"/>
          <w:szCs w:val="18"/>
          <w:color w:val="auto"/>
        </w:rPr>
        <w:t>We grant to certain employees RSUs, RSAs, PSUs and stock options (collectively, stock incentive awards) under our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Incentive Plan and 2017 Long-Term Incentive Plan (LTIP) and prior to the 2017 LTIP, under our 2014 LTIP. The 2017 LTIP was approved by stockholders in June 2017 and replaced the 2014 LTIP. Shares awarded under the plans are subject to forfeiture if the participant leaves the company for reasons other than those permitted under the plans such as retirement, death or disability.</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341"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19 months to three years.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connection with our acquisition of Cruise Automation, Inc. in May 2016, RSAs and PSUs in common shares of GM were granted to employees of Cruise Holdings. The RSAs vest ratably, generally over a three-year service period. The PSUs are contingent upon achievement of specific technology and commercialization milestones.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4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Units outstanding at January 1, 2019</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48.1</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(11.6)</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Units outstanding at December 31, 2019(a)</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41.5</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target amount of PSUs.</w:t>
      </w:r>
    </w:p>
    <w:p>
      <w:pPr>
        <w:spacing w:after="0" w:line="20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weighted-average assumptions used to value our stock options are a dividend yield of 3.90%, 3.69% and 4.43%, expected volatility of 28.0%, 28.0% and 25.0%, a risk-free interest rate of 2.62%, 2.73% and 1.97%, and an expected option life of 6.00, 5.98 and 5.84 years for options issued during the years ended December 31, 2019, 2018 and 2017.</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Total compensation expense related to the above awards was $456 million, $316 million and $585 million in the years ended December 31, 2019, 2018 and 2017.</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2019, the total unrecognized compensation expense for nonvested equity awards granted was $182 million. This expense is expected to be recorded over a weighted-average period of 1.1 years. The total fair value of stock incentive awards vested was $287 million, $317 million and $421 million in the years ended December 31, 2019, 2018 and 2017.</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Cruise Stock Incentive Awards </w:t>
      </w:r>
      <w:r>
        <w:rPr>
          <w:rFonts w:ascii="Arial" w:cs="Arial" w:eastAsia="Arial" w:hAnsi="Arial"/>
          <w:sz w:val="16"/>
          <w:szCs w:val="16"/>
          <w:color w:val="auto"/>
        </w:rPr>
        <w:t>In addition to the awards noted above, stock options and RSUs were granted to Cruise employees in common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Cruise Holdings in the years ended December 31, 2019 and 2018. These awards were granted under the 2018 Employee Incentive Plan approved by Cruise Holdings' Board of Directors in August 2018. Shares awarded under the plan are subject to forfeiture if the participant leaves the company for reasons other than those permitted under the plan. There were no awards granted in Cruise common shares for the year ended December 31, 2017. Stock options vest ratably over four to 10 years, as defined in the terms of each award. Stock options expire 10 years from the grant date. RSU awards granted vest upon the satisfaction of both a service condition and a liquidity condition. The service condition for the majority of these awards is satisfied over four years. The liquidity condition is satisfied upon the earlier of the date of a change in control transaction or the consummation of an initial public offering.</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Total compensation expense related to Cruise Holdings’ share-based awards was insignificant for the years ended December 31, 2019 and 2018. No share-based compensation expense had been recognized for the RSUs because the liquidity condition described above was not met at December 31, 2019 and 2018. Total unrecognized compensation expense for Cruise Holdings’ nonvested equity awards granted was $680 million at December 31, 2019, which was primarily comprised of the RSUs for which the liquidity condition had not been met. Total units outstanding were 70.1 million at December 31, 2019. The expense related to stock options is expected to be recorded over a weighted-average period of 7.9 years. The timing of the expense related to RSUs will depend upon the date of the satisfaction of the liquidity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Automotive and other gross margin(a)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1,273</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 –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(loss)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06"/>
        </w:trPr>
        <w:tc>
          <w:tcPr>
            <w:tcW w:w="6520" w:type="dxa"/>
            <w:vAlign w:val="bottom"/>
          </w:tcPr>
          <w:p>
            <w:pPr>
              <w:spacing w:after="0"/>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6"/>
                <w:szCs w:val="16"/>
                <w:color w:val="auto"/>
              </w:rPr>
              <w:t>(a)  Includes our Cruise segment.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6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three months ended March 31, 2019, June 30, 2019, September 30, 2019 and December 31, 2019 we recorded pre-tax charges of $790 million, $361 million, $390 million and $267 million related to transformation activities including accelerated depreciation, supplier-related charges and other charges. In the three months ended March 31, 2019, June 30, 2019 and September 30, 2019, we recorded pre-tax benefits of $857 million, $380 million and $123 million related to the retrospective recoveries of indirect taxes in Brazil. In the three months ended September 30, 2019 and December 31, 2019, we estimate that the lost vehicle production volumes and parts sales due to the UAW strike had an unfavorable pre-tax impact on our Income from continuing operations. In the three months ended December 31, 2019 we recorded a pre-tax charge of $164 million related to the divestiture in our joint venture FAW-GM.</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Automotive and other gross margin(a)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2,935</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our Cruise segment.</w:t>
      </w:r>
    </w:p>
    <w:p>
      <w:pPr>
        <w:spacing w:after="0" w:line="20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March 31, 2018 and June 30, 2018, we collectively recorded pre-tax charges of $1.1 billion related to the closure of a facility and other restructuring actions in Korea. In the three months ended September 30, 2018 we recorded pre-tax charges of $440 million for ignition switch related legal matters. In the three months ended December 31, 2018 we recorded pre-tax charges of $1.3 billion related to transformation activities including employee separation, accelerated depreciation and other charges; and a non-recurring tax benefit of $1.0 billion related to foreign earnings.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2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analyze the results of our business through the following reportable segments: GMNA, GMI, Cruise and GM Financial. As discussed in Note 1, the European Business is presented as discontinued operations and is excluded from our segment results for all periods presented. The European Business was previously reported as our GM Europe segment and part of GM Financial. The chief operating decision maker evaluates the operating results and performance of our automotive segments and Cruise through EBIT-adjusted, which is presented net of noncontrolling interests. The chief operating decision maker evaluates GM Financial through EBT-adjusted because interest income and interest expense are part of operating results when assessing and measuring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and Wuling brands. Cruise, formerly GM Cruise, is our global segment responsible for the development and commercialization of autonomous vehicle technology, and includes autonomous vehicle-related engineering and other costs.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automotive interest income and interest expense, Maven, legacy costs from the Opel/Vauxhall Business (primarily pension costs), corporate expenditures and certain nonsegment specific revenues and expenses are recorded centrally in Corporate. Corporate assets primarily consist of cash and cash equivalents, marketable debt securities, our investment in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1"/>
          </w:tcPr>
          <w:p>
            <w:pPr>
              <w:ind w:left="680"/>
              <w:spacing w:after="0"/>
              <w:rPr>
                <w:sz w:val="20"/>
                <w:szCs w:val="20"/>
                <w:color w:val="auto"/>
              </w:rPr>
            </w:pPr>
            <w:r>
              <w:rPr>
                <w:rFonts w:ascii="Arial" w:cs="Arial" w:eastAsia="Arial" w:hAnsi="Arial"/>
                <w:sz w:val="13"/>
                <w:szCs w:val="13"/>
                <w:b w:val="1"/>
                <w:bCs w:val="1"/>
                <w:color w:val="auto"/>
              </w:rPr>
              <w:t>At and For the Year Ended December 31, 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4"/>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20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106,366</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5"/>
              </w:rPr>
              <w:t>16,111</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122,697</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14,554</w:t>
            </w:r>
          </w:p>
        </w:tc>
        <w:tc>
          <w:tcPr>
            <w:tcW w:w="12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(114)</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137,237</w:t>
            </w:r>
          </w:p>
        </w:tc>
      </w:tr>
      <w:tr>
        <w:trPr>
          <w:trHeight w:val="148"/>
        </w:trPr>
        <w:tc>
          <w:tcPr>
            <w:tcW w:w="2240" w:type="dxa"/>
            <w:vAlign w:val="bottom"/>
          </w:tcPr>
          <w:p>
            <w:pPr>
              <w:ind w:left="40"/>
              <w:spacing w:after="0" w:line="148" w:lineRule="exact"/>
              <w:rPr>
                <w:sz w:val="20"/>
                <w:szCs w:val="20"/>
                <w:color w:val="auto"/>
              </w:rPr>
            </w:pPr>
            <w:r>
              <w:rPr>
                <w:rFonts w:ascii="Arial" w:cs="Arial" w:eastAsia="Arial" w:hAnsi="Arial"/>
                <w:sz w:val="13"/>
                <w:szCs w:val="13"/>
                <w:color w:val="auto"/>
                <w:w w:val="91"/>
              </w:rPr>
              <w:t>Earnings (loss) before interest and taxes-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224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8,204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7,311</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(1,004)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2,104</w:t>
            </w: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8,393</w:t>
            </w:r>
          </w:p>
        </w:tc>
      </w:tr>
      <w:tr>
        <w:trPr>
          <w:trHeight w:val="278"/>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262"/>
        </w:trPr>
        <w:tc>
          <w:tcPr>
            <w:tcW w:w="22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429</w:t>
            </w:r>
          </w:p>
        </w:tc>
      </w:tr>
      <w:tr>
        <w:trPr>
          <w:trHeight w:val="278"/>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r>
      <w:tr>
        <w:trPr>
          <w:trHeight w:val="148"/>
        </w:trPr>
        <w:tc>
          <w:tcPr>
            <w:tcW w:w="2240" w:type="dxa"/>
            <w:vAlign w:val="bottom"/>
          </w:tcPr>
          <w:p>
            <w:pPr>
              <w:ind w:left="40"/>
              <w:spacing w:after="0" w:line="148" w:lineRule="exact"/>
              <w:rPr>
                <w:sz w:val="20"/>
                <w:szCs w:val="20"/>
                <w:color w:val="auto"/>
              </w:rPr>
            </w:pPr>
            <w:r>
              <w:rPr>
                <w:rFonts w:ascii="Arial" w:cs="Arial" w:eastAsia="Arial" w:hAnsi="Arial"/>
                <w:sz w:val="13"/>
                <w:szCs w:val="13"/>
                <w:color w:val="auto"/>
                <w:w w:val="97"/>
              </w:rPr>
              <w:t>Net (loss) attributable to noncontrolling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0"/>
        </w:trPr>
        <w:tc>
          <w:tcPr>
            <w:tcW w:w="22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r>
      <w:tr>
        <w:trPr>
          <w:trHeight w:val="257"/>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7,436</w:t>
            </w:r>
          </w:p>
        </w:tc>
      </w:tr>
      <w:tr>
        <w:trPr>
          <w:trHeight w:val="264"/>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r>
      <w:tr>
        <w:trPr>
          <w:trHeight w:val="257"/>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6,667</w:t>
            </w:r>
          </w:p>
        </w:tc>
      </w:tr>
      <w:tr>
        <w:trPr>
          <w:trHeight w:val="148"/>
        </w:trPr>
        <w:tc>
          <w:tcPr>
            <w:tcW w:w="2240" w:type="dxa"/>
            <w:vAlign w:val="bottom"/>
          </w:tcPr>
          <w:p>
            <w:pPr>
              <w:ind w:left="40"/>
              <w:spacing w:after="0" w:line="148" w:lineRule="exact"/>
              <w:rPr>
                <w:sz w:val="20"/>
                <w:szCs w:val="20"/>
                <w:color w:val="auto"/>
              </w:rPr>
            </w:pPr>
            <w:r>
              <w:rPr>
                <w:rFonts w:ascii="Arial" w:cs="Arial" w:eastAsia="Arial" w:hAnsi="Arial"/>
                <w:sz w:val="13"/>
                <w:szCs w:val="13"/>
                <w:color w:val="auto"/>
                <w:w w:val="91"/>
              </w:rPr>
              <w:t>Loss from discontinued operations, net of</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2240" w:type="dxa"/>
            <w:vAlign w:val="bottom"/>
          </w:tcPr>
          <w:p>
            <w:pPr>
              <w:ind w:left="20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0"/>
        </w:trPr>
        <w:tc>
          <w:tcPr>
            <w:tcW w:w="2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w:t>
            </w:r>
          </w:p>
        </w:tc>
      </w:tr>
      <w:tr>
        <w:trPr>
          <w:trHeight w:val="282"/>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6"/>
              </w:rPr>
              <w:t>Net income attributable to stockholders</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6,732</w:t>
            </w:r>
          </w:p>
        </w:tc>
      </w:tr>
      <w:tr>
        <w:trPr>
          <w:trHeight w:val="103"/>
        </w:trPr>
        <w:tc>
          <w:tcPr>
            <w:tcW w:w="2240" w:type="dxa"/>
            <w:vAlign w:val="bottom"/>
            <w:shd w:val="clear" w:color="auto" w:fill="CCEEFF"/>
          </w:tcPr>
          <w:p>
            <w:pPr>
              <w:ind w:left="4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76"/>
        </w:trPr>
        <w:tc>
          <w:tcPr>
            <w:tcW w:w="2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1,455</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8,562</w:t>
            </w:r>
          </w:p>
        </w:tc>
      </w:tr>
      <w:tr>
        <w:trPr>
          <w:trHeight w:val="262"/>
        </w:trPr>
        <w:tc>
          <w:tcPr>
            <w:tcW w:w="2240" w:type="dxa"/>
            <w:vAlign w:val="bottom"/>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888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3,348</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1,355</w:t>
            </w:r>
          </w:p>
        </w:tc>
        <w:tc>
          <w:tcPr>
            <w:tcW w:w="12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5,337</w:t>
            </w:r>
          </w:p>
        </w:tc>
      </w:tr>
      <w:tr>
        <w:trPr>
          <w:trHeight w:val="224"/>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5"/>
              </w:rPr>
              <w:t>24,969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116,380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108,881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228,037</w:t>
            </w:r>
          </w:p>
        </w:tc>
      </w:tr>
      <w:tr>
        <w:trPr>
          <w:trHeight w:val="208"/>
        </w:trPr>
        <w:tc>
          <w:tcPr>
            <w:tcW w:w="22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6,305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1,096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7,485</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7,592</w:t>
            </w:r>
          </w:p>
        </w:tc>
      </w:tr>
      <w:tr>
        <w:trPr>
          <w:trHeight w:val="224"/>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7,350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14,060</w:t>
            </w:r>
          </w:p>
        </w:tc>
      </w:tr>
      <w:tr>
        <w:trPr>
          <w:trHeight w:val="208"/>
        </w:trPr>
        <w:tc>
          <w:tcPr>
            <w:tcW w:w="22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w:t>
            </w:r>
          </w:p>
        </w:tc>
      </w:tr>
      <w:tr>
        <w:trPr>
          <w:trHeight w:val="224"/>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1,268</w:t>
            </w:r>
          </w:p>
        </w:tc>
      </w:tr>
      <w:tr>
        <w:trPr>
          <w:trHeight w:val="144"/>
        </w:trPr>
        <w:tc>
          <w:tcPr>
            <w:tcW w:w="224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ind w:left="340" w:hanging="332"/>
        <w:spacing w:after="0" w:line="239"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$1.6 billion in GMNA and $115 million in GMI; a benefit of $1.4 billion related to the retrospective recoveries of indirect taxes in Brazil; partially offset by losses of $164 million related to the FAW-GM divestiture in GMI.</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41"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420"/>
              <w:spacing w:after="0"/>
              <w:rPr>
                <w:sz w:val="20"/>
                <w:szCs w:val="20"/>
                <w:color w:val="auto"/>
              </w:rPr>
            </w:pPr>
            <w:r>
              <w:rPr>
                <w:rFonts w:ascii="Arial" w:cs="Arial" w:eastAsia="Arial" w:hAnsi="Arial"/>
                <w:sz w:val="13"/>
                <w:szCs w:val="13"/>
                <w:b w:val="1"/>
                <w:bCs w:val="1"/>
                <w:color w:val="auto"/>
                <w:w w:val="90"/>
              </w:rPr>
              <w:t>At and For the Year Ended December 31, 2018</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147,049</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10,769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10,622</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1,893</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11,783</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335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8,549</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8,075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w w:val="91"/>
              </w:rPr>
              <w:t>Loss from discontinued operations, net of tax</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8,014</w:t>
            </w:r>
          </w:p>
        </w:tc>
      </w:tr>
      <w:tr>
        <w:trPr>
          <w:trHeight w:val="103"/>
        </w:trPr>
        <w:tc>
          <w:tcPr>
            <w:tcW w:w="2420" w:type="dxa"/>
            <w:vAlign w:val="bottom"/>
            <w:shd w:val="clear" w:color="auto" w:fill="CCEEFF"/>
          </w:tcPr>
          <w:p>
            <w:pPr>
              <w:ind w:left="4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9,215</w:t>
            </w:r>
          </w:p>
        </w:tc>
      </w:tr>
      <w:tr>
        <w:trPr>
          <w:trHeight w:val="208"/>
        </w:trPr>
        <w:tc>
          <w:tcPr>
            <w:tcW w:w="2420" w:type="dxa"/>
            <w:vAlign w:val="bottom"/>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2,623</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3,552</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5,579</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227,339</w:t>
            </w:r>
          </w:p>
        </w:tc>
      </w:tr>
      <w:tr>
        <w:trPr>
          <w:trHeight w:val="208"/>
        </w:trPr>
        <w:tc>
          <w:tcPr>
            <w:tcW w:w="24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7,784</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883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8,686</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8,761</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13,142</w:t>
            </w:r>
          </w:p>
        </w:tc>
      </w:tr>
      <w:tr>
        <w:trPr>
          <w:trHeight w:val="208"/>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527</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2,163</w:t>
            </w: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ind w:left="340" w:right="20" w:hanging="332"/>
        <w:spacing w:after="0" w:line="239"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$1.2 billion in GMNA; charges of $1.2 billion related to restructuring actions in Korea and other countries in GMI; and of $440 million for ignition switch-related legal matters and other insignificant charges in Corporate.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ind w:left="420"/>
              <w:spacing w:after="0"/>
              <w:rPr>
                <w:sz w:val="20"/>
                <w:szCs w:val="20"/>
                <w:color w:val="auto"/>
              </w:rPr>
            </w:pPr>
            <w:r>
              <w:rPr>
                <w:rFonts w:ascii="Arial" w:cs="Arial" w:eastAsia="Arial" w:hAnsi="Arial"/>
                <w:sz w:val="13"/>
                <w:szCs w:val="13"/>
                <w:b w:val="1"/>
                <w:bCs w:val="1"/>
                <w:color w:val="auto"/>
                <w:w w:val="90"/>
              </w:rPr>
              <w:t>At and For the Year Ended December 31, 2017</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77"/>
              <w:spacing w:after="0" w:line="144"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6"/>
              </w:rPr>
              <w:t>Automotive</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133,607</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145,588</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11,889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1,300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12,268</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12,844</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11,863</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(11,533)</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w w:val="91"/>
              </w:rPr>
              <w:t>Loss from discontinued operations, net of tax</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(4,212)</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 attributable to stockholders</w:t>
            </w: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w:t>
            </w:r>
          </w:p>
        </w:tc>
      </w:tr>
      <w:tr>
        <w:trPr>
          <w:trHeight w:val="103"/>
        </w:trPr>
        <w:tc>
          <w:tcPr>
            <w:tcW w:w="2420" w:type="dxa"/>
            <w:vAlign w:val="bottom"/>
            <w:shd w:val="clear" w:color="auto" w:fill="CCEEFF"/>
          </w:tcPr>
          <w:p>
            <w:pPr>
              <w:ind w:left="4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7,886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9,073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2,819</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3,803</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5,849</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27,712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115,409</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212,482</w:t>
            </w:r>
          </w:p>
        </w:tc>
      </w:tr>
      <w:tr>
        <w:trPr>
          <w:trHeight w:val="208"/>
        </w:trPr>
        <w:tc>
          <w:tcPr>
            <w:tcW w:w="24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7,704</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8,325</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8,453</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5,393</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11,967</w:t>
            </w:r>
          </w:p>
        </w:tc>
      </w:tr>
      <w:tr>
        <w:trPr>
          <w:trHeight w:val="208"/>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294</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1,959</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2,132</w:t>
            </w: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ind w:left="340" w:right="20" w:hanging="332"/>
        <w:spacing w:after="0" w:line="239"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ignition switch-related legal matters in Corporate.</w:t>
      </w:r>
    </w:p>
    <w:p>
      <w:pPr>
        <w:sectPr>
          <w:pgSz w:w="11900" w:h="16838" w:orient="portrait"/>
          <w:cols w:equalWidth="0" w:num="1">
            <w:col w:w="11420"/>
          </w:cols>
          <w:pgMar w:left="240" w:top="341"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41"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At and For the Years Ended December 31,</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2019</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104,413</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100,674</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40,674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137,237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80,872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147,049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Supplemental Information for the Consolidated Statements of Cash Flows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Change in other operating assets and liabilities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Wholesale receivables funded by GM Financial,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equipment on operating leases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income taxes and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amounts capitalized) – Automotive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interest (net of amounts capitalized) – GM Financial</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paid for interest (net of amounts capitalized)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4,214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December 31, 2019.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December 31, 2019.</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72"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2019,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2019. Based on management's assessment, we have concluded that our internal control over financial reporting was effective at December 31, 2019.</w:t>
      </w:r>
    </w:p>
    <w:p>
      <w:pPr>
        <w:spacing w:after="0" w:line="171"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its report included herein.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have not been any changes in our internal control over financial reporting during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2019 that have materially affected, or are reasonably likely to materially affect, our internal control over financial reporting. In 2019, we initiated actions to enhance our close, consolidation, planning and reporting processes through the implementation of a suite of new systems and system architectures. On January 1, 2019, we updated our forecast and planning processes, inclusive of our year-over-year operating result changes discussed in the MD&amp;A. On May 1 2019, we updated our close, consolidation, and financial reporting systems, processes and related internal controls. For additional information refer to Item 1A. Risk Factors.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DHIVYA SURYADEVARA</w:t>
            </w:r>
          </w:p>
        </w:tc>
      </w:tr>
      <w:tr>
        <w:trPr>
          <w:trHeight w:val="27"/>
        </w:trPr>
        <w:tc>
          <w:tcPr>
            <w:tcW w:w="34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44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Dhivya Suryadevara</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5, 2020</w:t>
            </w:r>
          </w:p>
        </w:tc>
        <w:tc>
          <w:tcPr>
            <w:tcW w:w="30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5, 2020</w:t>
            </w:r>
          </w:p>
        </w:tc>
      </w:tr>
      <w:tr>
        <w:trPr>
          <w:trHeight w:val="459"/>
        </w:trPr>
        <w:tc>
          <w:tcPr>
            <w:tcW w:w="3440" w:type="dxa"/>
            <w:vAlign w:val="bottom"/>
          </w:tcPr>
          <w:p>
            <w:pPr>
              <w:spacing w:after="0"/>
              <w:rPr>
                <w:sz w:val="24"/>
                <w:szCs w:val="24"/>
                <w:color w:val="auto"/>
              </w:rPr>
            </w:pP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r>
        <w:trPr>
          <w:trHeight w:val="864"/>
        </w:trPr>
        <w:tc>
          <w:tcPr>
            <w:tcW w:w="3440" w:type="dxa"/>
            <w:vAlign w:val="bottom"/>
          </w:tcPr>
          <w:p>
            <w:pPr>
              <w:spacing w:after="0"/>
              <w:rPr>
                <w:sz w:val="24"/>
                <w:szCs w:val="24"/>
                <w:color w:val="auto"/>
              </w:rPr>
            </w:pPr>
          </w:p>
        </w:tc>
        <w:tc>
          <w:tcPr>
            <w:tcW w:w="3080" w:type="dxa"/>
            <w:vAlign w:val="bottom"/>
          </w:tcPr>
          <w:p>
            <w:pPr>
              <w:jc w:val="right"/>
              <w:ind w:right="630"/>
              <w:spacing w:after="0"/>
              <w:rPr>
                <w:sz w:val="20"/>
                <w:szCs w:val="20"/>
                <w:color w:val="auto"/>
              </w:rPr>
            </w:pPr>
            <w:r>
              <w:rPr>
                <w:rFonts w:ascii="Arial" w:cs="Arial" w:eastAsia="Arial" w:hAnsi="Arial"/>
                <w:sz w:val="18"/>
                <w:szCs w:val="18"/>
                <w:color w:val="auto"/>
              </w:rPr>
              <w:t>95</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98" w:name="page99"/>
    <w:bookmarkEnd w:id="9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Information required by Items 10, 11, 12, 13 and 14 of this Form 10-K is incorporated by reference from our definitive Proxy Statement for our 2020 Annual Meeting of Stockholders, which will be filed with the SEC, pursuant to Regulation 14A, not later than 120 days after the end of the 2019 fiscal year, all of which information is hereby incorporated by reference in, and made part of, this Form 10-K, except disclosure of our executive officers, which is included in Item 1 of this report.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bookmarkStart w:id="99" w:name="page100"/>
    <w:bookmarkEnd w:id="9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ind w:left="840" w:hanging="184"/>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0"/>
        </w:trPr>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20" w:type="dxa"/>
            <w:vAlign w:val="bottom"/>
            <w:gridSpan w:val="12"/>
          </w:tcPr>
          <w:p>
            <w:pPr>
              <w:ind w:left="380"/>
              <w:spacing w:after="0"/>
              <w:rPr>
                <w:sz w:val="20"/>
                <w:szCs w:val="20"/>
                <w:color w:val="auto"/>
              </w:rPr>
            </w:pPr>
            <w:r>
              <w:rPr>
                <w:rFonts w:ascii="Arial" w:cs="Arial" w:eastAsia="Arial" w:hAnsi="Arial"/>
                <w:sz w:val="16"/>
                <w:szCs w:val="16"/>
                <w:b w:val="1"/>
                <w:bCs w:val="1"/>
                <w:color w:val="auto"/>
              </w:rPr>
              <w:t>Exhibit Name</w:t>
            </w:r>
          </w:p>
        </w:tc>
        <w:tc>
          <w:tcPr>
            <w:tcW w:w="1900" w:type="dxa"/>
            <w:vAlign w:val="bottom"/>
          </w:tcPr>
          <w:p>
            <w:pPr>
              <w:spacing w:after="0"/>
              <w:rPr>
                <w:sz w:val="18"/>
                <w:szCs w:val="18"/>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183"/>
        </w:trPr>
        <w:tc>
          <w:tcPr>
            <w:tcW w:w="900" w:type="dxa"/>
            <w:vAlign w:val="bottom"/>
            <w:tcBorders>
              <w:bottom w:val="single" w:sz="8" w:color="CCEEFF"/>
            </w:tcBorders>
            <w:shd w:val="clear" w:color="auto" w:fill="CCEEFF"/>
          </w:tcPr>
          <w:p>
            <w:pPr>
              <w:ind w:left="40"/>
              <w:spacing w:after="0" w:line="183" w:lineRule="exact"/>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17"/>
            <w:shd w:val="clear" w:color="auto" w:fill="CCEEFF"/>
          </w:tcPr>
          <w:p>
            <w:pPr>
              <w:spacing w:after="0" w:line="183" w:lineRule="exact"/>
              <w:rPr>
                <w:rFonts w:ascii="Arial" w:cs="Arial" w:eastAsia="Arial" w:hAnsi="Arial"/>
                <w:sz w:val="16"/>
                <w:szCs w:val="16"/>
                <w:color w:val="0000FF"/>
                <w:w w:val="92"/>
              </w:rPr>
            </w:pPr>
            <w:hyperlink r:id="rId23">
              <w:r>
                <w:rPr>
                  <w:rFonts w:ascii="Arial" w:cs="Arial" w:eastAsia="Arial" w:hAnsi="Arial"/>
                  <w:sz w:val="16"/>
                  <w:szCs w:val="16"/>
                  <w:color w:val="0000FF"/>
                  <w:w w:val="92"/>
                </w:rPr>
                <w:t>Master Agreement, dated as of March 5, 2017, between General Motors Holdings, LLC and Peugeot S.A., incorporated herein by</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ind w:left="140"/>
              <w:spacing w:after="0" w:line="183" w:lineRule="exact"/>
              <w:rPr>
                <w:sz w:val="20"/>
                <w:szCs w:val="20"/>
                <w:color w:val="auto"/>
              </w:rPr>
            </w:pPr>
            <w:r>
              <w:rPr>
                <w:rFonts w:ascii="Arial" w:cs="Arial" w:eastAsia="Arial" w:hAnsi="Arial"/>
                <w:sz w:val="16"/>
                <w:szCs w:val="16"/>
                <w:color w:val="auto"/>
                <w:w w:val="91"/>
              </w:rPr>
              <w:t>Incorporated by Reference</w:t>
            </w: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0000FF"/>
            </w:tcBorders>
            <w:gridSpan w:val="14"/>
            <w:shd w:val="clear" w:color="auto" w:fill="CCEEFF"/>
          </w:tcPr>
          <w:p>
            <w:pPr>
              <w:spacing w:after="0" w:line="183" w:lineRule="exact"/>
              <w:rPr>
                <w:rFonts w:ascii="Arial" w:cs="Arial" w:eastAsia="Arial" w:hAnsi="Arial"/>
                <w:sz w:val="16"/>
                <w:szCs w:val="16"/>
                <w:color w:val="0000FF"/>
                <w:w w:val="93"/>
              </w:rPr>
            </w:pPr>
            <w:hyperlink r:id="rId23">
              <w:r>
                <w:rPr>
                  <w:rFonts w:ascii="Arial" w:cs="Arial" w:eastAsia="Arial" w:hAnsi="Arial"/>
                  <w:sz w:val="16"/>
                  <w:szCs w:val="16"/>
                  <w:color w:val="0000FF"/>
                  <w:w w:val="93"/>
                </w:rPr>
                <w:t>reference to Exhibit 2.1 to the Quarterly Report on Form 10-Q of General Motors Company filed April 28, 2017</w:t>
              </w:r>
            </w:hyperlink>
          </w:p>
        </w:tc>
        <w:tc>
          <w:tcPr>
            <w:tcW w:w="1200" w:type="dxa"/>
            <w:vAlign w:val="bottom"/>
            <w:tcBorders>
              <w:bottom w:val="single" w:sz="8" w:color="CCEEFF"/>
            </w:tcBorders>
            <w:gridSpan w:val="4"/>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bottom w:val="single" w:sz="8" w:color="0000FF"/>
            </w:tcBorders>
            <w:gridSpan w:val="17"/>
          </w:tcPr>
          <w:p>
            <w:pPr>
              <w:spacing w:after="0"/>
              <w:rPr>
                <w:rFonts w:ascii="Arial" w:cs="Arial" w:eastAsia="Arial" w:hAnsi="Arial"/>
                <w:sz w:val="16"/>
                <w:szCs w:val="16"/>
                <w:color w:val="0000FF"/>
                <w:w w:val="95"/>
              </w:rPr>
            </w:pPr>
            <w:hyperlink r:id="rId24">
              <w:r>
                <w:rPr>
                  <w:rFonts w:ascii="Arial" w:cs="Arial" w:eastAsia="Arial" w:hAnsi="Arial"/>
                  <w:sz w:val="16"/>
                  <w:szCs w:val="16"/>
                  <w:color w:val="0000FF"/>
                  <w:w w:val="95"/>
                </w:rPr>
                <w:t>Purchase Agreement by and among General Motors Holdings LLC, GM Cruise Holdings LLC, and Softbank Vision Fund (AIV</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Borders>
              <w:bottom w:val="single" w:sz="8" w:color="0000FF"/>
            </w:tcBorders>
            <w:gridSpan w:val="17"/>
          </w:tcPr>
          <w:p>
            <w:pPr>
              <w:spacing w:after="0" w:line="183" w:lineRule="exact"/>
              <w:rPr>
                <w:rFonts w:ascii="Arial" w:cs="Arial" w:eastAsia="Arial" w:hAnsi="Arial"/>
                <w:sz w:val="16"/>
                <w:szCs w:val="16"/>
                <w:color w:val="0000FF"/>
                <w:w w:val="93"/>
              </w:rPr>
            </w:pPr>
            <w:hyperlink r:id="rId24">
              <w:r>
                <w:rPr>
                  <w:rFonts w:ascii="Arial" w:cs="Arial" w:eastAsia="Arial" w:hAnsi="Arial"/>
                  <w:sz w:val="16"/>
                  <w:szCs w:val="16"/>
                  <w:color w:val="0000FF"/>
                  <w:w w:val="93"/>
                </w:rPr>
                <w:t>M1)</w:t>
              </w:r>
              <w:r>
                <w:rPr>
                  <w:rFonts w:ascii="Arial" w:cs="Arial" w:eastAsia="Arial" w:hAnsi="Arial"/>
                  <w:sz w:val="16"/>
                  <w:szCs w:val="16"/>
                  <w:u w:val="single" w:color="auto"/>
                  <w:color w:val="0000FF"/>
                  <w:w w:val="93"/>
                </w:rPr>
                <w:t>,</w:t>
              </w:r>
              <w:r>
                <w:rPr>
                  <w:rFonts w:ascii="Arial" w:cs="Arial" w:eastAsia="Arial" w:hAnsi="Arial"/>
                  <w:sz w:val="16"/>
                  <w:szCs w:val="16"/>
                  <w:color w:val="0000FF"/>
                  <w:w w:val="93"/>
                </w:rPr>
                <w:t xml:space="preserve"> L.P. dated May 31, 2018, incorporated herein by reference to Exhibit 2.1 to the Quarterly Report on Form 10-Q of General</w:t>
              </w:r>
            </w:hyperlink>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24">
              <w:r>
                <w:rPr>
                  <w:rFonts w:ascii="Arial" w:cs="Arial" w:eastAsia="Arial" w:hAnsi="Arial"/>
                  <w:sz w:val="16"/>
                  <w:szCs w:val="16"/>
                  <w:color w:val="0000FF"/>
                </w:rPr>
                <w:t>Motors Company filed July 25, 2018</w:t>
              </w:r>
            </w:hyperlink>
          </w:p>
        </w:tc>
        <w:tc>
          <w:tcPr>
            <w:tcW w:w="1900" w:type="dxa"/>
            <w:vAlign w:val="bottom"/>
          </w:tcPr>
          <w:p>
            <w:pPr>
              <w:spacing w:after="0"/>
              <w:rPr>
                <w:sz w:val="15"/>
                <w:szCs w:val="15"/>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80" w:type="dxa"/>
            <w:vAlign w:val="bottom"/>
            <w:gridSpan w:val="18"/>
            <w:shd w:val="clear" w:color="auto" w:fill="CCEEFF"/>
          </w:tcPr>
          <w:p>
            <w:pPr>
              <w:spacing w:after="0"/>
              <w:rPr>
                <w:rFonts w:ascii="Arial" w:cs="Arial" w:eastAsia="Arial" w:hAnsi="Arial"/>
                <w:sz w:val="16"/>
                <w:szCs w:val="16"/>
                <w:color w:val="0000FF"/>
                <w:w w:val="92"/>
              </w:rPr>
            </w:pPr>
            <w:hyperlink r:id="rId25">
              <w:r>
                <w:rPr>
                  <w:rFonts w:ascii="Arial" w:cs="Arial" w:eastAsia="Arial" w:hAnsi="Arial"/>
                  <w:sz w:val="16"/>
                  <w:szCs w:val="16"/>
                  <w:color w:val="0000FF"/>
                  <w:w w:val="92"/>
                </w:rPr>
                <w:t>Purchase Agreement by and between GM Cruise Holdings LLC and Honda Motor Co., LTD., dated October 3, 2018, incorporated</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40" w:type="dxa"/>
            <w:vAlign w:val="bottom"/>
            <w:tcBorders>
              <w:top w:val="single" w:sz="8" w:color="0000FF"/>
            </w:tcBorders>
            <w:gridSpan w:val="16"/>
            <w:shd w:val="clear" w:color="auto" w:fill="CCEEFF"/>
          </w:tcPr>
          <w:p>
            <w:pPr>
              <w:spacing w:after="0" w:line="183" w:lineRule="exact"/>
              <w:rPr>
                <w:rFonts w:ascii="Arial" w:cs="Arial" w:eastAsia="Arial" w:hAnsi="Arial"/>
                <w:sz w:val="16"/>
                <w:szCs w:val="16"/>
                <w:color w:val="0000FF"/>
                <w:w w:val="98"/>
              </w:rPr>
            </w:pPr>
            <w:hyperlink r:id="rId25">
              <w:r>
                <w:rPr>
                  <w:rFonts w:ascii="Arial" w:cs="Arial" w:eastAsia="Arial" w:hAnsi="Arial"/>
                  <w:sz w:val="16"/>
                  <w:szCs w:val="16"/>
                  <w:color w:val="0000FF"/>
                  <w:w w:val="98"/>
                </w:rPr>
                <w:t>herein by reference to Exhibit 2.3 to the Annual Report on Form 10-K of General Motors Company filed February 6,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bottom w:val="single" w:sz="8" w:color="0000FF"/>
            </w:tcBorders>
            <w:gridSpan w:val="17"/>
          </w:tcPr>
          <w:p>
            <w:pPr>
              <w:spacing w:after="0"/>
              <w:rPr>
                <w:rFonts w:ascii="Arial" w:cs="Arial" w:eastAsia="Arial" w:hAnsi="Arial"/>
                <w:sz w:val="16"/>
                <w:szCs w:val="16"/>
                <w:color w:val="0000FF"/>
                <w:w w:val="93"/>
              </w:rPr>
            </w:pPr>
            <w:hyperlink r:id="rId26">
              <w:r>
                <w:rPr>
                  <w:rFonts w:ascii="Arial" w:cs="Arial" w:eastAsia="Arial" w:hAnsi="Arial"/>
                  <w:sz w:val="16"/>
                  <w:szCs w:val="16"/>
                  <w:color w:val="0000FF"/>
                  <w:w w:val="93"/>
                </w:rPr>
                <w:t>Restated Certificate of Incorporation of General Motors Company dated December 7, 2010, incorporated herein by reference to</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Exhibit 3.2 to the Current Report on Form 8-K of General Motors Company filed December 13, 2010</w:t>
              </w:r>
            </w:hyperlink>
          </w:p>
        </w:tc>
        <w:tc>
          <w:tcPr>
            <w:tcW w:w="1900" w:type="dxa"/>
            <w:vAlign w:val="bottom"/>
          </w:tcPr>
          <w:p>
            <w:pPr>
              <w:spacing w:after="0"/>
              <w:rPr>
                <w:sz w:val="15"/>
                <w:szCs w:val="15"/>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17"/>
            <w:shd w:val="clear" w:color="auto" w:fill="CCEEFF"/>
          </w:tcPr>
          <w:p>
            <w:pPr>
              <w:spacing w:after="0"/>
              <w:rPr>
                <w:rFonts w:ascii="Arial" w:cs="Arial" w:eastAsia="Arial" w:hAnsi="Arial"/>
                <w:sz w:val="16"/>
                <w:szCs w:val="16"/>
                <w:color w:val="0000FF"/>
                <w:w w:val="92"/>
              </w:rPr>
            </w:pPr>
            <w:hyperlink r:id="rId27">
              <w:r>
                <w:rPr>
                  <w:rFonts w:ascii="Arial" w:cs="Arial" w:eastAsia="Arial" w:hAnsi="Arial"/>
                  <w:sz w:val="16"/>
                  <w:szCs w:val="16"/>
                  <w:color w:val="0000FF"/>
                  <w:w w:val="92"/>
                </w:rPr>
                <w:t>General Motors Company Amended and Restated Bylaws, as amended August 14, 2018, incorporated by reference to Exhibit 3.1</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230"/>
        </w:trPr>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80" w:type="dxa"/>
            <w:vAlign w:val="bottom"/>
            <w:gridSpan w:val="18"/>
            <w:shd w:val="clear" w:color="auto" w:fill="CCEEFF"/>
          </w:tcPr>
          <w:p>
            <w:pPr>
              <w:spacing w:after="0" w:line="183" w:lineRule="exact"/>
              <w:rPr>
                <w:rFonts w:ascii="Arial" w:cs="Arial" w:eastAsia="Arial" w:hAnsi="Arial"/>
                <w:sz w:val="16"/>
                <w:szCs w:val="16"/>
                <w:color w:val="0000FF"/>
              </w:rPr>
            </w:pPr>
            <w:hyperlink r:id="rId27">
              <w:r>
                <w:rPr>
                  <w:rFonts w:ascii="Arial" w:cs="Arial" w:eastAsia="Arial" w:hAnsi="Arial"/>
                  <w:sz w:val="16"/>
                  <w:szCs w:val="16"/>
                  <w:color w:val="0000FF"/>
                </w:rPr>
                <w:t>to the Current Report on Form 8-K of General Motors Company filed August 20, 2018</w:t>
              </w:r>
            </w:hyperlink>
          </w:p>
        </w:tc>
        <w:tc>
          <w:tcPr>
            <w:tcW w:w="1900" w:type="dxa"/>
            <w:vAlign w:val="bottom"/>
            <w:shd w:val="clear" w:color="auto" w:fill="CCEEFF"/>
          </w:tcPr>
          <w:p>
            <w:pPr>
              <w:spacing w:after="0"/>
              <w:rPr>
                <w:sz w:val="20"/>
                <w:szCs w:val="20"/>
                <w:color w:val="auto"/>
              </w:rPr>
            </w:pPr>
          </w:p>
        </w:tc>
      </w:tr>
      <w:tr>
        <w:trPr>
          <w:trHeight w:val="189"/>
        </w:trPr>
        <w:tc>
          <w:tcPr>
            <w:tcW w:w="9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620" w:type="dxa"/>
            <w:vAlign w:val="bottom"/>
            <w:tcBorders>
              <w:top w:val="single" w:sz="8" w:color="0000FF"/>
            </w:tcBorders>
            <w:gridSpan w:val="12"/>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Description of Securities</w:t>
              </w:r>
            </w:hyperlink>
          </w:p>
        </w:tc>
        <w:tc>
          <w:tcPr>
            <w:tcW w:w="2860" w:type="dxa"/>
            <w:vAlign w:val="bottom"/>
            <w:tcBorders>
              <w:top w:val="single" w:sz="8" w:color="CCEEFF"/>
            </w:tcBorders>
            <w:gridSpan w:val="6"/>
          </w:tcPr>
          <w:p>
            <w:pPr>
              <w:spacing w:after="0"/>
              <w:rPr>
                <w:sz w:val="16"/>
                <w:szCs w:val="16"/>
                <w:color w:val="auto"/>
              </w:rPr>
            </w:pPr>
          </w:p>
        </w:tc>
        <w:tc>
          <w:tcPr>
            <w:tcW w:w="190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Filed Herewith</w:t>
            </w:r>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17"/>
            <w:shd w:val="clear" w:color="auto" w:fill="CCEEFF"/>
          </w:tcPr>
          <w:p>
            <w:pPr>
              <w:spacing w:after="0"/>
              <w:rPr>
                <w:rFonts w:ascii="Arial" w:cs="Arial" w:eastAsia="Arial" w:hAnsi="Arial"/>
                <w:sz w:val="16"/>
                <w:szCs w:val="16"/>
                <w:color w:val="0000FF"/>
                <w:w w:val="94"/>
              </w:rPr>
            </w:pPr>
            <w:hyperlink r:id="rId28">
              <w:r>
                <w:rPr>
                  <w:rFonts w:ascii="Arial" w:cs="Arial" w:eastAsia="Arial" w:hAnsi="Arial"/>
                  <w:sz w:val="16"/>
                  <w:szCs w:val="16"/>
                  <w:color w:val="0000FF"/>
                  <w:w w:val="94"/>
                </w:rPr>
                <w:t>Indenture dated as of September 27, 2013, between General Motors Company and the Bank of New York Mellon, as Trustee,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18"/>
            <w:shd w:val="clear" w:color="auto" w:fill="CCEEFF"/>
          </w:tcPr>
          <w:p>
            <w:pPr>
              <w:spacing w:after="0" w:line="183" w:lineRule="exact"/>
              <w:rPr>
                <w:rFonts w:ascii="Arial" w:cs="Arial" w:eastAsia="Arial" w:hAnsi="Arial"/>
                <w:sz w:val="16"/>
                <w:szCs w:val="16"/>
                <w:color w:val="0000FF"/>
                <w:w w:val="93"/>
              </w:rPr>
            </w:pPr>
            <w:hyperlink r:id="rId28">
              <w:r>
                <w:rPr>
                  <w:rFonts w:ascii="Arial" w:cs="Arial" w:eastAsia="Arial" w:hAnsi="Arial"/>
                  <w:sz w:val="16"/>
                  <w:szCs w:val="16"/>
                  <w:color w:val="0000FF"/>
                  <w:w w:val="93"/>
                </w:rPr>
                <w:t>incorporated herein by reference to Exhibit 4.2 to the Registration Statement on Form S-3 of General Motors Company filed April</w:t>
              </w:r>
            </w:hyperlink>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0"/>
              <w:spacing w:after="0" w:line="183" w:lineRule="exact"/>
              <w:rPr>
                <w:rFonts w:ascii="Arial" w:cs="Arial" w:eastAsia="Arial" w:hAnsi="Arial"/>
                <w:sz w:val="16"/>
                <w:szCs w:val="16"/>
                <w:color w:val="0000FF"/>
                <w:w w:val="86"/>
              </w:rPr>
            </w:pPr>
            <w:hyperlink r:id="rId28">
              <w:r>
                <w:rPr>
                  <w:rFonts w:ascii="Arial" w:cs="Arial" w:eastAsia="Arial" w:hAnsi="Arial"/>
                  <w:sz w:val="16"/>
                  <w:szCs w:val="16"/>
                  <w:color w:val="0000FF"/>
                  <w:w w:val="86"/>
                </w:rPr>
                <w:t>30, 2014</w:t>
              </w:r>
            </w:hyperlink>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bottom w:val="single" w:sz="8" w:color="0000FF"/>
            </w:tcBorders>
            <w:gridSpan w:val="17"/>
          </w:tcPr>
          <w:p>
            <w:pPr>
              <w:spacing w:after="0"/>
              <w:rPr>
                <w:rFonts w:ascii="Arial" w:cs="Arial" w:eastAsia="Arial" w:hAnsi="Arial"/>
                <w:sz w:val="16"/>
                <w:szCs w:val="16"/>
                <w:color w:val="0000FF"/>
                <w:w w:val="92"/>
              </w:rPr>
            </w:pPr>
            <w:hyperlink r:id="rId29">
              <w:r>
                <w:rPr>
                  <w:rFonts w:ascii="Arial" w:cs="Arial" w:eastAsia="Arial" w:hAnsi="Arial"/>
                  <w:sz w:val="16"/>
                  <w:szCs w:val="16"/>
                  <w:color w:val="0000FF"/>
                  <w:w w:val="92"/>
                </w:rPr>
                <w:t>First Supplemental Indenture dated as of September 27, 2013 to the Indenture dated as of September 27, 2013 between General</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r:id="rId29">
              <w:r>
                <w:rPr>
                  <w:rFonts w:ascii="Arial" w:cs="Arial" w:eastAsia="Arial" w:hAnsi="Arial"/>
                  <w:sz w:val="16"/>
                  <w:szCs w:val="16"/>
                  <w:color w:val="0000FF"/>
                </w:rPr>
                <w:t>Motors Company and the Bank of New York Mellon, as Trustee, incorporated herein by reference to Exhibit 4.3 to the</w:t>
              </w:r>
            </w:hyperlink>
          </w:p>
        </w:tc>
        <w:tc>
          <w:tcPr>
            <w:tcW w:w="19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29">
              <w:r>
                <w:rPr>
                  <w:rFonts w:ascii="Arial" w:cs="Arial" w:eastAsia="Arial" w:hAnsi="Arial"/>
                  <w:sz w:val="16"/>
                  <w:szCs w:val="16"/>
                  <w:color w:val="0000FF"/>
                </w:rPr>
                <w:t>Registration Statement on Form S-4 of General Motors Company filed May 22, 2014</w:t>
              </w:r>
            </w:hyperlink>
          </w:p>
        </w:tc>
        <w:tc>
          <w:tcPr>
            <w:tcW w:w="1900" w:type="dxa"/>
            <w:vAlign w:val="bottom"/>
          </w:tcPr>
          <w:p>
            <w:pPr>
              <w:spacing w:after="0"/>
              <w:rPr>
                <w:sz w:val="15"/>
                <w:szCs w:val="15"/>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4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17"/>
            <w:shd w:val="clear" w:color="auto" w:fill="CCEEFF"/>
          </w:tcPr>
          <w:p>
            <w:pPr>
              <w:spacing w:after="0"/>
              <w:rPr>
                <w:rFonts w:ascii="Arial" w:cs="Arial" w:eastAsia="Arial" w:hAnsi="Arial"/>
                <w:sz w:val="16"/>
                <w:szCs w:val="16"/>
                <w:color w:val="0000FF"/>
                <w:w w:val="90"/>
              </w:rPr>
            </w:pPr>
            <w:hyperlink r:id="rId30">
              <w:r>
                <w:rPr>
                  <w:rFonts w:ascii="Arial" w:cs="Arial" w:eastAsia="Arial" w:hAnsi="Arial"/>
                  <w:sz w:val="16"/>
                  <w:szCs w:val="16"/>
                  <w:color w:val="0000FF"/>
                  <w:w w:val="90"/>
                </w:rPr>
                <w:t>Second Supplemental Indenture dated as of November 12, 2014 to the Indenture dated as of September 27, 2013 between General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17"/>
            <w:shd w:val="clear" w:color="auto" w:fill="CCEEFF"/>
          </w:tcPr>
          <w:p>
            <w:pPr>
              <w:spacing w:after="0" w:line="183" w:lineRule="exact"/>
              <w:rPr>
                <w:rFonts w:ascii="Arial" w:cs="Arial" w:eastAsia="Arial" w:hAnsi="Arial"/>
                <w:sz w:val="16"/>
                <w:szCs w:val="16"/>
                <w:color w:val="0000FF"/>
                <w:w w:val="95"/>
              </w:rPr>
            </w:pPr>
            <w:hyperlink r:id="rId30">
              <w:r>
                <w:rPr>
                  <w:rFonts w:ascii="Arial" w:cs="Arial" w:eastAsia="Arial" w:hAnsi="Arial"/>
                  <w:sz w:val="16"/>
                  <w:szCs w:val="16"/>
                  <w:color w:val="0000FF"/>
                  <w:w w:val="95"/>
                </w:rPr>
                <w:t>Motors Company and the Bank of New York Mellon, as Trustee, incorporated herein by reference to Exhibit 4.4 to the Current</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18"/>
            <w:shd w:val="clear" w:color="auto" w:fill="CCEEFF"/>
          </w:tcPr>
          <w:p>
            <w:pPr>
              <w:spacing w:after="0" w:line="183" w:lineRule="exact"/>
              <w:rPr>
                <w:rFonts w:ascii="Arial" w:cs="Arial" w:eastAsia="Arial" w:hAnsi="Arial"/>
                <w:sz w:val="16"/>
                <w:szCs w:val="16"/>
                <w:color w:val="0000FF"/>
              </w:rPr>
            </w:pPr>
            <w:hyperlink r:id="rId30">
              <w:r>
                <w:rPr>
                  <w:rFonts w:ascii="Arial" w:cs="Arial" w:eastAsia="Arial" w:hAnsi="Arial"/>
                  <w:sz w:val="16"/>
                  <w:szCs w:val="16"/>
                  <w:color w:val="0000FF"/>
                </w:rPr>
                <w:t>Report on Form 8-K of General Motors Company filed November 12, 2014</w:t>
              </w:r>
            </w:hyperlink>
          </w:p>
        </w:tc>
        <w:tc>
          <w:tcPr>
            <w:tcW w:w="1900" w:type="dxa"/>
            <w:vAlign w:val="bottom"/>
            <w:shd w:val="clear" w:color="auto" w:fill="CCEEFF"/>
          </w:tcPr>
          <w:p>
            <w:pPr>
              <w:spacing w:after="0"/>
              <w:rPr>
                <w:sz w:val="15"/>
                <w:szCs w:val="15"/>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bottom w:val="single" w:sz="8" w:color="0000FF"/>
            </w:tcBorders>
            <w:gridSpan w:val="17"/>
          </w:tcPr>
          <w:p>
            <w:pPr>
              <w:spacing w:after="0"/>
              <w:rPr>
                <w:rFonts w:ascii="Arial" w:cs="Arial" w:eastAsia="Arial" w:hAnsi="Arial"/>
                <w:sz w:val="16"/>
                <w:szCs w:val="16"/>
                <w:color w:val="0000FF"/>
                <w:w w:val="91"/>
              </w:rPr>
            </w:pPr>
            <w:hyperlink r:id="rId31">
              <w:r>
                <w:rPr>
                  <w:rFonts w:ascii="Arial" w:cs="Arial" w:eastAsia="Arial" w:hAnsi="Arial"/>
                  <w:sz w:val="16"/>
                  <w:szCs w:val="16"/>
                  <w:color w:val="0000FF"/>
                  <w:w w:val="91"/>
                </w:rPr>
                <w:t>Third Supplemental Indenture, dated as of February 23, 2016, to the Indenture, dated as of September 27, 2013, between General</w:t>
              </w:r>
            </w:hyperlink>
          </w:p>
        </w:tc>
        <w:tc>
          <w:tcPr>
            <w:tcW w:w="20" w:type="dxa"/>
            <w:vAlign w:val="bottom"/>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18"/>
          </w:tcPr>
          <w:p>
            <w:pPr>
              <w:spacing w:after="0" w:line="183" w:lineRule="exact"/>
              <w:rPr>
                <w:rFonts w:ascii="Arial" w:cs="Arial" w:eastAsia="Arial" w:hAnsi="Arial"/>
                <w:sz w:val="16"/>
                <w:szCs w:val="16"/>
                <w:color w:val="0000FF"/>
                <w:w w:val="92"/>
              </w:rPr>
            </w:pPr>
            <w:hyperlink r:id="rId31">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Current Report on Form 8-K of General Motors Company filed February 23, 2016</w:t>
              </w:r>
            </w:hyperlink>
          </w:p>
        </w:tc>
        <w:tc>
          <w:tcPr>
            <w:tcW w:w="1900" w:type="dxa"/>
            <w:vAlign w:val="bottom"/>
          </w:tcPr>
          <w:p>
            <w:pPr>
              <w:spacing w:after="0"/>
              <w:rPr>
                <w:sz w:val="15"/>
                <w:szCs w:val="15"/>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4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18"/>
            <w:shd w:val="clear" w:color="auto" w:fill="CCEEFF"/>
          </w:tcPr>
          <w:p>
            <w:pPr>
              <w:spacing w:after="0"/>
              <w:rPr>
                <w:rFonts w:ascii="Arial" w:cs="Arial" w:eastAsia="Arial" w:hAnsi="Arial"/>
                <w:sz w:val="16"/>
                <w:szCs w:val="16"/>
                <w:color w:val="0000FF"/>
                <w:w w:val="92"/>
              </w:rPr>
            </w:pPr>
            <w:hyperlink r:id="rId32">
              <w:r>
                <w:rPr>
                  <w:rFonts w:ascii="Arial" w:cs="Arial" w:eastAsia="Arial" w:hAnsi="Arial"/>
                  <w:sz w:val="16"/>
                  <w:szCs w:val="16"/>
                  <w:color w:val="0000FF"/>
                  <w:w w:val="92"/>
                </w:rPr>
                <w:t>Fourth Supplemental Indenture, dated as of August 7, 2017, to the Indenture, dated as of September 27, 2013, between General</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18"/>
            <w:shd w:val="clear" w:color="auto" w:fill="CCEEFF"/>
          </w:tcPr>
          <w:p>
            <w:pPr>
              <w:spacing w:after="0" w:line="183" w:lineRule="exact"/>
              <w:rPr>
                <w:rFonts w:ascii="Arial" w:cs="Arial" w:eastAsia="Arial" w:hAnsi="Arial"/>
                <w:sz w:val="16"/>
                <w:szCs w:val="16"/>
                <w:color w:val="0000FF"/>
                <w:w w:val="92"/>
              </w:rPr>
            </w:pPr>
            <w:hyperlink r:id="rId32">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18"/>
            <w:shd w:val="clear" w:color="auto" w:fill="CCEEFF"/>
          </w:tcPr>
          <w:p>
            <w:pPr>
              <w:spacing w:after="0" w:line="183" w:lineRule="exact"/>
              <w:rPr>
                <w:rFonts w:ascii="Arial" w:cs="Arial" w:eastAsia="Arial" w:hAnsi="Arial"/>
                <w:sz w:val="16"/>
                <w:szCs w:val="16"/>
                <w:color w:val="0000FF"/>
              </w:rPr>
            </w:pPr>
            <w:hyperlink r:id="rId32">
              <w:r>
                <w:rPr>
                  <w:rFonts w:ascii="Arial" w:cs="Arial" w:eastAsia="Arial" w:hAnsi="Arial"/>
                  <w:sz w:val="16"/>
                  <w:szCs w:val="16"/>
                  <w:color w:val="0000FF"/>
                </w:rPr>
                <w:t>Current Report on Form 8-K of General Motors Company filed August 8, 2017</w:t>
              </w:r>
            </w:hyperlink>
          </w:p>
        </w:tc>
        <w:tc>
          <w:tcPr>
            <w:tcW w:w="1900" w:type="dxa"/>
            <w:vAlign w:val="bottom"/>
            <w:shd w:val="clear" w:color="auto" w:fill="CCEEFF"/>
          </w:tcPr>
          <w:p>
            <w:pPr>
              <w:spacing w:after="0"/>
              <w:rPr>
                <w:sz w:val="15"/>
                <w:szCs w:val="15"/>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0000FF"/>
            </w:tcBorders>
            <w:shd w:val="clear" w:color="auto" w:fill="CCEEFF"/>
          </w:tcPr>
          <w:p>
            <w:pPr>
              <w:spacing w:after="0"/>
              <w:rPr>
                <w:sz w:val="21"/>
                <w:szCs w:val="21"/>
                <w:color w:val="auto"/>
              </w:rPr>
            </w:pPr>
          </w:p>
        </w:tc>
        <w:tc>
          <w:tcPr>
            <w:tcW w:w="1040" w:type="dxa"/>
            <w:vAlign w:val="bottom"/>
            <w:tcBorders>
              <w:top w:val="single" w:sz="8" w:color="0000FF"/>
            </w:tcBorders>
            <w:shd w:val="clear" w:color="auto" w:fill="CCEEFF"/>
          </w:tcPr>
          <w:p>
            <w:pPr>
              <w:spacing w:after="0"/>
              <w:rPr>
                <w:sz w:val="21"/>
                <w:szCs w:val="21"/>
                <w:color w:val="auto"/>
              </w:rPr>
            </w:pPr>
          </w:p>
        </w:tc>
        <w:tc>
          <w:tcPr>
            <w:tcW w:w="78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540" w:type="dxa"/>
            <w:vAlign w:val="bottom"/>
            <w:tcBorders>
              <w:top w:val="single" w:sz="8" w:color="0000FF"/>
            </w:tcBorders>
            <w:shd w:val="clear" w:color="auto" w:fill="CCEEFF"/>
          </w:tcPr>
          <w:p>
            <w:pPr>
              <w:spacing w:after="0"/>
              <w:rPr>
                <w:sz w:val="21"/>
                <w:szCs w:val="21"/>
                <w:color w:val="auto"/>
              </w:rPr>
            </w:pPr>
          </w:p>
        </w:tc>
        <w:tc>
          <w:tcPr>
            <w:tcW w:w="15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18"/>
          </w:tcPr>
          <w:p>
            <w:pPr>
              <w:spacing w:after="0"/>
              <w:rPr>
                <w:rFonts w:ascii="Arial" w:cs="Arial" w:eastAsia="Arial" w:hAnsi="Arial"/>
                <w:sz w:val="16"/>
                <w:szCs w:val="16"/>
                <w:color w:val="0000FF"/>
                <w:w w:val="90"/>
              </w:rPr>
            </w:pPr>
            <w:hyperlink r:id="rId33">
              <w:r>
                <w:rPr>
                  <w:rFonts w:ascii="Arial" w:cs="Arial" w:eastAsia="Arial" w:hAnsi="Arial"/>
                  <w:sz w:val="16"/>
                  <w:szCs w:val="16"/>
                  <w:color w:val="0000FF"/>
                  <w:w w:val="90"/>
                </w:rPr>
                <w:t>Fifth Supplemental Indenture, dated as of September 10, 2018, to the Indenture, dated as of September 27, 2013, between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18"/>
          </w:tcPr>
          <w:p>
            <w:pPr>
              <w:spacing w:after="0" w:line="183" w:lineRule="exact"/>
              <w:rPr>
                <w:rFonts w:ascii="Arial" w:cs="Arial" w:eastAsia="Arial" w:hAnsi="Arial"/>
                <w:sz w:val="16"/>
                <w:szCs w:val="16"/>
                <w:color w:val="0000FF"/>
                <w:w w:val="97"/>
              </w:rPr>
            </w:pPr>
            <w:hyperlink r:id="rId33">
              <w:r>
                <w:rPr>
                  <w:rFonts w:ascii="Arial" w:cs="Arial" w:eastAsia="Arial" w:hAnsi="Arial"/>
                  <w:sz w:val="16"/>
                  <w:szCs w:val="16"/>
                  <w:color w:val="0000FF"/>
                  <w:w w:val="97"/>
                </w:rPr>
                <w:t>Motors Company, as issuer, and The Bank of New York Mellon, as Trustee, incorporated by reference to Exhibit 4.2 to the</w:t>
              </w:r>
            </w:hyperlink>
          </w:p>
        </w:tc>
        <w:tc>
          <w:tcPr>
            <w:tcW w:w="19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33">
              <w:r>
                <w:rPr>
                  <w:rFonts w:ascii="Arial" w:cs="Arial" w:eastAsia="Arial" w:hAnsi="Arial"/>
                  <w:sz w:val="16"/>
                  <w:szCs w:val="16"/>
                  <w:color w:val="0000FF"/>
                </w:rPr>
                <w:t>Current Report on Form 8-K of General Motors Company filed September 10, 2018</w:t>
              </w:r>
            </w:hyperlink>
          </w:p>
        </w:tc>
        <w:tc>
          <w:tcPr>
            <w:tcW w:w="1900" w:type="dxa"/>
            <w:vAlign w:val="bottom"/>
          </w:tcPr>
          <w:p>
            <w:pPr>
              <w:spacing w:after="0"/>
              <w:rPr>
                <w:sz w:val="15"/>
                <w:szCs w:val="15"/>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17"/>
            <w:shd w:val="clear" w:color="auto" w:fill="CCEEFF"/>
          </w:tcPr>
          <w:p>
            <w:pPr>
              <w:spacing w:after="0"/>
              <w:rPr>
                <w:rFonts w:ascii="Arial" w:cs="Arial" w:eastAsia="Arial" w:hAnsi="Arial"/>
                <w:sz w:val="16"/>
                <w:szCs w:val="16"/>
                <w:color w:val="0000FF"/>
                <w:w w:val="97"/>
              </w:rPr>
            </w:pPr>
            <w:hyperlink r:id="rId34">
              <w:r>
                <w:rPr>
                  <w:rFonts w:ascii="Arial" w:cs="Arial" w:eastAsia="Arial" w:hAnsi="Arial"/>
                  <w:sz w:val="16"/>
                  <w:szCs w:val="16"/>
                  <w:color w:val="0000FF"/>
                  <w:w w:val="97"/>
                </w:rPr>
                <w:t>Calculation Agency Agreement, dated as of August 7, 2017 between General Motors Company and the Bank of New York</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17"/>
            <w:shd w:val="clear" w:color="auto" w:fill="CCEEFF"/>
          </w:tcPr>
          <w:p>
            <w:pPr>
              <w:spacing w:after="0" w:line="183" w:lineRule="exact"/>
              <w:rPr>
                <w:rFonts w:ascii="Arial" w:cs="Arial" w:eastAsia="Arial" w:hAnsi="Arial"/>
                <w:sz w:val="16"/>
                <w:szCs w:val="16"/>
                <w:color w:val="0000FF"/>
                <w:w w:val="97"/>
              </w:rPr>
            </w:pPr>
            <w:hyperlink r:id="rId34">
              <w:r>
                <w:rPr>
                  <w:rFonts w:ascii="Arial" w:cs="Arial" w:eastAsia="Arial" w:hAnsi="Arial"/>
                  <w:sz w:val="16"/>
                  <w:szCs w:val="16"/>
                  <w:color w:val="0000FF"/>
                  <w:w w:val="97"/>
                </w:rPr>
                <w:t>Mellon, as calculation agent, incorporated herein by reference to Exhibit 4.2 to the Current Report on Form 8-K of General</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18"/>
            <w:shd w:val="clear" w:color="auto" w:fill="CCEEFF"/>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Motors Company filed August 8, 2017</w:t>
              </w:r>
            </w:hyperlink>
          </w:p>
        </w:tc>
        <w:tc>
          <w:tcPr>
            <w:tcW w:w="1900" w:type="dxa"/>
            <w:vAlign w:val="bottom"/>
            <w:shd w:val="clear" w:color="auto" w:fill="CCEEFF"/>
          </w:tcPr>
          <w:p>
            <w:pPr>
              <w:spacing w:after="0"/>
              <w:rPr>
                <w:sz w:val="15"/>
                <w:szCs w:val="15"/>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18"/>
          </w:tcPr>
          <w:p>
            <w:pPr>
              <w:spacing w:after="0"/>
              <w:rPr>
                <w:rFonts w:ascii="Arial" w:cs="Arial" w:eastAsia="Arial" w:hAnsi="Arial"/>
                <w:sz w:val="16"/>
                <w:szCs w:val="16"/>
                <w:color w:val="0000FF"/>
                <w:w w:val="93"/>
              </w:rPr>
            </w:pPr>
            <w:hyperlink r:id="rId35">
              <w:r>
                <w:rPr>
                  <w:rFonts w:ascii="Arial" w:cs="Arial" w:eastAsia="Arial" w:hAnsi="Arial"/>
                  <w:sz w:val="16"/>
                  <w:szCs w:val="16"/>
                  <w:color w:val="0000FF"/>
                  <w:w w:val="93"/>
                </w:rPr>
                <w:t>Calculation Agency Agreement, dated as of September 10, 2018 between General Motors Company and the Bank of New York</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Borders>
              <w:bottom w:val="single" w:sz="8" w:color="0000FF"/>
            </w:tcBorders>
            <w:gridSpan w:val="17"/>
          </w:tcPr>
          <w:p>
            <w:pPr>
              <w:spacing w:after="0" w:line="183" w:lineRule="exact"/>
              <w:rPr>
                <w:rFonts w:ascii="Arial" w:cs="Arial" w:eastAsia="Arial" w:hAnsi="Arial"/>
                <w:sz w:val="16"/>
                <w:szCs w:val="16"/>
                <w:color w:val="0000FF"/>
                <w:w w:val="97"/>
              </w:rPr>
            </w:pPr>
            <w:hyperlink r:id="rId35">
              <w:r>
                <w:rPr>
                  <w:rFonts w:ascii="Arial" w:cs="Arial" w:eastAsia="Arial" w:hAnsi="Arial"/>
                  <w:sz w:val="16"/>
                  <w:szCs w:val="16"/>
                  <w:color w:val="0000FF"/>
                  <w:w w:val="97"/>
                </w:rPr>
                <w:t>Mellon, as calculation agent, incorporated herein by reference to Exhibit 4.3 to the Current Report on Form 8-K of General</w:t>
              </w:r>
            </w:hyperlink>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18"/>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Motors Company filed September 10, 2018</w:t>
              </w:r>
            </w:hyperlink>
          </w:p>
        </w:tc>
        <w:tc>
          <w:tcPr>
            <w:tcW w:w="1900" w:type="dxa"/>
            <w:vAlign w:val="bottom"/>
          </w:tcPr>
          <w:p>
            <w:pPr>
              <w:spacing w:after="0"/>
              <w:rPr>
                <w:sz w:val="15"/>
                <w:szCs w:val="15"/>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17"/>
            <w:shd w:val="clear" w:color="auto" w:fill="CCEEFF"/>
          </w:tcPr>
          <w:p>
            <w:pPr>
              <w:spacing w:after="0"/>
              <w:rPr>
                <w:rFonts w:ascii="Arial" w:cs="Arial" w:eastAsia="Arial" w:hAnsi="Arial"/>
                <w:sz w:val="16"/>
                <w:szCs w:val="16"/>
                <w:color w:val="0000FF"/>
                <w:w w:val="92"/>
              </w:rPr>
            </w:pPr>
            <w:hyperlink r:id="rId36">
              <w:r>
                <w:rPr>
                  <w:rFonts w:ascii="Arial" w:cs="Arial" w:eastAsia="Arial" w:hAnsi="Arial"/>
                  <w:sz w:val="16"/>
                  <w:szCs w:val="16"/>
                  <w:color w:val="0000FF"/>
                  <w:w w:val="92"/>
                </w:rPr>
                <w:t>Stockholders Agreement, dated as of October 15, 2009 between General Motors Company, the United States Department of the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17"/>
            <w:shd w:val="clear" w:color="auto" w:fill="CCEEFF"/>
          </w:tcPr>
          <w:p>
            <w:pPr>
              <w:spacing w:after="0" w:line="183" w:lineRule="exact"/>
              <w:rPr>
                <w:rFonts w:ascii="Arial" w:cs="Arial" w:eastAsia="Arial" w:hAnsi="Arial"/>
                <w:sz w:val="16"/>
                <w:szCs w:val="16"/>
                <w:color w:val="0000FF"/>
                <w:w w:val="95"/>
              </w:rPr>
            </w:pPr>
            <w:hyperlink r:id="rId36">
              <w:r>
                <w:rPr>
                  <w:rFonts w:ascii="Arial" w:cs="Arial" w:eastAsia="Arial" w:hAnsi="Arial"/>
                  <w:sz w:val="16"/>
                  <w:szCs w:val="16"/>
                  <w:color w:val="0000FF"/>
                  <w:w w:val="95"/>
                </w:rPr>
                <w:t>Treasury, Canada GEN Investment Corporation (fka 7176384 Canada Inc.), the UAW Retiree Medical Benefits Trust, and, for</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18"/>
            <w:shd w:val="clear" w:color="auto" w:fill="CCEEFF"/>
          </w:tcPr>
          <w:p>
            <w:pPr>
              <w:spacing w:after="0" w:line="183" w:lineRule="exact"/>
              <w:rPr>
                <w:rFonts w:ascii="Arial" w:cs="Arial" w:eastAsia="Arial" w:hAnsi="Arial"/>
                <w:sz w:val="16"/>
                <w:szCs w:val="16"/>
                <w:color w:val="0000FF"/>
                <w:w w:val="95"/>
              </w:rPr>
            </w:pPr>
            <w:hyperlink r:id="rId36">
              <w:r>
                <w:rPr>
                  <w:rFonts w:ascii="Arial" w:cs="Arial" w:eastAsia="Arial" w:hAnsi="Arial"/>
                  <w:sz w:val="16"/>
                  <w:szCs w:val="16"/>
                  <w:color w:val="0000FF"/>
                  <w:w w:val="95"/>
                </w:rPr>
                <w:t>limited purposes, General Motors LLC, incorporated herein by reference to Exhibit 10.8 to the Current Report on Form 8-K of</w:t>
              </w:r>
            </w:hyperlink>
          </w:p>
        </w:tc>
        <w:tc>
          <w:tcPr>
            <w:tcW w:w="1900" w:type="dxa"/>
            <w:vAlign w:val="bottom"/>
            <w:tcBorders>
              <w:bottom w:val="single" w:sz="8" w:color="CCEEFF"/>
            </w:tcBorders>
            <w:shd w:val="clear" w:color="auto" w:fill="CCEEFF"/>
          </w:tcPr>
          <w:p>
            <w:pPr>
              <w:spacing w:after="0"/>
              <w:rPr>
                <w:sz w:val="15"/>
                <w:szCs w:val="15"/>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18"/>
            <w:shd w:val="clear" w:color="auto" w:fill="CCEEFF"/>
          </w:tcPr>
          <w:p>
            <w:pPr>
              <w:spacing w:after="0" w:line="183" w:lineRule="exact"/>
              <w:rPr>
                <w:rFonts w:ascii="Arial" w:cs="Arial" w:eastAsia="Arial" w:hAnsi="Arial"/>
                <w:sz w:val="16"/>
                <w:szCs w:val="16"/>
                <w:color w:val="0000FF"/>
              </w:rPr>
            </w:pPr>
            <w:hyperlink r:id="rId36">
              <w:r>
                <w:rPr>
                  <w:rFonts w:ascii="Arial" w:cs="Arial" w:eastAsia="Arial" w:hAnsi="Arial"/>
                  <w:sz w:val="16"/>
                  <w:szCs w:val="16"/>
                  <w:color w:val="0000FF"/>
                </w:rPr>
                <w:t>General Motors Company filed November 16, 2009</w:t>
              </w:r>
            </w:hyperlink>
          </w:p>
        </w:tc>
        <w:tc>
          <w:tcPr>
            <w:tcW w:w="1900" w:type="dxa"/>
            <w:vAlign w:val="bottom"/>
            <w:shd w:val="clear" w:color="auto" w:fill="CCEEFF"/>
          </w:tcPr>
          <w:p>
            <w:pPr>
              <w:spacing w:after="0"/>
              <w:rPr>
                <w:sz w:val="15"/>
                <w:szCs w:val="15"/>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41"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12"/>
          </w:tcPr>
          <w:p>
            <w:pPr>
              <w:ind w:left="800"/>
              <w:spacing w:after="0"/>
              <w:rPr>
                <w:sz w:val="20"/>
                <w:szCs w:val="20"/>
                <w:color w:val="auto"/>
              </w:rPr>
            </w:pPr>
            <w:r>
              <w:rPr>
                <w:rFonts w:ascii="Arial" w:cs="Arial" w:eastAsia="Arial" w:hAnsi="Arial"/>
                <w:sz w:val="16"/>
                <w:szCs w:val="16"/>
                <w:b w:val="1"/>
                <w:bCs w:val="1"/>
                <w:color w:val="auto"/>
              </w:rPr>
              <w:t>Exhibit Name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vMerge w:val="restart"/>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ind w:left="40"/>
              <w:spacing w:after="0" w:line="183"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7"/>
              </w:rPr>
            </w:pPr>
            <w:hyperlink r:id="rId37">
              <w:r>
                <w:rPr>
                  <w:rFonts w:ascii="Arial" w:cs="Arial" w:eastAsia="Arial" w:hAnsi="Arial"/>
                  <w:sz w:val="16"/>
                  <w:szCs w:val="16"/>
                  <w:color w:val="0000FF"/>
                  <w:w w:val="97"/>
                </w:rPr>
                <w:t>Equity Registration Rights Agreement, dated as of October 15, 2009, between General Motors Company, the United States</w:t>
              </w:r>
            </w:hyperlink>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5"/>
              </w:rPr>
            </w:pPr>
            <w:hyperlink r:id="rId37">
              <w:r>
                <w:rPr>
                  <w:rFonts w:ascii="Arial" w:cs="Arial" w:eastAsia="Arial" w:hAnsi="Arial"/>
                  <w:sz w:val="16"/>
                  <w:szCs w:val="16"/>
                  <w:color w:val="0000FF"/>
                  <w:w w:val="95"/>
                </w:rPr>
                <w:t>Department of Treasury, Canada GEN Investment Corporation (fka 7176384 Canada Inc.), the UAW Retiree Medical Benefits</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4"/>
              </w:rPr>
            </w:pPr>
            <w:hyperlink r:id="rId37">
              <w:r>
                <w:rPr>
                  <w:rFonts w:ascii="Arial" w:cs="Arial" w:eastAsia="Arial" w:hAnsi="Arial"/>
                  <w:sz w:val="16"/>
                  <w:szCs w:val="16"/>
                  <w:color w:val="0000FF"/>
                  <w:w w:val="94"/>
                </w:rPr>
                <w:t>Trust, Motors Liquidation Company, and, for limited purposes, General Motors LLC, incorporated herein by reference to Exhibit</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Current Report on Form 8-K of Motors Liquidation Company filed October 21, 2009</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1"/>
              </w:rPr>
            </w:pPr>
            <w:hyperlink r:id="rId38">
              <w:r>
                <w:rPr>
                  <w:rFonts w:ascii="Arial" w:cs="Arial" w:eastAsia="Arial" w:hAnsi="Arial"/>
                  <w:sz w:val="16"/>
                  <w:szCs w:val="16"/>
                  <w:color w:val="0000FF"/>
                  <w:w w:val="91"/>
                </w:rPr>
                <w:t>Letter Agreement regarding Equity Registration Rights Agreement, dated October 21, 2010, among General Motors Company, the</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7"/>
              </w:rPr>
            </w:pPr>
            <w:hyperlink r:id="rId38">
              <w:r>
                <w:rPr>
                  <w:rFonts w:ascii="Arial" w:cs="Arial" w:eastAsia="Arial" w:hAnsi="Arial"/>
                  <w:sz w:val="16"/>
                  <w:szCs w:val="16"/>
                  <w:color w:val="0000FF"/>
                  <w:w w:val="97"/>
                </w:rPr>
                <w:t>United States Department of Treasury, Canada GEN Investment Corporation, the UAW Retiree Medical Benefits Trust and</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Motors Liquidation Company, incorporated herein by reference to Exhibit 10.43 to Amendment No. 5 to the Registration</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22"/>
            <w:shd w:val="clear" w:color="auto" w:fill="CCEEFF"/>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Statement on Form S-1 (File No. 333-168919) of General Motors Company filed November 3, 2010</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7"/>
              </w:rPr>
            </w:pPr>
            <w:hyperlink r:id="rId39">
              <w:r>
                <w:rPr>
                  <w:rFonts w:ascii="Arial" w:cs="Arial" w:eastAsia="Arial" w:hAnsi="Arial"/>
                  <w:sz w:val="16"/>
                  <w:szCs w:val="16"/>
                  <w:color w:val="0000FF"/>
                  <w:w w:val="97"/>
                </w:rPr>
                <w:t>Form of Compensation Statement, incorporated herein by reference to Exhibit 10.14 to the Annual Report on Form 10-K of</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39">
              <w:r>
                <w:rPr>
                  <w:rFonts w:ascii="Arial" w:cs="Arial" w:eastAsia="Arial" w:hAnsi="Arial"/>
                  <w:sz w:val="16"/>
                  <w:szCs w:val="16"/>
                  <w:color w:val="0000FF"/>
                </w:rPr>
                <w:t>General Motors Company filed April 7, 2010</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7"/>
              </w:rPr>
            </w:pPr>
            <w:hyperlink r:id="rId40">
              <w:r>
                <w:rPr>
                  <w:rFonts w:ascii="Arial" w:cs="Arial" w:eastAsia="Arial" w:hAnsi="Arial"/>
                  <w:sz w:val="16"/>
                  <w:szCs w:val="16"/>
                  <w:color w:val="0000FF"/>
                  <w:w w:val="97"/>
                </w:rPr>
                <w:t>General Motors Company Executive Retirement Plan, with modifications through October 10, 2012, incorporated herein by</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0000FF"/>
            </w:tcBorders>
            <w:gridSpan w:val="20"/>
            <w:shd w:val="clear" w:color="auto" w:fill="CCEEFF"/>
          </w:tcPr>
          <w:p>
            <w:pPr>
              <w:spacing w:after="0" w:line="183" w:lineRule="exact"/>
              <w:rPr>
                <w:rFonts w:ascii="Arial" w:cs="Arial" w:eastAsia="Arial" w:hAnsi="Arial"/>
                <w:sz w:val="16"/>
                <w:szCs w:val="16"/>
                <w:color w:val="0000FF"/>
                <w:w w:val="92"/>
              </w:rPr>
            </w:pPr>
            <w:hyperlink r:id="rId40">
              <w:r>
                <w:rPr>
                  <w:rFonts w:ascii="Arial" w:cs="Arial" w:eastAsia="Arial" w:hAnsi="Arial"/>
                  <w:sz w:val="16"/>
                  <w:szCs w:val="16"/>
                  <w:color w:val="0000FF"/>
                  <w:w w:val="92"/>
                </w:rPr>
                <w:t>reference to Exhibit 10.12 to the Annual Report on Form 10-K of General Motors Company filed February 15, 2013</w:t>
              </w:r>
            </w:hyperlink>
          </w:p>
        </w:tc>
        <w:tc>
          <w:tcPr>
            <w:tcW w:w="940" w:type="dxa"/>
            <w:vAlign w:val="bottom"/>
            <w:tcBorders>
              <w:bottom w:val="single" w:sz="8" w:color="CCEEFF"/>
            </w:tcBorders>
            <w:gridSpan w:val="2"/>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9"/>
              </w:rPr>
            </w:pPr>
            <w:hyperlink r:id="rId41">
              <w:r>
                <w:rPr>
                  <w:rFonts w:ascii="Arial" w:cs="Arial" w:eastAsia="Arial" w:hAnsi="Arial"/>
                  <w:sz w:val="16"/>
                  <w:szCs w:val="16"/>
                  <w:color w:val="0000FF"/>
                  <w:w w:val="99"/>
                </w:rPr>
                <w:t>Amendment No. 1 to General Motors Company Executive Retirement Plan, with modifications through October 10, 2012,</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2"/>
              </w:rPr>
            </w:pPr>
            <w:hyperlink r:id="rId41">
              <w:r>
                <w:rPr>
                  <w:rFonts w:ascii="Arial" w:cs="Arial" w:eastAsia="Arial" w:hAnsi="Arial"/>
                  <w:sz w:val="16"/>
                  <w:szCs w:val="16"/>
                  <w:color w:val="0000FF"/>
                  <w:w w:val="92"/>
                </w:rPr>
                <w:t>incorporated herein by reference to Exhibit 10.2 to the Current Report on Form 8-K of General Motors Company filed February 3,</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4"/>
          </w:tcPr>
          <w:p>
            <w:pPr>
              <w:ind w:left="40"/>
              <w:spacing w:after="0" w:line="183" w:lineRule="exact"/>
              <w:rPr>
                <w:rFonts w:ascii="Arial" w:cs="Arial" w:eastAsia="Arial" w:hAnsi="Arial"/>
                <w:sz w:val="16"/>
                <w:szCs w:val="16"/>
                <w:color w:val="0000FF"/>
                <w:w w:val="89"/>
              </w:rPr>
            </w:pPr>
            <w:hyperlink r:id="rId41">
              <w:r>
                <w:rPr>
                  <w:rFonts w:ascii="Arial" w:cs="Arial" w:eastAsia="Arial" w:hAnsi="Arial"/>
                  <w:sz w:val="16"/>
                  <w:szCs w:val="16"/>
                  <w:color w:val="0000FF"/>
                  <w:w w:val="89"/>
                </w:rPr>
                <w:t>2016</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2"/>
              </w:rPr>
            </w:pPr>
            <w:hyperlink r:id="rId42">
              <w:r>
                <w:rPr>
                  <w:rFonts w:ascii="Arial" w:cs="Arial" w:eastAsia="Arial" w:hAnsi="Arial"/>
                  <w:sz w:val="16"/>
                  <w:szCs w:val="16"/>
                  <w:color w:val="0000FF"/>
                  <w:w w:val="92"/>
                </w:rPr>
                <w:t>General Motors Company 2014 Long-Term Incentive Plan, incorporated herein by reference to Exhibit 10.1 to the Current Report</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0000FF"/>
            </w:tcBorders>
            <w:gridSpan w:val="11"/>
            <w:shd w:val="clear" w:color="auto" w:fill="CCEEFF"/>
          </w:tcPr>
          <w:p>
            <w:pPr>
              <w:spacing w:after="0" w:line="183" w:lineRule="exact"/>
              <w:rPr>
                <w:rFonts w:ascii="Arial" w:cs="Arial" w:eastAsia="Arial" w:hAnsi="Arial"/>
                <w:sz w:val="16"/>
                <w:szCs w:val="16"/>
                <w:color w:val="0000FF"/>
                <w:w w:val="92"/>
              </w:rPr>
            </w:pPr>
            <w:hyperlink r:id="rId42">
              <w:r>
                <w:rPr>
                  <w:rFonts w:ascii="Arial" w:cs="Arial" w:eastAsia="Arial" w:hAnsi="Arial"/>
                  <w:sz w:val="16"/>
                  <w:szCs w:val="16"/>
                  <w:color w:val="0000FF"/>
                  <w:w w:val="92"/>
                </w:rPr>
                <w:t>on Form 8-K of General Motors Company filed June 12, 2014</w:t>
              </w:r>
            </w:hyperlink>
          </w:p>
        </w:tc>
        <w:tc>
          <w:tcPr>
            <w:tcW w:w="4440" w:type="dxa"/>
            <w:vAlign w:val="bottom"/>
            <w:tcBorders>
              <w:bottom w:val="single" w:sz="8" w:color="CCEEFF"/>
            </w:tcBorders>
            <w:gridSpan w:val="11"/>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4"/>
              </w:rPr>
            </w:pPr>
            <w:hyperlink r:id="rId43">
              <w:r>
                <w:rPr>
                  <w:rFonts w:ascii="Arial" w:cs="Arial" w:eastAsia="Arial" w:hAnsi="Arial"/>
                  <w:sz w:val="16"/>
                  <w:szCs w:val="16"/>
                  <w:color w:val="0000FF"/>
                  <w:w w:val="94"/>
                </w:rPr>
                <w:t>Form of Non-Qualified Stock Option Agreement under the 2014 Long-Term Incentive Plan, incorporated herein by reference to</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Exhibit 10.1 to the Current Report on Form 8-K of General Motors Company filed July 30, 2015</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60" w:type="dxa"/>
            <w:vAlign w:val="bottom"/>
            <w:tcBorders>
              <w:bottom w:val="single" w:sz="8" w:color="0000FF"/>
            </w:tcBorders>
            <w:gridSpan w:val="21"/>
            <w:shd w:val="clear" w:color="auto" w:fill="CCEEFF"/>
          </w:tcPr>
          <w:p>
            <w:pPr>
              <w:spacing w:after="0"/>
              <w:rPr>
                <w:rFonts w:ascii="Arial" w:cs="Arial" w:eastAsia="Arial" w:hAnsi="Arial"/>
                <w:sz w:val="16"/>
                <w:szCs w:val="16"/>
                <w:color w:val="0000FF"/>
                <w:w w:val="98"/>
              </w:rPr>
            </w:pPr>
            <w:hyperlink r:id="rId44">
              <w:r>
                <w:rPr>
                  <w:rFonts w:ascii="Arial" w:cs="Arial" w:eastAsia="Arial" w:hAnsi="Arial"/>
                  <w:sz w:val="16"/>
                  <w:szCs w:val="16"/>
                  <w:color w:val="0000FF"/>
                  <w:w w:val="98"/>
                </w:rPr>
                <w:t>Form of General Motors Company Performance Share Unit Award Agreement under the 2014 Long-Term Incentive Plan,</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21"/>
            <w:shd w:val="clear" w:color="auto" w:fill="CCEEFF"/>
          </w:tcPr>
          <w:p>
            <w:pPr>
              <w:spacing w:after="0" w:line="183" w:lineRule="exact"/>
              <w:rPr>
                <w:rFonts w:ascii="Arial" w:cs="Arial" w:eastAsia="Arial" w:hAnsi="Arial"/>
                <w:sz w:val="16"/>
                <w:szCs w:val="16"/>
                <w:color w:val="0000FF"/>
                <w:w w:val="95"/>
              </w:rPr>
            </w:pPr>
            <w:hyperlink r:id="rId44">
              <w:r>
                <w:rPr>
                  <w:rFonts w:ascii="Arial" w:cs="Arial" w:eastAsia="Arial" w:hAnsi="Arial"/>
                  <w:sz w:val="16"/>
                  <w:szCs w:val="16"/>
                  <w:color w:val="0000FF"/>
                  <w:w w:val="95"/>
                </w:rPr>
                <w:t>incorporated herein by reference to Exhibit 10.1 to the Quarterly Report on Form 10-Q of General Motors Company filed April</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7"/>
            <w:shd w:val="clear" w:color="auto" w:fill="CCEEFF"/>
          </w:tcPr>
          <w:p>
            <w:pPr>
              <w:ind w:left="40"/>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28, 2017</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22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5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9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8"/>
              </w:rPr>
            </w:pPr>
            <w:hyperlink r:id="rId45">
              <w:r>
                <w:rPr>
                  <w:rFonts w:ascii="Arial" w:cs="Arial" w:eastAsia="Arial" w:hAnsi="Arial"/>
                  <w:sz w:val="16"/>
                  <w:szCs w:val="16"/>
                  <w:color w:val="0000FF"/>
                  <w:w w:val="98"/>
                </w:rPr>
                <w:t>General Motors Company 2016 Equity Incentive Plan, incorporated herein by reference to Exhibit 99.1 to the Registration</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45">
              <w:r>
                <w:rPr>
                  <w:rFonts w:ascii="Arial" w:cs="Arial" w:eastAsia="Arial" w:hAnsi="Arial"/>
                  <w:sz w:val="16"/>
                  <w:szCs w:val="16"/>
                  <w:color w:val="0000FF"/>
                </w:rPr>
                <w:t>Statement on Form S-8 of General Motors Company filed May 13, 2016</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60" w:type="dxa"/>
            <w:vAlign w:val="bottom"/>
            <w:tcBorders>
              <w:bottom w:val="single" w:sz="8" w:color="0000FF"/>
            </w:tcBorders>
            <w:gridSpan w:val="21"/>
            <w:shd w:val="clear" w:color="auto" w:fill="CCEEFF"/>
          </w:tcPr>
          <w:p>
            <w:pPr>
              <w:spacing w:after="0"/>
              <w:rPr>
                <w:rFonts w:ascii="Arial" w:cs="Arial" w:eastAsia="Arial" w:hAnsi="Arial"/>
                <w:sz w:val="16"/>
                <w:szCs w:val="16"/>
                <w:color w:val="0000FF"/>
                <w:w w:val="91"/>
              </w:rPr>
            </w:pPr>
            <w:hyperlink r:id="rId46">
              <w:r>
                <w:rPr>
                  <w:rFonts w:ascii="Arial" w:cs="Arial" w:eastAsia="Arial" w:hAnsi="Arial"/>
                  <w:sz w:val="16"/>
                  <w:szCs w:val="16"/>
                  <w:color w:val="0000FF"/>
                  <w:w w:val="91"/>
                </w:rPr>
                <w:t>General Motors Company Vehicle Operations - Senior Management Vehicle Program (SMVP) Supplement, revised December 15,</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3"/>
              </w:rPr>
            </w:pPr>
            <w:hyperlink r:id="rId46">
              <w:r>
                <w:rPr>
                  <w:rFonts w:ascii="Arial" w:cs="Arial" w:eastAsia="Arial" w:hAnsi="Arial"/>
                  <w:sz w:val="16"/>
                  <w:szCs w:val="16"/>
                  <w:color w:val="0000FF"/>
                  <w:w w:val="93"/>
                </w:rPr>
                <w:t>2005, incorporated herein by reference to Exhibit 10(g) to the Annual Report on Form 10-K of Motors Liquidation Company filed</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22"/>
            <w:shd w:val="clear" w:color="auto" w:fill="CCEEFF"/>
          </w:tcPr>
          <w:p>
            <w:pPr>
              <w:spacing w:after="0" w:line="183" w:lineRule="exact"/>
              <w:rPr>
                <w:rFonts w:ascii="Arial" w:cs="Arial" w:eastAsia="Arial" w:hAnsi="Arial"/>
                <w:sz w:val="16"/>
                <w:szCs w:val="16"/>
                <w:color w:val="0000FF"/>
              </w:rPr>
            </w:pPr>
            <w:hyperlink r:id="rId46">
              <w:r>
                <w:rPr>
                  <w:rFonts w:ascii="Arial" w:cs="Arial" w:eastAsia="Arial" w:hAnsi="Arial"/>
                  <w:sz w:val="16"/>
                  <w:szCs w:val="16"/>
                  <w:color w:val="0000FF"/>
                </w:rPr>
                <w:t>March 28, 2006</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9"/>
              </w:rPr>
            </w:pPr>
            <w:hyperlink r:id="rId47">
              <w:r>
                <w:rPr>
                  <w:rFonts w:ascii="Arial" w:cs="Arial" w:eastAsia="Arial" w:hAnsi="Arial"/>
                  <w:sz w:val="16"/>
                  <w:szCs w:val="16"/>
                  <w:color w:val="0000FF"/>
                  <w:w w:val="99"/>
                </w:rPr>
                <w:t>Form of Director and Officer Indemnification Agreement, incorporated herein by reference to Exhibit 10.6 to the Quarterly</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47">
              <w:r>
                <w:rPr>
                  <w:rFonts w:ascii="Arial" w:cs="Arial" w:eastAsia="Arial" w:hAnsi="Arial"/>
                  <w:sz w:val="16"/>
                  <w:szCs w:val="16"/>
                  <w:color w:val="0000FF"/>
                </w:rPr>
                <w:t>Report on Form 10-Q of General Motors Company filed April 21, 2016</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7"/>
              </w:rPr>
            </w:pPr>
            <w:hyperlink r:id="rId48">
              <w:r>
                <w:rPr>
                  <w:rFonts w:ascii="Arial" w:cs="Arial" w:eastAsia="Arial" w:hAnsi="Arial"/>
                  <w:sz w:val="16"/>
                  <w:szCs w:val="16"/>
                  <w:color w:val="0000FF"/>
                  <w:w w:val="97"/>
                </w:rPr>
                <w:t>General Motors Company 2017 Short-Term Incentive Plan, incorporated herein by reference to Exhibit 10.25 to the Annual</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22"/>
            <w:shd w:val="clear" w:color="auto" w:fill="CCEEFF"/>
          </w:tcPr>
          <w:p>
            <w:pPr>
              <w:spacing w:after="0" w:line="183" w:lineRule="exact"/>
              <w:rPr>
                <w:rFonts w:ascii="Arial" w:cs="Arial" w:eastAsia="Arial" w:hAnsi="Arial"/>
                <w:sz w:val="16"/>
                <w:szCs w:val="16"/>
                <w:color w:val="0000FF"/>
              </w:rPr>
            </w:pPr>
            <w:hyperlink r:id="rId48">
              <w:r>
                <w:rPr>
                  <w:rFonts w:ascii="Arial" w:cs="Arial" w:eastAsia="Arial" w:hAnsi="Arial"/>
                  <w:sz w:val="16"/>
                  <w:szCs w:val="16"/>
                  <w:color w:val="0000FF"/>
                </w:rPr>
                <w:t>Report on Form 10-K of General Motors Company filed February 6, 2018</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5"/>
              </w:rPr>
            </w:pPr>
            <w:hyperlink r:id="rId49">
              <w:r>
                <w:rPr>
                  <w:rFonts w:ascii="Arial" w:cs="Arial" w:eastAsia="Arial" w:hAnsi="Arial"/>
                  <w:sz w:val="16"/>
                  <w:szCs w:val="16"/>
                  <w:color w:val="0000FF"/>
                  <w:w w:val="95"/>
                </w:rPr>
                <w:t>General Motors Company 2017 Long-Term Incentive Plan, incorporated herein by reference to Exhibit 4.1 to the Registration</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49">
              <w:r>
                <w:rPr>
                  <w:rFonts w:ascii="Arial" w:cs="Arial" w:eastAsia="Arial" w:hAnsi="Arial"/>
                  <w:sz w:val="16"/>
                  <w:szCs w:val="16"/>
                  <w:color w:val="0000FF"/>
                </w:rPr>
                <w:t>Statement on Form S-8 of General Motors Company filed June 16,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8"/>
              </w:rPr>
            </w:pPr>
            <w:hyperlink r:id="rId50">
              <w:r>
                <w:rPr>
                  <w:rFonts w:ascii="Arial" w:cs="Arial" w:eastAsia="Arial" w:hAnsi="Arial"/>
                  <w:sz w:val="16"/>
                  <w:szCs w:val="16"/>
                  <w:color w:val="0000FF"/>
                  <w:w w:val="98"/>
                </w:rPr>
                <w:t>Form of Performance Share Unit Award Agreement under the General Motors Company 2017 Long-Term Incentive Plan,</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5"/>
              </w:rPr>
            </w:pPr>
            <w:hyperlink r:id="rId50">
              <w:r>
                <w:rPr>
                  <w:rFonts w:ascii="Arial" w:cs="Arial" w:eastAsia="Arial" w:hAnsi="Arial"/>
                  <w:sz w:val="16"/>
                  <w:szCs w:val="16"/>
                  <w:color w:val="0000FF"/>
                  <w:w w:val="95"/>
                </w:rPr>
                <w:t>incorporated herein by reference to Exhibit 10.1 to the Quarterly Report on Form 10-Q of General Motors Company filed April</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5"/>
            <w:shd w:val="clear" w:color="auto" w:fill="CCEEFF"/>
          </w:tcPr>
          <w:p>
            <w:pPr>
              <w:ind w:left="40"/>
              <w:spacing w:after="0" w:line="183" w:lineRule="exact"/>
              <w:rPr>
                <w:rFonts w:ascii="Arial" w:cs="Arial" w:eastAsia="Arial" w:hAnsi="Arial"/>
                <w:sz w:val="16"/>
                <w:szCs w:val="16"/>
                <w:color w:val="0000FF"/>
                <w:w w:val="86"/>
              </w:rPr>
            </w:pPr>
            <w:hyperlink r:id="rId50">
              <w:r>
                <w:rPr>
                  <w:rFonts w:ascii="Arial" w:cs="Arial" w:eastAsia="Arial" w:hAnsi="Arial"/>
                  <w:sz w:val="16"/>
                  <w:szCs w:val="16"/>
                  <w:color w:val="0000FF"/>
                  <w:w w:val="86"/>
                </w:rPr>
                <w:t>26, 2018</w:t>
              </w:r>
            </w:hyperlink>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6"/>
              </w:rPr>
            </w:pPr>
            <w:hyperlink r:id="rId51">
              <w:r>
                <w:rPr>
                  <w:rFonts w:ascii="Arial" w:cs="Arial" w:eastAsia="Arial" w:hAnsi="Arial"/>
                  <w:sz w:val="16"/>
                  <w:szCs w:val="16"/>
                  <w:color w:val="0000FF"/>
                  <w:w w:val="96"/>
                </w:rPr>
                <w:t>Form of Non-Qualified Stock Option Award Agreement under the General Motors Company 2017 Long-Term Incentive Plan,</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5"/>
              </w:rPr>
            </w:pPr>
            <w:hyperlink r:id="rId51">
              <w:r>
                <w:rPr>
                  <w:rFonts w:ascii="Arial" w:cs="Arial" w:eastAsia="Arial" w:hAnsi="Arial"/>
                  <w:sz w:val="16"/>
                  <w:szCs w:val="16"/>
                  <w:color w:val="0000FF"/>
                  <w:w w:val="95"/>
                </w:rPr>
                <w:t>incorporated herein by reference to Exhibit 10.2 to the Quarterly Report on Form 10-Q of General Motors Company filed April</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5"/>
          </w:tcPr>
          <w:p>
            <w:pPr>
              <w:ind w:left="40"/>
              <w:spacing w:after="0" w:line="183" w:lineRule="exact"/>
              <w:rPr>
                <w:rFonts w:ascii="Arial" w:cs="Arial" w:eastAsia="Arial" w:hAnsi="Arial"/>
                <w:sz w:val="16"/>
                <w:szCs w:val="16"/>
                <w:color w:val="0000FF"/>
                <w:w w:val="86"/>
              </w:rPr>
            </w:pPr>
            <w:hyperlink r:id="rId51">
              <w:r>
                <w:rPr>
                  <w:rFonts w:ascii="Arial" w:cs="Arial" w:eastAsia="Arial" w:hAnsi="Arial"/>
                  <w:sz w:val="16"/>
                  <w:szCs w:val="16"/>
                  <w:color w:val="0000FF"/>
                  <w:w w:val="86"/>
                </w:rPr>
                <w:t>26, 2018</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8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4"/>
              </w:rPr>
            </w:pPr>
            <w:hyperlink r:id="rId52">
              <w:r>
                <w:rPr>
                  <w:rFonts w:ascii="Arial" w:cs="Arial" w:eastAsia="Arial" w:hAnsi="Arial"/>
                  <w:sz w:val="16"/>
                  <w:szCs w:val="16"/>
                  <w:color w:val="0000FF"/>
                  <w:w w:val="94"/>
                </w:rPr>
                <w:t>Amended and Restated General Motors LLC U.S. Executive Severance Program, incorporated by reference to Exhibit 10.23 to</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0000FF"/>
            </w:tcBorders>
            <w:gridSpan w:val="15"/>
            <w:shd w:val="clear" w:color="auto" w:fill="CCEEFF"/>
          </w:tcPr>
          <w:p>
            <w:pPr>
              <w:spacing w:after="0" w:line="183" w:lineRule="exact"/>
              <w:rPr>
                <w:rFonts w:ascii="Arial" w:cs="Arial" w:eastAsia="Arial" w:hAnsi="Arial"/>
                <w:sz w:val="16"/>
                <w:szCs w:val="16"/>
                <w:color w:val="0000FF"/>
                <w:w w:val="92"/>
              </w:rPr>
            </w:pPr>
            <w:hyperlink r:id="rId52">
              <w:r>
                <w:rPr>
                  <w:rFonts w:ascii="Arial" w:cs="Arial" w:eastAsia="Arial" w:hAnsi="Arial"/>
                  <w:sz w:val="16"/>
                  <w:szCs w:val="16"/>
                  <w:color w:val="0000FF"/>
                  <w:w w:val="92"/>
                </w:rPr>
                <w:t>the Annual Report on Form 10-K of General Motors Company filed February 6, 2019</w:t>
              </w:r>
            </w:hyperlink>
          </w:p>
        </w:tc>
        <w:tc>
          <w:tcPr>
            <w:tcW w:w="2920" w:type="dxa"/>
            <w:vAlign w:val="bottom"/>
            <w:tcBorders>
              <w:bottom w:val="single" w:sz="8" w:color="CCEEFF"/>
            </w:tcBorders>
            <w:gridSpan w:val="7"/>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4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5"/>
              </w:rPr>
            </w:pPr>
            <w:hyperlink r:id="rId53">
              <w:r>
                <w:rPr>
                  <w:rFonts w:ascii="Arial" w:cs="Arial" w:eastAsia="Arial" w:hAnsi="Arial"/>
                  <w:sz w:val="16"/>
                  <w:szCs w:val="16"/>
                  <w:color w:val="0000FF"/>
                  <w:w w:val="95"/>
                </w:rPr>
                <w:t>Form of Time Sharing Agreement, incorporated by reference to Exhibit 10.2 to the Quarterly Report on Form 10-Q of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Motors Company filed October 29, 2019</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80" w:type="dxa"/>
            <w:vAlign w:val="bottom"/>
            <w:gridSpan w:val="22"/>
            <w:shd w:val="clear" w:color="auto" w:fill="CCEEFF"/>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The General Motors Company Deferred Compensation Plan for Non-Employee Directors</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100" w:type="dxa"/>
            <w:vAlign w:val="bottom"/>
            <w:tcBorders>
              <w:top w:val="single" w:sz="8" w:color="0000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7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10.20†</w:t>
            </w:r>
          </w:p>
        </w:tc>
        <w:tc>
          <w:tcPr>
            <w:tcW w:w="40" w:type="dxa"/>
            <w:vAlign w:val="bottom"/>
          </w:tcPr>
          <w:p>
            <w:pPr>
              <w:spacing w:after="0"/>
              <w:rPr>
                <w:sz w:val="16"/>
                <w:szCs w:val="16"/>
                <w:color w:val="auto"/>
              </w:rPr>
            </w:pPr>
          </w:p>
        </w:tc>
        <w:tc>
          <w:tcPr>
            <w:tcW w:w="8480" w:type="dxa"/>
            <w:vAlign w:val="bottom"/>
            <w:tcBorders>
              <w:bottom w:val="single" w:sz="8" w:color="0000FF"/>
            </w:tcBorders>
            <w:gridSpan w:val="22"/>
          </w:tcPr>
          <w:p>
            <w:pPr>
              <w:spacing w:after="0"/>
              <w:rPr>
                <w:rFonts w:ascii="Arial" w:cs="Arial" w:eastAsia="Arial" w:hAnsi="Arial"/>
                <w:sz w:val="16"/>
                <w:szCs w:val="16"/>
                <w:color w:val="0000FF"/>
                <w:w w:val="92"/>
              </w:rPr>
            </w:pPr>
            <w:hyperlink r:id="rId54">
              <w:r>
                <w:rPr>
                  <w:rFonts w:ascii="Arial" w:cs="Arial" w:eastAsia="Arial" w:hAnsi="Arial"/>
                  <w:sz w:val="16"/>
                  <w:szCs w:val="16"/>
                  <w:color w:val="0000FF"/>
                  <w:w w:val="92"/>
                </w:rPr>
                <w:t>Amended and Restated Master Agreement, dated as of December 19, 2012, between General Motors Holdings LLC and Peugeot</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bottom w:val="single" w:sz="8" w:color="0000FF"/>
            </w:tcBorders>
            <w:gridSpan w:val="22"/>
          </w:tcPr>
          <w:p>
            <w:pPr>
              <w:spacing w:after="0" w:line="183" w:lineRule="exact"/>
              <w:rPr>
                <w:rFonts w:ascii="Arial" w:cs="Arial" w:eastAsia="Arial" w:hAnsi="Arial"/>
                <w:sz w:val="16"/>
                <w:szCs w:val="16"/>
                <w:color w:val="0000FF"/>
                <w:w w:val="96"/>
              </w:rPr>
            </w:pPr>
            <w:hyperlink r:id="rId54">
              <w:r>
                <w:rPr>
                  <w:rFonts w:ascii="Arial" w:cs="Arial" w:eastAsia="Arial" w:hAnsi="Arial"/>
                  <w:sz w:val="16"/>
                  <w:szCs w:val="16"/>
                  <w:color w:val="0000FF"/>
                  <w:w w:val="96"/>
                </w:rPr>
                <w:t>S.A., incorporated herein by reference to Exhibit 10.24 to the Annual Report on Form 10-K of General Motors Company filed</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22"/>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February 6,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60" w:type="dxa"/>
            <w:vAlign w:val="bottom"/>
            <w:tcBorders>
              <w:bottom w:val="single" w:sz="8" w:color="0000FF"/>
            </w:tcBorders>
            <w:gridSpan w:val="21"/>
            <w:shd w:val="clear" w:color="auto" w:fill="CCEEFF"/>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Amendment, dated May 2, 2017 to the Master Agreement between General Motors Holdings, LLC and Peugeot S.A.,</w:t>
              </w:r>
            </w:hyperlink>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21"/>
            <w:shd w:val="clear" w:color="auto" w:fill="CCEEFF"/>
          </w:tcPr>
          <w:p>
            <w:pPr>
              <w:spacing w:after="0" w:line="183" w:lineRule="exact"/>
              <w:rPr>
                <w:rFonts w:ascii="Arial" w:cs="Arial" w:eastAsia="Arial" w:hAnsi="Arial"/>
                <w:sz w:val="16"/>
                <w:szCs w:val="16"/>
                <w:color w:val="0000FF"/>
                <w:w w:val="93"/>
              </w:rPr>
            </w:pPr>
            <w:hyperlink r:id="rId55">
              <w:r>
                <w:rPr>
                  <w:rFonts w:ascii="Arial" w:cs="Arial" w:eastAsia="Arial" w:hAnsi="Arial"/>
                  <w:sz w:val="16"/>
                  <w:szCs w:val="16"/>
                  <w:color w:val="0000FF"/>
                  <w:w w:val="93"/>
                </w:rPr>
                <w:t>incorporated herein by reference to Exhibit 10.4 to the Quarterly Report on Form 10-Q of General Motors Company filed July 25,</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40"/>
              <w:spacing w:after="0" w:line="183" w:lineRule="exact"/>
              <w:rPr>
                <w:rFonts w:ascii="Arial" w:cs="Arial" w:eastAsia="Arial" w:hAnsi="Arial"/>
                <w:sz w:val="16"/>
                <w:szCs w:val="16"/>
                <w:color w:val="0000FF"/>
                <w:w w:val="89"/>
              </w:rPr>
            </w:pPr>
            <w:hyperlink r:id="rId55">
              <w:r>
                <w:rPr>
                  <w:rFonts w:ascii="Arial" w:cs="Arial" w:eastAsia="Arial" w:hAnsi="Arial"/>
                  <w:sz w:val="16"/>
                  <w:szCs w:val="16"/>
                  <w:color w:val="0000FF"/>
                  <w:w w:val="89"/>
                </w:rPr>
                <w:t>2017</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4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21"/>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Amendment Number 2, dated July 30, 2017, to the Master Agreement between General Motors Holdings, LLC and Peugeot S.A.,</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40" w:type="dxa"/>
            <w:vAlign w:val="bottom"/>
            <w:tcBorders>
              <w:bottom w:val="single" w:sz="8" w:color="0000FF"/>
            </w:tcBorders>
            <w:gridSpan w:val="20"/>
          </w:tcPr>
          <w:p>
            <w:pPr>
              <w:spacing w:after="0" w:line="183" w:lineRule="exact"/>
              <w:rPr>
                <w:rFonts w:ascii="Arial" w:cs="Arial" w:eastAsia="Arial" w:hAnsi="Arial"/>
                <w:sz w:val="16"/>
                <w:szCs w:val="16"/>
                <w:color w:val="0000FF"/>
                <w:w w:val="92"/>
              </w:rPr>
            </w:pPr>
            <w:hyperlink r:id="rId56">
              <w:r>
                <w:rPr>
                  <w:rFonts w:ascii="Arial" w:cs="Arial" w:eastAsia="Arial" w:hAnsi="Arial"/>
                  <w:sz w:val="16"/>
                  <w:szCs w:val="16"/>
                  <w:color w:val="0000FF"/>
                  <w:w w:val="92"/>
                </w:rPr>
                <w:t>incorporated herein by reference to Exhibit 10.1 to the Quarterly Report on Form 10-Q of General Motors Company filed October</w:t>
              </w:r>
            </w:hyperlink>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7"/>
          </w:tcPr>
          <w:p>
            <w:pPr>
              <w:ind w:left="40"/>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24, 2017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40" w:type="dxa"/>
            <w:vAlign w:val="bottom"/>
            <w:tcBorders>
              <w:bottom w:val="single" w:sz="8" w:color="0000FF"/>
            </w:tcBorders>
            <w:gridSpan w:val="20"/>
            <w:shd w:val="clear" w:color="auto" w:fill="CCEEFF"/>
          </w:tcPr>
          <w:p>
            <w:pPr>
              <w:spacing w:after="0"/>
              <w:rPr>
                <w:rFonts w:ascii="Arial" w:cs="Arial" w:eastAsia="Arial" w:hAnsi="Arial"/>
                <w:sz w:val="16"/>
                <w:szCs w:val="16"/>
                <w:color w:val="0000FF"/>
                <w:w w:val="93"/>
              </w:rPr>
            </w:pPr>
            <w:hyperlink r:id="rId57">
              <w:r>
                <w:rPr>
                  <w:rFonts w:ascii="Arial" w:cs="Arial" w:eastAsia="Arial" w:hAnsi="Arial"/>
                  <w:sz w:val="16"/>
                  <w:szCs w:val="16"/>
                  <w:color w:val="0000FF"/>
                  <w:w w:val="93"/>
                </w:rPr>
                <w:t>Amendment Number 3, dated October 30, 2017, to the Master Agreement between General Motors Holdings, LLC and Peugeot</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FF"/>
            </w:tcBorders>
            <w:gridSpan w:val="21"/>
            <w:shd w:val="clear" w:color="auto" w:fill="CCEEFF"/>
          </w:tcPr>
          <w:p>
            <w:pPr>
              <w:spacing w:after="0" w:line="183" w:lineRule="exact"/>
              <w:rPr>
                <w:rFonts w:ascii="Arial" w:cs="Arial" w:eastAsia="Arial" w:hAnsi="Arial"/>
                <w:sz w:val="16"/>
                <w:szCs w:val="16"/>
                <w:color w:val="0000FF"/>
                <w:w w:val="96"/>
              </w:rPr>
            </w:pPr>
            <w:hyperlink r:id="rId57">
              <w:r>
                <w:rPr>
                  <w:rFonts w:ascii="Arial" w:cs="Arial" w:eastAsia="Arial" w:hAnsi="Arial"/>
                  <w:sz w:val="16"/>
                  <w:szCs w:val="16"/>
                  <w:color w:val="0000FF"/>
                  <w:w w:val="96"/>
                </w:rPr>
                <w:t>S.A., incorporated herein by reference to Exhibit 10.31 to the Annual Report on Form 10-K of General Motors Company filed</w:t>
              </w:r>
            </w:hyperlink>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21"/>
            <w:shd w:val="clear" w:color="auto" w:fill="CCEEFF"/>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February 6, 2018</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757"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41" w:right="239" w:bottom="757" w:gutter="0" w:footer="0" w:header="0"/>
          <w:type w:val="continuous"/>
        </w:sectPr>
      </w:pPr>
    </w:p>
    <w:bookmarkStart w:id="101" w:name="page102"/>
    <w:bookmarkEnd w:id="10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80" w:type="dxa"/>
            <w:vAlign w:val="bottom"/>
            <w:gridSpan w:val="6"/>
          </w:tcPr>
          <w:p>
            <w:pPr>
              <w:ind w:left="1120"/>
              <w:spacing w:after="0"/>
              <w:rPr>
                <w:sz w:val="20"/>
                <w:szCs w:val="20"/>
                <w:color w:val="auto"/>
              </w:rPr>
            </w:pPr>
            <w:r>
              <w:rPr>
                <w:rFonts w:ascii="Arial" w:cs="Arial" w:eastAsia="Arial" w:hAnsi="Arial"/>
                <w:sz w:val="18"/>
                <w:szCs w:val="18"/>
                <w:b w:val="1"/>
                <w:bCs w:val="1"/>
                <w:color w:val="auto"/>
              </w:rPr>
              <w:t>GENERAL MOTORS COMPANY AND SUBSIDIARIES</w:t>
            </w:r>
          </w:p>
        </w:tc>
        <w:tc>
          <w:tcPr>
            <w:tcW w:w="0" w:type="dxa"/>
            <w:vAlign w:val="bottom"/>
          </w:tcPr>
          <w:p>
            <w:pPr>
              <w:spacing w:after="0"/>
              <w:rPr>
                <w:sz w:val="1"/>
                <w:szCs w:val="1"/>
                <w:color w:val="auto"/>
              </w:rPr>
            </w:pPr>
          </w:p>
        </w:tc>
      </w:tr>
      <w:tr>
        <w:trPr>
          <w:trHeight w:val="549"/>
        </w:trPr>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80" w:type="dxa"/>
            <w:vAlign w:val="bottom"/>
            <w:gridSpan w:val="5"/>
          </w:tcPr>
          <w:p>
            <w:pPr>
              <w:ind w:left="1400"/>
              <w:spacing w:after="0"/>
              <w:rPr>
                <w:sz w:val="20"/>
                <w:szCs w:val="20"/>
                <w:color w:val="auto"/>
              </w:rPr>
            </w:pPr>
            <w:r>
              <w:rPr>
                <w:rFonts w:ascii="Arial" w:cs="Arial" w:eastAsia="Arial" w:hAnsi="Arial"/>
                <w:sz w:val="16"/>
                <w:szCs w:val="16"/>
                <w:b w:val="1"/>
                <w:bCs w:val="1"/>
                <w:color w:val="auto"/>
              </w:rPr>
              <w:t>Exhibit Name</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10.24†</w:t>
            </w:r>
          </w:p>
        </w:tc>
        <w:tc>
          <w:tcPr>
            <w:tcW w:w="40" w:type="dxa"/>
            <w:vAlign w:val="bottom"/>
          </w:tcPr>
          <w:p>
            <w:pPr>
              <w:spacing w:after="0"/>
              <w:rPr>
                <w:sz w:val="17"/>
                <w:szCs w:val="17"/>
                <w:color w:val="auto"/>
              </w:rPr>
            </w:pPr>
          </w:p>
        </w:tc>
        <w:tc>
          <w:tcPr>
            <w:tcW w:w="8760" w:type="dxa"/>
            <w:vAlign w:val="bottom"/>
            <w:tcBorders>
              <w:bottom w:val="single" w:sz="8" w:color="0000FF"/>
            </w:tcBorders>
            <w:gridSpan w:val="7"/>
          </w:tcPr>
          <w:p>
            <w:pPr>
              <w:spacing w:after="0"/>
              <w:rPr>
                <w:rFonts w:ascii="Arial" w:cs="Arial" w:eastAsia="Arial" w:hAnsi="Arial"/>
                <w:sz w:val="16"/>
                <w:szCs w:val="16"/>
                <w:color w:val="0000FF"/>
                <w:w w:val="96"/>
              </w:rPr>
            </w:pPr>
            <w:hyperlink r:id="rId58">
              <w:r>
                <w:rPr>
                  <w:rFonts w:ascii="Arial" w:cs="Arial" w:eastAsia="Arial" w:hAnsi="Arial"/>
                  <w:sz w:val="16"/>
                  <w:szCs w:val="16"/>
                  <w:color w:val="0000FF"/>
                  <w:w w:val="96"/>
                </w:rPr>
                <w:t>Third Amended and Restated 3-Year Revolving Credit Agreement, dated as of April 18, 2018, among General Motors Company,</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58">
              <w:r>
                <w:rPr>
                  <w:rFonts w:ascii="Arial" w:cs="Arial" w:eastAsia="Arial" w:hAnsi="Arial"/>
                  <w:sz w:val="16"/>
                  <w:szCs w:val="16"/>
                  <w:color w:val="0000FF"/>
                  <w:w w:val="93"/>
                </w:rPr>
                <w:t>General Motors Financial Company, Inc., GM Global Treasury Centre, General Motors do Brasil Ltda., the subsidiary borrowers from</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4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58">
              <w:r>
                <w:rPr>
                  <w:rFonts w:ascii="Arial" w:cs="Arial" w:eastAsia="Arial" w:hAnsi="Arial"/>
                  <w:sz w:val="16"/>
                  <w:szCs w:val="16"/>
                  <w:color w:val="0000FF"/>
                  <w:w w:val="92"/>
                </w:rPr>
                <w:t>time to time parties thereto, the several lenders from time to time party thereto, JPMorgan Chase Bank, N.A., as administrative agent,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gridSpan w:val="7"/>
          </w:tcPr>
          <w:p>
            <w:pPr>
              <w:spacing w:after="0" w:line="183" w:lineRule="exact"/>
              <w:rPr>
                <w:rFonts w:ascii="Arial" w:cs="Arial" w:eastAsia="Arial" w:hAnsi="Arial"/>
                <w:sz w:val="16"/>
                <w:szCs w:val="16"/>
                <w:color w:val="0000FF"/>
                <w:w w:val="96"/>
              </w:rPr>
            </w:pPr>
            <w:hyperlink r:id="rId58">
              <w:r>
                <w:rPr>
                  <w:rFonts w:ascii="Arial" w:cs="Arial" w:eastAsia="Arial" w:hAnsi="Arial"/>
                  <w:sz w:val="16"/>
                  <w:szCs w:val="16"/>
                  <w:color w:val="0000FF"/>
                  <w:w w:val="96"/>
                </w:rPr>
                <w:t>and Citibank, N.A., as syndication agent, incorporated by reference to Exhibit 10.1 to the Current Report on Form 8-K of General</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5"/>
              </w:rPr>
            </w:pPr>
            <w:hyperlink r:id="rId58">
              <w:r>
                <w:rPr>
                  <w:rFonts w:ascii="Arial" w:cs="Arial" w:eastAsia="Arial" w:hAnsi="Arial"/>
                  <w:sz w:val="16"/>
                  <w:szCs w:val="16"/>
                  <w:color w:val="0000FF"/>
                  <w:w w:val="95"/>
                </w:rPr>
                <w:t>Motors Company filed April 20, 2018</w:t>
              </w:r>
            </w:hyperlink>
          </w:p>
        </w:tc>
        <w:tc>
          <w:tcPr>
            <w:tcW w:w="624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10.25†</w:t>
            </w:r>
          </w:p>
        </w:tc>
        <w:tc>
          <w:tcPr>
            <w:tcW w:w="40" w:type="dxa"/>
            <w:vAlign w:val="bottom"/>
          </w:tcPr>
          <w:p>
            <w:pPr>
              <w:spacing w:after="0"/>
              <w:rPr>
                <w:sz w:val="22"/>
                <w:szCs w:val="22"/>
                <w:color w:val="auto"/>
              </w:rPr>
            </w:pPr>
          </w:p>
        </w:tc>
        <w:tc>
          <w:tcPr>
            <w:tcW w:w="8760" w:type="dxa"/>
            <w:vAlign w:val="bottom"/>
            <w:tcBorders>
              <w:bottom w:val="single" w:sz="8" w:color="0000FF"/>
            </w:tcBorders>
            <w:gridSpan w:val="7"/>
          </w:tcPr>
          <w:p>
            <w:pPr>
              <w:spacing w:after="0"/>
              <w:rPr>
                <w:rFonts w:ascii="Arial" w:cs="Arial" w:eastAsia="Arial" w:hAnsi="Arial"/>
                <w:sz w:val="16"/>
                <w:szCs w:val="16"/>
                <w:color w:val="0000FF"/>
                <w:w w:val="96"/>
              </w:rPr>
            </w:pPr>
            <w:hyperlink r:id="rId59">
              <w:r>
                <w:rPr>
                  <w:rFonts w:ascii="Arial" w:cs="Arial" w:eastAsia="Arial" w:hAnsi="Arial"/>
                  <w:sz w:val="16"/>
                  <w:szCs w:val="16"/>
                  <w:color w:val="0000FF"/>
                  <w:w w:val="96"/>
                </w:rPr>
                <w:t>Third Amended and Restated 5-Year Revolving Credit Agreement, dated as of April 18, 2018, among General Motors Company,</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General Motors Financial Company, Inc., GM Global Treasury Centre, General Motors do Brasil Ltda., the subsidiary borrowers from</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4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59">
              <w:r>
                <w:rPr>
                  <w:rFonts w:ascii="Arial" w:cs="Arial" w:eastAsia="Arial" w:hAnsi="Arial"/>
                  <w:sz w:val="16"/>
                  <w:szCs w:val="16"/>
                  <w:color w:val="0000FF"/>
                  <w:w w:val="92"/>
                </w:rPr>
                <w:t>time to time parties thereto, the several lenders from time to time party thereto, JPMorgan Chase Bank, N.A., as administrative agent,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gridSpan w:val="7"/>
          </w:tcPr>
          <w:p>
            <w:pPr>
              <w:spacing w:after="0" w:line="183" w:lineRule="exact"/>
              <w:rPr>
                <w:rFonts w:ascii="Arial" w:cs="Arial" w:eastAsia="Arial" w:hAnsi="Arial"/>
                <w:sz w:val="16"/>
                <w:szCs w:val="16"/>
                <w:color w:val="0000FF"/>
                <w:w w:val="96"/>
              </w:rPr>
            </w:pPr>
            <w:hyperlink r:id="rId59">
              <w:r>
                <w:rPr>
                  <w:rFonts w:ascii="Arial" w:cs="Arial" w:eastAsia="Arial" w:hAnsi="Arial"/>
                  <w:sz w:val="16"/>
                  <w:szCs w:val="16"/>
                  <w:color w:val="0000FF"/>
                  <w:w w:val="96"/>
                </w:rPr>
                <w:t>and Citibank, N.A., as syndication agent, incorporated by reference to Exhibit 10.2 to the Current Report on Form 8-K of General</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5"/>
              </w:rPr>
            </w:pPr>
            <w:hyperlink r:id="rId59">
              <w:r>
                <w:rPr>
                  <w:rFonts w:ascii="Arial" w:cs="Arial" w:eastAsia="Arial" w:hAnsi="Arial"/>
                  <w:sz w:val="16"/>
                  <w:szCs w:val="16"/>
                  <w:color w:val="0000FF"/>
                  <w:w w:val="95"/>
                </w:rPr>
                <w:t>Motors Company filed April 20, 2018</w:t>
              </w:r>
            </w:hyperlink>
          </w:p>
        </w:tc>
        <w:tc>
          <w:tcPr>
            <w:tcW w:w="624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10.26†</w:t>
            </w:r>
          </w:p>
        </w:tc>
        <w:tc>
          <w:tcPr>
            <w:tcW w:w="40" w:type="dxa"/>
            <w:vAlign w:val="bottom"/>
          </w:tcPr>
          <w:p>
            <w:pPr>
              <w:spacing w:after="0"/>
              <w:rPr>
                <w:sz w:val="21"/>
                <w:szCs w:val="21"/>
                <w:color w:val="auto"/>
              </w:rPr>
            </w:pPr>
          </w:p>
        </w:tc>
        <w:tc>
          <w:tcPr>
            <w:tcW w:w="8740" w:type="dxa"/>
            <w:vAlign w:val="bottom"/>
            <w:tcBorders>
              <w:bottom w:val="single" w:sz="8" w:color="0000FF"/>
            </w:tcBorders>
            <w:gridSpan w:val="6"/>
          </w:tcPr>
          <w:p>
            <w:pPr>
              <w:spacing w:after="0"/>
              <w:rPr>
                <w:rFonts w:ascii="Arial" w:cs="Arial" w:eastAsia="Arial" w:hAnsi="Arial"/>
                <w:sz w:val="16"/>
                <w:szCs w:val="16"/>
                <w:color w:val="0000FF"/>
                <w:w w:val="91"/>
              </w:rPr>
            </w:pPr>
            <w:hyperlink r:id="rId60">
              <w:r>
                <w:rPr>
                  <w:rFonts w:ascii="Arial" w:cs="Arial" w:eastAsia="Arial" w:hAnsi="Arial"/>
                  <w:sz w:val="16"/>
                  <w:szCs w:val="16"/>
                  <w:color w:val="0000FF"/>
                  <w:w w:val="91"/>
                </w:rPr>
                <w:t>3-Year Revolving Credit Agreement among General Motors Company, the several lenders from time to time parties thereto, JPMorgan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60">
              <w:r>
                <w:rPr>
                  <w:rFonts w:ascii="Arial" w:cs="Arial" w:eastAsia="Arial" w:hAnsi="Arial"/>
                  <w:sz w:val="16"/>
                  <w:szCs w:val="16"/>
                  <w:color w:val="0000FF"/>
                  <w:w w:val="93"/>
                </w:rPr>
                <w:t>Chase Bank, N.A., as administrative agent, and Citibank, N.A., as syndication agent, incorporated herein by reference to Exhibit 10.1</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gridSpan w:val="7"/>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to the Current Report on Form 8-K of General Motors Company filed January 14, 2019</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10.27†</w:t>
            </w:r>
          </w:p>
        </w:tc>
        <w:tc>
          <w:tcPr>
            <w:tcW w:w="40" w:type="dxa"/>
            <w:vAlign w:val="bottom"/>
          </w:tcPr>
          <w:p>
            <w:pPr>
              <w:spacing w:after="0"/>
              <w:rPr>
                <w:sz w:val="20"/>
                <w:szCs w:val="20"/>
                <w:color w:val="auto"/>
              </w:rPr>
            </w:pPr>
          </w:p>
        </w:tc>
        <w:tc>
          <w:tcPr>
            <w:tcW w:w="8760" w:type="dxa"/>
            <w:vAlign w:val="bottom"/>
            <w:gridSpan w:val="7"/>
          </w:tcPr>
          <w:p>
            <w:pPr>
              <w:spacing w:after="0"/>
              <w:rPr>
                <w:rFonts w:ascii="Arial" w:cs="Arial" w:eastAsia="Arial" w:hAnsi="Arial"/>
                <w:sz w:val="16"/>
                <w:szCs w:val="16"/>
                <w:color w:val="0000FF"/>
                <w:w w:val="92"/>
              </w:rPr>
            </w:pPr>
            <w:hyperlink r:id="rId61">
              <w:r>
                <w:rPr>
                  <w:rFonts w:ascii="Arial" w:cs="Arial" w:eastAsia="Arial" w:hAnsi="Arial"/>
                  <w:sz w:val="16"/>
                  <w:szCs w:val="16"/>
                  <w:color w:val="0000FF"/>
                  <w:w w:val="92"/>
                </w:rPr>
                <w:t>Amended and Restated 364-Day Revolving Credit Agreement, dated as of April 16, 2019, among General Motors Company, General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61">
              <w:r>
                <w:rPr>
                  <w:rFonts w:ascii="Arial" w:cs="Arial" w:eastAsia="Arial" w:hAnsi="Arial"/>
                  <w:sz w:val="16"/>
                  <w:szCs w:val="16"/>
                  <w:color w:val="0000FF"/>
                  <w:w w:val="93"/>
                </w:rPr>
                <w:t>Motors Financial Company, Inc., GM Global Treasury Centre Limited, the subsidiary borrowers from time to time parties thereto,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tcBorders>
              <w:bottom w:val="single" w:sz="8" w:color="0000FF"/>
            </w:tcBorders>
            <w:gridSpan w:val="7"/>
          </w:tcPr>
          <w:p>
            <w:pPr>
              <w:spacing w:after="0" w:line="183" w:lineRule="exact"/>
              <w:rPr>
                <w:rFonts w:ascii="Arial" w:cs="Arial" w:eastAsia="Arial" w:hAnsi="Arial"/>
                <w:sz w:val="16"/>
                <w:szCs w:val="16"/>
                <w:color w:val="0000FF"/>
                <w:w w:val="98"/>
              </w:rPr>
            </w:pPr>
            <w:hyperlink r:id="rId61">
              <w:r>
                <w:rPr>
                  <w:rFonts w:ascii="Arial" w:cs="Arial" w:eastAsia="Arial" w:hAnsi="Arial"/>
                  <w:sz w:val="16"/>
                  <w:szCs w:val="16"/>
                  <w:color w:val="0000FF"/>
                  <w:w w:val="98"/>
                </w:rPr>
                <w:t>several lenders from time to time parties thereto, JPMorgan Chase Bank, N.A., as administrative agent, and Citibank, N.A., as</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gridSpan w:val="7"/>
          </w:tcPr>
          <w:p>
            <w:pPr>
              <w:spacing w:after="0" w:line="183" w:lineRule="exact"/>
              <w:rPr>
                <w:rFonts w:ascii="Arial" w:cs="Arial" w:eastAsia="Arial" w:hAnsi="Arial"/>
                <w:sz w:val="16"/>
                <w:szCs w:val="16"/>
                <w:color w:val="0000FF"/>
                <w:w w:val="94"/>
              </w:rPr>
            </w:pPr>
            <w:hyperlink r:id="rId61">
              <w:r>
                <w:rPr>
                  <w:rFonts w:ascii="Arial" w:cs="Arial" w:eastAsia="Arial" w:hAnsi="Arial"/>
                  <w:sz w:val="16"/>
                  <w:szCs w:val="16"/>
                  <w:color w:val="0000FF"/>
                  <w:w w:val="94"/>
                </w:rPr>
                <w:t>syndication agent, incorporated by reference herein to Exhibit 10.1 to the Current Report on Form 8-K of General Motors Company</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20" w:type="dxa"/>
            <w:vAlign w:val="bottom"/>
            <w:tcBorders>
              <w:top w:val="single" w:sz="8" w:color="0000FF"/>
            </w:tcBorders>
            <w:gridSpan w:val="5"/>
          </w:tcPr>
          <w:p>
            <w:pPr>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filed April 16, 2019</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7"/>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Fifth Amended and Restated Limited Liability Company Agreement of GM Cruise Holdings LLC, dated December 18,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69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7246620" cy="6946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7246620" cy="677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1080" w:hanging="1045"/>
        <w:spacing w:after="0"/>
        <w:tabs>
          <w:tab w:leader="none" w:pos="1080" w:val="left"/>
        </w:tabs>
        <w:numPr>
          <w:ilvl w:val="0"/>
          <w:numId w:val="39"/>
        </w:numPr>
        <w:rPr>
          <w:rFonts w:ascii="Arial" w:cs="Arial" w:eastAsia="Arial" w:hAnsi="Arial"/>
          <w:sz w:val="16"/>
          <w:szCs w:val="16"/>
          <w:u w:val="single" w:color="auto"/>
          <w:color w:val="0000FF"/>
        </w:rPr>
      </w:pPr>
      <w:hyperlink w:anchor="page230">
        <w:r>
          <w:rPr>
            <w:rFonts w:ascii="Arial" w:cs="Arial" w:eastAsia="Arial" w:hAnsi="Arial"/>
            <w:sz w:val="16"/>
            <w:szCs w:val="16"/>
            <w:u w:val="single" w:color="auto"/>
            <w:color w:val="0000FF"/>
          </w:rPr>
          <w:t>Subsidiaries and Joint Ventures of the Registrant as of December 31, 2019</w:t>
        </w:r>
      </w:hyperlink>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23.1</w:t>
            </w:r>
          </w:p>
        </w:tc>
        <w:tc>
          <w:tcPr>
            <w:tcW w:w="2280" w:type="dxa"/>
            <w:vAlign w:val="bottom"/>
            <w:gridSpan w:val="2"/>
          </w:tcPr>
          <w:p>
            <w:pPr>
              <w:spacing w:after="0"/>
              <w:rPr>
                <w:rFonts w:ascii="Arial" w:cs="Arial" w:eastAsia="Arial" w:hAnsi="Arial"/>
                <w:sz w:val="16"/>
                <w:szCs w:val="16"/>
                <w:color w:val="0000FF"/>
              </w:rPr>
            </w:pPr>
            <w:hyperlink w:anchor="page235">
              <w:r>
                <w:rPr>
                  <w:rFonts w:ascii="Arial" w:cs="Arial" w:eastAsia="Arial" w:hAnsi="Arial"/>
                  <w:sz w:val="16"/>
                  <w:szCs w:val="16"/>
                  <w:color w:val="0000FF"/>
                </w:rPr>
                <w:t>Consent of Ernst &amp; Young LLP</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79"/>
              <w:spacing w:after="0"/>
              <w:rPr>
                <w:sz w:val="20"/>
                <w:szCs w:val="20"/>
                <w:color w:val="auto"/>
              </w:rPr>
            </w:pPr>
            <w:r>
              <w:rPr>
                <w:rFonts w:ascii="Arial" w:cs="Arial" w:eastAsia="Arial" w:hAnsi="Arial"/>
                <w:sz w:val="16"/>
                <w:szCs w:val="16"/>
                <w:color w:val="auto"/>
                <w:w w:val="83"/>
              </w:rPr>
              <w:t>23.2</w:t>
            </w:r>
          </w:p>
        </w:tc>
        <w:tc>
          <w:tcPr>
            <w:tcW w:w="20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228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236">
              <w:r>
                <w:rPr>
                  <w:rFonts w:ascii="Arial" w:cs="Arial" w:eastAsia="Arial" w:hAnsi="Arial"/>
                  <w:sz w:val="16"/>
                  <w:szCs w:val="16"/>
                  <w:color w:val="0000FF"/>
                  <w:w w:val="93"/>
                </w:rPr>
                <w:t>Consent of Deloitte &amp; Touche LLP</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1080" w:hanging="1045"/>
        <w:spacing w:after="0"/>
        <w:tabs>
          <w:tab w:leader="none" w:pos="1080" w:val="left"/>
        </w:tabs>
        <w:numPr>
          <w:ilvl w:val="0"/>
          <w:numId w:val="40"/>
        </w:numPr>
        <w:rPr>
          <w:rFonts w:ascii="Arial" w:cs="Arial" w:eastAsia="Arial" w:hAnsi="Arial"/>
          <w:sz w:val="16"/>
          <w:szCs w:val="16"/>
          <w:u w:val="single" w:color="auto"/>
          <w:color w:val="0000FF"/>
        </w:rPr>
      </w:pPr>
      <w:hyperlink w:anchor="page237">
        <w:r>
          <w:rPr>
            <w:rFonts w:ascii="Arial" w:cs="Arial" w:eastAsia="Arial" w:hAnsi="Arial"/>
            <w:sz w:val="16"/>
            <w:szCs w:val="16"/>
            <w:u w:val="single" w:color="auto"/>
            <w:color w:val="0000FF"/>
          </w:rPr>
          <w:t>Power of Attorney for Directors of General Motors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780" w:type="dxa"/>
            <w:vAlign w:val="bottom"/>
            <w:tcBorders>
              <w:bottom w:val="single" w:sz="8" w:color="0000FF"/>
            </w:tcBorders>
          </w:tcPr>
          <w:p>
            <w:pPr>
              <w:spacing w:after="0"/>
              <w:rPr>
                <w:rFonts w:ascii="Arial" w:cs="Arial" w:eastAsia="Arial" w:hAnsi="Arial"/>
                <w:sz w:val="16"/>
                <w:szCs w:val="16"/>
                <w:color w:val="0000FF"/>
                <w:w w:val="89"/>
              </w:rPr>
            </w:pPr>
            <w:hyperlink w:anchor="page247">
              <w:r>
                <w:rPr>
                  <w:rFonts w:ascii="Arial" w:cs="Arial" w:eastAsia="Arial" w:hAnsi="Arial"/>
                  <w:sz w:val="16"/>
                  <w:szCs w:val="16"/>
                  <w:color w:val="0000FF"/>
                  <w:w w:val="89"/>
                </w:rPr>
                <w:t>Section 302</w:t>
              </w:r>
            </w:hyperlink>
          </w:p>
        </w:tc>
        <w:tc>
          <w:tcPr>
            <w:tcW w:w="2860" w:type="dxa"/>
            <w:vAlign w:val="bottom"/>
            <w:tcBorders>
              <w:bottom w:val="single" w:sz="8" w:color="0000FF"/>
            </w:tcBorders>
            <w:gridSpan w:val="2"/>
          </w:tcPr>
          <w:p>
            <w:pPr>
              <w:ind w:left="20"/>
              <w:spacing w:after="0"/>
              <w:rPr>
                <w:rFonts w:ascii="Arial" w:cs="Arial" w:eastAsia="Arial" w:hAnsi="Arial"/>
                <w:sz w:val="16"/>
                <w:szCs w:val="16"/>
                <w:color w:val="0000FF"/>
                <w:w w:val="95"/>
              </w:rPr>
            </w:pPr>
            <w:hyperlink w:anchor="page247">
              <w:r>
                <w:rPr>
                  <w:rFonts w:ascii="Arial" w:cs="Arial" w:eastAsia="Arial" w:hAnsi="Arial"/>
                  <w:sz w:val="16"/>
                  <w:szCs w:val="16"/>
                  <w:color w:val="0000FF"/>
                  <w:w w:val="95"/>
                </w:rPr>
                <w:t>Certification of the Chief Executive Officer</w:t>
              </w:r>
            </w:hyperlink>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780" w:type="dxa"/>
            <w:vAlign w:val="bottom"/>
          </w:tcPr>
          <w:p>
            <w:pPr>
              <w:spacing w:after="0"/>
              <w:rPr>
                <w:rFonts w:ascii="Arial" w:cs="Arial" w:eastAsia="Arial" w:hAnsi="Arial"/>
                <w:sz w:val="16"/>
                <w:szCs w:val="16"/>
                <w:color w:val="0000FF"/>
                <w:w w:val="89"/>
              </w:rPr>
            </w:pPr>
            <w:hyperlink w:anchor="page248">
              <w:r>
                <w:rPr>
                  <w:rFonts w:ascii="Arial" w:cs="Arial" w:eastAsia="Arial" w:hAnsi="Arial"/>
                  <w:sz w:val="16"/>
                  <w:szCs w:val="16"/>
                  <w:color w:val="0000FF"/>
                  <w:w w:val="89"/>
                </w:rPr>
                <w:t>Section 302</w:t>
              </w:r>
            </w:hyperlink>
          </w:p>
        </w:tc>
        <w:tc>
          <w:tcPr>
            <w:tcW w:w="2860" w:type="dxa"/>
            <w:vAlign w:val="bottom"/>
            <w:gridSpan w:val="2"/>
          </w:tcPr>
          <w:p>
            <w:pPr>
              <w:ind w:left="20"/>
              <w:spacing w:after="0"/>
              <w:rPr>
                <w:rFonts w:ascii="Arial" w:cs="Arial" w:eastAsia="Arial" w:hAnsi="Arial"/>
                <w:sz w:val="16"/>
                <w:szCs w:val="16"/>
                <w:color w:val="0000FF"/>
                <w:w w:val="96"/>
              </w:rPr>
            </w:pPr>
            <w:hyperlink w:anchor="page248">
              <w:r>
                <w:rPr>
                  <w:rFonts w:ascii="Arial" w:cs="Arial" w:eastAsia="Arial" w:hAnsi="Arial"/>
                  <w:sz w:val="16"/>
                  <w:szCs w:val="16"/>
                  <w:color w:val="0000FF"/>
                  <w:w w:val="96"/>
                </w:rPr>
                <w:t>Certification of the Chief Financial Officer</w:t>
              </w:r>
            </w:hyperlink>
          </w:p>
        </w:tc>
      </w:tr>
      <w:tr>
        <w:trPr>
          <w:trHeight w:val="271"/>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780" w:type="dxa"/>
            <w:vAlign w:val="bottom"/>
            <w:tcBorders>
              <w:top w:val="single" w:sz="8" w:color="0000FF"/>
            </w:tcBorders>
          </w:tcPr>
          <w:p>
            <w:pPr>
              <w:spacing w:after="0"/>
              <w:rPr>
                <w:sz w:val="23"/>
                <w:szCs w:val="23"/>
                <w:color w:val="auto"/>
              </w:rPr>
            </w:pPr>
          </w:p>
        </w:tc>
        <w:tc>
          <w:tcPr>
            <w:tcW w:w="2800" w:type="dxa"/>
            <w:vAlign w:val="bottom"/>
            <w:tcBorders>
              <w:top w:val="single" w:sz="8" w:color="0000FF"/>
            </w:tcBorders>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jc w:val="center"/>
        <w:ind w:left="220"/>
        <w:spacing w:after="0"/>
        <w:rPr>
          <w:rFonts w:ascii="Arial" w:cs="Arial" w:eastAsia="Arial" w:hAnsi="Arial"/>
          <w:sz w:val="16"/>
          <w:szCs w:val="16"/>
          <w:u w:val="single" w:color="auto"/>
          <w:color w:val="0000FF"/>
        </w:rPr>
      </w:pPr>
      <w:hyperlink w:anchor="page249">
        <w:r>
          <w:rPr>
            <w:rFonts w:ascii="Arial" w:cs="Arial" w:eastAsia="Arial" w:hAnsi="Arial"/>
            <w:sz w:val="16"/>
            <w:szCs w:val="16"/>
            <w:u w:val="single" w:color="auto"/>
            <w:color w:val="0000FF"/>
          </w:rPr>
          <w:t>Certification Pursuant to 18 U.S.C. Section 1350, As Adopted Pursuant to Section 906 of the Sarbanes-Oxley Act of 2002</w:t>
        </w:r>
      </w:hyperlink>
    </w:p>
    <w:p>
      <w:pPr>
        <w:spacing w:after="0" w:line="69" w:lineRule="exact"/>
        <w:rPr>
          <w:sz w:val="20"/>
          <w:szCs w:val="20"/>
          <w:color w:val="auto"/>
        </w:rPr>
      </w:pPr>
    </w:p>
    <w:p>
      <w:pPr>
        <w:ind w:left="1080" w:right="180" w:hanging="1045"/>
        <w:spacing w:after="0" w:line="297"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Annual Report on Form 10-K for the year ended December 31, 2019 formatted in Inline Extensible Business Reporting Language (iXBRL) includes: (i) the Consolidated Income Statements, (ii) the Consolidated Statements of Comprehensive Income, (iii) the Consolidated Balance Sheets, (iv) the Consolidated Statements of Cash Flows, (v) the Consolidated Statements of Equity and (vi)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080" w:right="140" w:hanging="1045"/>
        <w:spacing w:after="0" w:line="27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year ended December 31, 2019,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Incorporated by Reference</w:t>
      </w:r>
    </w:p>
    <w:p>
      <w:pPr>
        <w:spacing w:after="0" w:line="21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3" w:lineRule="exact"/>
        <w:rPr>
          <w:sz w:val="20"/>
          <w:szCs w:val="20"/>
          <w:color w:val="auto"/>
        </w:rPr>
      </w:pPr>
    </w:p>
    <w:p>
      <w:pPr>
        <w:sectPr>
          <w:pgSz w:w="11900" w:h="16838" w:orient="portrait"/>
          <w:cols w:equalWidth="0" w:num="2">
            <w:col w:w="9840" w:space="140"/>
            <w:col w:w="1240"/>
          </w:cols>
          <w:pgMar w:left="240" w:top="341" w:right="439" w:bottom="1440" w:gutter="0" w:footer="0" w:header="0"/>
        </w:sectPr>
      </w:pPr>
    </w:p>
    <w:p>
      <w:pPr>
        <w:spacing w:after="0"/>
        <w:rPr>
          <w:sz w:val="20"/>
          <w:szCs w:val="20"/>
          <w:color w:val="auto"/>
        </w:rPr>
      </w:pPr>
      <w:r>
        <w:rPr>
          <w:rFonts w:ascii="Arial" w:cs="Arial" w:eastAsia="Arial" w:hAnsi="Arial"/>
          <w:sz w:val="18"/>
          <w:szCs w:val="18"/>
          <w:color w:val="auto"/>
        </w:rPr>
        <w:t>_________</w:t>
      </w:r>
    </w:p>
    <w:p>
      <w:pPr>
        <w:spacing w:after="0" w:line="176" w:lineRule="exact"/>
        <w:rPr>
          <w:sz w:val="20"/>
          <w:szCs w:val="20"/>
          <w:color w:val="auto"/>
        </w:rPr>
      </w:pPr>
    </w:p>
    <w:p>
      <w:pPr>
        <w:ind w:left="840" w:hanging="805"/>
        <w:spacing w:after="0"/>
        <w:tabs>
          <w:tab w:leader="none" w:pos="8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Certain confidential portions have been omitted pursuant to a granted request for confidential treatment, which has been separately filed with the SEC.</w:t>
      </w:r>
    </w:p>
    <w:p>
      <w:pPr>
        <w:spacing w:after="0" w:line="96" w:lineRule="exact"/>
        <w:rPr>
          <w:sz w:val="20"/>
          <w:szCs w:val="20"/>
          <w:color w:val="auto"/>
        </w:rPr>
      </w:pPr>
    </w:p>
    <w:p>
      <w:pPr>
        <w:ind w:left="840" w:hanging="805"/>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15(b) of this Report.</w:t>
      </w: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 * * *</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341" w:right="4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GENERAL MOTORS COMPANY (Registrant)</w:t>
      </w:r>
    </w:p>
    <w:p>
      <w:pPr>
        <w:spacing w:after="0" w:line="27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341" w:right="259" w:bottom="1440" w:gutter="0" w:footer="0" w:header="0"/>
        </w:sectPr>
      </w:pPr>
    </w:p>
    <w:bookmarkStart w:id="103" w:name="page104"/>
    <w:bookmarkEnd w:id="10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2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5th day of February 2020 by the following persons on behalf of the registrant and in the capacities indicated, including a majority of the directors.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200"/>
              <w:spacing w:after="0"/>
              <w:rPr>
                <w:sz w:val="20"/>
                <w:szCs w:val="20"/>
                <w:color w:val="auto"/>
              </w:rPr>
            </w:pPr>
            <w:r>
              <w:rPr>
                <w:rFonts w:ascii="Arial" w:cs="Arial" w:eastAsia="Arial" w:hAnsi="Arial"/>
                <w:sz w:val="18"/>
                <w:szCs w:val="18"/>
                <w:b w:val="1"/>
                <w:bCs w:val="1"/>
                <w:color w:val="auto"/>
              </w:rPr>
              <w:t>Signature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2"/>
          </w:tcPr>
          <w:p>
            <w:pPr>
              <w:ind w:left="2680"/>
              <w:spacing w:after="0"/>
              <w:rPr>
                <w:sz w:val="20"/>
                <w:szCs w:val="20"/>
                <w:color w:val="auto"/>
              </w:rPr>
            </w:pPr>
            <w:r>
              <w:rPr>
                <w:rFonts w:ascii="Arial" w:cs="Arial" w:eastAsia="Arial" w:hAnsi="Arial"/>
                <w:sz w:val="18"/>
                <w:szCs w:val="18"/>
                <w:b w:val="1"/>
                <w:bCs w:val="1"/>
                <w:color w:val="auto"/>
              </w:rPr>
              <w:t>Title</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34"/>
        </w:trPr>
        <w:tc>
          <w:tcPr>
            <w:tcW w:w="516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DHIVYA SURYADEVARA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Dhivya Suryadevara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CHRISTOPHER T. HATTO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Vice President, Global Business Solutions and Chief</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Christopher T. Hatto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THEODORE M. SOLSO*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Theodore M. Solso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WESLEY G. BUSH*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Wesley G. Bush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LINDA R. GOODEN*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Linda R. Gooden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JOSEPH JIMENEZ*</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Joseph Jimenez</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JANE L. MENDILLO*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Jane L. Mendillo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JUDITH A. MISCIK*</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Judith A. Miscik</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PATRICIA F. RUSSO*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Patricia F. Russo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THOMAS M. SCHOEWE*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Thomas M. Schoewe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CAROL M. STEPHENSON*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Carol M. Stephenson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160" w:type="dxa"/>
            <w:vAlign w:val="bottom"/>
          </w:tcPr>
          <w:p>
            <w:pPr>
              <w:ind w:left="40"/>
              <w:spacing w:after="0"/>
              <w:rPr>
                <w:sz w:val="20"/>
                <w:szCs w:val="20"/>
                <w:color w:val="auto"/>
              </w:rPr>
            </w:pPr>
            <w:r>
              <w:rPr>
                <w:rFonts w:ascii="Arial" w:cs="Arial" w:eastAsia="Arial" w:hAnsi="Arial"/>
                <w:sz w:val="18"/>
                <w:szCs w:val="18"/>
                <w:color w:val="auto"/>
              </w:rPr>
              <w:t>/s/ DEVIN N. WENIG*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1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Devin N. Wenig</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37"/>
        </w:trPr>
        <w:tc>
          <w:tcPr>
            <w:tcW w:w="5160" w:type="dxa"/>
            <w:vAlign w:val="bottom"/>
          </w:tcPr>
          <w:p>
            <w:pPr>
              <w:spacing w:after="0"/>
              <w:rPr>
                <w:sz w:val="24"/>
                <w:szCs w:val="24"/>
                <w:color w:val="auto"/>
              </w:rPr>
            </w:pPr>
          </w:p>
        </w:tc>
        <w:tc>
          <w:tcPr>
            <w:tcW w:w="6260" w:type="dxa"/>
            <w:vAlign w:val="bottom"/>
            <w:gridSpan w:val="4"/>
          </w:tcPr>
          <w:p>
            <w:pPr>
              <w:ind w:left="80"/>
              <w:spacing w:after="0"/>
              <w:rPr>
                <w:sz w:val="20"/>
                <w:szCs w:val="20"/>
                <w:color w:val="auto"/>
              </w:rPr>
            </w:pPr>
            <w:r>
              <w:rPr>
                <w:rFonts w:ascii="Arial" w:cs="Arial" w:eastAsia="Arial" w:hAnsi="Arial"/>
                <w:sz w:val="18"/>
                <w:szCs w:val="18"/>
                <w:color w:val="auto"/>
              </w:rPr>
              <w:t>*By: /s/ RICK HANSEN</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3"/>
          </w:tcPr>
          <w:p>
            <w:pPr>
              <w:ind w:left="40"/>
              <w:spacing w:after="0"/>
              <w:rPr>
                <w:sz w:val="20"/>
                <w:szCs w:val="20"/>
                <w:color w:val="auto"/>
              </w:rPr>
            </w:pPr>
            <w:r>
              <w:rPr>
                <w:rFonts w:ascii="Arial" w:cs="Arial" w:eastAsia="Arial" w:hAnsi="Arial"/>
                <w:sz w:val="18"/>
                <w:szCs w:val="18"/>
                <w:color w:val="auto"/>
              </w:rPr>
              <w:t>Rick Hansen</w:t>
            </w:r>
          </w:p>
        </w:tc>
      </w:tr>
      <w:tr>
        <w:trPr>
          <w:trHeight w:val="270"/>
        </w:trPr>
        <w:tc>
          <w:tcPr>
            <w:tcW w:w="5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0" w:type="dxa"/>
            <w:vAlign w:val="bottom"/>
            <w:gridSpan w:val="3"/>
          </w:tcPr>
          <w:p>
            <w:pPr>
              <w:ind w:left="40"/>
              <w:spacing w:after="0"/>
              <w:rPr>
                <w:sz w:val="20"/>
                <w:szCs w:val="20"/>
                <w:color w:val="auto"/>
              </w:rPr>
            </w:pPr>
            <w:r>
              <w:rPr>
                <w:rFonts w:ascii="Arial" w:cs="Arial" w:eastAsia="Arial" w:hAnsi="Arial"/>
                <w:sz w:val="18"/>
                <w:szCs w:val="18"/>
                <w:i w:val="1"/>
                <w:iCs w:val="1"/>
                <w:color w:val="auto"/>
              </w:rPr>
              <w:t>Attorney-in-Fact</w:t>
            </w: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41" w:right="2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January 24, 2020, General Motors Company had one class of common stock registered under Section 12 of the Securities Exchange Act of 1934, as amended (the “Exchange Act”).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our restated certificate of incorporation (the “Certificate of Incorporation”) and our amended and restated bylaws (the “Bylaws”), each of which is incorporated herein by reference as an exhibit to the Annual Report on Form 10-K filed with the Securities and Exchange Commission, of which this Exhibit 4. 1 is a part. We encourage you to read our Certificate of Incorporation, our Bylaws and the applicable provisions of the General Corporation Law of the State of Delaware (the “DGCL”)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Certificate of Incorporation currently authorizes our Board of Directors to issue 5,000,000,000 shares of common stock, par value $0.01 per share.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ectPr>
          <w:pgSz w:w="11900" w:h="16838" w:orient="portrait"/>
          <w:cols w:equalWidth="0" w:num="1">
            <w:col w:w="11420"/>
          </w:cols>
          <w:pgMar w:left="240" w:top="553" w:right="239" w:bottom="1440" w:gutter="0" w:footer="0" w:header="0"/>
        </w:sectPr>
      </w:pPr>
    </w:p>
    <w:bookmarkStart w:id="105" w:name="page106"/>
    <w:bookmarkEnd w:id="105"/>
    <w:p>
      <w:pPr>
        <w:jc w:val="both"/>
        <w:ind w:firstLine="648"/>
        <w:spacing w:after="0" w:line="274"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common stock is traded on the New York Stock Exchange under the trading symbol “GM.”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Provisions of Our Certificate of Incorporation, Bylaws and Delaware Law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Amendments to Our Certificate of Incorporation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19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increase or decrease the aggregate number of authorized shares of such class;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20"/>
          <w:szCs w:val="20"/>
          <w:color w:val="auto"/>
        </w:rPr>
        <w:t>increase or decrease the par value of the shares of such class; or</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7"/>
          <w:szCs w:val="17"/>
          <w:color w:val="auto"/>
        </w:rPr>
      </w:pPr>
      <w:r>
        <w:rPr>
          <w:rFonts w:ascii="Arial" w:cs="Arial" w:eastAsia="Arial" w:hAnsi="Arial"/>
          <w:sz w:val="19"/>
          <w:szCs w:val="19"/>
          <w:color w:val="auto"/>
        </w:rPr>
        <w:t>alter or change the powers, preferences, or special rights of the shares of such class so as to affect them adversely.</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Vacancies in our Board of Directors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Certificate of Incorporation and Bylaws provide that any vacancy occurring in our Board of Directors for any reason shall be filled exclusively pursuant to a resolution adopted by a majority of the remaining members of our Board of Directors then in office. Each director so elected shall hold office for a term expiring at the next annual meeting of stockholders. Each director shall hold office until his or her</w:t>
      </w:r>
    </w:p>
    <w:p>
      <w:pPr>
        <w:sectPr>
          <w:pgSz w:w="11900" w:h="16838" w:orient="portrait"/>
          <w:cols w:equalWidth="0" w:num="1">
            <w:col w:w="11420"/>
          </w:cols>
          <w:pgMar w:left="240" w:top="339" w:right="2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successor is elected and qualified, unless the director dies, resigns or otherwise leaves the Board of Directors before then.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Special Meetings of Stockholders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 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Under the DGCL, written notice of any special meeting must be given not less than 10 nor more than 60 days before the date of the special meeting to each stockholder entitled to vote at such meeting.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Requirements for Notice of Stockholder Director Nominations and Stockholder Business</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Proxy Access Nominations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Stockholder Action by Written Consent without a Meeting</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Anti-Takeover Effects of Delaware Law</w:t>
      </w:r>
    </w:p>
    <w:p>
      <w:pPr>
        <w:sectPr>
          <w:pgSz w:w="11900" w:h="16838" w:orient="portrait"/>
          <w:cols w:equalWidth="0" w:num="1">
            <w:col w:w="11420"/>
          </w:cols>
          <w:pgMar w:left="240" w:top="339" w:right="239" w:bottom="1440" w:gutter="0" w:footer="0" w:header="0"/>
        </w:sectPr>
      </w:pPr>
    </w:p>
    <w:bookmarkStart w:id="107" w:name="page108"/>
    <w:bookmarkEnd w:id="107"/>
    <w:p>
      <w:pPr>
        <w:jc w:val="both"/>
        <w:ind w:firstLine="648"/>
        <w:spacing w:after="0" w:line="250" w:lineRule="auto"/>
        <w:rPr>
          <w:sz w:val="20"/>
          <w:szCs w:val="20"/>
          <w:color w:val="auto"/>
        </w:rPr>
      </w:pPr>
      <w:r>
        <w:rPr>
          <w:rFonts w:ascii="Arial" w:cs="Arial" w:eastAsia="Arial" w:hAnsi="Arial"/>
          <w:sz w:val="20"/>
          <w:szCs w:val="20"/>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186" w:lineRule="exact"/>
        <w:rPr>
          <w:sz w:val="20"/>
          <w:szCs w:val="20"/>
          <w:color w:val="auto"/>
        </w:rPr>
      </w:pPr>
    </w:p>
    <w:p>
      <w:pPr>
        <w:ind w:left="1300" w:right="20" w:hanging="644"/>
        <w:spacing w:after="0" w:line="260"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20"/>
          <w:szCs w:val="20"/>
          <w:color w:val="auto"/>
        </w:rPr>
        <w:t>the business combination or the transaction which resulted in the stockholder becoming an interested stockholder is approved by the Board of Directors prior to the time the interested stockholder obtained such status;</w:t>
      </w:r>
    </w:p>
    <w:p>
      <w:pPr>
        <w:spacing w:after="0" w:line="176" w:lineRule="exact"/>
        <w:rPr>
          <w:rFonts w:ascii="Arial" w:cs="Arial" w:eastAsia="Arial" w:hAnsi="Arial"/>
          <w:sz w:val="18"/>
          <w:szCs w:val="18"/>
          <w:color w:val="auto"/>
        </w:rPr>
      </w:pPr>
    </w:p>
    <w:p>
      <w:pPr>
        <w:ind w:left="1300" w:hanging="644"/>
        <w:spacing w:after="0" w:line="316"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30"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ectPr>
          <w:pgSz w:w="11900" w:h="16838" w:orient="portrait"/>
          <w:cols w:equalWidth="0" w:num="1">
            <w:col w:w="11420"/>
          </w:cols>
          <w:pgMar w:left="240" w:top="33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GENERAL MOTORS COMPANY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DEFERRED COMPENSATION PLAN FOR NON-EMPLOYEE DIRECTORS</w:t>
      </w:r>
    </w:p>
    <w:p>
      <w:pPr>
        <w:spacing w:after="0" w:line="214"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AMENDED AND RESTATED, DECEMBER 9, 2019</w:t>
      </w:r>
    </w:p>
    <w:p>
      <w:pPr>
        <w:spacing w:after="0" w:line="226"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NAME AND PURPOSE; EFFECTIVE DATE</w:t>
      </w:r>
    </w:p>
    <w:p>
      <w:pPr>
        <w:spacing w:after="0" w:line="358" w:lineRule="exact"/>
        <w:rPr>
          <w:sz w:val="20"/>
          <w:szCs w:val="20"/>
          <w:color w:val="auto"/>
        </w:rPr>
      </w:pPr>
    </w:p>
    <w:p>
      <w:pPr>
        <w:ind w:left="660" w:right="14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color w:val="auto"/>
        </w:rPr>
        <w:t>The name of this Plan is the General Motors Company Deferred Compensation Plan for Non-Employee Directors. Its purpose is to provide Non-Employee Directors of General Motors Company with a means to defer compensation earned as a Director.</w:t>
      </w:r>
    </w:p>
    <w:p>
      <w:pPr>
        <w:spacing w:after="0" w:line="226"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2"/>
          <w:szCs w:val="22"/>
          <w:color w:val="auto"/>
        </w:rPr>
        <w:t>The Plan was first adopted on January 1, 2011 following approval by the Board on October 5, 2010. The Plan as amended and restated herein is effective December 9,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DEFINITIONS</w:t>
      </w:r>
    </w:p>
    <w:p>
      <w:pPr>
        <w:spacing w:after="0" w:line="364"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Unless the context clearly indicates otherwise, the following terms, when used in the capitalized form in the Plan, shall have the meanings set forth below.</w:t>
      </w:r>
    </w:p>
    <w:p>
      <w:pPr>
        <w:spacing w:after="0" w:line="209" w:lineRule="exact"/>
        <w:rPr>
          <w:sz w:val="20"/>
          <w:szCs w:val="20"/>
          <w:color w:val="auto"/>
        </w:rPr>
      </w:pPr>
    </w:p>
    <w:p>
      <w:pPr>
        <w:ind w:left="660" w:right="84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b w:val="1"/>
          <w:bCs w:val="1"/>
          <w:color w:val="auto"/>
        </w:rPr>
        <w:t xml:space="preserve">“Account” </w:t>
      </w:r>
      <w:r>
        <w:rPr>
          <w:rFonts w:ascii="Arial" w:cs="Arial" w:eastAsia="Arial" w:hAnsi="Arial"/>
          <w:sz w:val="22"/>
          <w:szCs w:val="22"/>
          <w:color w:val="auto"/>
        </w:rPr>
        <w:t>means an unfunded deferred compensation account established and maintained under the Plan for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w:t>
      </w:r>
    </w:p>
    <w:p>
      <w:pPr>
        <w:spacing w:after="0" w:line="203" w:lineRule="exact"/>
        <w:rPr>
          <w:sz w:val="20"/>
          <w:szCs w:val="20"/>
          <w:color w:val="auto"/>
        </w:rPr>
      </w:pPr>
    </w:p>
    <w:p>
      <w:pPr>
        <w:jc w:val="both"/>
        <w:ind w:left="660" w:right="30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2"/>
          <w:szCs w:val="22"/>
          <w:b w:val="1"/>
          <w:bCs w:val="1"/>
          <w:color w:val="auto"/>
        </w:rPr>
        <w:t xml:space="preserve">“Additional Compensation” </w:t>
      </w:r>
      <w:r>
        <w:rPr>
          <w:rFonts w:ascii="Arial" w:cs="Arial" w:eastAsia="Arial" w:hAnsi="Arial"/>
          <w:sz w:val="22"/>
          <w:szCs w:val="22"/>
          <w:color w:val="auto"/>
        </w:rPr>
        <w:t>means the amount payable to the Director for serving on Committees of the Board or as a</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Chair, Lead Director, or Chairman of the Board, but does not include the Base Compensation or any amounts earned otherwise.</w:t>
      </w:r>
    </w:p>
    <w:p>
      <w:pPr>
        <w:spacing w:after="0" w:line="217" w:lineRule="exact"/>
        <w:rPr>
          <w:sz w:val="20"/>
          <w:szCs w:val="20"/>
          <w:color w:val="auto"/>
        </w:rPr>
      </w:pPr>
    </w:p>
    <w:p>
      <w:pPr>
        <w:ind w:left="660" w:right="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 xml:space="preserve">“Average Market Price” </w:t>
      </w:r>
      <w:r>
        <w:rPr>
          <w:rFonts w:ascii="Arial" w:cs="Arial" w:eastAsia="Arial" w:hAnsi="Arial"/>
          <w:sz w:val="21"/>
          <w:szCs w:val="21"/>
          <w:color w:val="auto"/>
        </w:rPr>
        <w:t>means the average of the highest and lowest sales prices of Common Stock on any valuation date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 the Plan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if such prices are not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in another reliable, widely available source of such prices as designated by the Committee).</w:t>
      </w:r>
    </w:p>
    <w:p>
      <w:pPr>
        <w:spacing w:after="0" w:line="199" w:lineRule="exact"/>
        <w:rPr>
          <w:sz w:val="20"/>
          <w:szCs w:val="20"/>
          <w:color w:val="auto"/>
        </w:rPr>
      </w:pPr>
    </w:p>
    <w:p>
      <w:pPr>
        <w:ind w:left="660" w:right="24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the person, persons or trust designated in writing by the Participant to receive any benefits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due to the death of the Participant pursuant to Article IX.</w:t>
      </w:r>
    </w:p>
    <w:p>
      <w:pPr>
        <w:spacing w:after="0" w:line="203" w:lineRule="exact"/>
        <w:rPr>
          <w:sz w:val="20"/>
          <w:szCs w:val="20"/>
          <w:color w:val="auto"/>
        </w:rPr>
      </w:pPr>
    </w:p>
    <w:p>
      <w:pPr>
        <w:ind w:left="660" w:right="54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2"/>
          <w:szCs w:val="22"/>
          <w:b w:val="1"/>
          <w:bCs w:val="1"/>
          <w:color w:val="auto"/>
        </w:rPr>
        <w:t xml:space="preserve">“Base Compensation” </w:t>
      </w:r>
      <w:r>
        <w:rPr>
          <w:rFonts w:ascii="Arial" w:cs="Arial" w:eastAsia="Arial" w:hAnsi="Arial"/>
          <w:sz w:val="22"/>
          <w:szCs w:val="22"/>
          <w:color w:val="auto"/>
        </w:rPr>
        <w:t>means the amount payable as an annual retainer to the Director for serving as a member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but does not include any Additional Compensation or amounts earned otherwise.</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General Motors Company.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53" w:right="239" w:bottom="1440" w:gutter="0" w:footer="0" w:header="0"/>
        </w:sectPr>
      </w:pPr>
    </w:p>
    <w:bookmarkStart w:id="109" w:name="page110"/>
    <w:bookmarkEnd w:id="109"/>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 or any successor statute thereto.</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 xml:space="preserve">“Committee” </w:t>
      </w:r>
      <w:r>
        <w:rPr>
          <w:rFonts w:ascii="Arial" w:cs="Arial" w:eastAsia="Arial" w:hAnsi="Arial"/>
          <w:sz w:val="19"/>
          <w:szCs w:val="19"/>
          <w:color w:val="auto"/>
        </w:rPr>
        <w:t>means the Governance and Corporate Responsibility Committee of the Board.</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 xml:space="preserve">“Common Stock” </w:t>
      </w:r>
      <w:r>
        <w:rPr>
          <w:rFonts w:ascii="Arial" w:cs="Arial" w:eastAsia="Arial" w:hAnsi="Arial"/>
          <w:sz w:val="19"/>
          <w:szCs w:val="19"/>
          <w:color w:val="auto"/>
        </w:rPr>
        <w:t>means the common stock, $0.01 par value, of the Company as listed on the New York Stock Exchange.</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General Motors Company, a Delaware corporation.</w:t>
      </w:r>
    </w:p>
    <w:p>
      <w:pPr>
        <w:spacing w:after="0" w:line="260" w:lineRule="exact"/>
        <w:rPr>
          <w:sz w:val="20"/>
          <w:szCs w:val="20"/>
          <w:color w:val="auto"/>
        </w:rPr>
      </w:pPr>
    </w:p>
    <w:p>
      <w:pPr>
        <w:jc w:val="both"/>
        <w:ind w:left="660" w:right="4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 xml:space="preserve">“Dividend Equivalent” </w:t>
      </w:r>
      <w:r>
        <w:rPr>
          <w:rFonts w:ascii="Arial" w:cs="Arial" w:eastAsia="Arial" w:hAnsi="Arial"/>
          <w:sz w:val="19"/>
          <w:szCs w:val="19"/>
          <w:color w:val="auto"/>
        </w:rPr>
        <w:t>means an amount equal to such per share dividend amount multiplied by the number of Share</w:t>
      </w:r>
      <w:r>
        <w:rPr>
          <w:rFonts w:ascii="Arial" w:cs="Arial" w:eastAsia="Arial" w:hAnsi="Arial"/>
          <w:sz w:val="19"/>
          <w:szCs w:val="19"/>
          <w:b w:val="1"/>
          <w:bCs w:val="1"/>
          <w:color w:val="auto"/>
        </w:rPr>
        <w:t xml:space="preserve"> </w:t>
      </w:r>
      <w:r>
        <w:rPr>
          <w:rFonts w:ascii="Arial" w:cs="Arial" w:eastAsia="Arial" w:hAnsi="Arial"/>
          <w:sz w:val="19"/>
          <w:szCs w:val="19"/>
          <w:color w:val="auto"/>
        </w:rPr>
        <w:t>Units credited to the Participant’s Account, upon the payment of a dividend by the Company on issued and outstanding shares of Common Stock. The Dividend Equivalent, if any, shall be deemed to be invested in additional Share Units.</w:t>
      </w:r>
    </w:p>
    <w:p>
      <w:pPr>
        <w:spacing w:after="0" w:line="166"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21"/>
          <w:szCs w:val="21"/>
          <w:b w:val="1"/>
          <w:bCs w:val="1"/>
          <w:color w:val="auto"/>
        </w:rPr>
        <w:t xml:space="preserve">“Mandatory Deferral” </w:t>
      </w:r>
      <w:r>
        <w:rPr>
          <w:rFonts w:ascii="Arial" w:cs="Arial" w:eastAsia="Arial" w:hAnsi="Arial"/>
          <w:sz w:val="21"/>
          <w:szCs w:val="21"/>
          <w:color w:val="auto"/>
        </w:rPr>
        <w:t>means the amount or percentage of each Director’s Base Compensation required to be deferred into</w:t>
      </w:r>
      <w:r>
        <w:rPr>
          <w:rFonts w:ascii="Arial" w:cs="Arial" w:eastAsia="Arial" w:hAnsi="Arial"/>
          <w:sz w:val="21"/>
          <w:szCs w:val="21"/>
          <w:b w:val="1"/>
          <w:bCs w:val="1"/>
          <w:color w:val="auto"/>
        </w:rPr>
        <w:t xml:space="preserve"> </w:t>
      </w:r>
      <w:r>
        <w:rPr>
          <w:rFonts w:ascii="Arial" w:cs="Arial" w:eastAsia="Arial" w:hAnsi="Arial"/>
          <w:sz w:val="21"/>
          <w:szCs w:val="21"/>
          <w:color w:val="auto"/>
        </w:rPr>
        <w:t>Share Units as annually determined by the Board based upon the recommendation of the Committee.</w:t>
      </w:r>
    </w:p>
    <w:p>
      <w:pPr>
        <w:spacing w:after="0" w:line="180" w:lineRule="exact"/>
        <w:rPr>
          <w:sz w:val="20"/>
          <w:szCs w:val="20"/>
          <w:color w:val="auto"/>
        </w:rPr>
      </w:pPr>
    </w:p>
    <w:p>
      <w:pPr>
        <w:ind w:left="660" w:right="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2.13</w:t>
        <w:tab/>
        <w:t xml:space="preserve">“Non-Employee Director” </w:t>
      </w:r>
      <w:r>
        <w:rPr>
          <w:rFonts w:ascii="Arial" w:cs="Arial" w:eastAsia="Arial" w:hAnsi="Arial"/>
          <w:sz w:val="22"/>
          <w:szCs w:val="22"/>
          <w:color w:val="auto"/>
        </w:rPr>
        <w:t>or</w:t>
      </w:r>
      <w:r>
        <w:rPr>
          <w:rFonts w:ascii="Arial" w:cs="Arial" w:eastAsia="Arial" w:hAnsi="Arial"/>
          <w:sz w:val="22"/>
          <w:szCs w:val="22"/>
          <w:b w:val="1"/>
          <w:bCs w:val="1"/>
          <w:color w:val="auto"/>
        </w:rPr>
        <w:t xml:space="preserve"> “Director” </w:t>
      </w:r>
      <w:r>
        <w:rPr>
          <w:rFonts w:ascii="Arial" w:cs="Arial" w:eastAsia="Arial" w:hAnsi="Arial"/>
          <w:sz w:val="22"/>
          <w:szCs w:val="22"/>
          <w:color w:val="auto"/>
        </w:rPr>
        <w:t>means any individual who is a member of the Board but who is not otherwise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or any of its subsidiaries.</w:t>
      </w:r>
    </w:p>
    <w:p>
      <w:pPr>
        <w:spacing w:after="0" w:line="203" w:lineRule="exact"/>
        <w:rPr>
          <w:sz w:val="20"/>
          <w:szCs w:val="20"/>
          <w:color w:val="auto"/>
        </w:rPr>
      </w:pPr>
    </w:p>
    <w:p>
      <w:pPr>
        <w:ind w:left="660" w:right="20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2.14</w:t>
        <w:tab/>
        <w:t xml:space="preserve">“Participant” </w:t>
      </w:r>
      <w:r>
        <w:rPr>
          <w:rFonts w:ascii="Arial" w:cs="Arial" w:eastAsia="Arial" w:hAnsi="Arial"/>
          <w:sz w:val="22"/>
          <w:szCs w:val="22"/>
          <w:color w:val="auto"/>
        </w:rPr>
        <w:t>means any Non-Employee Director who elects to participate in the Plan or whose Base Compensation is or</w:t>
      </w:r>
      <w:r>
        <w:rPr>
          <w:rFonts w:ascii="Arial" w:cs="Arial" w:eastAsia="Arial" w:hAnsi="Arial"/>
          <w:sz w:val="22"/>
          <w:szCs w:val="22"/>
          <w:b w:val="1"/>
          <w:bCs w:val="1"/>
          <w:color w:val="auto"/>
        </w:rPr>
        <w:t xml:space="preserve"> </w:t>
      </w:r>
      <w:r>
        <w:rPr>
          <w:rFonts w:ascii="Arial" w:cs="Arial" w:eastAsia="Arial" w:hAnsi="Arial"/>
          <w:sz w:val="22"/>
          <w:szCs w:val="22"/>
          <w:color w:val="auto"/>
        </w:rPr>
        <w:t>was subject to Mandatory Deferral pursuant to Article V.</w:t>
      </w:r>
    </w:p>
    <w:p>
      <w:pPr>
        <w:spacing w:after="0" w:line="203" w:lineRule="exact"/>
        <w:rPr>
          <w:sz w:val="20"/>
          <w:szCs w:val="20"/>
          <w:color w:val="auto"/>
        </w:rPr>
      </w:pPr>
    </w:p>
    <w:p>
      <w:pPr>
        <w:ind w:left="660" w:right="1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2.15</w:t>
        <w:tab/>
        <w:t xml:space="preserve">“Plan” </w:t>
      </w:r>
      <w:r>
        <w:rPr>
          <w:rFonts w:ascii="Arial" w:cs="Arial" w:eastAsia="Arial" w:hAnsi="Arial"/>
          <w:sz w:val="22"/>
          <w:szCs w:val="22"/>
          <w:color w:val="auto"/>
        </w:rPr>
        <w:t>means the General Motors Company Deferred Compensation Plan for Non-Employee Directors as stated herein, as</w:t>
      </w:r>
      <w:r>
        <w:rPr>
          <w:rFonts w:ascii="Arial" w:cs="Arial" w:eastAsia="Arial" w:hAnsi="Arial"/>
          <w:sz w:val="22"/>
          <w:szCs w:val="22"/>
          <w:b w:val="1"/>
          <w:bCs w:val="1"/>
          <w:color w:val="auto"/>
        </w:rPr>
        <w:t xml:space="preserve"> </w:t>
      </w:r>
      <w:r>
        <w:rPr>
          <w:rFonts w:ascii="Arial" w:cs="Arial" w:eastAsia="Arial" w:hAnsi="Arial"/>
          <w:sz w:val="22"/>
          <w:szCs w:val="22"/>
          <w:color w:val="auto"/>
        </w:rPr>
        <w:t>it may be amended from time to time.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the 12-month period coinciding with the calendar year.</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 xml:space="preserve">“Separation Date” </w:t>
      </w:r>
      <w:r>
        <w:rPr>
          <w:rFonts w:ascii="Arial" w:cs="Arial" w:eastAsia="Arial" w:hAnsi="Arial"/>
          <w:sz w:val="19"/>
          <w:szCs w:val="19"/>
          <w:color w:val="auto"/>
        </w:rPr>
        <w:t>means the date on which a Director separates from service as a Director, within the meaning of Section</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409A of the Code.</w:t>
      </w:r>
    </w:p>
    <w:p>
      <w:pPr>
        <w:spacing w:after="0" w:line="236"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2.18</w:t>
        <w:tab/>
        <w:t xml:space="preserve">“Share Unit” </w:t>
      </w:r>
      <w:r>
        <w:rPr>
          <w:rFonts w:ascii="Arial" w:cs="Arial" w:eastAsia="Arial" w:hAnsi="Arial"/>
          <w:sz w:val="22"/>
          <w:szCs w:val="22"/>
          <w:color w:val="auto"/>
        </w:rPr>
        <w:t>means a hypothetical share of Common Stock of the Company that is credited to a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Share Units shall not have any voting rights, shall not represent any actual shares of Common Stock, and shall not give any Participant any rights as a stockholder in the Company.</w:t>
      </w:r>
    </w:p>
    <w:p>
      <w:pPr>
        <w:spacing w:after="0" w:line="217" w:lineRule="exact"/>
        <w:rPr>
          <w:sz w:val="20"/>
          <w:szCs w:val="20"/>
          <w:color w:val="auto"/>
        </w:rPr>
      </w:pPr>
    </w:p>
    <w:p>
      <w:pPr>
        <w:jc w:val="both"/>
        <w:ind w:left="660" w:right="2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21"/>
          <w:szCs w:val="21"/>
          <w:b w:val="1"/>
          <w:bCs w:val="1"/>
          <w:color w:val="auto"/>
        </w:rPr>
        <w:t xml:space="preserve">“Unforeseeable Emergency” </w:t>
      </w:r>
      <w:r>
        <w:rPr>
          <w:rFonts w:ascii="Arial" w:cs="Arial" w:eastAsia="Arial" w:hAnsi="Arial"/>
          <w:sz w:val="21"/>
          <w:szCs w:val="21"/>
          <w:color w:val="auto"/>
        </w:rPr>
        <w:t>means (a) a severe financial hardship to a Director resulting from an illness or accident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 or the spouse or a dependent (as defined in Section 152(a) of the Code) of the Director, (b) the loss of a Director’s property due to casualty or (c) such other similar extraordinary and unforeseeable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42" w:right="239" w:bottom="1440" w:gutter="0" w:footer="0" w:header="0"/>
        </w:sectPr>
      </w:pPr>
    </w:p>
    <w:bookmarkStart w:id="110" w:name="page111"/>
    <w:bookmarkEnd w:id="110"/>
    <w:p>
      <w:pPr>
        <w:ind w:left="660" w:right="340"/>
        <w:spacing w:after="0" w:line="232" w:lineRule="auto"/>
        <w:rPr>
          <w:sz w:val="20"/>
          <w:szCs w:val="20"/>
          <w:color w:val="auto"/>
        </w:rPr>
      </w:pPr>
      <w:r>
        <w:rPr>
          <w:rFonts w:ascii="Arial" w:cs="Arial" w:eastAsia="Arial" w:hAnsi="Arial"/>
          <w:sz w:val="22"/>
          <w:szCs w:val="22"/>
          <w:color w:val="auto"/>
        </w:rPr>
        <w:t>circumstances arising as a result of events beyond the control of the Director, within the meaning of Section 409A of the Code.</w:t>
      </w:r>
    </w:p>
    <w:p>
      <w:pPr>
        <w:spacing w:after="0" w:line="221" w:lineRule="exact"/>
        <w:rPr>
          <w:sz w:val="20"/>
          <w:szCs w:val="20"/>
          <w:color w:val="auto"/>
        </w:rPr>
      </w:pPr>
    </w:p>
    <w:p>
      <w:pPr>
        <w:ind w:left="660" w:right="24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21"/>
          <w:szCs w:val="21"/>
          <w:b w:val="1"/>
          <w:bCs w:val="1"/>
          <w:color w:val="auto"/>
        </w:rPr>
        <w:t xml:space="preserve">“Voluntary Deferral” </w:t>
      </w:r>
      <w:r>
        <w:rPr>
          <w:rFonts w:ascii="Arial" w:cs="Arial" w:eastAsia="Arial" w:hAnsi="Arial"/>
          <w:sz w:val="21"/>
          <w:szCs w:val="21"/>
          <w:color w:val="auto"/>
        </w:rPr>
        <w:t>means the amount of (a) Base Compensation that is not subject to Mandatory Deferral and (b) any</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Compensation that a Director affirmatively elects to defer pursuant to Article VI.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ADMINISTRATION</w:t>
      </w:r>
    </w:p>
    <w:p>
      <w:pPr>
        <w:spacing w:after="0" w:line="358" w:lineRule="exact"/>
        <w:rPr>
          <w:sz w:val="20"/>
          <w:szCs w:val="20"/>
          <w:color w:val="auto"/>
        </w:rPr>
      </w:pPr>
    </w:p>
    <w:p>
      <w:pPr>
        <w:ind w:left="660" w:right="240" w:hanging="647"/>
        <w:spacing w:after="0" w:line="261" w:lineRule="auto"/>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1"/>
          <w:szCs w:val="21"/>
          <w:color w:val="auto"/>
        </w:rPr>
        <w:t>The Plan shall be administered by the Committee. The Committee shall have full power and discretionary authority to interpret the Plan, prescribe, amend and rescind the rules relating to it from time to time as it deems proper and in the best interests of the Company, and to take any other action necessary for the administration of the Plan. Any decision or interpretation adopted by the Committee shall be final and conclusive and binding on all Participants, their legal representatives and Beneficiaries. The Committee may delegate administrative duties under the Plan to one or more employees or agents of the Company, as it shall deem necessary or advisable.</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2"/>
          <w:szCs w:val="22"/>
          <w:b w:val="1"/>
          <w:bCs w:val="1"/>
          <w:i w:val="1"/>
          <w:iCs w:val="1"/>
          <w:color w:val="auto"/>
        </w:rPr>
        <w:t>ELIGIBILITY</w:t>
      </w:r>
    </w:p>
    <w:p>
      <w:pPr>
        <w:spacing w:after="0" w:line="3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color w:val="auto"/>
        </w:rPr>
        <w:t>Eligibility to participate in the Plan is limited to Non-Employee Directors.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MANDATORY DEFERRAL</w:t>
      </w:r>
    </w:p>
    <w:p>
      <w:pPr>
        <w:spacing w:after="0" w:line="358"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2"/>
          <w:szCs w:val="22"/>
          <w:color w:val="auto"/>
        </w:rPr>
        <w:t>Any determination by the Board to require the Mandatory Deferral of all or a portion of each Director’s Base Compensation shall be made no later than December 31 of the Plan Year immediately preceding the Plan Year in which the Base Compensation is to be earned.</w:t>
      </w:r>
    </w:p>
    <w:p>
      <w:pPr>
        <w:spacing w:after="0" w:line="226" w:lineRule="exact"/>
        <w:rPr>
          <w:sz w:val="20"/>
          <w:szCs w:val="20"/>
          <w:color w:val="auto"/>
        </w:rPr>
      </w:pPr>
    </w:p>
    <w:p>
      <w:pPr>
        <w:ind w:left="660" w:right="16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2"/>
          <w:szCs w:val="22"/>
          <w:color w:val="auto"/>
        </w:rPr>
        <w:t>Any Mandatory Deferral pursuant to this Section shall remain in effect, until terminated or modified by the Board, with respect to Base Compensation payable in future Plan Years. Such Mandatory Deferral election shall become irrevocable as of December 31 of the Plan Year immediately preceding the Plan Year in which such Base Compensation otherwise would have been payable for services on the Board.</w:t>
      </w:r>
    </w:p>
    <w:p>
      <w:pPr>
        <w:spacing w:after="0" w:line="229"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22"/>
          <w:szCs w:val="22"/>
          <w:color w:val="auto"/>
        </w:rPr>
        <w:t>Any Mandatory Deferrals pursuant to this Article V shall be credited to the Participant’s Account in the form of Share Units and shall be entitled to Dividend Equivalents, if 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21" w:right="239" w:bottom="1440" w:gutter="0" w:footer="0" w:header="0"/>
        </w:sectPr>
      </w:pPr>
    </w:p>
    <w:bookmarkStart w:id="111" w:name="page112"/>
    <w:bookmarkEnd w:id="111"/>
    <w:p>
      <w:pPr>
        <w:ind w:left="660" w:right="6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22"/>
          <w:szCs w:val="22"/>
          <w:color w:val="auto"/>
        </w:rPr>
        <w:t>The value of Share Units attributable to a Mandatory Deferral shall be payable in cash in a lump sum or in up to five annual installments, as elected by the Director pursuant to section 6.3(b), on or before March 15 of the Plan Year following the Plan Year in which the Participant’s service as a Director terminates, or as soon as practicable, but in no event later than December 31 immediately following such date.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ELECTION OF VOLUNTARY DEFERRAL</w:t>
      </w:r>
    </w:p>
    <w:p>
      <w:pPr>
        <w:spacing w:after="0" w:line="358" w:lineRule="exact"/>
        <w:rPr>
          <w:sz w:val="20"/>
          <w:szCs w:val="20"/>
          <w:color w:val="auto"/>
        </w:rPr>
      </w:pPr>
    </w:p>
    <w:p>
      <w:pPr>
        <w:ind w:left="660" w:right="360" w:hanging="647"/>
        <w:spacing w:after="0" w:line="287" w:lineRule="auto"/>
        <w:tabs>
          <w:tab w:leader="none" w:pos="6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21"/>
          <w:szCs w:val="21"/>
          <w:color w:val="auto"/>
        </w:rPr>
        <w:t>Any election of a Director to make a Voluntary Deferral pursuant to this Article VI shall apply to (a) the amount of Base Compensation which is not subject to Mandatory Deferral and (b) Additional Compensation (if any).</w:t>
      </w:r>
    </w:p>
    <w:p>
      <w:pPr>
        <w:spacing w:after="0" w:line="192" w:lineRule="exact"/>
        <w:rPr>
          <w:sz w:val="20"/>
          <w:szCs w:val="20"/>
          <w:color w:val="auto"/>
        </w:rPr>
      </w:pPr>
    </w:p>
    <w:p>
      <w:pPr>
        <w:jc w:val="both"/>
        <w:ind w:left="660" w:right="6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2"/>
          <w:szCs w:val="22"/>
          <w:color w:val="auto"/>
        </w:rPr>
        <w:t>Any election to defer Base Compensation or Additional Compensation pursuant to this Article VI shall be credited annually in Share Units valued under Article VII below to each Participant’s Account on December 31 of the Plan Year in which the compensation was earned.</w:t>
      </w:r>
    </w:p>
    <w:p>
      <w:pPr>
        <w:spacing w:after="0" w:line="226" w:lineRule="exact"/>
        <w:rPr>
          <w:sz w:val="20"/>
          <w:szCs w:val="20"/>
          <w:color w:val="auto"/>
        </w:rPr>
      </w:pPr>
    </w:p>
    <w:p>
      <w:pPr>
        <w:ind w:left="660" w:right="12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22"/>
          <w:szCs w:val="22"/>
          <w:color w:val="auto"/>
        </w:rPr>
        <w:t>A Director may elect to defer his or her Base Compensation or Additional Compensation by giving written notice to the Company on or before December 31 of the Plan Year immediately preceding the Plan Year in which the compensation is to be earned. Such notice will include:</w:t>
      </w:r>
    </w:p>
    <w:p>
      <w:pPr>
        <w:spacing w:after="0" w:line="232" w:lineRule="exact"/>
        <w:rPr>
          <w:sz w:val="20"/>
          <w:szCs w:val="20"/>
          <w:color w:val="auto"/>
        </w:rPr>
      </w:pPr>
    </w:p>
    <w:p>
      <w:pPr>
        <w:ind w:left="980" w:right="180" w:hanging="324"/>
        <w:spacing w:after="0" w:line="343" w:lineRule="auto"/>
        <w:tabs>
          <w:tab w:leader="none" w:pos="9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percentage of any Base Compensation or Additional Compensation to be deferred and credited to the Participant’s Account in the form of Share Units. Each Participant may make an election to defer 50% or 100%; and</w:t>
      </w:r>
    </w:p>
    <w:p>
      <w:pPr>
        <w:spacing w:after="0" w:line="145" w:lineRule="exact"/>
        <w:rPr>
          <w:rFonts w:ascii="Arial" w:cs="Arial" w:eastAsia="Arial" w:hAnsi="Arial"/>
          <w:sz w:val="19"/>
          <w:szCs w:val="19"/>
          <w:color w:val="auto"/>
        </w:rPr>
      </w:pPr>
    </w:p>
    <w:p>
      <w:pPr>
        <w:ind w:left="980" w:right="440" w:hanging="324"/>
        <w:spacing w:after="0" w:line="250" w:lineRule="auto"/>
        <w:tabs>
          <w:tab w:leader="none" w:pos="9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method of distribution, either a lump sum cash payment or a number of annual cash installments (not to exceed five), for the compensation deferred. The method of distribution elected by the Participant shall apply to both a Voluntary Deferral and a Mandatory Deferral. For purposes of Section 409A of the Code, each installment payment shall be treated as a separate and distinct payment.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election shall become irrevocable as of December 31 of the Plan Year of election.</w:t>
      </w:r>
    </w:p>
    <w:p>
      <w:pPr>
        <w:spacing w:after="0" w:line="260" w:lineRule="exact"/>
        <w:rPr>
          <w:sz w:val="20"/>
          <w:szCs w:val="20"/>
          <w:color w:val="auto"/>
        </w:rPr>
      </w:pPr>
    </w:p>
    <w:p>
      <w:pPr>
        <w:ind w:left="660" w:right="20"/>
        <w:spacing w:after="0" w:line="302" w:lineRule="auto"/>
        <w:rPr>
          <w:sz w:val="20"/>
          <w:szCs w:val="20"/>
          <w:color w:val="auto"/>
        </w:rPr>
      </w:pPr>
      <w:r>
        <w:rPr>
          <w:rFonts w:ascii="Arial" w:cs="Arial" w:eastAsia="Arial" w:hAnsi="Arial"/>
          <w:sz w:val="19"/>
          <w:szCs w:val="19"/>
          <w:color w:val="auto"/>
        </w:rPr>
        <w:t>A newly elected Director may elect to defer his or her Base Compensation or Additional Compensation for the remainder of the Plan Year in which he or she joins the Board. Any such election must be made within 30 days following the date of his or her election to the Board and shall be effective with respect to compensation earned on and after the first day of the month next following the date on which such election becomes irrevocable and ending on the next following December 31.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42" w:right="239" w:bottom="1440" w:gutter="0" w:footer="0" w:header="0"/>
        </w:sectPr>
      </w:pPr>
    </w:p>
    <w:bookmarkStart w:id="112" w:name="page113"/>
    <w:bookmarkEnd w:id="112"/>
    <w:p>
      <w:pPr>
        <w:jc w:val="both"/>
        <w:ind w:left="660" w:right="36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22"/>
          <w:szCs w:val="22"/>
          <w:color w:val="auto"/>
        </w:rPr>
        <w:t>The elections made pursuant to Section 6.3 shall be given continuing effect for subsequent Plan Years until a new notice terminating such previous elections or specifying different elections shall be delivered to the Company. Any new notice shall apply only to Base Compensation or Additional Compensation earned in Plan Years subsequent to the Plan Year in which such new notice is delivered and shall become irrevocable as of December 31 of the Plan Year in which such new notice is delivered.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VALUATION OF DEFERRED COMPENSATION ACCOUNTS</w:t>
      </w:r>
    </w:p>
    <w:p>
      <w:pPr>
        <w:spacing w:after="0" w:line="358" w:lineRule="exact"/>
        <w:rPr>
          <w:sz w:val="20"/>
          <w:szCs w:val="20"/>
          <w:color w:val="auto"/>
        </w:rPr>
      </w:pPr>
    </w:p>
    <w:p>
      <w:pPr>
        <w:ind w:left="660" w:right="12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2"/>
          <w:szCs w:val="22"/>
          <w:color w:val="auto"/>
        </w:rPr>
        <w:t xml:space="preserve">Amounts deferred (Mandatory and Voluntary Deferrals) will be converted into Share Units and credited to the Participant’s account annually on December 31 in a number of share units determined by dividing the amount of compensation deferred each Plan Year by the average daily closing market price of Common Stock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for that Plan Year (and prorated as applicable for a Director who has joined, retired or otherwise left the Board during the Plan Year).</w:t>
      </w:r>
    </w:p>
    <w:p>
      <w:pPr>
        <w:spacing w:after="0" w:line="233" w:lineRule="exact"/>
        <w:rPr>
          <w:sz w:val="20"/>
          <w:szCs w:val="20"/>
          <w:color w:val="auto"/>
        </w:rPr>
      </w:pPr>
    </w:p>
    <w:p>
      <w:pPr>
        <w:ind w:left="660" w:right="180" w:hanging="647"/>
        <w:spacing w:after="0" w:line="302" w:lineRule="auto"/>
        <w:tabs>
          <w:tab w:leader="none" w:pos="6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color w:val="auto"/>
        </w:rPr>
        <w:t>Dividend Equivalents, if any, will be converted into Share Units and credited to the Participant’s Account annually on December 31 in an amount equal to the sum of the per share cash dividend of Common Stock multiplied by the number of Share Units in the Participant’s Account on December 31 after giving effect to that Plan Year’s annual credit pursuant to Article 5 and 6 above, and then divided by the Average Market Price of such stock on each dividend payment date.</w:t>
      </w:r>
    </w:p>
    <w:p>
      <w:pPr>
        <w:spacing w:after="0" w:line="183"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2"/>
          <w:szCs w:val="22"/>
          <w:color w:val="auto"/>
        </w:rPr>
        <w:t>Balances in Participant Accounts will continue to accrue Dividend Equivalents, if applicable, until distributed in accordance with provisions of the Plan.</w:t>
      </w:r>
    </w:p>
    <w:p>
      <w:pPr>
        <w:spacing w:after="0" w:line="215" w:lineRule="exact"/>
        <w:rPr>
          <w:sz w:val="20"/>
          <w:szCs w:val="20"/>
          <w:color w:val="auto"/>
        </w:rPr>
      </w:pPr>
    </w:p>
    <w:p>
      <w:pPr>
        <w:jc w:val="both"/>
        <w:ind w:left="660" w:right="36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2"/>
          <w:szCs w:val="22"/>
          <w:color w:val="auto"/>
        </w:rPr>
        <w:t xml:space="preserve">The value of the Account for purposes of distribution to the Participant will be determined by multiplying the number of Share Units credited to the Account by the average daily closing market price of Common Stock as reported in </w:t>
      </w:r>
      <w:r>
        <w:rPr>
          <w:rFonts w:ascii="Arial" w:cs="Arial" w:eastAsia="Arial" w:hAnsi="Arial"/>
          <w:sz w:val="22"/>
          <w:szCs w:val="22"/>
          <w:i w:val="1"/>
          <w:iCs w:val="1"/>
          <w:color w:val="auto"/>
        </w:rPr>
        <w:t>The Wall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Street Journal </w:t>
      </w:r>
      <w:r>
        <w:rPr>
          <w:rFonts w:ascii="Arial" w:cs="Arial" w:eastAsia="Arial" w:hAnsi="Arial"/>
          <w:sz w:val="22"/>
          <w:szCs w:val="22"/>
          <w:color w:val="auto"/>
        </w:rPr>
        <w:t>for the calendar quarter prior to payment.</w:t>
      </w:r>
    </w:p>
    <w:p>
      <w:pPr>
        <w:spacing w:after="0" w:line="226" w:lineRule="exact"/>
        <w:rPr>
          <w:sz w:val="20"/>
          <w:szCs w:val="20"/>
          <w:color w:val="auto"/>
        </w:rPr>
      </w:pPr>
    </w:p>
    <w:p>
      <w:pPr>
        <w:ind w:left="660" w:right="58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22"/>
          <w:szCs w:val="22"/>
          <w:color w:val="auto"/>
        </w:rPr>
        <w:t>As further described in Article X, a Participant will not have any interest in his or her Account until it is distributed in accordance with the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METHOD OF DISTRIBUTION OF DEFERRED COMPENSATION</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color w:val="auto"/>
        </w:rPr>
        <w:t>No distribution of deferred compensation may be made except as provided in this Section.</w:t>
      </w:r>
    </w:p>
    <w:p>
      <w:pPr>
        <w:spacing w:after="0" w:line="260" w:lineRule="exact"/>
        <w:rPr>
          <w:sz w:val="20"/>
          <w:szCs w:val="20"/>
          <w:color w:val="auto"/>
        </w:rPr>
      </w:pPr>
    </w:p>
    <w:p>
      <w:pPr>
        <w:ind w:left="660" w:right="20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22"/>
          <w:szCs w:val="22"/>
          <w:color w:val="auto"/>
        </w:rPr>
        <w:t>Subject to Section 8.4, amounts deferred and credited under this Plan may not be distributed until after the Director’s Separation Date. After the Director’s Separation Date, payment under this Plan will be made in cash, based on the number of Share Units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42" w:right="239" w:bottom="1440" w:gutter="0" w:footer="0" w:header="0"/>
        </w:sectPr>
      </w:pPr>
    </w:p>
    <w:bookmarkStart w:id="113" w:name="page114"/>
    <w:bookmarkEnd w:id="113"/>
    <w:p>
      <w:pPr>
        <w:ind w:left="660" w:right="280"/>
        <w:spacing w:after="0" w:line="247" w:lineRule="auto"/>
        <w:rPr>
          <w:sz w:val="20"/>
          <w:szCs w:val="20"/>
          <w:color w:val="auto"/>
        </w:rPr>
      </w:pPr>
      <w:r>
        <w:rPr>
          <w:rFonts w:ascii="Arial" w:cs="Arial" w:eastAsia="Arial" w:hAnsi="Arial"/>
          <w:sz w:val="21"/>
          <w:szCs w:val="21"/>
          <w:color w:val="auto"/>
        </w:rPr>
        <w:t>in his or her Account, valued at the market price as provided in section 7.4 above. The value of a Participant’s Account is payable in accordance with his or her deferral election as provided in Sections 5.4 and 6.3(b) above.</w:t>
      </w:r>
    </w:p>
    <w:p>
      <w:pPr>
        <w:spacing w:after="0" w:line="213" w:lineRule="exact"/>
        <w:rPr>
          <w:sz w:val="20"/>
          <w:szCs w:val="20"/>
          <w:color w:val="auto"/>
        </w:rPr>
      </w:pPr>
    </w:p>
    <w:p>
      <w:pPr>
        <w:ind w:left="660" w:right="20" w:hanging="647"/>
        <w:spacing w:after="0" w:line="292" w:lineRule="auto"/>
        <w:tabs>
          <w:tab w:leader="none" w:pos="6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color w:val="auto"/>
        </w:rPr>
        <w:t>If annual installments are elected, the amount of the first payment will be a fraction of the value of the Participant’s Account as of December 31 of the Plan Year preceding payment, the numerator of which is one and the denominator of which is the total number of installments elected. The amount of each subsequent payment will be a fraction of the value as of December 31 of the Plan Year preceding each subsequent payment, the numerator of which is one and the denominator of which is the total number of installments elected minus the number of installments previously paid. The distribution of the Participant’s Account will be made on or before March 15 of the Plan Year following the Plan Year of the Participant’s Separation Date, or as soon as practicable, but in no event later than December 31 immediately following such date.</w:t>
      </w:r>
    </w:p>
    <w:p>
      <w:pPr>
        <w:spacing w:after="0" w:line="192" w:lineRule="exact"/>
        <w:rPr>
          <w:sz w:val="20"/>
          <w:szCs w:val="20"/>
          <w:color w:val="auto"/>
        </w:rPr>
      </w:pPr>
    </w:p>
    <w:p>
      <w:pPr>
        <w:ind w:left="660" w:right="140" w:hanging="647"/>
        <w:spacing w:after="0" w:line="290" w:lineRule="auto"/>
        <w:tabs>
          <w:tab w:leader="none" w:pos="6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color w:val="auto"/>
        </w:rPr>
        <w:t>In the event of an Unforeseeable Emergency, a Director may file a written request with the Committee to receive all or any portion of the balance of such Director’s Account in an immediate lump sum cash payment, regardless of prior deferral elections. A Director’s written request for such a payment shall describe the circumstances which the Director believes justify the payment and an estimate of the amount necessary to eliminate the Unforeseeable Emergency. An immediate payment to satisfy an Unforeseeable Emergency will be made only to the extent necessary to satisfy the emergency need, plus an amount necessary to pay any taxes reasonably anticipated as a result of such payment, and will not be made to the extent the need is or may be relieved through reimbursement or compensation, by insurance or otherwise or by liquidation of the Director’s assets (to the extent such liquidation itself would not cause severe financial hardship).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DISTRIBUTION UPON DEATH</w:t>
      </w:r>
    </w:p>
    <w:p>
      <w:pPr>
        <w:spacing w:after="0" w:line="358" w:lineRule="exact"/>
        <w:rPr>
          <w:sz w:val="20"/>
          <w:szCs w:val="20"/>
          <w:color w:val="auto"/>
        </w:rPr>
      </w:pPr>
    </w:p>
    <w:p>
      <w:pPr>
        <w:ind w:left="660" w:right="40" w:hanging="647"/>
        <w:spacing w:after="0" w:line="258" w:lineRule="auto"/>
        <w:tabs>
          <w:tab w:leader="none" w:pos="6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1"/>
          <w:szCs w:val="21"/>
          <w:color w:val="auto"/>
        </w:rPr>
        <w:t>A Participant may designate a Beneficiary or Beneficiaries to receive amounts credited under the Plan in the event of the Participant’s death. A designation of Beneficiary or Beneficiaries shall be on a form prescribed by and filed with the Secretary of the Committee. Each Beneficiary designation shall become effective only when filed with the Secretary of the Committee during the Participant’s lifetime. The filing of a new Beneficiary designation shall cancel all previously filed Beneficiary designations. In the event of the Participant’s death, the unpaid amount reflected in the Participant’s Account will be paid to his or her Beneficiary(ies), or if none has been designated or if all designated Beneficiaries of a Participant predecease the Participant, to his or her estate. Such payment will be made in one lump sum, in cash, on or before March 15 of the Plan Year following the Plan Year of death, or as soon as practicable, but in no event later than December 31 immediately following such date. The value of the Account on the date of payment will be determined in accordance with the provisions of Article VII 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i w:val="1"/>
          <w:i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PARTICIPANT’S RIGHTS UNSECURED</w:t>
      </w:r>
    </w:p>
    <w:p>
      <w:pPr>
        <w:spacing w:after="0" w:line="358" w:lineRule="exact"/>
        <w:rPr>
          <w:sz w:val="20"/>
          <w:szCs w:val="20"/>
          <w:color w:val="auto"/>
        </w:rPr>
      </w:pPr>
    </w:p>
    <w:p>
      <w:pPr>
        <w:ind w:left="660" w:right="80" w:hanging="647"/>
        <w:spacing w:after="0" w:line="247" w:lineRule="auto"/>
        <w:tabs>
          <w:tab w:leader="none" w:pos="6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22"/>
          <w:szCs w:val="22"/>
          <w:color w:val="auto"/>
        </w:rPr>
        <w:t>A Participant shall not acquire any property interest in his or her Account or any other assets of the Company on account of participation in the Plan. A Participant’s rights shall be limited to receiving from the Company the payments provided for and pursuant to the Plan. All amounts accumulated and deferred under the Plan shall remain the sole property of the Company, subject to the claims of its general creditors. The Plan is unfunded and a Participant’s right shall be no greater than the right of a general unsecured creditor of the Company, to the extent such Participant acquires a right to receive payments from the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NON-ASSIGNABILITY</w:t>
      </w:r>
    </w:p>
    <w:p>
      <w:pPr>
        <w:spacing w:after="0" w:line="358" w:lineRule="exact"/>
        <w:rPr>
          <w:sz w:val="20"/>
          <w:szCs w:val="20"/>
          <w:color w:val="auto"/>
        </w:rPr>
      </w:pPr>
    </w:p>
    <w:p>
      <w:pPr>
        <w:jc w:val="both"/>
        <w:ind w:left="660" w:right="440" w:hanging="647"/>
        <w:spacing w:after="0" w:line="312" w:lineRule="auto"/>
        <w:tabs>
          <w:tab w:leader="none" w:pos="6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The right of a Participant or Beneficiary to the payment of deferred compensation as provided in this Plan shall not be assigned, transferred, pledged or encumbered or be subject in any manner to alienation or anticipation. Any attempt to assign, transfer, pledge or otherwise encumber any such benefits, whether currently or thereafter payable, shall be void.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 OF ACCOUNTS</w:t>
      </w: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Account statements shall be sent to each Participant as soon as practicable following the close of each Plan Year.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BUSINESS DAYS</w:t>
      </w:r>
    </w:p>
    <w:p>
      <w:pPr>
        <w:spacing w:after="0" w:line="358" w:lineRule="exact"/>
        <w:rPr>
          <w:sz w:val="20"/>
          <w:szCs w:val="20"/>
          <w:color w:val="auto"/>
        </w:rPr>
      </w:pPr>
    </w:p>
    <w:p>
      <w:pPr>
        <w:jc w:val="both"/>
        <w:ind w:left="660" w:right="64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2"/>
          <w:szCs w:val="22"/>
          <w:color w:val="auto"/>
        </w:rPr>
        <w:t>If any date specified herein falls on a Saturday, Sunday or legal holiday such date shall be deemed to refer to the next business day after that date unless such date is December 31, in which case such date shall be deemed to refer to the immediately prior business day.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XIV</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PROVISIONS</w:t>
      </w:r>
    </w:p>
    <w:p>
      <w:pPr>
        <w:spacing w:after="0" w:line="65" w:lineRule="exact"/>
        <w:rPr>
          <w:sz w:val="20"/>
          <w:szCs w:val="20"/>
          <w:color w:val="auto"/>
        </w:rPr>
      </w:pPr>
    </w:p>
    <w:p>
      <w:pPr>
        <w:ind w:left="660" w:right="4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22"/>
          <w:szCs w:val="22"/>
          <w:color w:val="auto"/>
        </w:rPr>
        <w:t>This Plan may at any time be amended, modified or terminated by the Committee to comport with applicable changes in the Code, or the Employee Retirement Income Security Act of 1974, as amended (“ERISA”), or the rules or regulations promulgated thereunder. In addition, the Committee may, in its sole discretion, modify the terms and conditions of the Plan in response to and consistent with any changes in other applicable law, rule or regulation. The Committee also reserves the right to modify the Plan from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48" w:right="239" w:bottom="1440" w:gutter="0" w:footer="0" w:header="0"/>
        </w:sectPr>
      </w:pPr>
    </w:p>
    <w:bookmarkStart w:id="115" w:name="page116"/>
    <w:bookmarkEnd w:id="115"/>
    <w:p>
      <w:pPr>
        <w:ind w:left="660" w:right="20"/>
        <w:spacing w:after="0" w:line="223" w:lineRule="auto"/>
        <w:rPr>
          <w:sz w:val="20"/>
          <w:szCs w:val="20"/>
          <w:color w:val="auto"/>
        </w:rPr>
      </w:pPr>
      <w:r>
        <w:rPr>
          <w:rFonts w:ascii="Arial" w:cs="Arial" w:eastAsia="Arial" w:hAnsi="Arial"/>
          <w:sz w:val="22"/>
          <w:szCs w:val="22"/>
          <w:color w:val="auto"/>
        </w:rPr>
        <w:t>time to time, or to terminate the Plan entirely; provided, however, that no modification of the Plan, except for such modifications as may be required by law, rule or regulation, will operate to annul an election already in effect for the current Plan Year or any preceding Plan Year.</w:t>
      </w:r>
    </w:p>
    <w:p>
      <w:pPr>
        <w:spacing w:after="0" w:line="221" w:lineRule="exact"/>
        <w:rPr>
          <w:sz w:val="20"/>
          <w:szCs w:val="20"/>
          <w:color w:val="auto"/>
        </w:rPr>
      </w:pPr>
    </w:p>
    <w:p>
      <w:pPr>
        <w:ind w:left="660" w:right="20" w:hanging="647"/>
        <w:spacing w:after="0" w:line="297" w:lineRule="auto"/>
        <w:tabs>
          <w:tab w:leader="none" w:pos="6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It is the Company’s intent that the Plan complies in all respects with Rule 16b-3 of the Securities Exchange Act of 1934 (the “Exchange Act”), or its successor, and any regulations promulgated thereunder. If any provision of the Plan is found not to be in compliance with such Rule and such regulations, the provision will be deemed null and void, and the remaining provisions of the Plan will continue in full force and effect. All transactions under this Plan will be executed in accordance with the requirements of Section 16 of the Exchange Act and regulations promulgated thereunder.</w:t>
      </w:r>
    </w:p>
    <w:p>
      <w:pPr>
        <w:spacing w:after="0" w:line="188" w:lineRule="exact"/>
        <w:rPr>
          <w:sz w:val="20"/>
          <w:szCs w:val="20"/>
          <w:color w:val="auto"/>
        </w:rPr>
      </w:pPr>
    </w:p>
    <w:p>
      <w:pPr>
        <w:ind w:left="660" w:right="6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22"/>
          <w:szCs w:val="22"/>
          <w:color w:val="auto"/>
        </w:rPr>
        <w:t>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the number of Share Units credited to each Account under the Plan shall be appropriately adjusted by the Committee. The decision of the Committee regarding any such adjustment shall be final, binding and conclusive.</w:t>
      </w:r>
    </w:p>
    <w:p>
      <w:pPr>
        <w:spacing w:after="0" w:line="233" w:lineRule="exact"/>
        <w:rPr>
          <w:sz w:val="20"/>
          <w:szCs w:val="20"/>
          <w:color w:val="auto"/>
        </w:rPr>
      </w:pPr>
    </w:p>
    <w:p>
      <w:pPr>
        <w:ind w:left="660" w:right="60" w:hanging="647"/>
        <w:spacing w:after="0" w:line="260" w:lineRule="auto"/>
        <w:tabs>
          <w:tab w:leader="none" w:pos="64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21"/>
          <w:szCs w:val="21"/>
          <w:color w:val="auto"/>
        </w:rPr>
        <w:t>The Plan is intended to comply with the applicable requirements of Section 409A of the Code and shall be limited, construed, administered, and interpreted in accordance with such intent. The Committee shall have the discretion and authority to amend the Plan at any time to satisfy any requirements of Section 409A of the Code or guidance provided by the U.S. Treasury Department to the extent applicable to the Plan. In no event shall the Company or any of its affiliates be liable for any additional tax, interest or penalties that may be imposed on a Participant by Section 409A of the Code or any damages for failing to comply with Section 409A of the Code, other than any obligations applicable to the Company, if any, under Section 409A of the Code.</w:t>
      </w:r>
    </w:p>
    <w:p>
      <w:pPr>
        <w:spacing w:after="0" w:line="222"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21"/>
          <w:szCs w:val="21"/>
          <w:color w:val="auto"/>
        </w:rPr>
        <w:t>The laws of the State of Delaware shall control the interpretation and performance of the terms of the Plan. If any provision of the Plan is held to be illegal or invalid for any reason, such determination will not affect the remaining provisions of the Plan and the Plan will be construed and enforced as if such illegal or invalid provision had never been included. The Plan is not intended to qualify under Section 401(a) of the Code or ERISA. The Company makes no guarantee with respect to the tax treatment of payments and benefits under the Plan.</w:t>
      </w:r>
    </w:p>
    <w:p>
      <w:pPr>
        <w:spacing w:after="0" w:line="216" w:lineRule="exact"/>
        <w:rPr>
          <w:sz w:val="20"/>
          <w:szCs w:val="20"/>
          <w:color w:val="auto"/>
        </w:rPr>
      </w:pPr>
    </w:p>
    <w:p>
      <w:pPr>
        <w:ind w:left="660" w:right="58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22"/>
          <w:szCs w:val="22"/>
          <w:color w:val="auto"/>
        </w:rPr>
        <w:t>The establishment of this Plan shall not be construed to give a Director any right to be retained on the Board or to any benefits not specifically provided by the Plan.</w:t>
      </w:r>
    </w:p>
    <w:p>
      <w:pPr>
        <w:spacing w:after="0" w:line="221" w:lineRule="exact"/>
        <w:rPr>
          <w:sz w:val="20"/>
          <w:szCs w:val="20"/>
          <w:color w:val="auto"/>
        </w:rPr>
      </w:pPr>
    </w:p>
    <w:p>
      <w:pPr>
        <w:ind w:left="6960"/>
        <w:spacing w:after="0"/>
        <w:tabs>
          <w:tab w:leader="none" w:pos="7260" w:val="left"/>
          <w:tab w:leader="none" w:pos="75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October 5, 2010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Amended and Restated December 9, 2019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10.28</w:t>
      </w: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December 18, 2019</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SHARES REPRESENTED BY THIS FIFTH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OF THE SHARES REPRESENTED BY THIS FIFTH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420"/>
          </w:cols>
          <w:pgMar w:left="240" w:top="499" w:right="239" w:bottom="1440" w:gutter="0" w:footer="0" w:header="0"/>
        </w:sectPr>
      </w:pPr>
    </w:p>
    <w:bookmarkStart w:id="117" w:name="page118"/>
    <w:bookmarkEnd w:id="117"/>
    <w:tbl>
      <w:tblPr>
        <w:tblLayout w:type="fixed"/>
        <w:tblInd w:w="32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6020" w:type="dxa"/>
            <w:vAlign w:val="bottom"/>
          </w:tcPr>
          <w:p>
            <w:pPr>
              <w:ind w:left="1660"/>
              <w:spacing w:after="0"/>
              <w:rPr>
                <w:sz w:val="20"/>
                <w:szCs w:val="20"/>
                <w:color w:val="auto"/>
              </w:rPr>
            </w:pPr>
            <w:r>
              <w:rPr>
                <w:rFonts w:ascii="Arial" w:cs="Arial" w:eastAsia="Arial" w:hAnsi="Arial"/>
                <w:sz w:val="22"/>
                <w:szCs w:val="22"/>
                <w:b w:val="1"/>
                <w:bCs w:val="1"/>
                <w:color w:val="auto"/>
              </w:rPr>
              <w:t>TABLE OF CONTENTS</w:t>
            </w:r>
          </w:p>
        </w:tc>
        <w:tc>
          <w:tcPr>
            <w:tcW w:w="920" w:type="dxa"/>
            <w:vAlign w:val="bottom"/>
          </w:tcPr>
          <w:p>
            <w:pPr>
              <w:spacing w:after="0"/>
              <w:rPr>
                <w:sz w:val="24"/>
                <w:szCs w:val="24"/>
                <w:color w:val="auto"/>
              </w:rPr>
            </w:pPr>
          </w:p>
        </w:tc>
      </w:tr>
      <w:tr>
        <w:trPr>
          <w:trHeight w:val="851"/>
        </w:trPr>
        <w:tc>
          <w:tcPr>
            <w:tcW w:w="1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7400" w:type="dxa"/>
            <w:vAlign w:val="bottom"/>
            <w:gridSpan w:val="2"/>
          </w:tcPr>
          <w:p>
            <w:pPr>
              <w:spacing w:after="0"/>
              <w:rPr>
                <w:sz w:val="20"/>
                <w:szCs w:val="20"/>
                <w:color w:val="auto"/>
              </w:rPr>
            </w:pPr>
            <w:r>
              <w:rPr>
                <w:rFonts w:ascii="Arial" w:cs="Arial" w:eastAsia="Arial" w:hAnsi="Arial"/>
                <w:sz w:val="22"/>
                <w:szCs w:val="22"/>
                <w:color w:val="auto"/>
              </w:rPr>
              <w:t>ARTICLE I ORGANIZATIONAL MATTERS AND CERTAIN DEFINITIONS</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1.01</w:t>
            </w:r>
          </w:p>
        </w:tc>
        <w:tc>
          <w:tcPr>
            <w:tcW w:w="6020" w:type="dxa"/>
            <w:vAlign w:val="bottom"/>
          </w:tcPr>
          <w:p>
            <w:pPr>
              <w:ind w:left="40"/>
              <w:spacing w:after="0"/>
              <w:rPr>
                <w:sz w:val="20"/>
                <w:szCs w:val="20"/>
                <w:color w:val="auto"/>
              </w:rPr>
            </w:pPr>
            <w:r>
              <w:rPr>
                <w:rFonts w:ascii="Arial" w:cs="Arial" w:eastAsia="Arial" w:hAnsi="Arial"/>
                <w:sz w:val="22"/>
                <w:szCs w:val="22"/>
                <w:color w:val="auto"/>
              </w:rPr>
              <w:t>Organization of Company</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1.02</w:t>
            </w:r>
          </w:p>
        </w:tc>
        <w:tc>
          <w:tcPr>
            <w:tcW w:w="6020" w:type="dxa"/>
            <w:vAlign w:val="bottom"/>
          </w:tcPr>
          <w:p>
            <w:pPr>
              <w:ind w:left="40"/>
              <w:spacing w:after="0"/>
              <w:rPr>
                <w:sz w:val="20"/>
                <w:szCs w:val="20"/>
                <w:color w:val="auto"/>
              </w:rPr>
            </w:pPr>
            <w:r>
              <w:rPr>
                <w:rFonts w:ascii="Arial" w:cs="Arial" w:eastAsia="Arial" w:hAnsi="Arial"/>
                <w:sz w:val="22"/>
                <w:szCs w:val="22"/>
                <w:color w:val="auto"/>
              </w:rPr>
              <w:t>Legal Status</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1.03</w:t>
            </w:r>
          </w:p>
        </w:tc>
        <w:tc>
          <w:tcPr>
            <w:tcW w:w="6020" w:type="dxa"/>
            <w:vAlign w:val="bottom"/>
          </w:tcPr>
          <w:p>
            <w:pPr>
              <w:ind w:left="40"/>
              <w:spacing w:after="0"/>
              <w:rPr>
                <w:sz w:val="20"/>
                <w:szCs w:val="20"/>
                <w:color w:val="auto"/>
              </w:rPr>
            </w:pPr>
            <w:r>
              <w:rPr>
                <w:rFonts w:ascii="Arial" w:cs="Arial" w:eastAsia="Arial" w:hAnsi="Arial"/>
                <w:sz w:val="22"/>
                <w:szCs w:val="22"/>
                <w:color w:val="auto"/>
              </w:rPr>
              <w:t>Name</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1.04</w:t>
            </w:r>
          </w:p>
        </w:tc>
        <w:tc>
          <w:tcPr>
            <w:tcW w:w="6020" w:type="dxa"/>
            <w:vAlign w:val="bottom"/>
          </w:tcPr>
          <w:p>
            <w:pPr>
              <w:ind w:left="40"/>
              <w:spacing w:after="0"/>
              <w:rPr>
                <w:sz w:val="20"/>
                <w:szCs w:val="20"/>
                <w:color w:val="auto"/>
              </w:rPr>
            </w:pPr>
            <w:r>
              <w:rPr>
                <w:rFonts w:ascii="Arial" w:cs="Arial" w:eastAsia="Arial" w:hAnsi="Arial"/>
                <w:sz w:val="22"/>
                <w:szCs w:val="22"/>
                <w:color w:val="auto"/>
              </w:rPr>
              <w:t>Registered Office and Registered Agent; Principal Office</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1.05</w:t>
            </w:r>
          </w:p>
        </w:tc>
        <w:tc>
          <w:tcPr>
            <w:tcW w:w="6020" w:type="dxa"/>
            <w:vAlign w:val="bottom"/>
          </w:tcPr>
          <w:p>
            <w:pPr>
              <w:ind w:left="40"/>
              <w:spacing w:after="0"/>
              <w:rPr>
                <w:sz w:val="20"/>
                <w:szCs w:val="20"/>
                <w:color w:val="auto"/>
              </w:rPr>
            </w:pPr>
            <w:r>
              <w:rPr>
                <w:rFonts w:ascii="Arial" w:cs="Arial" w:eastAsia="Arial" w:hAnsi="Arial"/>
                <w:sz w:val="22"/>
                <w:szCs w:val="22"/>
                <w:color w:val="auto"/>
              </w:rPr>
              <w:t>Purpose</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1.06</w:t>
            </w:r>
          </w:p>
        </w:tc>
        <w:tc>
          <w:tcPr>
            <w:tcW w:w="6020" w:type="dxa"/>
            <w:vAlign w:val="bottom"/>
          </w:tcPr>
          <w:p>
            <w:pPr>
              <w:ind w:left="40"/>
              <w:spacing w:after="0"/>
              <w:rPr>
                <w:sz w:val="20"/>
                <w:szCs w:val="20"/>
                <w:color w:val="auto"/>
              </w:rPr>
            </w:pPr>
            <w:r>
              <w:rPr>
                <w:rFonts w:ascii="Arial" w:cs="Arial" w:eastAsia="Arial" w:hAnsi="Arial"/>
                <w:sz w:val="22"/>
                <w:szCs w:val="22"/>
                <w:color w:val="auto"/>
              </w:rPr>
              <w:t>Term</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1.07</w:t>
            </w:r>
          </w:p>
        </w:tc>
        <w:tc>
          <w:tcPr>
            <w:tcW w:w="6020" w:type="dxa"/>
            <w:vAlign w:val="bottom"/>
          </w:tcPr>
          <w:p>
            <w:pPr>
              <w:ind w:left="40"/>
              <w:spacing w:after="0"/>
              <w:rPr>
                <w:sz w:val="20"/>
                <w:szCs w:val="20"/>
                <w:color w:val="auto"/>
              </w:rPr>
            </w:pPr>
            <w:r>
              <w:rPr>
                <w:rFonts w:ascii="Arial" w:cs="Arial" w:eastAsia="Arial" w:hAnsi="Arial"/>
                <w:sz w:val="22"/>
                <w:szCs w:val="22"/>
                <w:color w:val="auto"/>
              </w:rPr>
              <w:t>Certain Definitions</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1.08</w:t>
            </w:r>
          </w:p>
        </w:tc>
        <w:tc>
          <w:tcPr>
            <w:tcW w:w="6020" w:type="dxa"/>
            <w:vAlign w:val="bottom"/>
          </w:tcPr>
          <w:p>
            <w:pPr>
              <w:ind w:left="40"/>
              <w:spacing w:after="0" w:line="253" w:lineRule="exact"/>
              <w:rPr>
                <w:sz w:val="20"/>
                <w:szCs w:val="20"/>
                <w:color w:val="auto"/>
              </w:rPr>
            </w:pPr>
            <w:r>
              <w:rPr>
                <w:rFonts w:ascii="Arial" w:cs="Arial" w:eastAsia="Arial" w:hAnsi="Arial"/>
                <w:sz w:val="22"/>
                <w:szCs w:val="22"/>
                <w:color w:val="auto"/>
              </w:rPr>
              <w:t>No State</w:t>
            </w:r>
            <w:r>
              <w:rPr>
                <w:rFonts w:ascii="MS PGothic" w:cs="MS PGothic" w:eastAsia="MS PGothic" w:hAnsi="MS PGothic"/>
                <w:sz w:val="22"/>
                <w:szCs w:val="22"/>
                <w:color w:val="auto"/>
              </w:rPr>
              <w:t>‑</w:t>
            </w:r>
            <w:r>
              <w:rPr>
                <w:rFonts w:ascii="Arial" w:cs="Arial" w:eastAsia="Arial" w:hAnsi="Arial"/>
                <w:sz w:val="22"/>
                <w:szCs w:val="22"/>
                <w:color w:val="auto"/>
              </w:rPr>
              <w:t>Law Partnership</w:t>
            </w:r>
          </w:p>
        </w:tc>
        <w:tc>
          <w:tcPr>
            <w:tcW w:w="9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1.09</w:t>
            </w:r>
          </w:p>
        </w:tc>
        <w:tc>
          <w:tcPr>
            <w:tcW w:w="6020" w:type="dxa"/>
            <w:vAlign w:val="bottom"/>
          </w:tcPr>
          <w:p>
            <w:pPr>
              <w:ind w:left="40"/>
              <w:spacing w:after="0"/>
              <w:rPr>
                <w:sz w:val="20"/>
                <w:szCs w:val="20"/>
                <w:color w:val="auto"/>
              </w:rPr>
            </w:pPr>
            <w:r>
              <w:rPr>
                <w:rFonts w:ascii="Arial" w:cs="Arial" w:eastAsia="Arial" w:hAnsi="Arial"/>
                <w:sz w:val="22"/>
                <w:szCs w:val="22"/>
                <w:color w:val="auto"/>
              </w:rPr>
              <w:t>Limited Liability Company Agreement</w:t>
            </w:r>
          </w:p>
        </w:tc>
        <w:tc>
          <w:tcPr>
            <w:tcW w:w="9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7400" w:type="dxa"/>
            <w:vAlign w:val="bottom"/>
            <w:gridSpan w:val="2"/>
          </w:tcPr>
          <w:p>
            <w:pPr>
              <w:spacing w:after="0"/>
              <w:rPr>
                <w:sz w:val="20"/>
                <w:szCs w:val="20"/>
                <w:color w:val="auto"/>
              </w:rPr>
            </w:pPr>
            <w:r>
              <w:rPr>
                <w:rFonts w:ascii="Arial" w:cs="Arial" w:eastAsia="Arial" w:hAnsi="Arial"/>
                <w:sz w:val="22"/>
                <w:szCs w:val="22"/>
                <w:color w:val="auto"/>
              </w:rPr>
              <w:t>ARTICLE II CAPITAL CONTRIBUTIONS; ISSUANCES OF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2.01</w:t>
            </w:r>
          </w:p>
        </w:tc>
        <w:tc>
          <w:tcPr>
            <w:tcW w:w="6020" w:type="dxa"/>
            <w:vAlign w:val="bottom"/>
          </w:tcPr>
          <w:p>
            <w:pPr>
              <w:ind w:left="40"/>
              <w:spacing w:after="0"/>
              <w:rPr>
                <w:sz w:val="20"/>
                <w:szCs w:val="20"/>
                <w:color w:val="auto"/>
              </w:rPr>
            </w:pPr>
            <w:r>
              <w:rPr>
                <w:rFonts w:ascii="Arial" w:cs="Arial" w:eastAsia="Arial" w:hAnsi="Arial"/>
                <w:sz w:val="22"/>
                <w:szCs w:val="22"/>
                <w:color w:val="auto"/>
              </w:rPr>
              <w:t>Shares Generally</w:t>
            </w:r>
          </w:p>
        </w:tc>
        <w:tc>
          <w:tcPr>
            <w:tcW w:w="9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2.02</w:t>
            </w:r>
          </w:p>
        </w:tc>
        <w:tc>
          <w:tcPr>
            <w:tcW w:w="6020" w:type="dxa"/>
            <w:vAlign w:val="bottom"/>
          </w:tcPr>
          <w:p>
            <w:pPr>
              <w:ind w:left="40"/>
              <w:spacing w:after="0"/>
              <w:rPr>
                <w:sz w:val="20"/>
                <w:szCs w:val="20"/>
                <w:color w:val="auto"/>
              </w:rPr>
            </w:pPr>
            <w:r>
              <w:rPr>
                <w:rFonts w:ascii="Arial" w:cs="Arial" w:eastAsia="Arial" w:hAnsi="Arial"/>
                <w:sz w:val="22"/>
                <w:szCs w:val="22"/>
                <w:color w:val="auto"/>
              </w:rPr>
              <w:t>Class A Preferred Shares; Class C Common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2.03</w:t>
            </w:r>
          </w:p>
        </w:tc>
        <w:tc>
          <w:tcPr>
            <w:tcW w:w="6020" w:type="dxa"/>
            <w:vAlign w:val="bottom"/>
          </w:tcPr>
          <w:p>
            <w:pPr>
              <w:ind w:left="40"/>
              <w:spacing w:after="0"/>
              <w:rPr>
                <w:sz w:val="20"/>
                <w:szCs w:val="20"/>
                <w:color w:val="auto"/>
              </w:rPr>
            </w:pPr>
            <w:r>
              <w:rPr>
                <w:rFonts w:ascii="Arial" w:cs="Arial" w:eastAsia="Arial" w:hAnsi="Arial"/>
                <w:sz w:val="22"/>
                <w:szCs w:val="22"/>
                <w:color w:val="auto"/>
              </w:rPr>
              <w:t>Class B Common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2.04</w:t>
            </w:r>
          </w:p>
        </w:tc>
        <w:tc>
          <w:tcPr>
            <w:tcW w:w="6020" w:type="dxa"/>
            <w:vAlign w:val="bottom"/>
          </w:tcPr>
          <w:p>
            <w:pPr>
              <w:ind w:left="40"/>
              <w:spacing w:after="0"/>
              <w:rPr>
                <w:sz w:val="20"/>
                <w:szCs w:val="20"/>
                <w:color w:val="auto"/>
              </w:rPr>
            </w:pPr>
            <w:r>
              <w:rPr>
                <w:rFonts w:ascii="Arial" w:cs="Arial" w:eastAsia="Arial" w:hAnsi="Arial"/>
                <w:sz w:val="22"/>
                <w:szCs w:val="22"/>
                <w:color w:val="auto"/>
              </w:rPr>
              <w:t>Additional Classes of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2.05</w:t>
            </w:r>
          </w:p>
        </w:tc>
        <w:tc>
          <w:tcPr>
            <w:tcW w:w="6020" w:type="dxa"/>
            <w:vAlign w:val="bottom"/>
          </w:tcPr>
          <w:p>
            <w:pPr>
              <w:ind w:left="40"/>
              <w:spacing w:after="0"/>
              <w:rPr>
                <w:sz w:val="20"/>
                <w:szCs w:val="20"/>
                <w:color w:val="auto"/>
              </w:rPr>
            </w:pPr>
            <w:r>
              <w:rPr>
                <w:rFonts w:ascii="Arial" w:cs="Arial" w:eastAsia="Arial" w:hAnsi="Arial"/>
                <w:sz w:val="22"/>
                <w:szCs w:val="22"/>
                <w:color w:val="auto"/>
              </w:rPr>
              <w:t>Other Contributions</w:t>
            </w:r>
          </w:p>
        </w:tc>
        <w:tc>
          <w:tcPr>
            <w:tcW w:w="9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2.06</w:t>
            </w:r>
          </w:p>
        </w:tc>
        <w:tc>
          <w:tcPr>
            <w:tcW w:w="6020" w:type="dxa"/>
            <w:vAlign w:val="bottom"/>
          </w:tcPr>
          <w:p>
            <w:pPr>
              <w:ind w:left="40"/>
              <w:spacing w:after="0"/>
              <w:rPr>
                <w:sz w:val="20"/>
                <w:szCs w:val="20"/>
                <w:color w:val="auto"/>
              </w:rPr>
            </w:pPr>
            <w:r>
              <w:rPr>
                <w:rFonts w:ascii="Arial" w:cs="Arial" w:eastAsia="Arial" w:hAnsi="Arial"/>
                <w:sz w:val="22"/>
                <w:szCs w:val="22"/>
                <w:color w:val="auto"/>
              </w:rPr>
              <w:t>Issuances of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2.07</w:t>
            </w:r>
          </w:p>
        </w:tc>
        <w:tc>
          <w:tcPr>
            <w:tcW w:w="6020" w:type="dxa"/>
            <w:vAlign w:val="bottom"/>
          </w:tcPr>
          <w:p>
            <w:pPr>
              <w:ind w:left="40"/>
              <w:spacing w:after="0"/>
              <w:rPr>
                <w:sz w:val="20"/>
                <w:szCs w:val="20"/>
                <w:color w:val="auto"/>
              </w:rPr>
            </w:pPr>
            <w:r>
              <w:rPr>
                <w:rFonts w:ascii="Arial" w:cs="Arial" w:eastAsia="Arial" w:hAnsi="Arial"/>
                <w:sz w:val="22"/>
                <w:szCs w:val="22"/>
                <w:color w:val="auto"/>
              </w:rPr>
              <w:t>Preemptive Rights</w:t>
            </w:r>
          </w:p>
        </w:tc>
        <w:tc>
          <w:tcPr>
            <w:tcW w:w="9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2.08</w:t>
            </w:r>
          </w:p>
        </w:tc>
        <w:tc>
          <w:tcPr>
            <w:tcW w:w="6020" w:type="dxa"/>
            <w:vAlign w:val="bottom"/>
          </w:tcPr>
          <w:p>
            <w:pPr>
              <w:ind w:left="40"/>
              <w:spacing w:after="0"/>
              <w:rPr>
                <w:sz w:val="20"/>
                <w:szCs w:val="20"/>
                <w:color w:val="auto"/>
              </w:rPr>
            </w:pPr>
            <w:r>
              <w:rPr>
                <w:rFonts w:ascii="Arial" w:cs="Arial" w:eastAsia="Arial" w:hAnsi="Arial"/>
                <w:sz w:val="22"/>
                <w:szCs w:val="22"/>
                <w:color w:val="auto"/>
              </w:rPr>
              <w:t>Certificates</w:t>
            </w:r>
          </w:p>
        </w:tc>
        <w:tc>
          <w:tcPr>
            <w:tcW w:w="9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2.09</w:t>
            </w:r>
          </w:p>
        </w:tc>
        <w:tc>
          <w:tcPr>
            <w:tcW w:w="6020" w:type="dxa"/>
            <w:vAlign w:val="bottom"/>
          </w:tcPr>
          <w:p>
            <w:pPr>
              <w:ind w:left="40"/>
              <w:spacing w:after="0"/>
              <w:rPr>
                <w:sz w:val="20"/>
                <w:szCs w:val="20"/>
                <w:color w:val="auto"/>
              </w:rPr>
            </w:pPr>
            <w:r>
              <w:rPr>
                <w:rFonts w:ascii="Arial" w:cs="Arial" w:eastAsia="Arial" w:hAnsi="Arial"/>
                <w:sz w:val="22"/>
                <w:szCs w:val="22"/>
                <w:color w:val="auto"/>
              </w:rPr>
              <w:t>Repurchase Rights</w:t>
            </w:r>
          </w:p>
        </w:tc>
        <w:tc>
          <w:tcPr>
            <w:tcW w:w="9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2.10</w:t>
            </w:r>
          </w:p>
        </w:tc>
        <w:tc>
          <w:tcPr>
            <w:tcW w:w="6020" w:type="dxa"/>
            <w:vAlign w:val="bottom"/>
          </w:tcPr>
          <w:p>
            <w:pPr>
              <w:ind w:left="40"/>
              <w:spacing w:after="0"/>
              <w:rPr>
                <w:sz w:val="20"/>
                <w:szCs w:val="20"/>
                <w:color w:val="auto"/>
              </w:rPr>
            </w:pPr>
            <w:r>
              <w:rPr>
                <w:rFonts w:ascii="Arial" w:cs="Arial" w:eastAsia="Arial" w:hAnsi="Arial"/>
                <w:sz w:val="22"/>
                <w:szCs w:val="22"/>
                <w:color w:val="auto"/>
              </w:rPr>
              <w:t>Optional A-1 Conversion</w:t>
            </w:r>
          </w:p>
        </w:tc>
        <w:tc>
          <w:tcPr>
            <w:tcW w:w="9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2.11</w:t>
            </w:r>
          </w:p>
        </w:tc>
        <w:tc>
          <w:tcPr>
            <w:tcW w:w="6020" w:type="dxa"/>
            <w:vAlign w:val="bottom"/>
          </w:tcPr>
          <w:p>
            <w:pPr>
              <w:ind w:left="40"/>
              <w:spacing w:after="0"/>
              <w:rPr>
                <w:sz w:val="20"/>
                <w:szCs w:val="20"/>
                <w:color w:val="auto"/>
              </w:rPr>
            </w:pPr>
            <w:r>
              <w:rPr>
                <w:rFonts w:ascii="Arial" w:cs="Arial" w:eastAsia="Arial" w:hAnsi="Arial"/>
                <w:sz w:val="22"/>
                <w:szCs w:val="22"/>
                <w:color w:val="auto"/>
              </w:rPr>
              <w:t>Optional A-2 Conversion</w:t>
            </w:r>
          </w:p>
        </w:tc>
        <w:tc>
          <w:tcPr>
            <w:tcW w:w="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7400" w:type="dxa"/>
            <w:vAlign w:val="bottom"/>
            <w:gridSpan w:val="2"/>
          </w:tcPr>
          <w:p>
            <w:pPr>
              <w:spacing w:after="0"/>
              <w:rPr>
                <w:sz w:val="20"/>
                <w:szCs w:val="20"/>
                <w:color w:val="auto"/>
              </w:rPr>
            </w:pPr>
            <w:r>
              <w:rPr>
                <w:rFonts w:ascii="Arial" w:cs="Arial" w:eastAsia="Arial" w:hAnsi="Arial"/>
                <w:sz w:val="22"/>
                <w:szCs w:val="22"/>
                <w:color w:val="auto"/>
              </w:rPr>
              <w:t>ARTICLE III DISTRIBUTIONS</w:t>
            </w:r>
          </w:p>
        </w:tc>
        <w:tc>
          <w:tcPr>
            <w:tcW w:w="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3.01</w:t>
            </w:r>
          </w:p>
        </w:tc>
        <w:tc>
          <w:tcPr>
            <w:tcW w:w="6020" w:type="dxa"/>
            <w:vAlign w:val="bottom"/>
          </w:tcPr>
          <w:p>
            <w:pPr>
              <w:ind w:left="40"/>
              <w:spacing w:after="0"/>
              <w:rPr>
                <w:sz w:val="20"/>
                <w:szCs w:val="20"/>
                <w:color w:val="auto"/>
              </w:rPr>
            </w:pPr>
            <w:r>
              <w:rPr>
                <w:rFonts w:ascii="Arial" w:cs="Arial" w:eastAsia="Arial" w:hAnsi="Arial"/>
                <w:sz w:val="22"/>
                <w:szCs w:val="22"/>
                <w:color w:val="auto"/>
              </w:rPr>
              <w:t>Distributions</w:t>
            </w:r>
          </w:p>
        </w:tc>
        <w:tc>
          <w:tcPr>
            <w:tcW w:w="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3.02</w:t>
            </w:r>
          </w:p>
        </w:tc>
        <w:tc>
          <w:tcPr>
            <w:tcW w:w="6020" w:type="dxa"/>
            <w:vAlign w:val="bottom"/>
          </w:tcPr>
          <w:p>
            <w:pPr>
              <w:ind w:left="40"/>
              <w:spacing w:after="0"/>
              <w:rPr>
                <w:sz w:val="20"/>
                <w:szCs w:val="20"/>
                <w:color w:val="auto"/>
              </w:rPr>
            </w:pPr>
            <w:r>
              <w:rPr>
                <w:rFonts w:ascii="Arial" w:cs="Arial" w:eastAsia="Arial" w:hAnsi="Arial"/>
                <w:sz w:val="22"/>
                <w:szCs w:val="22"/>
                <w:color w:val="auto"/>
                <w:w w:val="99"/>
              </w:rPr>
              <w:t>Distributions Upon Liquidation or a Deemed Liquidation Event</w:t>
            </w:r>
          </w:p>
        </w:tc>
        <w:tc>
          <w:tcPr>
            <w:tcW w:w="9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3.03</w:t>
            </w:r>
          </w:p>
        </w:tc>
        <w:tc>
          <w:tcPr>
            <w:tcW w:w="6020" w:type="dxa"/>
            <w:vAlign w:val="bottom"/>
          </w:tcPr>
          <w:p>
            <w:pPr>
              <w:ind w:left="40"/>
              <w:spacing w:after="0"/>
              <w:rPr>
                <w:sz w:val="20"/>
                <w:szCs w:val="20"/>
                <w:color w:val="auto"/>
              </w:rPr>
            </w:pPr>
            <w:r>
              <w:rPr>
                <w:rFonts w:ascii="Arial" w:cs="Arial" w:eastAsia="Arial" w:hAnsi="Arial"/>
                <w:sz w:val="22"/>
                <w:szCs w:val="22"/>
                <w:color w:val="auto"/>
              </w:rPr>
              <w:t>Unvested Class B Common Shares</w:t>
            </w:r>
          </w:p>
        </w:tc>
        <w:tc>
          <w:tcPr>
            <w:tcW w:w="9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3.04</w:t>
            </w:r>
          </w:p>
        </w:tc>
        <w:tc>
          <w:tcPr>
            <w:tcW w:w="6020" w:type="dxa"/>
            <w:vAlign w:val="bottom"/>
          </w:tcPr>
          <w:p>
            <w:pPr>
              <w:ind w:left="40"/>
              <w:spacing w:after="0"/>
              <w:rPr>
                <w:sz w:val="20"/>
                <w:szCs w:val="20"/>
                <w:color w:val="auto"/>
              </w:rPr>
            </w:pPr>
            <w:r>
              <w:rPr>
                <w:rFonts w:ascii="Arial" w:cs="Arial" w:eastAsia="Arial" w:hAnsi="Arial"/>
                <w:sz w:val="22"/>
                <w:szCs w:val="22"/>
                <w:color w:val="auto"/>
              </w:rPr>
              <w:t>Distributions In-Kind</w:t>
            </w:r>
          </w:p>
        </w:tc>
        <w:tc>
          <w:tcPr>
            <w:tcW w:w="9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7400" w:type="dxa"/>
            <w:vAlign w:val="bottom"/>
            <w:gridSpan w:val="2"/>
          </w:tcPr>
          <w:p>
            <w:pPr>
              <w:spacing w:after="0"/>
              <w:rPr>
                <w:sz w:val="20"/>
                <w:szCs w:val="20"/>
                <w:color w:val="auto"/>
              </w:rPr>
            </w:pPr>
            <w:r>
              <w:rPr>
                <w:rFonts w:ascii="Arial" w:cs="Arial" w:eastAsia="Arial" w:hAnsi="Arial"/>
                <w:sz w:val="22"/>
                <w:szCs w:val="22"/>
                <w:color w:val="auto"/>
              </w:rPr>
              <w:t>ARTICLE IV TAX MATTERS</w:t>
            </w:r>
          </w:p>
        </w:tc>
        <w:tc>
          <w:tcPr>
            <w:tcW w:w="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4.01</w:t>
            </w:r>
          </w:p>
        </w:tc>
        <w:tc>
          <w:tcPr>
            <w:tcW w:w="6020" w:type="dxa"/>
            <w:vAlign w:val="bottom"/>
          </w:tcPr>
          <w:p>
            <w:pPr>
              <w:ind w:left="40"/>
              <w:spacing w:after="0"/>
              <w:rPr>
                <w:sz w:val="20"/>
                <w:szCs w:val="20"/>
                <w:color w:val="auto"/>
              </w:rPr>
            </w:pPr>
            <w:r>
              <w:rPr>
                <w:rFonts w:ascii="Arial" w:cs="Arial" w:eastAsia="Arial" w:hAnsi="Arial"/>
                <w:sz w:val="22"/>
                <w:szCs w:val="22"/>
                <w:color w:val="auto"/>
              </w:rPr>
              <w:t>Corporate Status</w:t>
            </w:r>
          </w:p>
        </w:tc>
        <w:tc>
          <w:tcPr>
            <w:tcW w:w="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4.02</w:t>
            </w:r>
          </w:p>
        </w:tc>
        <w:tc>
          <w:tcPr>
            <w:tcW w:w="6020" w:type="dxa"/>
            <w:vAlign w:val="bottom"/>
          </w:tcPr>
          <w:p>
            <w:pPr>
              <w:ind w:left="40"/>
              <w:spacing w:after="0"/>
              <w:rPr>
                <w:sz w:val="20"/>
                <w:szCs w:val="20"/>
                <w:color w:val="auto"/>
              </w:rPr>
            </w:pPr>
            <w:r>
              <w:rPr>
                <w:rFonts w:ascii="Arial" w:cs="Arial" w:eastAsia="Arial" w:hAnsi="Arial"/>
                <w:sz w:val="22"/>
                <w:szCs w:val="22"/>
                <w:color w:val="auto"/>
              </w:rPr>
              <w:t>Withholding</w:t>
            </w:r>
          </w:p>
        </w:tc>
        <w:tc>
          <w:tcPr>
            <w:tcW w:w="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4.03</w:t>
            </w:r>
          </w:p>
        </w:tc>
        <w:tc>
          <w:tcPr>
            <w:tcW w:w="6020" w:type="dxa"/>
            <w:vAlign w:val="bottom"/>
          </w:tcPr>
          <w:p>
            <w:pPr>
              <w:ind w:left="40"/>
              <w:spacing w:after="0"/>
              <w:rPr>
                <w:sz w:val="20"/>
                <w:szCs w:val="20"/>
                <w:color w:val="auto"/>
              </w:rPr>
            </w:pPr>
            <w:r>
              <w:rPr>
                <w:rFonts w:ascii="Arial" w:cs="Arial" w:eastAsia="Arial" w:hAnsi="Arial"/>
                <w:sz w:val="22"/>
                <w:szCs w:val="22"/>
                <w:color w:val="auto"/>
              </w:rPr>
              <w:t>Tax Sharing</w:t>
            </w:r>
          </w:p>
        </w:tc>
        <w:tc>
          <w:tcPr>
            <w:tcW w:w="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4.04</w:t>
            </w:r>
          </w:p>
        </w:tc>
        <w:tc>
          <w:tcPr>
            <w:tcW w:w="6020" w:type="dxa"/>
            <w:vAlign w:val="bottom"/>
          </w:tcPr>
          <w:p>
            <w:pPr>
              <w:ind w:left="40"/>
              <w:spacing w:after="0"/>
              <w:rPr>
                <w:sz w:val="20"/>
                <w:szCs w:val="20"/>
                <w:color w:val="auto"/>
              </w:rPr>
            </w:pPr>
            <w:r>
              <w:rPr>
                <w:rFonts w:ascii="Arial" w:cs="Arial" w:eastAsia="Arial" w:hAnsi="Arial"/>
                <w:sz w:val="22"/>
                <w:szCs w:val="22"/>
                <w:color w:val="auto"/>
              </w:rPr>
              <w:t>Transfer Taxes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400" w:type="dxa"/>
            <w:vAlign w:val="bottom"/>
            <w:gridSpan w:val="2"/>
          </w:tcPr>
          <w:p>
            <w:pPr>
              <w:spacing w:after="0"/>
              <w:rPr>
                <w:sz w:val="20"/>
                <w:szCs w:val="20"/>
                <w:color w:val="auto"/>
              </w:rPr>
            </w:pPr>
            <w:r>
              <w:rPr>
                <w:rFonts w:ascii="Arial" w:cs="Arial" w:eastAsia="Arial" w:hAnsi="Arial"/>
                <w:sz w:val="22"/>
                <w:szCs w:val="22"/>
                <w:color w:val="auto"/>
              </w:rPr>
              <w:t>ARTICLE V MEMBERS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5.01</w:t>
            </w:r>
          </w:p>
        </w:tc>
        <w:tc>
          <w:tcPr>
            <w:tcW w:w="6020" w:type="dxa"/>
            <w:vAlign w:val="bottom"/>
          </w:tcPr>
          <w:p>
            <w:pPr>
              <w:ind w:left="40"/>
              <w:spacing w:after="0"/>
              <w:rPr>
                <w:sz w:val="20"/>
                <w:szCs w:val="20"/>
                <w:color w:val="auto"/>
              </w:rPr>
            </w:pPr>
            <w:r>
              <w:rPr>
                <w:rFonts w:ascii="Arial" w:cs="Arial" w:eastAsia="Arial" w:hAnsi="Arial"/>
                <w:sz w:val="22"/>
                <w:szCs w:val="22"/>
                <w:color w:val="auto"/>
              </w:rPr>
              <w:t>Voting Rights of Members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5.02</w:t>
            </w:r>
          </w:p>
        </w:tc>
        <w:tc>
          <w:tcPr>
            <w:tcW w:w="6020" w:type="dxa"/>
            <w:vAlign w:val="bottom"/>
          </w:tcPr>
          <w:p>
            <w:pPr>
              <w:ind w:left="40"/>
              <w:spacing w:after="0"/>
              <w:rPr>
                <w:sz w:val="20"/>
                <w:szCs w:val="20"/>
                <w:color w:val="auto"/>
              </w:rPr>
            </w:pPr>
            <w:r>
              <w:rPr>
                <w:rFonts w:ascii="Arial" w:cs="Arial" w:eastAsia="Arial" w:hAnsi="Arial"/>
                <w:sz w:val="22"/>
                <w:szCs w:val="22"/>
                <w:color w:val="auto"/>
              </w:rPr>
              <w:t>Quorum; Voting</w:t>
            </w:r>
          </w:p>
        </w:tc>
        <w:tc>
          <w:tcPr>
            <w:tcW w:w="9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5.03</w:t>
            </w:r>
          </w:p>
        </w:tc>
        <w:tc>
          <w:tcPr>
            <w:tcW w:w="6020" w:type="dxa"/>
            <w:vAlign w:val="bottom"/>
          </w:tcPr>
          <w:p>
            <w:pPr>
              <w:ind w:left="40"/>
              <w:spacing w:after="0"/>
              <w:rPr>
                <w:sz w:val="20"/>
                <w:szCs w:val="20"/>
                <w:color w:val="auto"/>
              </w:rPr>
            </w:pPr>
            <w:r>
              <w:rPr>
                <w:rFonts w:ascii="Arial" w:cs="Arial" w:eastAsia="Arial" w:hAnsi="Arial"/>
                <w:sz w:val="22"/>
                <w:szCs w:val="22"/>
                <w:color w:val="auto"/>
              </w:rPr>
              <w:t>Written Consent</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5.04</w:t>
            </w:r>
          </w:p>
        </w:tc>
        <w:tc>
          <w:tcPr>
            <w:tcW w:w="6020" w:type="dxa"/>
            <w:vAlign w:val="bottom"/>
          </w:tcPr>
          <w:p>
            <w:pPr>
              <w:ind w:left="40"/>
              <w:spacing w:after="0"/>
              <w:rPr>
                <w:sz w:val="20"/>
                <w:szCs w:val="20"/>
                <w:color w:val="auto"/>
              </w:rPr>
            </w:pPr>
            <w:r>
              <w:rPr>
                <w:rFonts w:ascii="Arial" w:cs="Arial" w:eastAsia="Arial" w:hAnsi="Arial"/>
                <w:sz w:val="22"/>
                <w:szCs w:val="22"/>
                <w:color w:val="auto"/>
              </w:rPr>
              <w:t>Meetings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5.05</w:t>
            </w:r>
          </w:p>
        </w:tc>
        <w:tc>
          <w:tcPr>
            <w:tcW w:w="6020" w:type="dxa"/>
            <w:vAlign w:val="bottom"/>
          </w:tcPr>
          <w:p>
            <w:pPr>
              <w:ind w:left="40"/>
              <w:spacing w:after="0"/>
              <w:rPr>
                <w:sz w:val="20"/>
                <w:szCs w:val="20"/>
                <w:color w:val="auto"/>
              </w:rPr>
            </w:pPr>
            <w:r>
              <w:rPr>
                <w:rFonts w:ascii="Arial" w:cs="Arial" w:eastAsia="Arial" w:hAnsi="Arial"/>
                <w:sz w:val="22"/>
                <w:szCs w:val="22"/>
                <w:color w:val="auto"/>
              </w:rPr>
              <w:t>Place of Meeting</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5.06</w:t>
            </w:r>
          </w:p>
        </w:tc>
        <w:tc>
          <w:tcPr>
            <w:tcW w:w="6020" w:type="dxa"/>
            <w:vAlign w:val="bottom"/>
          </w:tcPr>
          <w:p>
            <w:pPr>
              <w:ind w:left="40"/>
              <w:spacing w:after="0"/>
              <w:rPr>
                <w:sz w:val="20"/>
                <w:szCs w:val="20"/>
                <w:color w:val="auto"/>
              </w:rPr>
            </w:pPr>
            <w:r>
              <w:rPr>
                <w:rFonts w:ascii="Arial" w:cs="Arial" w:eastAsia="Arial" w:hAnsi="Arial"/>
                <w:sz w:val="22"/>
                <w:szCs w:val="22"/>
                <w:color w:val="auto"/>
              </w:rPr>
              <w:t>Notice of Meeting</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25"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398" w:lineRule="exact"/>
        <w:rPr>
          <w:sz w:val="20"/>
          <w:szCs w:val="20"/>
          <w:color w:val="auto"/>
        </w:rPr>
      </w:pPr>
    </w:p>
    <w:tbl>
      <w:tblPr>
        <w:tblLayout w:type="fixed"/>
        <w:tblInd w:w="320" w:type="dxa"/>
        <w:tblCellMar>
          <w:top w:w="0" w:type="dxa"/>
          <w:left w:w="0" w:type="dxa"/>
          <w:bottom w:w="0" w:type="dxa"/>
          <w:right w:w="0" w:type="dxa"/>
        </w:tblCellMar>
      </w:tblPr>
      <w:tr>
        <w:trPr>
          <w:trHeight w:val="281"/>
        </w:trPr>
        <w:tc>
          <w:tcPr>
            <w:tcW w:w="14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5.07</w:t>
            </w:r>
          </w:p>
        </w:tc>
        <w:tc>
          <w:tcPr>
            <w:tcW w:w="6260" w:type="dxa"/>
            <w:vAlign w:val="bottom"/>
          </w:tcPr>
          <w:p>
            <w:pPr>
              <w:spacing w:after="0"/>
              <w:rPr>
                <w:sz w:val="20"/>
                <w:szCs w:val="20"/>
                <w:color w:val="auto"/>
              </w:rPr>
            </w:pPr>
            <w:r>
              <w:rPr>
                <w:rFonts w:ascii="Arial" w:cs="Arial" w:eastAsia="Arial" w:hAnsi="Arial"/>
                <w:sz w:val="22"/>
                <w:szCs w:val="22"/>
                <w:color w:val="auto"/>
              </w:rPr>
              <w:t>Withdrawal; Partition</w:t>
            </w:r>
          </w:p>
        </w:tc>
        <w:tc>
          <w:tcPr>
            <w:tcW w:w="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5.08</w:t>
            </w:r>
          </w:p>
        </w:tc>
        <w:tc>
          <w:tcPr>
            <w:tcW w:w="6260" w:type="dxa"/>
            <w:vAlign w:val="bottom"/>
          </w:tcPr>
          <w:p>
            <w:pPr>
              <w:spacing w:after="0"/>
              <w:rPr>
                <w:sz w:val="20"/>
                <w:szCs w:val="20"/>
                <w:color w:val="auto"/>
              </w:rPr>
            </w:pPr>
            <w:r>
              <w:rPr>
                <w:rFonts w:ascii="Arial" w:cs="Arial" w:eastAsia="Arial" w:hAnsi="Arial"/>
                <w:sz w:val="22"/>
                <w:szCs w:val="22"/>
                <w:color w:val="auto"/>
              </w:rPr>
              <w:t>Business Opportunities; Performance of Duties</w:t>
            </w:r>
          </w:p>
        </w:tc>
        <w:tc>
          <w:tcPr>
            <w:tcW w:w="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5.09</w:t>
            </w:r>
          </w:p>
        </w:tc>
        <w:tc>
          <w:tcPr>
            <w:tcW w:w="6260" w:type="dxa"/>
            <w:vAlign w:val="bottom"/>
          </w:tcPr>
          <w:p>
            <w:pPr>
              <w:spacing w:after="0"/>
              <w:rPr>
                <w:sz w:val="20"/>
                <w:szCs w:val="20"/>
                <w:color w:val="auto"/>
              </w:rPr>
            </w:pPr>
            <w:r>
              <w:rPr>
                <w:rFonts w:ascii="Arial" w:cs="Arial" w:eastAsia="Arial" w:hAnsi="Arial"/>
                <w:sz w:val="22"/>
                <w:szCs w:val="22"/>
                <w:color w:val="auto"/>
              </w:rPr>
              <w:t>Limitation of Liability</w:t>
            </w:r>
          </w:p>
        </w:tc>
        <w:tc>
          <w:tcPr>
            <w:tcW w:w="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5.10</w:t>
            </w:r>
          </w:p>
        </w:tc>
        <w:tc>
          <w:tcPr>
            <w:tcW w:w="6260" w:type="dxa"/>
            <w:vAlign w:val="bottom"/>
          </w:tcPr>
          <w:p>
            <w:pPr>
              <w:spacing w:after="0"/>
              <w:rPr>
                <w:sz w:val="20"/>
                <w:szCs w:val="20"/>
                <w:color w:val="auto"/>
              </w:rPr>
            </w:pPr>
            <w:r>
              <w:rPr>
                <w:rFonts w:ascii="Arial" w:cs="Arial" w:eastAsia="Arial" w:hAnsi="Arial"/>
                <w:sz w:val="22"/>
                <w:szCs w:val="22"/>
                <w:color w:val="auto"/>
              </w:rPr>
              <w:t>Authority</w:t>
            </w:r>
          </w:p>
        </w:tc>
        <w:tc>
          <w:tcPr>
            <w:tcW w:w="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5.11</w:t>
            </w:r>
          </w:p>
        </w:tc>
        <w:tc>
          <w:tcPr>
            <w:tcW w:w="6260" w:type="dxa"/>
            <w:vAlign w:val="bottom"/>
          </w:tcPr>
          <w:p>
            <w:pPr>
              <w:spacing w:after="0"/>
              <w:rPr>
                <w:sz w:val="20"/>
                <w:szCs w:val="20"/>
                <w:color w:val="auto"/>
              </w:rPr>
            </w:pPr>
            <w:r>
              <w:rPr>
                <w:rFonts w:ascii="Arial" w:cs="Arial" w:eastAsia="Arial" w:hAnsi="Arial"/>
                <w:sz w:val="22"/>
                <w:szCs w:val="22"/>
                <w:color w:val="auto"/>
              </w:rPr>
              <w:t>Sale of the Company; IPO</w:t>
            </w:r>
          </w:p>
        </w:tc>
        <w:tc>
          <w:tcPr>
            <w:tcW w:w="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5.12</w:t>
            </w:r>
          </w:p>
        </w:tc>
        <w:tc>
          <w:tcPr>
            <w:tcW w:w="6260" w:type="dxa"/>
            <w:vAlign w:val="bottom"/>
          </w:tcPr>
          <w:p>
            <w:pPr>
              <w:spacing w:after="0"/>
              <w:rPr>
                <w:sz w:val="20"/>
                <w:szCs w:val="20"/>
                <w:color w:val="auto"/>
              </w:rPr>
            </w:pPr>
            <w:r>
              <w:rPr>
                <w:rFonts w:ascii="Arial" w:cs="Arial" w:eastAsia="Arial" w:hAnsi="Arial"/>
                <w:sz w:val="22"/>
                <w:szCs w:val="22"/>
                <w:color w:val="auto"/>
              </w:rPr>
              <w:t>Honda Minority Consent Right</w:t>
            </w:r>
          </w:p>
        </w:tc>
        <w:tc>
          <w:tcPr>
            <w:tcW w:w="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5.13</w:t>
            </w:r>
          </w:p>
        </w:tc>
        <w:tc>
          <w:tcPr>
            <w:tcW w:w="6260" w:type="dxa"/>
            <w:vAlign w:val="bottom"/>
          </w:tcPr>
          <w:p>
            <w:pPr>
              <w:spacing w:after="0"/>
              <w:rPr>
                <w:sz w:val="20"/>
                <w:szCs w:val="20"/>
                <w:color w:val="auto"/>
              </w:rPr>
            </w:pPr>
            <w:r>
              <w:rPr>
                <w:rFonts w:ascii="Arial" w:cs="Arial" w:eastAsia="Arial" w:hAnsi="Arial"/>
                <w:sz w:val="22"/>
                <w:szCs w:val="22"/>
                <w:color w:val="auto"/>
              </w:rPr>
              <w:t>Class F Minority Consent Right</w:t>
            </w:r>
          </w:p>
        </w:tc>
        <w:tc>
          <w:tcPr>
            <w:tcW w:w="6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7680" w:type="dxa"/>
            <w:vAlign w:val="bottom"/>
            <w:gridSpan w:val="2"/>
          </w:tcPr>
          <w:p>
            <w:pPr>
              <w:spacing w:after="0"/>
              <w:rPr>
                <w:sz w:val="20"/>
                <w:szCs w:val="20"/>
                <w:color w:val="auto"/>
              </w:rPr>
            </w:pPr>
            <w:r>
              <w:rPr>
                <w:rFonts w:ascii="Arial" w:cs="Arial" w:eastAsia="Arial" w:hAnsi="Arial"/>
                <w:sz w:val="22"/>
                <w:szCs w:val="22"/>
                <w:color w:val="auto"/>
              </w:rPr>
              <w:t>ARTICLE VI MANAGEMENT</w:t>
            </w:r>
          </w:p>
        </w:tc>
        <w:tc>
          <w:tcPr>
            <w:tcW w:w="6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6.01</w:t>
            </w:r>
          </w:p>
        </w:tc>
        <w:tc>
          <w:tcPr>
            <w:tcW w:w="6260" w:type="dxa"/>
            <w:vAlign w:val="bottom"/>
          </w:tcPr>
          <w:p>
            <w:pPr>
              <w:spacing w:after="0"/>
              <w:rPr>
                <w:sz w:val="20"/>
                <w:szCs w:val="20"/>
                <w:color w:val="auto"/>
              </w:rPr>
            </w:pPr>
            <w:r>
              <w:rPr>
                <w:rFonts w:ascii="Arial" w:cs="Arial" w:eastAsia="Arial" w:hAnsi="Arial"/>
                <w:sz w:val="22"/>
                <w:szCs w:val="22"/>
                <w:color w:val="auto"/>
              </w:rPr>
              <w:t>Management</w:t>
            </w:r>
          </w:p>
        </w:tc>
        <w:tc>
          <w:tcPr>
            <w:tcW w:w="6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6.02</w:t>
            </w:r>
          </w:p>
        </w:tc>
        <w:tc>
          <w:tcPr>
            <w:tcW w:w="6260" w:type="dxa"/>
            <w:vAlign w:val="bottom"/>
          </w:tcPr>
          <w:p>
            <w:pPr>
              <w:spacing w:after="0"/>
              <w:rPr>
                <w:sz w:val="20"/>
                <w:szCs w:val="20"/>
                <w:color w:val="auto"/>
              </w:rPr>
            </w:pPr>
            <w:r>
              <w:rPr>
                <w:rFonts w:ascii="Arial" w:cs="Arial" w:eastAsia="Arial" w:hAnsi="Arial"/>
                <w:sz w:val="22"/>
                <w:szCs w:val="22"/>
                <w:color w:val="auto"/>
              </w:rPr>
              <w:t>Number of Directors</w:t>
            </w:r>
          </w:p>
        </w:tc>
        <w:tc>
          <w:tcPr>
            <w:tcW w:w="6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6.03</w:t>
            </w:r>
          </w:p>
        </w:tc>
        <w:tc>
          <w:tcPr>
            <w:tcW w:w="6260" w:type="dxa"/>
            <w:vAlign w:val="bottom"/>
          </w:tcPr>
          <w:p>
            <w:pPr>
              <w:spacing w:after="0"/>
              <w:rPr>
                <w:sz w:val="20"/>
                <w:szCs w:val="20"/>
                <w:color w:val="auto"/>
              </w:rPr>
            </w:pPr>
            <w:r>
              <w:rPr>
                <w:rFonts w:ascii="Arial" w:cs="Arial" w:eastAsia="Arial" w:hAnsi="Arial"/>
                <w:sz w:val="22"/>
                <w:szCs w:val="22"/>
                <w:color w:val="auto"/>
              </w:rPr>
              <w:t>Board Designation Rights and Composition; Proxies</w:t>
            </w:r>
          </w:p>
        </w:tc>
        <w:tc>
          <w:tcPr>
            <w:tcW w:w="6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6.04</w:t>
            </w:r>
          </w:p>
        </w:tc>
        <w:tc>
          <w:tcPr>
            <w:tcW w:w="6260" w:type="dxa"/>
            <w:vAlign w:val="bottom"/>
          </w:tcPr>
          <w:p>
            <w:pPr>
              <w:spacing w:after="0"/>
              <w:rPr>
                <w:sz w:val="20"/>
                <w:szCs w:val="20"/>
                <w:color w:val="auto"/>
              </w:rPr>
            </w:pPr>
            <w:r>
              <w:rPr>
                <w:rFonts w:ascii="Arial" w:cs="Arial" w:eastAsia="Arial" w:hAnsi="Arial"/>
                <w:sz w:val="22"/>
                <w:szCs w:val="22"/>
                <w:color w:val="auto"/>
              </w:rPr>
              <w:t>Board Observer</w:t>
            </w:r>
          </w:p>
        </w:tc>
        <w:tc>
          <w:tcPr>
            <w:tcW w:w="6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6.05</w:t>
            </w:r>
          </w:p>
        </w:tc>
        <w:tc>
          <w:tcPr>
            <w:tcW w:w="6260" w:type="dxa"/>
            <w:vAlign w:val="bottom"/>
          </w:tcPr>
          <w:p>
            <w:pPr>
              <w:spacing w:after="0"/>
              <w:rPr>
                <w:sz w:val="20"/>
                <w:szCs w:val="20"/>
                <w:color w:val="auto"/>
              </w:rPr>
            </w:pPr>
            <w:r>
              <w:rPr>
                <w:rFonts w:ascii="Arial" w:cs="Arial" w:eastAsia="Arial" w:hAnsi="Arial"/>
                <w:sz w:val="22"/>
                <w:szCs w:val="22"/>
                <w:color w:val="auto"/>
              </w:rPr>
              <w:t>Director Appointee Screening</w:t>
            </w:r>
          </w:p>
        </w:tc>
        <w:tc>
          <w:tcPr>
            <w:tcW w:w="6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6.06</w:t>
            </w:r>
          </w:p>
        </w:tc>
        <w:tc>
          <w:tcPr>
            <w:tcW w:w="6260" w:type="dxa"/>
            <w:vAlign w:val="bottom"/>
          </w:tcPr>
          <w:p>
            <w:pPr>
              <w:spacing w:after="0"/>
              <w:rPr>
                <w:sz w:val="20"/>
                <w:szCs w:val="20"/>
                <w:color w:val="auto"/>
              </w:rPr>
            </w:pPr>
            <w:r>
              <w:rPr>
                <w:rFonts w:ascii="Arial" w:cs="Arial" w:eastAsia="Arial" w:hAnsi="Arial"/>
                <w:sz w:val="22"/>
                <w:szCs w:val="22"/>
                <w:color w:val="auto"/>
              </w:rPr>
              <w:t>Tenure of Directors</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6.07</w:t>
            </w:r>
          </w:p>
        </w:tc>
        <w:tc>
          <w:tcPr>
            <w:tcW w:w="6260" w:type="dxa"/>
            <w:vAlign w:val="bottom"/>
          </w:tcPr>
          <w:p>
            <w:pPr>
              <w:spacing w:after="0"/>
              <w:rPr>
                <w:sz w:val="20"/>
                <w:szCs w:val="20"/>
                <w:color w:val="auto"/>
              </w:rPr>
            </w:pPr>
            <w:r>
              <w:rPr>
                <w:rFonts w:ascii="Arial" w:cs="Arial" w:eastAsia="Arial" w:hAnsi="Arial"/>
                <w:sz w:val="22"/>
                <w:szCs w:val="22"/>
                <w:color w:val="auto"/>
              </w:rPr>
              <w:t>Committees</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6.08</w:t>
            </w:r>
          </w:p>
        </w:tc>
        <w:tc>
          <w:tcPr>
            <w:tcW w:w="6260" w:type="dxa"/>
            <w:vAlign w:val="bottom"/>
          </w:tcPr>
          <w:p>
            <w:pPr>
              <w:spacing w:after="0"/>
              <w:rPr>
                <w:sz w:val="20"/>
                <w:szCs w:val="20"/>
                <w:color w:val="auto"/>
              </w:rPr>
            </w:pPr>
            <w:r>
              <w:rPr>
                <w:rFonts w:ascii="Arial" w:cs="Arial" w:eastAsia="Arial" w:hAnsi="Arial"/>
                <w:sz w:val="22"/>
                <w:szCs w:val="22"/>
                <w:color w:val="auto"/>
              </w:rPr>
              <w:t>Director Compensation</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6.09</w:t>
            </w:r>
          </w:p>
        </w:tc>
        <w:tc>
          <w:tcPr>
            <w:tcW w:w="6260" w:type="dxa"/>
            <w:vAlign w:val="bottom"/>
          </w:tcPr>
          <w:p>
            <w:pPr>
              <w:spacing w:after="0"/>
              <w:rPr>
                <w:sz w:val="20"/>
                <w:szCs w:val="20"/>
                <w:color w:val="auto"/>
              </w:rPr>
            </w:pPr>
            <w:r>
              <w:rPr>
                <w:rFonts w:ascii="Arial" w:cs="Arial" w:eastAsia="Arial" w:hAnsi="Arial"/>
                <w:sz w:val="22"/>
                <w:szCs w:val="22"/>
                <w:color w:val="auto"/>
              </w:rPr>
              <w:t>Director Resignation</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6.10</w:t>
            </w:r>
          </w:p>
        </w:tc>
        <w:tc>
          <w:tcPr>
            <w:tcW w:w="6260" w:type="dxa"/>
            <w:vAlign w:val="bottom"/>
          </w:tcPr>
          <w:p>
            <w:pPr>
              <w:spacing w:after="0"/>
              <w:rPr>
                <w:sz w:val="20"/>
                <w:szCs w:val="20"/>
                <w:color w:val="auto"/>
              </w:rPr>
            </w:pPr>
            <w:r>
              <w:rPr>
                <w:rFonts w:ascii="Arial" w:cs="Arial" w:eastAsia="Arial" w:hAnsi="Arial"/>
                <w:sz w:val="22"/>
                <w:szCs w:val="22"/>
                <w:color w:val="auto"/>
              </w:rPr>
              <w:t>Vacancies</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6.11</w:t>
            </w:r>
          </w:p>
        </w:tc>
        <w:tc>
          <w:tcPr>
            <w:tcW w:w="6260" w:type="dxa"/>
            <w:vAlign w:val="bottom"/>
          </w:tcPr>
          <w:p>
            <w:pPr>
              <w:spacing w:after="0"/>
              <w:rPr>
                <w:sz w:val="20"/>
                <w:szCs w:val="20"/>
                <w:color w:val="auto"/>
              </w:rPr>
            </w:pPr>
            <w:r>
              <w:rPr>
                <w:rFonts w:ascii="Arial" w:cs="Arial" w:eastAsia="Arial" w:hAnsi="Arial"/>
                <w:sz w:val="22"/>
                <w:szCs w:val="22"/>
                <w:color w:val="auto"/>
              </w:rPr>
              <w:t>Meetings</w:t>
            </w:r>
          </w:p>
        </w:tc>
        <w:tc>
          <w:tcPr>
            <w:tcW w:w="6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6.12</w:t>
            </w:r>
          </w:p>
        </w:tc>
        <w:tc>
          <w:tcPr>
            <w:tcW w:w="6260" w:type="dxa"/>
            <w:vAlign w:val="bottom"/>
          </w:tcPr>
          <w:p>
            <w:pPr>
              <w:spacing w:after="0"/>
              <w:rPr>
                <w:sz w:val="20"/>
                <w:szCs w:val="20"/>
                <w:color w:val="auto"/>
              </w:rPr>
            </w:pPr>
            <w:r>
              <w:rPr>
                <w:rFonts w:ascii="Arial" w:cs="Arial" w:eastAsia="Arial" w:hAnsi="Arial"/>
                <w:sz w:val="22"/>
                <w:szCs w:val="22"/>
                <w:color w:val="auto"/>
              </w:rPr>
              <w:t>Meetings by Telephone</w:t>
            </w:r>
          </w:p>
        </w:tc>
        <w:tc>
          <w:tcPr>
            <w:tcW w:w="6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66"/>
        </w:trPr>
        <w:tc>
          <w:tcPr>
            <w:tcW w:w="1420" w:type="dxa"/>
            <w:vAlign w:val="bottom"/>
          </w:tcPr>
          <w:p>
            <w:pPr>
              <w:jc w:val="right"/>
              <w:spacing w:after="0"/>
              <w:rPr>
                <w:sz w:val="20"/>
                <w:szCs w:val="20"/>
                <w:color w:val="auto"/>
              </w:rPr>
            </w:pPr>
            <w:r>
              <w:rPr>
                <w:rFonts w:ascii="Arial" w:cs="Arial" w:eastAsia="Arial" w:hAnsi="Arial"/>
                <w:sz w:val="22"/>
                <w:szCs w:val="22"/>
                <w:color w:val="auto"/>
              </w:rPr>
              <w:t>6.13</w:t>
            </w:r>
          </w:p>
        </w:tc>
        <w:tc>
          <w:tcPr>
            <w:tcW w:w="6260" w:type="dxa"/>
            <w:vAlign w:val="bottom"/>
          </w:tcPr>
          <w:p>
            <w:pPr>
              <w:spacing w:after="0"/>
              <w:rPr>
                <w:sz w:val="20"/>
                <w:szCs w:val="20"/>
                <w:color w:val="auto"/>
              </w:rPr>
            </w:pPr>
            <w:r>
              <w:rPr>
                <w:rFonts w:ascii="Arial" w:cs="Arial" w:eastAsia="Arial" w:hAnsi="Arial"/>
                <w:sz w:val="22"/>
                <w:szCs w:val="22"/>
                <w:color w:val="auto"/>
                <w:w w:val="96"/>
              </w:rPr>
              <w:t>Quorum; Actions of Board of Directors; SoftBank Minority Consent</w:t>
            </w:r>
          </w:p>
        </w:tc>
        <w:tc>
          <w:tcPr>
            <w:tcW w:w="660" w:type="dxa"/>
            <w:vAlign w:val="bottom"/>
          </w:tcPr>
          <w:p>
            <w:pPr>
              <w:spacing w:after="0"/>
              <w:rPr>
                <w:sz w:val="23"/>
                <w:szCs w:val="23"/>
                <w:color w:val="auto"/>
              </w:rPr>
            </w:pPr>
          </w:p>
        </w:tc>
      </w:tr>
      <w:tr>
        <w:trPr>
          <w:trHeight w:val="275"/>
        </w:trPr>
        <w:tc>
          <w:tcPr>
            <w:tcW w:w="1420" w:type="dxa"/>
            <w:vAlign w:val="bottom"/>
          </w:tcPr>
          <w:p>
            <w:pPr>
              <w:spacing w:after="0"/>
              <w:rPr>
                <w:sz w:val="23"/>
                <w:szCs w:val="23"/>
                <w:color w:val="auto"/>
              </w:rPr>
            </w:pPr>
          </w:p>
        </w:tc>
        <w:tc>
          <w:tcPr>
            <w:tcW w:w="6260" w:type="dxa"/>
            <w:vAlign w:val="bottom"/>
          </w:tcPr>
          <w:p>
            <w:pPr>
              <w:spacing w:after="0"/>
              <w:rPr>
                <w:sz w:val="20"/>
                <w:szCs w:val="20"/>
                <w:color w:val="auto"/>
              </w:rPr>
            </w:pPr>
            <w:r>
              <w:rPr>
                <w:rFonts w:ascii="Arial" w:cs="Arial" w:eastAsia="Arial" w:hAnsi="Arial"/>
                <w:sz w:val="22"/>
                <w:szCs w:val="22"/>
                <w:color w:val="auto"/>
              </w:rPr>
              <w:t>Rights</w:t>
            </w:r>
          </w:p>
        </w:tc>
        <w:tc>
          <w:tcPr>
            <w:tcW w:w="6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6.14</w:t>
            </w:r>
          </w:p>
        </w:tc>
        <w:tc>
          <w:tcPr>
            <w:tcW w:w="6260" w:type="dxa"/>
            <w:vAlign w:val="bottom"/>
          </w:tcPr>
          <w:p>
            <w:pPr>
              <w:spacing w:after="0"/>
              <w:rPr>
                <w:sz w:val="20"/>
                <w:szCs w:val="20"/>
                <w:color w:val="auto"/>
              </w:rPr>
            </w:pPr>
            <w:r>
              <w:rPr>
                <w:rFonts w:ascii="Arial" w:cs="Arial" w:eastAsia="Arial" w:hAnsi="Arial"/>
                <w:sz w:val="22"/>
                <w:szCs w:val="22"/>
                <w:color w:val="auto"/>
              </w:rPr>
              <w:t>Competitively Sensitive Information</w:t>
            </w:r>
          </w:p>
        </w:tc>
        <w:tc>
          <w:tcPr>
            <w:tcW w:w="6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6.15</w:t>
            </w:r>
          </w:p>
        </w:tc>
        <w:tc>
          <w:tcPr>
            <w:tcW w:w="6260" w:type="dxa"/>
            <w:vAlign w:val="bottom"/>
          </w:tcPr>
          <w:p>
            <w:pPr>
              <w:spacing w:after="0"/>
              <w:rPr>
                <w:sz w:val="20"/>
                <w:szCs w:val="20"/>
                <w:color w:val="auto"/>
              </w:rPr>
            </w:pPr>
            <w:r>
              <w:rPr>
                <w:rFonts w:ascii="Arial" w:cs="Arial" w:eastAsia="Arial" w:hAnsi="Arial"/>
                <w:sz w:val="22"/>
                <w:szCs w:val="22"/>
                <w:color w:val="auto"/>
              </w:rPr>
              <w:t>Officers</w:t>
            </w:r>
          </w:p>
        </w:tc>
        <w:tc>
          <w:tcPr>
            <w:tcW w:w="6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6.16</w:t>
            </w:r>
          </w:p>
        </w:tc>
        <w:tc>
          <w:tcPr>
            <w:tcW w:w="6260" w:type="dxa"/>
            <w:vAlign w:val="bottom"/>
          </w:tcPr>
          <w:p>
            <w:pPr>
              <w:spacing w:after="0"/>
              <w:rPr>
                <w:sz w:val="20"/>
                <w:szCs w:val="20"/>
                <w:color w:val="auto"/>
              </w:rPr>
            </w:pPr>
            <w:r>
              <w:rPr>
                <w:rFonts w:ascii="Arial" w:cs="Arial" w:eastAsia="Arial" w:hAnsi="Arial"/>
                <w:sz w:val="22"/>
                <w:szCs w:val="22"/>
                <w:color w:val="auto"/>
              </w:rPr>
              <w:t>Enhanced Voting Rights</w:t>
            </w:r>
          </w:p>
        </w:tc>
        <w:tc>
          <w:tcPr>
            <w:tcW w:w="6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7680" w:type="dxa"/>
            <w:vAlign w:val="bottom"/>
            <w:gridSpan w:val="2"/>
          </w:tcPr>
          <w:p>
            <w:pPr>
              <w:spacing w:after="0"/>
              <w:rPr>
                <w:sz w:val="20"/>
                <w:szCs w:val="20"/>
                <w:color w:val="auto"/>
              </w:rPr>
            </w:pPr>
            <w:r>
              <w:rPr>
                <w:rFonts w:ascii="Arial" w:cs="Arial" w:eastAsia="Arial" w:hAnsi="Arial"/>
                <w:sz w:val="22"/>
                <w:szCs w:val="22"/>
                <w:color w:val="auto"/>
              </w:rPr>
              <w:t>ARTICLE VII EXCULPATION AND INDEMNIFICATION</w:t>
            </w:r>
          </w:p>
        </w:tc>
        <w:tc>
          <w:tcPr>
            <w:tcW w:w="6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7.01</w:t>
            </w:r>
          </w:p>
        </w:tc>
        <w:tc>
          <w:tcPr>
            <w:tcW w:w="6260" w:type="dxa"/>
            <w:vAlign w:val="bottom"/>
          </w:tcPr>
          <w:p>
            <w:pPr>
              <w:spacing w:after="0"/>
              <w:rPr>
                <w:sz w:val="20"/>
                <w:szCs w:val="20"/>
                <w:color w:val="auto"/>
              </w:rPr>
            </w:pPr>
            <w:r>
              <w:rPr>
                <w:rFonts w:ascii="Arial" w:cs="Arial" w:eastAsia="Arial" w:hAnsi="Arial"/>
                <w:sz w:val="22"/>
                <w:szCs w:val="22"/>
                <w:color w:val="auto"/>
              </w:rPr>
              <w:t>Exculpation</w:t>
            </w:r>
          </w:p>
        </w:tc>
        <w:tc>
          <w:tcPr>
            <w:tcW w:w="6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7.02</w:t>
            </w:r>
          </w:p>
        </w:tc>
        <w:tc>
          <w:tcPr>
            <w:tcW w:w="6260" w:type="dxa"/>
            <w:vAlign w:val="bottom"/>
          </w:tcPr>
          <w:p>
            <w:pPr>
              <w:spacing w:after="0"/>
              <w:rPr>
                <w:sz w:val="20"/>
                <w:szCs w:val="20"/>
                <w:color w:val="auto"/>
              </w:rPr>
            </w:pPr>
            <w:r>
              <w:rPr>
                <w:rFonts w:ascii="Arial" w:cs="Arial" w:eastAsia="Arial" w:hAnsi="Arial"/>
                <w:sz w:val="22"/>
                <w:szCs w:val="22"/>
                <w:color w:val="auto"/>
              </w:rPr>
              <w:t>Indemnification</w:t>
            </w:r>
          </w:p>
        </w:tc>
        <w:tc>
          <w:tcPr>
            <w:tcW w:w="6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7.03</w:t>
            </w:r>
          </w:p>
        </w:tc>
        <w:tc>
          <w:tcPr>
            <w:tcW w:w="6260" w:type="dxa"/>
            <w:vAlign w:val="bottom"/>
          </w:tcPr>
          <w:p>
            <w:pPr>
              <w:spacing w:after="0"/>
              <w:rPr>
                <w:sz w:val="20"/>
                <w:szCs w:val="20"/>
                <w:color w:val="auto"/>
              </w:rPr>
            </w:pPr>
            <w:r>
              <w:rPr>
                <w:rFonts w:ascii="Arial" w:cs="Arial" w:eastAsia="Arial" w:hAnsi="Arial"/>
                <w:sz w:val="22"/>
                <w:szCs w:val="22"/>
                <w:color w:val="auto"/>
              </w:rPr>
              <w:t>No Personal Liability</w:t>
            </w:r>
          </w:p>
        </w:tc>
        <w:tc>
          <w:tcPr>
            <w:tcW w:w="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66"/>
        </w:trPr>
        <w:tc>
          <w:tcPr>
            <w:tcW w:w="7680" w:type="dxa"/>
            <w:vAlign w:val="bottom"/>
            <w:gridSpan w:val="2"/>
          </w:tcPr>
          <w:p>
            <w:pPr>
              <w:spacing w:after="0"/>
              <w:rPr>
                <w:sz w:val="20"/>
                <w:szCs w:val="20"/>
                <w:color w:val="auto"/>
              </w:rPr>
            </w:pPr>
            <w:r>
              <w:rPr>
                <w:rFonts w:ascii="Arial" w:cs="Arial" w:eastAsia="Arial" w:hAnsi="Arial"/>
                <w:sz w:val="22"/>
                <w:szCs w:val="22"/>
                <w:color w:val="auto"/>
                <w:w w:val="97"/>
              </w:rPr>
              <w:t>ARTICLE VIII BOOKS AND RECORDS; INFORMATION; RELATED MATTERS;</w:t>
            </w:r>
          </w:p>
        </w:tc>
        <w:tc>
          <w:tcPr>
            <w:tcW w:w="660" w:type="dxa"/>
            <w:vAlign w:val="bottom"/>
          </w:tcPr>
          <w:p>
            <w:pPr>
              <w:spacing w:after="0"/>
              <w:rPr>
                <w:sz w:val="23"/>
                <w:szCs w:val="23"/>
                <w:color w:val="auto"/>
              </w:rPr>
            </w:pPr>
          </w:p>
        </w:tc>
      </w:tr>
      <w:tr>
        <w:trPr>
          <w:trHeight w:val="275"/>
        </w:trPr>
        <w:tc>
          <w:tcPr>
            <w:tcW w:w="1420" w:type="dxa"/>
            <w:vAlign w:val="bottom"/>
          </w:tcPr>
          <w:p>
            <w:pPr>
              <w:spacing w:after="0"/>
              <w:rPr>
                <w:sz w:val="20"/>
                <w:szCs w:val="20"/>
                <w:color w:val="auto"/>
              </w:rPr>
            </w:pPr>
            <w:r>
              <w:rPr>
                <w:rFonts w:ascii="Arial" w:cs="Arial" w:eastAsia="Arial" w:hAnsi="Arial"/>
                <w:sz w:val="22"/>
                <w:szCs w:val="22"/>
                <w:color w:val="auto"/>
                <w:w w:val="96"/>
              </w:rPr>
              <w:t>COMPLIANCE</w:t>
            </w:r>
          </w:p>
        </w:tc>
        <w:tc>
          <w:tcPr>
            <w:tcW w:w="6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8.01</w:t>
            </w:r>
          </w:p>
        </w:tc>
        <w:tc>
          <w:tcPr>
            <w:tcW w:w="6260" w:type="dxa"/>
            <w:vAlign w:val="bottom"/>
          </w:tcPr>
          <w:p>
            <w:pPr>
              <w:spacing w:after="0"/>
              <w:rPr>
                <w:sz w:val="20"/>
                <w:szCs w:val="20"/>
                <w:color w:val="auto"/>
              </w:rPr>
            </w:pPr>
            <w:r>
              <w:rPr>
                <w:rFonts w:ascii="Arial" w:cs="Arial" w:eastAsia="Arial" w:hAnsi="Arial"/>
                <w:sz w:val="22"/>
                <w:szCs w:val="22"/>
                <w:color w:val="auto"/>
              </w:rPr>
              <w:t>Generally</w:t>
            </w:r>
          </w:p>
        </w:tc>
        <w:tc>
          <w:tcPr>
            <w:tcW w:w="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8.02</w:t>
            </w:r>
          </w:p>
        </w:tc>
        <w:tc>
          <w:tcPr>
            <w:tcW w:w="6260" w:type="dxa"/>
            <w:vAlign w:val="bottom"/>
          </w:tcPr>
          <w:p>
            <w:pPr>
              <w:spacing w:after="0"/>
              <w:rPr>
                <w:sz w:val="20"/>
                <w:szCs w:val="20"/>
                <w:color w:val="auto"/>
              </w:rPr>
            </w:pPr>
            <w:r>
              <w:rPr>
                <w:rFonts w:ascii="Arial" w:cs="Arial" w:eastAsia="Arial" w:hAnsi="Arial"/>
                <w:sz w:val="22"/>
                <w:szCs w:val="22"/>
                <w:color w:val="auto"/>
              </w:rPr>
              <w:t>Delivery of Financial Information</w:t>
            </w:r>
          </w:p>
        </w:tc>
        <w:tc>
          <w:tcPr>
            <w:tcW w:w="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8.03</w:t>
            </w:r>
          </w:p>
        </w:tc>
        <w:tc>
          <w:tcPr>
            <w:tcW w:w="6260" w:type="dxa"/>
            <w:vAlign w:val="bottom"/>
          </w:tcPr>
          <w:p>
            <w:pPr>
              <w:spacing w:after="0"/>
              <w:rPr>
                <w:sz w:val="20"/>
                <w:szCs w:val="20"/>
                <w:color w:val="auto"/>
              </w:rPr>
            </w:pPr>
            <w:r>
              <w:rPr>
                <w:rFonts w:ascii="Arial" w:cs="Arial" w:eastAsia="Arial" w:hAnsi="Arial"/>
                <w:sz w:val="22"/>
                <w:szCs w:val="22"/>
                <w:color w:val="auto"/>
              </w:rPr>
              <w:t>Technical Information</w:t>
            </w:r>
          </w:p>
        </w:tc>
        <w:tc>
          <w:tcPr>
            <w:tcW w:w="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8.04</w:t>
            </w:r>
          </w:p>
        </w:tc>
        <w:tc>
          <w:tcPr>
            <w:tcW w:w="6260" w:type="dxa"/>
            <w:vAlign w:val="bottom"/>
          </w:tcPr>
          <w:p>
            <w:pPr>
              <w:spacing w:after="0"/>
              <w:rPr>
                <w:sz w:val="20"/>
                <w:szCs w:val="20"/>
                <w:color w:val="auto"/>
              </w:rPr>
            </w:pPr>
            <w:r>
              <w:rPr>
                <w:rFonts w:ascii="Arial" w:cs="Arial" w:eastAsia="Arial" w:hAnsi="Arial"/>
                <w:sz w:val="22"/>
                <w:szCs w:val="22"/>
                <w:color w:val="auto"/>
              </w:rPr>
              <w:t>Applicable ABAC/AML/Trade Laws</w:t>
            </w:r>
          </w:p>
        </w:tc>
        <w:tc>
          <w:tcPr>
            <w:tcW w:w="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8.05</w:t>
            </w:r>
          </w:p>
        </w:tc>
        <w:tc>
          <w:tcPr>
            <w:tcW w:w="6260" w:type="dxa"/>
            <w:vAlign w:val="bottom"/>
          </w:tcPr>
          <w:p>
            <w:pPr>
              <w:spacing w:after="0"/>
              <w:rPr>
                <w:sz w:val="20"/>
                <w:szCs w:val="20"/>
                <w:color w:val="auto"/>
              </w:rPr>
            </w:pPr>
            <w:r>
              <w:rPr>
                <w:rFonts w:ascii="Arial" w:cs="Arial" w:eastAsia="Arial" w:hAnsi="Arial"/>
                <w:sz w:val="22"/>
                <w:szCs w:val="22"/>
                <w:color w:val="auto"/>
              </w:rPr>
              <w:t>Notice to Honda of an OEM Investment</w:t>
            </w:r>
          </w:p>
        </w:tc>
        <w:tc>
          <w:tcPr>
            <w:tcW w:w="6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8.06</w:t>
            </w:r>
          </w:p>
        </w:tc>
        <w:tc>
          <w:tcPr>
            <w:tcW w:w="6260" w:type="dxa"/>
            <w:vAlign w:val="bottom"/>
          </w:tcPr>
          <w:p>
            <w:pPr>
              <w:spacing w:after="0"/>
              <w:rPr>
                <w:sz w:val="20"/>
                <w:szCs w:val="20"/>
                <w:color w:val="auto"/>
              </w:rPr>
            </w:pPr>
            <w:r>
              <w:rPr>
                <w:rFonts w:ascii="Arial" w:cs="Arial" w:eastAsia="Arial" w:hAnsi="Arial"/>
                <w:sz w:val="22"/>
                <w:szCs w:val="22"/>
                <w:color w:val="auto"/>
              </w:rPr>
              <w:t>Material Non-Public Information</w:t>
            </w:r>
          </w:p>
        </w:tc>
        <w:tc>
          <w:tcPr>
            <w:tcW w:w="6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66"/>
        </w:trPr>
        <w:tc>
          <w:tcPr>
            <w:tcW w:w="7680" w:type="dxa"/>
            <w:vAlign w:val="bottom"/>
            <w:gridSpan w:val="2"/>
          </w:tcPr>
          <w:p>
            <w:pPr>
              <w:spacing w:after="0"/>
              <w:rPr>
                <w:sz w:val="20"/>
                <w:szCs w:val="20"/>
                <w:color w:val="auto"/>
              </w:rPr>
            </w:pPr>
            <w:r>
              <w:rPr>
                <w:rFonts w:ascii="Arial" w:cs="Arial" w:eastAsia="Arial" w:hAnsi="Arial"/>
                <w:sz w:val="22"/>
                <w:szCs w:val="22"/>
                <w:color w:val="auto"/>
                <w:w w:val="99"/>
              </w:rPr>
              <w:t>ARTICLE IX TRANSFERS OF COMPANY INTERESTS; ADMISSION OF NEW</w:t>
            </w:r>
          </w:p>
        </w:tc>
        <w:tc>
          <w:tcPr>
            <w:tcW w:w="660" w:type="dxa"/>
            <w:vAlign w:val="bottom"/>
          </w:tcPr>
          <w:p>
            <w:pPr>
              <w:spacing w:after="0"/>
              <w:rPr>
                <w:sz w:val="23"/>
                <w:szCs w:val="23"/>
                <w:color w:val="auto"/>
              </w:rPr>
            </w:pPr>
          </w:p>
        </w:tc>
      </w:tr>
      <w:tr>
        <w:trPr>
          <w:trHeight w:val="275"/>
        </w:trPr>
        <w:tc>
          <w:tcPr>
            <w:tcW w:w="7680" w:type="dxa"/>
            <w:vAlign w:val="bottom"/>
            <w:gridSpan w:val="2"/>
          </w:tcPr>
          <w:p>
            <w:pPr>
              <w:spacing w:after="0"/>
              <w:rPr>
                <w:sz w:val="20"/>
                <w:szCs w:val="20"/>
                <w:color w:val="auto"/>
              </w:rPr>
            </w:pPr>
            <w:r>
              <w:rPr>
                <w:rFonts w:ascii="Arial" w:cs="Arial" w:eastAsia="Arial" w:hAnsi="Arial"/>
                <w:sz w:val="22"/>
                <w:szCs w:val="22"/>
                <w:color w:val="auto"/>
              </w:rPr>
              <w:t>MEMBERS; GM CALL</w:t>
            </w:r>
          </w:p>
        </w:tc>
        <w:tc>
          <w:tcPr>
            <w:tcW w:w="6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420" w:type="dxa"/>
            <w:vAlign w:val="bottom"/>
          </w:tcPr>
          <w:p>
            <w:pPr>
              <w:jc w:val="right"/>
              <w:spacing w:after="0"/>
              <w:rPr>
                <w:sz w:val="20"/>
                <w:szCs w:val="20"/>
                <w:color w:val="auto"/>
              </w:rPr>
            </w:pPr>
            <w:r>
              <w:rPr>
                <w:rFonts w:ascii="Arial" w:cs="Arial" w:eastAsia="Arial" w:hAnsi="Arial"/>
                <w:sz w:val="22"/>
                <w:szCs w:val="22"/>
                <w:color w:val="auto"/>
              </w:rPr>
              <w:t>9.01</w:t>
            </w:r>
          </w:p>
        </w:tc>
        <w:tc>
          <w:tcPr>
            <w:tcW w:w="6260" w:type="dxa"/>
            <w:vAlign w:val="bottom"/>
          </w:tcPr>
          <w:p>
            <w:pPr>
              <w:spacing w:after="0"/>
              <w:rPr>
                <w:sz w:val="20"/>
                <w:szCs w:val="20"/>
                <w:color w:val="auto"/>
              </w:rPr>
            </w:pPr>
            <w:r>
              <w:rPr>
                <w:rFonts w:ascii="Arial" w:cs="Arial" w:eastAsia="Arial" w:hAnsi="Arial"/>
                <w:sz w:val="22"/>
                <w:szCs w:val="22"/>
                <w:color w:val="auto"/>
              </w:rPr>
              <w:t>Limitations on Transfer</w:t>
            </w:r>
          </w:p>
        </w:tc>
        <w:tc>
          <w:tcPr>
            <w:tcW w:w="66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12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398" w:lineRule="exact"/>
        <w:rPr>
          <w:sz w:val="20"/>
          <w:szCs w:val="20"/>
          <w:color w:val="auto"/>
        </w:rPr>
      </w:pPr>
    </w:p>
    <w:tbl>
      <w:tblPr>
        <w:tblLayout w:type="fixed"/>
        <w:tblInd w:w="32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9.02</w:t>
            </w:r>
          </w:p>
        </w:tc>
        <w:tc>
          <w:tcPr>
            <w:tcW w:w="5940" w:type="dxa"/>
            <w:vAlign w:val="bottom"/>
          </w:tcPr>
          <w:p>
            <w:pPr>
              <w:ind w:left="40"/>
              <w:spacing w:after="0"/>
              <w:rPr>
                <w:sz w:val="20"/>
                <w:szCs w:val="20"/>
                <w:color w:val="auto"/>
              </w:rPr>
            </w:pPr>
            <w:r>
              <w:rPr>
                <w:rFonts w:ascii="Arial" w:cs="Arial" w:eastAsia="Arial" w:hAnsi="Arial"/>
                <w:sz w:val="22"/>
                <w:szCs w:val="22"/>
                <w:color w:val="auto"/>
              </w:rPr>
              <w:t>Permitted Transfers</w:t>
            </w:r>
          </w:p>
        </w:tc>
        <w:tc>
          <w:tcPr>
            <w:tcW w:w="10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9.03</w:t>
            </w:r>
          </w:p>
        </w:tc>
        <w:tc>
          <w:tcPr>
            <w:tcW w:w="5940" w:type="dxa"/>
            <w:vAlign w:val="bottom"/>
          </w:tcPr>
          <w:p>
            <w:pPr>
              <w:ind w:left="40"/>
              <w:spacing w:after="0"/>
              <w:rPr>
                <w:sz w:val="20"/>
                <w:szCs w:val="20"/>
                <w:color w:val="auto"/>
              </w:rPr>
            </w:pPr>
            <w:r>
              <w:rPr>
                <w:rFonts w:ascii="Arial" w:cs="Arial" w:eastAsia="Arial" w:hAnsi="Arial"/>
                <w:sz w:val="22"/>
                <w:szCs w:val="22"/>
                <w:color w:val="auto"/>
              </w:rPr>
              <w:t>Assignee’s Rights and Obligations</w:t>
            </w:r>
          </w:p>
        </w:tc>
        <w:tc>
          <w:tcPr>
            <w:tcW w:w="10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9.04</w:t>
            </w:r>
          </w:p>
        </w:tc>
        <w:tc>
          <w:tcPr>
            <w:tcW w:w="5940" w:type="dxa"/>
            <w:vAlign w:val="bottom"/>
          </w:tcPr>
          <w:p>
            <w:pPr>
              <w:ind w:left="40"/>
              <w:spacing w:after="0"/>
              <w:rPr>
                <w:sz w:val="20"/>
                <w:szCs w:val="20"/>
                <w:color w:val="auto"/>
              </w:rPr>
            </w:pPr>
            <w:r>
              <w:rPr>
                <w:rFonts w:ascii="Arial" w:cs="Arial" w:eastAsia="Arial" w:hAnsi="Arial"/>
                <w:sz w:val="22"/>
                <w:szCs w:val="22"/>
                <w:color w:val="auto"/>
              </w:rPr>
              <w:t>Admission of Members</w:t>
            </w:r>
          </w:p>
        </w:tc>
        <w:tc>
          <w:tcPr>
            <w:tcW w:w="10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9.05</w:t>
            </w:r>
          </w:p>
        </w:tc>
        <w:tc>
          <w:tcPr>
            <w:tcW w:w="5940" w:type="dxa"/>
            <w:vAlign w:val="bottom"/>
          </w:tcPr>
          <w:p>
            <w:pPr>
              <w:ind w:left="40"/>
              <w:spacing w:after="0"/>
              <w:rPr>
                <w:sz w:val="20"/>
                <w:szCs w:val="20"/>
                <w:color w:val="auto"/>
              </w:rPr>
            </w:pPr>
            <w:r>
              <w:rPr>
                <w:rFonts w:ascii="Arial" w:cs="Arial" w:eastAsia="Arial" w:hAnsi="Arial"/>
                <w:sz w:val="22"/>
                <w:szCs w:val="22"/>
                <w:color w:val="auto"/>
              </w:rPr>
              <w:t>Certain Requirements of Prospective Members</w:t>
            </w:r>
          </w:p>
        </w:tc>
        <w:tc>
          <w:tcPr>
            <w:tcW w:w="10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9.06</w:t>
            </w:r>
          </w:p>
        </w:tc>
        <w:tc>
          <w:tcPr>
            <w:tcW w:w="5940" w:type="dxa"/>
            <w:vAlign w:val="bottom"/>
          </w:tcPr>
          <w:p>
            <w:pPr>
              <w:ind w:left="40"/>
              <w:spacing w:after="0"/>
              <w:rPr>
                <w:sz w:val="20"/>
                <w:szCs w:val="20"/>
                <w:color w:val="auto"/>
              </w:rPr>
            </w:pPr>
            <w:r>
              <w:rPr>
                <w:rFonts w:ascii="Arial" w:cs="Arial" w:eastAsia="Arial" w:hAnsi="Arial"/>
                <w:sz w:val="22"/>
                <w:szCs w:val="22"/>
                <w:color w:val="auto"/>
              </w:rPr>
              <w:t>Status of Transferred Shares</w:t>
            </w:r>
          </w:p>
        </w:tc>
        <w:tc>
          <w:tcPr>
            <w:tcW w:w="10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9.07</w:t>
            </w:r>
          </w:p>
        </w:tc>
        <w:tc>
          <w:tcPr>
            <w:tcW w:w="5940" w:type="dxa"/>
            <w:vAlign w:val="bottom"/>
          </w:tcPr>
          <w:p>
            <w:pPr>
              <w:ind w:left="40"/>
              <w:spacing w:after="0"/>
              <w:rPr>
                <w:sz w:val="20"/>
                <w:szCs w:val="20"/>
                <w:color w:val="auto"/>
              </w:rPr>
            </w:pPr>
            <w:r>
              <w:rPr>
                <w:rFonts w:ascii="Arial" w:cs="Arial" w:eastAsia="Arial" w:hAnsi="Arial"/>
                <w:sz w:val="22"/>
                <w:szCs w:val="22"/>
                <w:color w:val="auto"/>
              </w:rPr>
              <w:t>Tag-Along Rights</w:t>
            </w:r>
          </w:p>
        </w:tc>
        <w:tc>
          <w:tcPr>
            <w:tcW w:w="10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9.08</w:t>
            </w:r>
          </w:p>
        </w:tc>
        <w:tc>
          <w:tcPr>
            <w:tcW w:w="5940" w:type="dxa"/>
            <w:vAlign w:val="bottom"/>
          </w:tcPr>
          <w:p>
            <w:pPr>
              <w:ind w:left="40"/>
              <w:spacing w:after="0"/>
              <w:rPr>
                <w:sz w:val="20"/>
                <w:szCs w:val="20"/>
                <w:color w:val="auto"/>
              </w:rPr>
            </w:pPr>
            <w:r>
              <w:rPr>
                <w:rFonts w:ascii="Arial" w:cs="Arial" w:eastAsia="Arial" w:hAnsi="Arial"/>
                <w:sz w:val="22"/>
                <w:szCs w:val="22"/>
                <w:color w:val="auto"/>
              </w:rPr>
              <w:t>Sale of the Company</w:t>
            </w:r>
          </w:p>
        </w:tc>
        <w:tc>
          <w:tcPr>
            <w:tcW w:w="10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9.09</w:t>
            </w:r>
          </w:p>
        </w:tc>
        <w:tc>
          <w:tcPr>
            <w:tcW w:w="5940" w:type="dxa"/>
            <w:vAlign w:val="bottom"/>
          </w:tcPr>
          <w:p>
            <w:pPr>
              <w:ind w:left="40"/>
              <w:spacing w:after="0"/>
              <w:rPr>
                <w:sz w:val="20"/>
                <w:szCs w:val="20"/>
                <w:color w:val="auto"/>
              </w:rPr>
            </w:pPr>
            <w:r>
              <w:rPr>
                <w:rFonts w:ascii="Arial" w:cs="Arial" w:eastAsia="Arial" w:hAnsi="Arial"/>
                <w:sz w:val="22"/>
                <w:szCs w:val="22"/>
                <w:color w:val="auto"/>
              </w:rPr>
              <w:t>Drag-Along</w:t>
            </w:r>
          </w:p>
        </w:tc>
        <w:tc>
          <w:tcPr>
            <w:tcW w:w="10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9.10</w:t>
            </w:r>
          </w:p>
        </w:tc>
        <w:tc>
          <w:tcPr>
            <w:tcW w:w="5940" w:type="dxa"/>
            <w:vAlign w:val="bottom"/>
          </w:tcPr>
          <w:p>
            <w:pPr>
              <w:ind w:left="40"/>
              <w:spacing w:after="0"/>
              <w:rPr>
                <w:sz w:val="20"/>
                <w:szCs w:val="20"/>
                <w:color w:val="auto"/>
              </w:rPr>
            </w:pPr>
            <w:r>
              <w:rPr>
                <w:rFonts w:ascii="Arial" w:cs="Arial" w:eastAsia="Arial" w:hAnsi="Arial"/>
                <w:sz w:val="22"/>
                <w:szCs w:val="22"/>
                <w:color w:val="auto"/>
              </w:rPr>
              <w:t>Public Offering</w:t>
            </w:r>
          </w:p>
        </w:tc>
        <w:tc>
          <w:tcPr>
            <w:tcW w:w="10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66"/>
        </w:trPr>
        <w:tc>
          <w:tcPr>
            <w:tcW w:w="1380" w:type="dxa"/>
            <w:vAlign w:val="bottom"/>
          </w:tcPr>
          <w:p>
            <w:pPr>
              <w:jc w:val="right"/>
              <w:spacing w:after="0"/>
              <w:rPr>
                <w:sz w:val="20"/>
                <w:szCs w:val="20"/>
                <w:color w:val="auto"/>
              </w:rPr>
            </w:pPr>
            <w:r>
              <w:rPr>
                <w:rFonts w:ascii="Arial" w:cs="Arial" w:eastAsia="Arial" w:hAnsi="Arial"/>
                <w:sz w:val="22"/>
                <w:szCs w:val="22"/>
                <w:color w:val="auto"/>
              </w:rPr>
              <w:t>9.11</w:t>
            </w:r>
          </w:p>
        </w:tc>
        <w:tc>
          <w:tcPr>
            <w:tcW w:w="5940" w:type="dxa"/>
            <w:vAlign w:val="bottom"/>
          </w:tcPr>
          <w:p>
            <w:pPr>
              <w:ind w:left="40"/>
              <w:spacing w:after="0"/>
              <w:rPr>
                <w:sz w:val="20"/>
                <w:szCs w:val="20"/>
                <w:color w:val="auto"/>
              </w:rPr>
            </w:pPr>
            <w:r>
              <w:rPr>
                <w:rFonts w:ascii="Arial" w:cs="Arial" w:eastAsia="Arial" w:hAnsi="Arial"/>
                <w:sz w:val="22"/>
                <w:szCs w:val="22"/>
                <w:color w:val="auto"/>
              </w:rPr>
              <w:t>Registration Rights; “Market Stand-Off” Agreement; Volume</w:t>
            </w:r>
          </w:p>
        </w:tc>
        <w:tc>
          <w:tcPr>
            <w:tcW w:w="1020" w:type="dxa"/>
            <w:vAlign w:val="bottom"/>
          </w:tcPr>
          <w:p>
            <w:pPr>
              <w:spacing w:after="0"/>
              <w:rPr>
                <w:sz w:val="23"/>
                <w:szCs w:val="23"/>
                <w:color w:val="auto"/>
              </w:rPr>
            </w:pPr>
          </w:p>
        </w:tc>
      </w:tr>
      <w:tr>
        <w:trPr>
          <w:trHeight w:val="275"/>
        </w:trPr>
        <w:tc>
          <w:tcPr>
            <w:tcW w:w="1380" w:type="dxa"/>
            <w:vAlign w:val="bottom"/>
          </w:tcPr>
          <w:p>
            <w:pPr>
              <w:spacing w:after="0"/>
              <w:rPr>
                <w:sz w:val="23"/>
                <w:szCs w:val="23"/>
                <w:color w:val="auto"/>
              </w:rPr>
            </w:pPr>
          </w:p>
        </w:tc>
        <w:tc>
          <w:tcPr>
            <w:tcW w:w="5940" w:type="dxa"/>
            <w:vAlign w:val="bottom"/>
          </w:tcPr>
          <w:p>
            <w:pPr>
              <w:ind w:left="40"/>
              <w:spacing w:after="0"/>
              <w:rPr>
                <w:sz w:val="20"/>
                <w:szCs w:val="20"/>
                <w:color w:val="auto"/>
              </w:rPr>
            </w:pPr>
            <w:r>
              <w:rPr>
                <w:rFonts w:ascii="Arial" w:cs="Arial" w:eastAsia="Arial" w:hAnsi="Arial"/>
                <w:sz w:val="22"/>
                <w:szCs w:val="22"/>
                <w:color w:val="auto"/>
              </w:rPr>
              <w:t>Restrictions</w:t>
            </w:r>
          </w:p>
        </w:tc>
        <w:tc>
          <w:tcPr>
            <w:tcW w:w="10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9.12</w:t>
            </w:r>
          </w:p>
        </w:tc>
        <w:tc>
          <w:tcPr>
            <w:tcW w:w="5940" w:type="dxa"/>
            <w:vAlign w:val="bottom"/>
          </w:tcPr>
          <w:p>
            <w:pPr>
              <w:ind w:left="40"/>
              <w:spacing w:after="0"/>
              <w:rPr>
                <w:sz w:val="20"/>
                <w:szCs w:val="20"/>
                <w:color w:val="auto"/>
              </w:rPr>
            </w:pPr>
            <w:r>
              <w:rPr>
                <w:rFonts w:ascii="Arial" w:cs="Arial" w:eastAsia="Arial" w:hAnsi="Arial"/>
                <w:sz w:val="22"/>
                <w:szCs w:val="22"/>
                <w:color w:val="auto"/>
              </w:rPr>
              <w:t>GM Call Right</w:t>
            </w:r>
          </w:p>
        </w:tc>
        <w:tc>
          <w:tcPr>
            <w:tcW w:w="10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9.13</w:t>
            </w:r>
          </w:p>
        </w:tc>
        <w:tc>
          <w:tcPr>
            <w:tcW w:w="5940" w:type="dxa"/>
            <w:vAlign w:val="bottom"/>
          </w:tcPr>
          <w:p>
            <w:pPr>
              <w:ind w:left="40"/>
              <w:spacing w:after="0"/>
              <w:rPr>
                <w:sz w:val="20"/>
                <w:szCs w:val="20"/>
                <w:color w:val="auto"/>
              </w:rPr>
            </w:pPr>
            <w:r>
              <w:rPr>
                <w:rFonts w:ascii="Arial" w:cs="Arial" w:eastAsia="Arial" w:hAnsi="Arial"/>
                <w:sz w:val="22"/>
                <w:szCs w:val="22"/>
                <w:color w:val="auto"/>
              </w:rPr>
              <w:t>Optional SoftBank Conversion</w:t>
            </w:r>
          </w:p>
        </w:tc>
        <w:tc>
          <w:tcPr>
            <w:tcW w:w="10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7320" w:type="dxa"/>
            <w:vAlign w:val="bottom"/>
            <w:gridSpan w:val="2"/>
          </w:tcPr>
          <w:p>
            <w:pPr>
              <w:spacing w:after="0"/>
              <w:rPr>
                <w:sz w:val="20"/>
                <w:szCs w:val="20"/>
                <w:color w:val="auto"/>
              </w:rPr>
            </w:pPr>
            <w:r>
              <w:rPr>
                <w:rFonts w:ascii="Arial" w:cs="Arial" w:eastAsia="Arial" w:hAnsi="Arial"/>
                <w:sz w:val="22"/>
                <w:szCs w:val="22"/>
                <w:color w:val="auto"/>
              </w:rPr>
              <w:t>ARTICLE X DISSOLUTION</w:t>
            </w:r>
          </w:p>
        </w:tc>
        <w:tc>
          <w:tcPr>
            <w:tcW w:w="10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10.01</w:t>
            </w:r>
          </w:p>
        </w:tc>
        <w:tc>
          <w:tcPr>
            <w:tcW w:w="5940" w:type="dxa"/>
            <w:vAlign w:val="bottom"/>
          </w:tcPr>
          <w:p>
            <w:pPr>
              <w:ind w:left="40"/>
              <w:spacing w:after="0"/>
              <w:rPr>
                <w:sz w:val="20"/>
                <w:szCs w:val="20"/>
                <w:color w:val="auto"/>
              </w:rPr>
            </w:pPr>
            <w:r>
              <w:rPr>
                <w:rFonts w:ascii="Arial" w:cs="Arial" w:eastAsia="Arial" w:hAnsi="Arial"/>
                <w:sz w:val="22"/>
                <w:szCs w:val="22"/>
                <w:color w:val="auto"/>
              </w:rPr>
              <w:t>Events of Dissolution</w:t>
            </w:r>
          </w:p>
        </w:tc>
        <w:tc>
          <w:tcPr>
            <w:tcW w:w="10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10.02</w:t>
            </w:r>
          </w:p>
        </w:tc>
        <w:tc>
          <w:tcPr>
            <w:tcW w:w="5940" w:type="dxa"/>
            <w:vAlign w:val="bottom"/>
          </w:tcPr>
          <w:p>
            <w:pPr>
              <w:ind w:left="40"/>
              <w:spacing w:after="0"/>
              <w:rPr>
                <w:sz w:val="20"/>
                <w:szCs w:val="20"/>
                <w:color w:val="auto"/>
              </w:rPr>
            </w:pPr>
            <w:r>
              <w:rPr>
                <w:rFonts w:ascii="Arial" w:cs="Arial" w:eastAsia="Arial" w:hAnsi="Arial"/>
                <w:sz w:val="22"/>
                <w:szCs w:val="22"/>
                <w:color w:val="auto"/>
              </w:rPr>
              <w:t>Liquidation and Termination</w:t>
            </w:r>
          </w:p>
        </w:tc>
        <w:tc>
          <w:tcPr>
            <w:tcW w:w="10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10.03</w:t>
            </w:r>
          </w:p>
        </w:tc>
        <w:tc>
          <w:tcPr>
            <w:tcW w:w="5940" w:type="dxa"/>
            <w:vAlign w:val="bottom"/>
          </w:tcPr>
          <w:p>
            <w:pPr>
              <w:ind w:left="40"/>
              <w:spacing w:after="0"/>
              <w:rPr>
                <w:sz w:val="20"/>
                <w:szCs w:val="20"/>
                <w:color w:val="auto"/>
              </w:rPr>
            </w:pPr>
            <w:r>
              <w:rPr>
                <w:rFonts w:ascii="Arial" w:cs="Arial" w:eastAsia="Arial" w:hAnsi="Arial"/>
                <w:sz w:val="22"/>
                <w:szCs w:val="22"/>
                <w:color w:val="auto"/>
              </w:rPr>
              <w:t>Cancellation of Certificate</w:t>
            </w:r>
          </w:p>
        </w:tc>
        <w:tc>
          <w:tcPr>
            <w:tcW w:w="10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7320" w:type="dxa"/>
            <w:vAlign w:val="bottom"/>
            <w:gridSpan w:val="2"/>
          </w:tcPr>
          <w:p>
            <w:pPr>
              <w:spacing w:after="0"/>
              <w:rPr>
                <w:sz w:val="20"/>
                <w:szCs w:val="20"/>
                <w:color w:val="auto"/>
              </w:rPr>
            </w:pPr>
            <w:r>
              <w:rPr>
                <w:rFonts w:ascii="Arial" w:cs="Arial" w:eastAsia="Arial" w:hAnsi="Arial"/>
                <w:sz w:val="22"/>
                <w:szCs w:val="22"/>
                <w:color w:val="auto"/>
              </w:rPr>
              <w:t>ARTICLE XI EXCLUSIVITY; NON-COMPETE</w:t>
            </w:r>
          </w:p>
        </w:tc>
        <w:tc>
          <w:tcPr>
            <w:tcW w:w="10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11.01</w:t>
            </w:r>
          </w:p>
        </w:tc>
        <w:tc>
          <w:tcPr>
            <w:tcW w:w="5940" w:type="dxa"/>
            <w:vAlign w:val="bottom"/>
          </w:tcPr>
          <w:p>
            <w:pPr>
              <w:ind w:left="40"/>
              <w:spacing w:after="0"/>
              <w:rPr>
                <w:sz w:val="20"/>
                <w:szCs w:val="20"/>
                <w:color w:val="auto"/>
              </w:rPr>
            </w:pPr>
            <w:r>
              <w:rPr>
                <w:rFonts w:ascii="Arial" w:cs="Arial" w:eastAsia="Arial" w:hAnsi="Arial"/>
                <w:sz w:val="22"/>
                <w:szCs w:val="22"/>
                <w:color w:val="auto"/>
              </w:rPr>
              <w:t>Exclusivity</w:t>
            </w:r>
          </w:p>
        </w:tc>
        <w:tc>
          <w:tcPr>
            <w:tcW w:w="10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11.02</w:t>
            </w:r>
          </w:p>
        </w:tc>
        <w:tc>
          <w:tcPr>
            <w:tcW w:w="5940" w:type="dxa"/>
            <w:vAlign w:val="bottom"/>
          </w:tcPr>
          <w:p>
            <w:pPr>
              <w:ind w:left="40"/>
              <w:spacing w:after="0"/>
              <w:rPr>
                <w:sz w:val="20"/>
                <w:szCs w:val="20"/>
                <w:color w:val="auto"/>
              </w:rPr>
            </w:pPr>
            <w:r>
              <w:rPr>
                <w:rFonts w:ascii="Arial" w:cs="Arial" w:eastAsia="Arial" w:hAnsi="Arial"/>
                <w:sz w:val="22"/>
                <w:szCs w:val="22"/>
                <w:color w:val="auto"/>
              </w:rPr>
              <w:t>Non-Compete</w:t>
            </w:r>
          </w:p>
        </w:tc>
        <w:tc>
          <w:tcPr>
            <w:tcW w:w="10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7320" w:type="dxa"/>
            <w:vAlign w:val="bottom"/>
            <w:gridSpan w:val="2"/>
          </w:tcPr>
          <w:p>
            <w:pPr>
              <w:spacing w:after="0"/>
              <w:rPr>
                <w:sz w:val="20"/>
                <w:szCs w:val="20"/>
                <w:color w:val="auto"/>
              </w:rPr>
            </w:pPr>
            <w:r>
              <w:rPr>
                <w:rFonts w:ascii="Arial" w:cs="Arial" w:eastAsia="Arial" w:hAnsi="Arial"/>
                <w:sz w:val="22"/>
                <w:szCs w:val="22"/>
                <w:color w:val="auto"/>
              </w:rPr>
              <w:t>ARTICLE XII GENERAL PROVISIONS</w:t>
            </w:r>
          </w:p>
        </w:tc>
        <w:tc>
          <w:tcPr>
            <w:tcW w:w="10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12.01</w:t>
            </w:r>
          </w:p>
        </w:tc>
        <w:tc>
          <w:tcPr>
            <w:tcW w:w="5940" w:type="dxa"/>
            <w:vAlign w:val="bottom"/>
          </w:tcPr>
          <w:p>
            <w:pPr>
              <w:ind w:left="40"/>
              <w:spacing w:after="0"/>
              <w:rPr>
                <w:sz w:val="20"/>
                <w:szCs w:val="20"/>
                <w:color w:val="auto"/>
              </w:rPr>
            </w:pPr>
            <w:r>
              <w:rPr>
                <w:rFonts w:ascii="Arial" w:cs="Arial" w:eastAsia="Arial" w:hAnsi="Arial"/>
                <w:sz w:val="22"/>
                <w:szCs w:val="22"/>
                <w:color w:val="auto"/>
              </w:rPr>
              <w:t>Expenses</w:t>
            </w:r>
          </w:p>
        </w:tc>
        <w:tc>
          <w:tcPr>
            <w:tcW w:w="10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12.02</w:t>
            </w:r>
          </w:p>
        </w:tc>
        <w:tc>
          <w:tcPr>
            <w:tcW w:w="5940" w:type="dxa"/>
            <w:vAlign w:val="bottom"/>
          </w:tcPr>
          <w:p>
            <w:pPr>
              <w:ind w:left="40"/>
              <w:spacing w:after="0"/>
              <w:rPr>
                <w:sz w:val="20"/>
                <w:szCs w:val="20"/>
                <w:color w:val="auto"/>
              </w:rPr>
            </w:pPr>
            <w:r>
              <w:rPr>
                <w:rFonts w:ascii="Arial" w:cs="Arial" w:eastAsia="Arial" w:hAnsi="Arial"/>
                <w:sz w:val="22"/>
                <w:szCs w:val="22"/>
                <w:color w:val="auto"/>
              </w:rPr>
              <w:t>No Third-Party Rights</w:t>
            </w:r>
          </w:p>
        </w:tc>
        <w:tc>
          <w:tcPr>
            <w:tcW w:w="10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12.03</w:t>
            </w:r>
          </w:p>
        </w:tc>
        <w:tc>
          <w:tcPr>
            <w:tcW w:w="5940" w:type="dxa"/>
            <w:vAlign w:val="bottom"/>
          </w:tcPr>
          <w:p>
            <w:pPr>
              <w:ind w:left="40"/>
              <w:spacing w:after="0"/>
              <w:rPr>
                <w:sz w:val="20"/>
                <w:szCs w:val="20"/>
                <w:color w:val="auto"/>
              </w:rPr>
            </w:pPr>
            <w:r>
              <w:rPr>
                <w:rFonts w:ascii="Arial" w:cs="Arial" w:eastAsia="Arial" w:hAnsi="Arial"/>
                <w:sz w:val="22"/>
                <w:szCs w:val="22"/>
                <w:color w:val="auto"/>
              </w:rPr>
              <w:t>Legend on Certificates for Certificated Shares</w:t>
            </w:r>
          </w:p>
        </w:tc>
        <w:tc>
          <w:tcPr>
            <w:tcW w:w="10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12.04</w:t>
            </w:r>
          </w:p>
        </w:tc>
        <w:tc>
          <w:tcPr>
            <w:tcW w:w="5940" w:type="dxa"/>
            <w:vAlign w:val="bottom"/>
          </w:tcPr>
          <w:p>
            <w:pPr>
              <w:ind w:left="40"/>
              <w:spacing w:after="0"/>
              <w:rPr>
                <w:sz w:val="20"/>
                <w:szCs w:val="20"/>
                <w:color w:val="auto"/>
              </w:rPr>
            </w:pPr>
            <w:r>
              <w:rPr>
                <w:rFonts w:ascii="Arial" w:cs="Arial" w:eastAsia="Arial" w:hAnsi="Arial"/>
                <w:sz w:val="22"/>
                <w:szCs w:val="22"/>
                <w:color w:val="auto"/>
              </w:rPr>
              <w:t>Confidentiality</w:t>
            </w:r>
          </w:p>
        </w:tc>
        <w:tc>
          <w:tcPr>
            <w:tcW w:w="10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12.05</w:t>
            </w:r>
          </w:p>
        </w:tc>
        <w:tc>
          <w:tcPr>
            <w:tcW w:w="5940" w:type="dxa"/>
            <w:vAlign w:val="bottom"/>
          </w:tcPr>
          <w:p>
            <w:pPr>
              <w:ind w:left="40"/>
              <w:spacing w:after="0"/>
              <w:rPr>
                <w:sz w:val="20"/>
                <w:szCs w:val="20"/>
                <w:color w:val="auto"/>
              </w:rPr>
            </w:pPr>
            <w:r>
              <w:rPr>
                <w:rFonts w:ascii="Arial" w:cs="Arial" w:eastAsia="Arial" w:hAnsi="Arial"/>
                <w:sz w:val="22"/>
                <w:szCs w:val="22"/>
                <w:color w:val="auto"/>
              </w:rPr>
              <w:t>Power of Attorney</w:t>
            </w:r>
          </w:p>
        </w:tc>
        <w:tc>
          <w:tcPr>
            <w:tcW w:w="10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12.06</w:t>
            </w:r>
          </w:p>
        </w:tc>
        <w:tc>
          <w:tcPr>
            <w:tcW w:w="5940" w:type="dxa"/>
            <w:vAlign w:val="bottom"/>
          </w:tcPr>
          <w:p>
            <w:pPr>
              <w:ind w:left="40"/>
              <w:spacing w:after="0"/>
              <w:rPr>
                <w:sz w:val="20"/>
                <w:szCs w:val="20"/>
                <w:color w:val="auto"/>
              </w:rPr>
            </w:pPr>
            <w:r>
              <w:rPr>
                <w:rFonts w:ascii="Arial" w:cs="Arial" w:eastAsia="Arial" w:hAnsi="Arial"/>
                <w:sz w:val="22"/>
                <w:szCs w:val="22"/>
                <w:color w:val="auto"/>
              </w:rPr>
              <w:t>Notices</w:t>
            </w:r>
          </w:p>
        </w:tc>
        <w:tc>
          <w:tcPr>
            <w:tcW w:w="10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12.07</w:t>
            </w:r>
          </w:p>
        </w:tc>
        <w:tc>
          <w:tcPr>
            <w:tcW w:w="5940" w:type="dxa"/>
            <w:vAlign w:val="bottom"/>
          </w:tcPr>
          <w:p>
            <w:pPr>
              <w:ind w:left="40"/>
              <w:spacing w:after="0"/>
              <w:rPr>
                <w:sz w:val="20"/>
                <w:szCs w:val="20"/>
                <w:color w:val="auto"/>
              </w:rPr>
            </w:pPr>
            <w:r>
              <w:rPr>
                <w:rFonts w:ascii="Arial" w:cs="Arial" w:eastAsia="Arial" w:hAnsi="Arial"/>
                <w:sz w:val="22"/>
                <w:szCs w:val="22"/>
                <w:color w:val="auto"/>
              </w:rPr>
              <w:t>Facsimile and E-Mail</w:t>
            </w:r>
          </w:p>
        </w:tc>
        <w:tc>
          <w:tcPr>
            <w:tcW w:w="10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12.08</w:t>
            </w:r>
          </w:p>
        </w:tc>
        <w:tc>
          <w:tcPr>
            <w:tcW w:w="5940" w:type="dxa"/>
            <w:vAlign w:val="bottom"/>
          </w:tcPr>
          <w:p>
            <w:pPr>
              <w:ind w:left="40"/>
              <w:spacing w:after="0"/>
              <w:rPr>
                <w:sz w:val="20"/>
                <w:szCs w:val="20"/>
                <w:color w:val="auto"/>
              </w:rPr>
            </w:pPr>
            <w:r>
              <w:rPr>
                <w:rFonts w:ascii="Arial" w:cs="Arial" w:eastAsia="Arial" w:hAnsi="Arial"/>
                <w:sz w:val="22"/>
                <w:szCs w:val="22"/>
                <w:color w:val="auto"/>
              </w:rPr>
              <w:t>Amendment</w:t>
            </w:r>
          </w:p>
        </w:tc>
        <w:tc>
          <w:tcPr>
            <w:tcW w:w="10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12.09</w:t>
            </w:r>
          </w:p>
        </w:tc>
        <w:tc>
          <w:tcPr>
            <w:tcW w:w="5940" w:type="dxa"/>
            <w:vAlign w:val="bottom"/>
          </w:tcPr>
          <w:p>
            <w:pPr>
              <w:ind w:left="40"/>
              <w:spacing w:after="0"/>
              <w:rPr>
                <w:sz w:val="20"/>
                <w:szCs w:val="20"/>
                <w:color w:val="auto"/>
              </w:rPr>
            </w:pPr>
            <w:r>
              <w:rPr>
                <w:rFonts w:ascii="Arial" w:cs="Arial" w:eastAsia="Arial" w:hAnsi="Arial"/>
                <w:sz w:val="22"/>
                <w:szCs w:val="22"/>
                <w:color w:val="auto"/>
              </w:rPr>
              <w:t>Tax and Other Advice</w:t>
            </w:r>
          </w:p>
        </w:tc>
        <w:tc>
          <w:tcPr>
            <w:tcW w:w="10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12.10</w:t>
            </w:r>
          </w:p>
        </w:tc>
        <w:tc>
          <w:tcPr>
            <w:tcW w:w="5940" w:type="dxa"/>
            <w:vAlign w:val="bottom"/>
          </w:tcPr>
          <w:p>
            <w:pPr>
              <w:ind w:left="40"/>
              <w:spacing w:after="0"/>
              <w:rPr>
                <w:sz w:val="20"/>
                <w:szCs w:val="20"/>
                <w:color w:val="auto"/>
              </w:rPr>
            </w:pPr>
            <w:r>
              <w:rPr>
                <w:rFonts w:ascii="Arial" w:cs="Arial" w:eastAsia="Arial" w:hAnsi="Arial"/>
                <w:sz w:val="22"/>
                <w:szCs w:val="22"/>
                <w:color w:val="auto"/>
              </w:rPr>
              <w:t>Acknowledgments</w:t>
            </w:r>
          </w:p>
        </w:tc>
        <w:tc>
          <w:tcPr>
            <w:tcW w:w="10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12.11</w:t>
            </w:r>
          </w:p>
        </w:tc>
        <w:tc>
          <w:tcPr>
            <w:tcW w:w="5940" w:type="dxa"/>
            <w:vAlign w:val="bottom"/>
          </w:tcPr>
          <w:p>
            <w:pPr>
              <w:ind w:left="40"/>
              <w:spacing w:after="0"/>
              <w:rPr>
                <w:sz w:val="20"/>
                <w:szCs w:val="20"/>
                <w:color w:val="auto"/>
              </w:rPr>
            </w:pPr>
            <w:r>
              <w:rPr>
                <w:rFonts w:ascii="Arial" w:cs="Arial" w:eastAsia="Arial" w:hAnsi="Arial"/>
                <w:sz w:val="22"/>
                <w:szCs w:val="22"/>
                <w:color w:val="auto"/>
              </w:rPr>
              <w:t>Miscellaneous</w:t>
            </w:r>
          </w:p>
        </w:tc>
        <w:tc>
          <w:tcPr>
            <w:tcW w:w="10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12.12</w:t>
            </w:r>
          </w:p>
        </w:tc>
        <w:tc>
          <w:tcPr>
            <w:tcW w:w="5940" w:type="dxa"/>
            <w:vAlign w:val="bottom"/>
          </w:tcPr>
          <w:p>
            <w:pPr>
              <w:ind w:left="40"/>
              <w:spacing w:after="0"/>
              <w:rPr>
                <w:sz w:val="20"/>
                <w:szCs w:val="20"/>
                <w:color w:val="auto"/>
              </w:rPr>
            </w:pPr>
            <w:r>
              <w:rPr>
                <w:rFonts w:ascii="Arial" w:cs="Arial" w:eastAsia="Arial" w:hAnsi="Arial"/>
                <w:sz w:val="22"/>
                <w:szCs w:val="22"/>
                <w:color w:val="auto"/>
              </w:rPr>
              <w:t>Title to Company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12.13</w:t>
            </w:r>
          </w:p>
        </w:tc>
        <w:tc>
          <w:tcPr>
            <w:tcW w:w="5940" w:type="dxa"/>
            <w:vAlign w:val="bottom"/>
          </w:tcPr>
          <w:p>
            <w:pPr>
              <w:ind w:left="40"/>
              <w:spacing w:after="0"/>
              <w:rPr>
                <w:sz w:val="20"/>
                <w:szCs w:val="20"/>
                <w:color w:val="auto"/>
              </w:rPr>
            </w:pPr>
            <w:r>
              <w:rPr>
                <w:rFonts w:ascii="Arial" w:cs="Arial" w:eastAsia="Arial" w:hAnsi="Arial"/>
                <w:sz w:val="22"/>
                <w:szCs w:val="22"/>
                <w:color w:val="auto"/>
              </w:rPr>
              <w:t>Creditors</w:t>
            </w:r>
          </w:p>
        </w:tc>
        <w:tc>
          <w:tcPr>
            <w:tcW w:w="10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12.14</w:t>
            </w:r>
          </w:p>
        </w:tc>
        <w:tc>
          <w:tcPr>
            <w:tcW w:w="5940" w:type="dxa"/>
            <w:vAlign w:val="bottom"/>
          </w:tcPr>
          <w:p>
            <w:pPr>
              <w:ind w:left="40"/>
              <w:spacing w:after="0"/>
              <w:rPr>
                <w:sz w:val="20"/>
                <w:szCs w:val="20"/>
                <w:color w:val="auto"/>
              </w:rPr>
            </w:pPr>
            <w:r>
              <w:rPr>
                <w:rFonts w:ascii="Arial" w:cs="Arial" w:eastAsia="Arial" w:hAnsi="Arial"/>
                <w:sz w:val="22"/>
                <w:szCs w:val="22"/>
                <w:color w:val="auto"/>
              </w:rPr>
              <w:t>Remedies</w:t>
            </w:r>
          </w:p>
        </w:tc>
        <w:tc>
          <w:tcPr>
            <w:tcW w:w="10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12.15</w:t>
            </w:r>
          </w:p>
        </w:tc>
        <w:tc>
          <w:tcPr>
            <w:tcW w:w="5940" w:type="dxa"/>
            <w:vAlign w:val="bottom"/>
          </w:tcPr>
          <w:p>
            <w:pPr>
              <w:ind w:left="40"/>
              <w:spacing w:after="0"/>
              <w:rPr>
                <w:sz w:val="20"/>
                <w:szCs w:val="20"/>
                <w:color w:val="auto"/>
              </w:rPr>
            </w:pPr>
            <w:r>
              <w:rPr>
                <w:rFonts w:ascii="Arial" w:cs="Arial" w:eastAsia="Arial" w:hAnsi="Arial"/>
                <w:sz w:val="22"/>
                <w:szCs w:val="22"/>
                <w:color w:val="auto"/>
              </w:rPr>
              <w:t>Time is of the Essence; Computation of Time</w:t>
            </w:r>
          </w:p>
        </w:tc>
        <w:tc>
          <w:tcPr>
            <w:tcW w:w="10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12.16</w:t>
            </w:r>
          </w:p>
        </w:tc>
        <w:tc>
          <w:tcPr>
            <w:tcW w:w="5940" w:type="dxa"/>
            <w:vAlign w:val="bottom"/>
          </w:tcPr>
          <w:p>
            <w:pPr>
              <w:ind w:left="40"/>
              <w:spacing w:after="0"/>
              <w:rPr>
                <w:sz w:val="20"/>
                <w:szCs w:val="20"/>
                <w:color w:val="auto"/>
              </w:rPr>
            </w:pPr>
            <w:r>
              <w:rPr>
                <w:rFonts w:ascii="Arial" w:cs="Arial" w:eastAsia="Arial" w:hAnsi="Arial"/>
                <w:sz w:val="22"/>
                <w:szCs w:val="22"/>
                <w:color w:val="auto"/>
              </w:rPr>
              <w:t>Notice to Members of Provisions</w:t>
            </w:r>
          </w:p>
        </w:tc>
        <w:tc>
          <w:tcPr>
            <w:tcW w:w="10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12.17</w:t>
            </w:r>
          </w:p>
        </w:tc>
        <w:tc>
          <w:tcPr>
            <w:tcW w:w="5940" w:type="dxa"/>
            <w:vAlign w:val="bottom"/>
          </w:tcPr>
          <w:p>
            <w:pPr>
              <w:ind w:left="40"/>
              <w:spacing w:after="0"/>
              <w:rPr>
                <w:sz w:val="20"/>
                <w:szCs w:val="20"/>
                <w:color w:val="auto"/>
              </w:rPr>
            </w:pPr>
            <w:r>
              <w:rPr>
                <w:rFonts w:ascii="Arial" w:cs="Arial" w:eastAsia="Arial" w:hAnsi="Arial"/>
                <w:sz w:val="22"/>
                <w:szCs w:val="22"/>
                <w:color w:val="auto"/>
              </w:rPr>
              <w:t>Further Assurances</w:t>
            </w:r>
          </w:p>
        </w:tc>
        <w:tc>
          <w:tcPr>
            <w:tcW w:w="10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380" w:type="dxa"/>
            <w:vAlign w:val="bottom"/>
          </w:tcPr>
          <w:p>
            <w:pPr>
              <w:jc w:val="right"/>
              <w:spacing w:after="0"/>
              <w:rPr>
                <w:sz w:val="20"/>
                <w:szCs w:val="20"/>
                <w:color w:val="auto"/>
              </w:rPr>
            </w:pPr>
            <w:r>
              <w:rPr>
                <w:rFonts w:ascii="Arial" w:cs="Arial" w:eastAsia="Arial" w:hAnsi="Arial"/>
                <w:sz w:val="22"/>
                <w:szCs w:val="22"/>
                <w:color w:val="auto"/>
              </w:rPr>
              <w:t>12.18</w:t>
            </w:r>
          </w:p>
        </w:tc>
        <w:tc>
          <w:tcPr>
            <w:tcW w:w="5940" w:type="dxa"/>
            <w:vAlign w:val="bottom"/>
          </w:tcPr>
          <w:p>
            <w:pPr>
              <w:ind w:left="40"/>
              <w:spacing w:after="0"/>
              <w:rPr>
                <w:sz w:val="20"/>
                <w:szCs w:val="20"/>
                <w:color w:val="auto"/>
              </w:rPr>
            </w:pPr>
            <w:r>
              <w:rPr>
                <w:rFonts w:ascii="Arial" w:cs="Arial" w:eastAsia="Arial" w:hAnsi="Arial"/>
                <w:sz w:val="22"/>
                <w:szCs w:val="22"/>
                <w:color w:val="auto"/>
              </w:rPr>
              <w:t>Termination</w:t>
            </w:r>
          </w:p>
        </w:tc>
        <w:tc>
          <w:tcPr>
            <w:tcW w:w="1020" w:type="dxa"/>
            <w:vAlign w:val="bottom"/>
          </w:tcPr>
          <w:p>
            <w:pPr>
              <w:jc w:val="right"/>
              <w:spacing w:after="0"/>
              <w:rPr>
                <w:sz w:val="20"/>
                <w:szCs w:val="20"/>
                <w:color w:val="auto"/>
              </w:rPr>
            </w:pPr>
            <w:r>
              <w:rPr>
                <w:rFonts w:ascii="Arial" w:cs="Arial" w:eastAsia="Arial" w:hAnsi="Arial"/>
                <w:sz w:val="22"/>
                <w:szCs w:val="22"/>
                <w:color w:val="auto"/>
              </w:rPr>
              <w:t>80</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126" w:right="1440"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22"/>
          <w:szCs w:val="22"/>
          <w:b w:val="1"/>
          <w:bCs w:val="1"/>
          <w:color w:val="auto"/>
        </w:rPr>
        <w:t>GM CRUISE HOLDINGS LLC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AMENDED AND RESTATED LIMITED LIABILITY COMPANY AGREEMENT</w:t>
      </w:r>
    </w:p>
    <w:p>
      <w:pPr>
        <w:spacing w:after="0" w:line="2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FIFTH AMENDED AND RESTATED LIMITED LIABILITY COMPANY AGREEMENT for GM Cruise Holdings LLC (the “</w:t>
      </w:r>
      <w:r>
        <w:rPr>
          <w:rFonts w:ascii="Arial" w:cs="Arial" w:eastAsia="Arial" w:hAnsi="Arial"/>
          <w:sz w:val="19"/>
          <w:szCs w:val="19"/>
          <w:b w:val="1"/>
          <w:bCs w:val="1"/>
          <w:color w:val="auto"/>
        </w:rPr>
        <w:t>Company</w:t>
      </w:r>
      <w:r>
        <w:rPr>
          <w:rFonts w:ascii="Arial" w:cs="Arial" w:eastAsia="Arial" w:hAnsi="Arial"/>
          <w:sz w:val="19"/>
          <w:szCs w:val="19"/>
          <w:color w:val="auto"/>
        </w:rPr>
        <w:t>”), dated as of December 18, 2019, is entered into by and among the Company, General Motors Holdings LLC, a Delaware limited liability company (“</w:t>
      </w:r>
      <w:r>
        <w:rPr>
          <w:rFonts w:ascii="Arial" w:cs="Arial" w:eastAsia="Arial" w:hAnsi="Arial"/>
          <w:sz w:val="19"/>
          <w:szCs w:val="19"/>
          <w:b w:val="1"/>
          <w:bCs w:val="1"/>
          <w:color w:val="auto"/>
        </w:rPr>
        <w:t>GM</w:t>
      </w:r>
      <w:r>
        <w:rPr>
          <w:rFonts w:ascii="Arial" w:cs="Arial" w:eastAsia="Arial" w:hAnsi="Arial"/>
          <w:sz w:val="19"/>
          <w:szCs w:val="19"/>
          <w:color w:val="auto"/>
        </w:rPr>
        <w:t>”), SoftBank Vision Fund (AIV M2) L.P., a Delaware limited partnership (“</w:t>
      </w:r>
      <w:r>
        <w:rPr>
          <w:rFonts w:ascii="Arial" w:cs="Arial" w:eastAsia="Arial" w:hAnsi="Arial"/>
          <w:sz w:val="19"/>
          <w:szCs w:val="19"/>
          <w:b w:val="1"/>
          <w:bCs w:val="1"/>
          <w:color w:val="auto"/>
        </w:rPr>
        <w:t>SoftBank</w:t>
      </w:r>
      <w:r>
        <w:rPr>
          <w:rFonts w:ascii="Arial" w:cs="Arial" w:eastAsia="Arial" w:hAnsi="Arial"/>
          <w:sz w:val="19"/>
          <w:szCs w:val="19"/>
          <w:color w:val="auto"/>
        </w:rPr>
        <w:t>”), Honda Motor Co., Ltd., a Japanese company (“</w:t>
      </w:r>
      <w:r>
        <w:rPr>
          <w:rFonts w:ascii="Arial" w:cs="Arial" w:eastAsia="Arial" w:hAnsi="Arial"/>
          <w:sz w:val="19"/>
          <w:szCs w:val="19"/>
          <w:b w:val="1"/>
          <w:bCs w:val="1"/>
          <w:color w:val="auto"/>
        </w:rPr>
        <w:t>Honda</w:t>
      </w:r>
      <w:r>
        <w:rPr>
          <w:rFonts w:ascii="Arial" w:cs="Arial" w:eastAsia="Arial" w:hAnsi="Arial"/>
          <w:sz w:val="19"/>
          <w:szCs w:val="19"/>
          <w:color w:val="auto"/>
        </w:rPr>
        <w:t>”),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any and all Persons who are Members as of the date hereof or who hereafter become Members. Certain capitalized terms used herein are defined in Appendix 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33" w:lineRule="exact"/>
        <w:rPr>
          <w:sz w:val="20"/>
          <w:szCs w:val="20"/>
          <w:color w:val="auto"/>
        </w:rPr>
      </w:pPr>
    </w:p>
    <w:p>
      <w:pPr>
        <w:ind w:firstLine="656"/>
        <w:spacing w:after="0" w:line="276" w:lineRule="auto"/>
        <w:tabs>
          <w:tab w:leader="none" w:pos="11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was formed as a Delaware limited liability company effective on May 23, 2018 by the filing of a Certificate of Formation with the Delaware Secretary of State.</w:t>
      </w:r>
    </w:p>
    <w:p>
      <w:pPr>
        <w:spacing w:after="0" w:line="174" w:lineRule="exact"/>
        <w:rPr>
          <w:rFonts w:ascii="Arial" w:cs="Arial" w:eastAsia="Arial" w:hAnsi="Arial"/>
          <w:sz w:val="22"/>
          <w:szCs w:val="22"/>
          <w:color w:val="auto"/>
        </w:rPr>
      </w:pPr>
    </w:p>
    <w:p>
      <w:pPr>
        <w:ind w:firstLine="656"/>
        <w:spacing w:after="0" w:line="289" w:lineRule="auto"/>
        <w:tabs>
          <w:tab w:leader="none" w:pos="1161" w:val="left"/>
        </w:tabs>
        <w:numPr>
          <w:ilvl w:val="0"/>
          <w:numId w:val="48"/>
        </w:numPr>
        <w:rPr>
          <w:rFonts w:ascii="Arial" w:cs="Arial" w:eastAsia="Arial" w:hAnsi="Arial"/>
          <w:sz w:val="22"/>
          <w:szCs w:val="22"/>
          <w:color w:val="auto"/>
        </w:rPr>
      </w:pPr>
      <w:r>
        <w:rPr>
          <w:rFonts w:ascii="Arial" w:cs="Arial" w:eastAsia="Arial" w:hAnsi="Arial"/>
          <w:sz w:val="22"/>
          <w:szCs w:val="22"/>
          <w:color w:val="auto"/>
        </w:rPr>
        <w:t>On May 23, 2018, GM, the initial and sole member of the Company, entered into a Limited Liability Company Agreement of the Company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89" w:lineRule="auto"/>
        <w:tabs>
          <w:tab w:leader="none" w:pos="1094" w:val="left"/>
        </w:tabs>
        <w:numPr>
          <w:ilvl w:val="0"/>
          <w:numId w:val="48"/>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 Section 301.7701-3 to treat the Company as a corporation for U.S. federal income tax purposes, effective as of May 23, 2018.</w:t>
      </w:r>
    </w:p>
    <w:p>
      <w:pPr>
        <w:spacing w:after="0" w:line="154" w:lineRule="exact"/>
        <w:rPr>
          <w:rFonts w:ascii="Arial" w:cs="Arial" w:eastAsia="Arial" w:hAnsi="Arial"/>
          <w:sz w:val="22"/>
          <w:szCs w:val="22"/>
          <w:color w:val="auto"/>
        </w:rPr>
      </w:pPr>
    </w:p>
    <w:p>
      <w:pPr>
        <w:ind w:firstLine="656"/>
        <w:spacing w:after="0" w:line="320" w:lineRule="auto"/>
        <w:tabs>
          <w:tab w:leader="none" w:pos="1065" w:val="left"/>
        </w:tabs>
        <w:numPr>
          <w:ilvl w:val="0"/>
          <w:numId w:val="48"/>
        </w:numPr>
        <w:rPr>
          <w:rFonts w:ascii="Arial" w:cs="Arial" w:eastAsia="Arial" w:hAnsi="Arial"/>
          <w:sz w:val="21"/>
          <w:szCs w:val="21"/>
          <w:color w:val="auto"/>
        </w:rPr>
      </w:pPr>
      <w:r>
        <w:rPr>
          <w:rFonts w:ascii="Arial" w:cs="Arial" w:eastAsia="Arial" w:hAnsi="Arial"/>
          <w:sz w:val="21"/>
          <w:szCs w:val="21"/>
          <w:color w:val="auto"/>
        </w:rPr>
        <w:t>On June 28, 2018 (the “</w:t>
      </w:r>
      <w:r>
        <w:rPr>
          <w:rFonts w:ascii="Arial" w:cs="Arial" w:eastAsia="Arial" w:hAnsi="Arial"/>
          <w:sz w:val="21"/>
          <w:szCs w:val="21"/>
          <w:b w:val="1"/>
          <w:bCs w:val="1"/>
          <w:color w:val="auto"/>
        </w:rPr>
        <w:t>Original Closing Date</w:t>
      </w:r>
      <w:r>
        <w:rPr>
          <w:rFonts w:ascii="Arial" w:cs="Arial" w:eastAsia="Arial" w:hAnsi="Arial"/>
          <w:sz w:val="21"/>
          <w:szCs w:val="21"/>
          <w:color w:val="auto"/>
        </w:rPr>
        <w:t>”), GM, SB Investment Holdings (UK) Limited (“</w:t>
      </w:r>
      <w:r>
        <w:rPr>
          <w:rFonts w:ascii="Arial" w:cs="Arial" w:eastAsia="Arial" w:hAnsi="Arial"/>
          <w:sz w:val="21"/>
          <w:szCs w:val="21"/>
          <w:b w:val="1"/>
          <w:bCs w:val="1"/>
          <w:color w:val="auto"/>
        </w:rPr>
        <w:t>SoftBank UK</w:t>
      </w:r>
      <w:r>
        <w:rPr>
          <w:rFonts w:ascii="Arial" w:cs="Arial" w:eastAsia="Arial" w:hAnsi="Arial"/>
          <w:sz w:val="21"/>
          <w:szCs w:val="21"/>
          <w:color w:val="auto"/>
        </w:rPr>
        <w:t>”) and the Company amended and restated the Original Agreement (as amended and restated, the “</w:t>
      </w:r>
      <w:r>
        <w:rPr>
          <w:rFonts w:ascii="Arial" w:cs="Arial" w:eastAsia="Arial" w:hAnsi="Arial"/>
          <w:sz w:val="21"/>
          <w:szCs w:val="21"/>
          <w:b w:val="1"/>
          <w:bCs w:val="1"/>
          <w:color w:val="auto"/>
        </w:rPr>
        <w:t>First A&amp;R Agreement</w:t>
      </w:r>
      <w:r>
        <w:rPr>
          <w:rFonts w:ascii="Arial" w:cs="Arial" w:eastAsia="Arial" w:hAnsi="Arial"/>
          <w:sz w:val="21"/>
          <w:szCs w:val="21"/>
          <w:color w:val="auto"/>
        </w:rPr>
        <w:t>”).</w:t>
      </w:r>
    </w:p>
    <w:p>
      <w:pPr>
        <w:spacing w:after="0" w:line="125" w:lineRule="exact"/>
        <w:rPr>
          <w:rFonts w:ascii="Arial" w:cs="Arial" w:eastAsia="Arial" w:hAnsi="Arial"/>
          <w:sz w:val="21"/>
          <w:szCs w:val="21"/>
          <w:color w:val="auto"/>
        </w:rPr>
      </w:pPr>
    </w:p>
    <w:p>
      <w:pPr>
        <w:jc w:val="both"/>
        <w:ind w:firstLine="656"/>
        <w:spacing w:after="0" w:line="275" w:lineRule="auto"/>
        <w:tabs>
          <w:tab w:leader="none" w:pos="1082" w:val="left"/>
        </w:tabs>
        <w:numPr>
          <w:ilvl w:val="0"/>
          <w:numId w:val="48"/>
        </w:numPr>
        <w:rPr>
          <w:rFonts w:ascii="Arial" w:cs="Arial" w:eastAsia="Arial" w:hAnsi="Arial"/>
          <w:sz w:val="22"/>
          <w:szCs w:val="22"/>
          <w:color w:val="auto"/>
        </w:rPr>
      </w:pPr>
      <w:r>
        <w:rPr>
          <w:rFonts w:ascii="Arial" w:cs="Arial" w:eastAsia="Arial" w:hAnsi="Arial"/>
          <w:sz w:val="22"/>
          <w:szCs w:val="22"/>
          <w:color w:val="auto"/>
        </w:rPr>
        <w:t>On October 3, 2018, the Company and Honda, entered into that certain Purchase Agreement (the “</w:t>
      </w:r>
      <w:r>
        <w:rPr>
          <w:rFonts w:ascii="Arial" w:cs="Arial" w:eastAsia="Arial" w:hAnsi="Arial"/>
          <w:sz w:val="22"/>
          <w:szCs w:val="22"/>
          <w:b w:val="1"/>
          <w:bCs w:val="1"/>
          <w:color w:val="auto"/>
        </w:rPr>
        <w:t>Honda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pursuant to which the Company issued certain Shares to Honda in exchange for the Honda Commitment on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therein.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2" w:right="239" w:bottom="1440" w:gutter="0" w:footer="0" w:header="0"/>
        </w:sectPr>
      </w:pPr>
    </w:p>
    <w:bookmarkStart w:id="121" w:name="page122"/>
    <w:bookmarkEnd w:id="121"/>
    <w:p>
      <w:pPr>
        <w:ind w:firstLine="656"/>
        <w:spacing w:after="0" w:line="314" w:lineRule="auto"/>
        <w:tabs>
          <w:tab w:leader="none" w:pos="985" w:val="left"/>
        </w:tabs>
        <w:numPr>
          <w:ilvl w:val="0"/>
          <w:numId w:val="49"/>
        </w:numPr>
        <w:rPr>
          <w:rFonts w:ascii="Arial" w:cs="Arial" w:eastAsia="Arial" w:hAnsi="Arial"/>
          <w:sz w:val="21"/>
          <w:szCs w:val="21"/>
          <w:color w:val="auto"/>
        </w:rPr>
      </w:pPr>
      <w:r>
        <w:rPr>
          <w:rFonts w:ascii="Arial" w:cs="Arial" w:eastAsia="Arial" w:hAnsi="Arial"/>
          <w:sz w:val="21"/>
          <w:szCs w:val="21"/>
          <w:color w:val="auto"/>
        </w:rPr>
        <w:t>On October 3, 2018, concurrently with entering into the Honda Purchase Agreement, GM, Honda, SoftBank UK and the Company amended and restated the First A&amp;R Agreement (as amended, the “</w:t>
      </w:r>
      <w:r>
        <w:rPr>
          <w:rFonts w:ascii="Arial" w:cs="Arial" w:eastAsia="Arial" w:hAnsi="Arial"/>
          <w:sz w:val="21"/>
          <w:szCs w:val="21"/>
          <w:b w:val="1"/>
          <w:bCs w:val="1"/>
          <w:color w:val="auto"/>
        </w:rPr>
        <w:t>Second A&amp;R Agreement</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1040" w:hanging="384"/>
        <w:spacing w:after="0"/>
        <w:tabs>
          <w:tab w:leader="none" w:pos="10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 January 16, 2019, SoftBank UK Transferred all of its interests in the Company to SoftBank.</w:t>
      </w:r>
    </w:p>
    <w:p>
      <w:pPr>
        <w:spacing w:after="0" w:line="246" w:lineRule="exact"/>
        <w:rPr>
          <w:rFonts w:ascii="Arial" w:cs="Arial" w:eastAsia="Arial" w:hAnsi="Arial"/>
          <w:sz w:val="22"/>
          <w:szCs w:val="22"/>
          <w:color w:val="auto"/>
        </w:rPr>
      </w:pPr>
    </w:p>
    <w:p>
      <w:pPr>
        <w:jc w:val="both"/>
        <w:ind w:firstLine="656"/>
        <w:spacing w:after="0" w:line="303" w:lineRule="auto"/>
        <w:tabs>
          <w:tab w:leader="none" w:pos="1052" w:val="left"/>
        </w:tabs>
        <w:numPr>
          <w:ilvl w:val="0"/>
          <w:numId w:val="49"/>
        </w:numPr>
        <w:rPr>
          <w:rFonts w:ascii="Arial" w:cs="Arial" w:eastAsia="Arial" w:hAnsi="Arial"/>
          <w:sz w:val="19"/>
          <w:szCs w:val="19"/>
          <w:color w:val="auto"/>
        </w:rPr>
      </w:pPr>
      <w:r>
        <w:rPr>
          <w:rFonts w:ascii="Arial" w:cs="Arial" w:eastAsia="Arial" w:hAnsi="Arial"/>
          <w:sz w:val="19"/>
          <w:szCs w:val="19"/>
          <w:color w:val="auto"/>
        </w:rPr>
        <w:t>On May 7, 2019, the Company,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and VALIC Company I - Science &amp; Technology Fund (each, together with any other person that the Board of Directors designates as such, a “</w:t>
      </w:r>
      <w:r>
        <w:rPr>
          <w:rFonts w:ascii="Arial" w:cs="Arial" w:eastAsia="Arial" w:hAnsi="Arial"/>
          <w:sz w:val="19"/>
          <w:szCs w:val="19"/>
          <w:b w:val="1"/>
          <w:bCs w:val="1"/>
          <w:color w:val="auto"/>
        </w:rPr>
        <w:t>Class F New</w:t>
      </w:r>
      <w:r>
        <w:rPr>
          <w:rFonts w:ascii="Arial" w:cs="Arial" w:eastAsia="Arial" w:hAnsi="Arial"/>
          <w:sz w:val="19"/>
          <w:szCs w:val="19"/>
          <w:color w:val="auto"/>
        </w:rPr>
        <w:t xml:space="preserve"> </w:t>
      </w:r>
      <w:r>
        <w:rPr>
          <w:rFonts w:ascii="Arial" w:cs="Arial" w:eastAsia="Arial" w:hAnsi="Arial"/>
          <w:sz w:val="19"/>
          <w:szCs w:val="19"/>
          <w:b w:val="1"/>
          <w:bCs w:val="1"/>
          <w:color w:val="auto"/>
        </w:rPr>
        <w:t>Member</w:t>
      </w:r>
      <w:r>
        <w:rPr>
          <w:rFonts w:ascii="Arial" w:cs="Arial" w:eastAsia="Arial" w:hAnsi="Arial"/>
          <w:sz w:val="19"/>
          <w:szCs w:val="19"/>
          <w:color w:val="auto"/>
        </w:rPr>
        <w:t>” and collectively, the “</w:t>
      </w:r>
      <w:r>
        <w:rPr>
          <w:rFonts w:ascii="Arial" w:cs="Arial" w:eastAsia="Arial" w:hAnsi="Arial"/>
          <w:sz w:val="19"/>
          <w:szCs w:val="19"/>
          <w:b w:val="1"/>
          <w:bCs w:val="1"/>
          <w:color w:val="auto"/>
        </w:rPr>
        <w:t>Class F New Members</w:t>
      </w:r>
      <w:r>
        <w:rPr>
          <w:rFonts w:ascii="Arial" w:cs="Arial" w:eastAsia="Arial" w:hAnsi="Arial"/>
          <w:sz w:val="19"/>
          <w:szCs w:val="19"/>
          <w:color w:val="auto"/>
        </w:rPr>
        <w:t>”), SoftBank, Honda and GM entered into that certain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Class F Purchase Agreement</w:t>
      </w:r>
      <w:r>
        <w:rPr>
          <w:rFonts w:ascii="Arial" w:cs="Arial" w:eastAsia="Arial" w:hAnsi="Arial"/>
          <w:sz w:val="19"/>
          <w:szCs w:val="19"/>
          <w:color w:val="auto"/>
        </w:rPr>
        <w:t>”), pursuant to which the Company agreed to issue certain Class F Preferred Shares to such Class F New Members, SoftBank, Honda and GM on and subject to the terms and conditions therein.</w:t>
      </w:r>
    </w:p>
    <w:p>
      <w:pPr>
        <w:spacing w:after="0" w:line="160" w:lineRule="exact"/>
        <w:rPr>
          <w:rFonts w:ascii="Arial" w:cs="Arial" w:eastAsia="Arial" w:hAnsi="Arial"/>
          <w:sz w:val="19"/>
          <w:szCs w:val="19"/>
          <w:color w:val="auto"/>
        </w:rPr>
      </w:pPr>
    </w:p>
    <w:p>
      <w:pPr>
        <w:jc w:val="both"/>
        <w:ind w:right="20" w:firstLine="656"/>
        <w:spacing w:after="0" w:line="373" w:lineRule="auto"/>
        <w:tabs>
          <w:tab w:leader="none" w:pos="9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On May 7, 2019, concurrently with entering into the Class F Purchase Agreement, GM, Honda, SoftBank, the Class F New Members and the Company amended and restated the Second A&amp;R Agreement (as amended, the “</w:t>
      </w:r>
      <w:r>
        <w:rPr>
          <w:rFonts w:ascii="Arial" w:cs="Arial" w:eastAsia="Arial" w:hAnsi="Arial"/>
          <w:sz w:val="19"/>
          <w:szCs w:val="19"/>
          <w:b w:val="1"/>
          <w:bCs w:val="1"/>
          <w:color w:val="auto"/>
        </w:rPr>
        <w:t>Third A&amp;R Agreement</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firstLine="656"/>
        <w:spacing w:after="0" w:line="289" w:lineRule="auto"/>
        <w:tabs>
          <w:tab w:leader="none" w:pos="1047"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 July 17, 2019, the Board of Directors approved a 100 for 1 split of all of the Company’s issued and outstanding Shares (the “</w:t>
      </w:r>
      <w:r>
        <w:rPr>
          <w:rFonts w:ascii="Arial" w:cs="Arial" w:eastAsia="Arial" w:hAnsi="Arial"/>
          <w:sz w:val="22"/>
          <w:szCs w:val="22"/>
          <w:b w:val="1"/>
          <w:bCs w:val="1"/>
          <w:color w:val="auto"/>
        </w:rPr>
        <w:t>Share Split</w:t>
      </w:r>
      <w:r>
        <w:rPr>
          <w:rFonts w:ascii="Arial" w:cs="Arial" w:eastAsia="Arial" w:hAnsi="Arial"/>
          <w:sz w:val="22"/>
          <w:szCs w:val="22"/>
          <w:color w:val="auto"/>
        </w:rPr>
        <w:t>”).</w:t>
      </w:r>
    </w:p>
    <w:p>
      <w:pPr>
        <w:spacing w:after="0" w:line="154" w:lineRule="exact"/>
        <w:rPr>
          <w:rFonts w:ascii="Arial" w:cs="Arial" w:eastAsia="Arial" w:hAnsi="Arial"/>
          <w:sz w:val="22"/>
          <w:szCs w:val="22"/>
          <w:color w:val="auto"/>
        </w:rPr>
      </w:pPr>
    </w:p>
    <w:p>
      <w:pPr>
        <w:ind w:firstLine="656"/>
        <w:spacing w:after="0" w:line="295" w:lineRule="auto"/>
        <w:tabs>
          <w:tab w:leader="none" w:pos="11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 July 22, 2019, the Company amended and restated the Third A&amp;R Agreement (“</w:t>
      </w:r>
      <w:r>
        <w:rPr>
          <w:rFonts w:ascii="Arial" w:cs="Arial" w:eastAsia="Arial" w:hAnsi="Arial"/>
          <w:sz w:val="22"/>
          <w:szCs w:val="22"/>
          <w:b w:val="1"/>
          <w:bCs w:val="1"/>
          <w:color w:val="auto"/>
        </w:rPr>
        <w:t>Fourth A&amp;R Agreement</w:t>
      </w:r>
      <w:r>
        <w:rPr>
          <w:rFonts w:ascii="Arial" w:cs="Arial" w:eastAsia="Arial" w:hAnsi="Arial"/>
          <w:sz w:val="22"/>
          <w:szCs w:val="22"/>
          <w:color w:val="auto"/>
        </w:rPr>
        <w:t>”) to reflect the Share Split.</w:t>
      </w:r>
    </w:p>
    <w:p>
      <w:pPr>
        <w:spacing w:after="0" w:line="153" w:lineRule="exact"/>
        <w:rPr>
          <w:rFonts w:ascii="Arial" w:cs="Arial" w:eastAsia="Arial" w:hAnsi="Arial"/>
          <w:sz w:val="22"/>
          <w:szCs w:val="22"/>
          <w:color w:val="auto"/>
        </w:rPr>
      </w:pPr>
    </w:p>
    <w:p>
      <w:pPr>
        <w:ind w:firstLine="656"/>
        <w:spacing w:after="0" w:line="289" w:lineRule="auto"/>
        <w:tabs>
          <w:tab w:leader="none" w:pos="11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were intended to qualify as a contribution under Section 351(a) of the Code.</w:t>
      </w:r>
    </w:p>
    <w:p>
      <w:pPr>
        <w:spacing w:after="0" w:line="160" w:lineRule="exact"/>
        <w:rPr>
          <w:rFonts w:ascii="Arial" w:cs="Arial" w:eastAsia="Arial" w:hAnsi="Arial"/>
          <w:sz w:val="22"/>
          <w:szCs w:val="22"/>
          <w:color w:val="auto"/>
        </w:rPr>
      </w:pPr>
    </w:p>
    <w:p>
      <w:pPr>
        <w:jc w:val="both"/>
        <w:ind w:firstLine="656"/>
        <w:spacing w:after="0" w:line="283" w:lineRule="auto"/>
        <w:tabs>
          <w:tab w:leader="none" w:pos="1074" w:val="left"/>
        </w:tabs>
        <w:numPr>
          <w:ilvl w:val="0"/>
          <w:numId w:val="49"/>
        </w:numPr>
        <w:rPr>
          <w:rFonts w:ascii="Arial" w:cs="Arial" w:eastAsia="Arial" w:hAnsi="Arial"/>
          <w:sz w:val="21"/>
          <w:szCs w:val="21"/>
          <w:color w:val="auto"/>
        </w:rPr>
      </w:pPr>
      <w:r>
        <w:rPr>
          <w:rFonts w:ascii="Arial" w:cs="Arial" w:eastAsia="Arial" w:hAnsi="Arial"/>
          <w:sz w:val="21"/>
          <w:szCs w:val="21"/>
          <w:color w:val="auto"/>
        </w:rPr>
        <w:t>Immediately following the contributions of property and issuance of Shares contemplated by the GM Commitment, the SoftBank Commitment, the Honda Commitment, and the contributions of property and issuance of Shares contemplated by the Class F Commitment (together with the issuance of any additional Shares contemplated by the Class F Purchase Agreement), GM shall continue to own, an amount of Equity Securities that (i) constitutes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48" w:right="239" w:bottom="1440" w:gutter="0" w:footer="0" w:header="0"/>
        </w:sectPr>
      </w:pPr>
    </w:p>
    <w:bookmarkStart w:id="122" w:name="page123"/>
    <w:bookmarkEnd w:id="122"/>
    <w:p>
      <w:pPr>
        <w:spacing w:after="0" w:line="276" w:lineRule="auto"/>
        <w:rPr>
          <w:sz w:val="20"/>
          <w:szCs w:val="20"/>
          <w:color w:val="auto"/>
        </w:rPr>
      </w:pPr>
      <w:r>
        <w:rPr>
          <w:rFonts w:ascii="Arial" w:cs="Arial" w:eastAsia="Arial" w:hAnsi="Arial"/>
          <w:sz w:val="22"/>
          <w:szCs w:val="22"/>
          <w:color w:val="auto"/>
        </w:rPr>
        <w:t>within the meaning of Section 368(c) of the Code and the Treasury Regulations thereunder and (ii) allows the Company to be a member of the GM Affiliated Group under Section 1504 of the Code.</w:t>
      </w:r>
    </w:p>
    <w:p>
      <w:pPr>
        <w:spacing w:after="0" w:line="174" w:lineRule="exact"/>
        <w:rPr>
          <w:sz w:val="20"/>
          <w:szCs w:val="20"/>
          <w:color w:val="auto"/>
        </w:rPr>
      </w:pPr>
    </w:p>
    <w:p>
      <w:pPr>
        <w:ind w:firstLine="656"/>
        <w:spacing w:after="0" w:line="289" w:lineRule="auto"/>
        <w:tabs>
          <w:tab w:leader="none" w:pos="10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Majority of the Members and the Board of Directors desire to amend and restate the Fourth A&amp;R Agreement and to effect this Agreement to set forth, among other things, the rights and obligations of the Members.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 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Fourth A&amp;R Agreement is hereby amended and restated in its entirety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8"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ind w:left="2640"/>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18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Organization of Company</w:t>
      </w:r>
      <w:r>
        <w:rPr>
          <w:rFonts w:ascii="Arial" w:cs="Arial" w:eastAsia="Arial" w:hAnsi="Arial"/>
          <w:sz w:val="19"/>
          <w:szCs w:val="19"/>
          <w:color w:val="auto"/>
        </w:rPr>
        <w:t>. The Company was formed as a limited liability company on May 23, 2018.</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Legal Status</w:t>
      </w:r>
      <w:r>
        <w:rPr>
          <w:rFonts w:ascii="Arial" w:cs="Arial" w:eastAsia="Arial" w:hAnsi="Arial"/>
          <w:sz w:val="22"/>
          <w:szCs w:val="22"/>
          <w:color w:val="auto"/>
        </w:rPr>
        <w:t>. The Company is a limited liability company organized and existing under the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Act (the “</w:t>
      </w:r>
      <w:r>
        <w:rPr>
          <w:rFonts w:ascii="Arial" w:cs="Arial" w:eastAsia="Arial" w:hAnsi="Arial"/>
          <w:sz w:val="22"/>
          <w:szCs w:val="22"/>
          <w:b w:val="1"/>
          <w:bCs w:val="1"/>
          <w:color w:val="auto"/>
        </w:rPr>
        <w:t>Act</w:t>
      </w:r>
      <w:r>
        <w:rPr>
          <w:rFonts w:ascii="Arial" w:cs="Arial" w:eastAsia="Arial" w:hAnsi="Arial"/>
          <w:sz w:val="22"/>
          <w:szCs w:val="22"/>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The name of the Company shall be “GM Cruise Holdings LLC” or such other name as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from time to time, hereafter designate.</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2" w:lineRule="auto"/>
        <w:tabs>
          <w:tab w:leader="none" w:pos="1743"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193" w:lineRule="exact"/>
        <w:rPr>
          <w:rFonts w:ascii="Arial" w:cs="Arial" w:eastAsia="Arial" w:hAnsi="Arial"/>
          <w:sz w:val="22"/>
          <w:szCs w:val="22"/>
          <w:color w:val="010000"/>
        </w:rPr>
      </w:pPr>
    </w:p>
    <w:p>
      <w:pPr>
        <w:jc w:val="both"/>
        <w:ind w:firstLine="1305"/>
        <w:spacing w:after="0" w:line="272" w:lineRule="auto"/>
        <w:tabs>
          <w:tab w:leader="none" w:pos="1837"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7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Company is formed for the object and purpose of, and the nature of the business to be conducted and</w:t>
      </w:r>
      <w:r>
        <w:rPr>
          <w:rFonts w:ascii="Arial" w:cs="Arial" w:eastAsia="Arial" w:hAnsi="Arial"/>
          <w:sz w:val="19"/>
          <w:szCs w:val="19"/>
          <w:b w:val="1"/>
          <w:bCs w:val="1"/>
          <w:color w:val="auto"/>
        </w:rPr>
        <w:t xml:space="preserve"> </w:t>
      </w:r>
      <w:r>
        <w:rPr>
          <w:rFonts w:ascii="Arial" w:cs="Arial" w:eastAsia="Arial" w:hAnsi="Arial"/>
          <w:sz w:val="19"/>
          <w:szCs w:val="19"/>
          <w:color w:val="auto"/>
        </w:rPr>
        <w:t>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terminated in accordance with Article X, the existence of the Company shall be perpetual.</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Certain capitalized terms used in this Agreement are defined in Appendix I hereto.</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28" w:right="239" w:bottom="1440" w:gutter="0" w:footer="0" w:header="0"/>
        </w:sectPr>
      </w:pPr>
    </w:p>
    <w:bookmarkStart w:id="124" w:name="page125"/>
    <w:bookmarkEnd w:id="124"/>
    <w:p>
      <w:pPr>
        <w:jc w:val="both"/>
        <w:ind w:firstLine="648"/>
        <w:spacing w:after="0" w:line="276" w:lineRule="exact"/>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22"/>
          <w:szCs w:val="22"/>
          <w:b w:val="1"/>
          <w:bCs w:val="1"/>
          <w:u w:val="single" w:color="auto"/>
          <w:color w:val="auto"/>
        </w:rPr>
        <w:t>No State</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Law Partnership</w:t>
      </w:r>
      <w:r>
        <w:rPr>
          <w:rFonts w:ascii="Arial" w:cs="Arial" w:eastAsia="Arial" w:hAnsi="Arial"/>
          <w:sz w:val="22"/>
          <w:szCs w:val="22"/>
          <w:color w:val="auto"/>
        </w:rPr>
        <w:t>. The Members intend that the Company not be a partnership (including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1.09 </w:t>
      </w:r>
      <w:r>
        <w:rPr>
          <w:rFonts w:ascii="Arial" w:cs="Arial" w:eastAsia="Arial" w:hAnsi="Arial"/>
          <w:sz w:val="21"/>
          <w:szCs w:val="21"/>
          <w:b w:val="1"/>
          <w:bCs w:val="1"/>
          <w:u w:val="single" w:color="auto"/>
          <w:color w:val="auto"/>
        </w:rPr>
        <w:t>Limited Liability Company Agreement</w:t>
      </w:r>
      <w:r>
        <w:rPr>
          <w:rFonts w:ascii="Arial" w:cs="Arial" w:eastAsia="Arial" w:hAnsi="Arial"/>
          <w:sz w:val="21"/>
          <w:szCs w:val="21"/>
          <w:color w:val="auto"/>
        </w:rPr>
        <w:t>. The Members hereby are each a party to this Agreement to conduct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affairs and 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Fourth A&amp;R Agreement in all respects, and the Fourth A&amp;R Agreement shall hereafter be null and void.</w:t>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97"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19"/>
          <w:szCs w:val="19"/>
          <w:b w:val="1"/>
          <w:bCs w:val="1"/>
          <w:color w:val="auto"/>
        </w:rPr>
        <w:t>Share</w:t>
      </w:r>
      <w:r>
        <w:rPr>
          <w:rFonts w:ascii="Arial" w:cs="Arial" w:eastAsia="Arial" w:hAnsi="Arial"/>
          <w:sz w:val="19"/>
          <w:szCs w:val="19"/>
          <w:color w:val="auto"/>
        </w:rPr>
        <w:t>” and collectively, the “</w:t>
      </w:r>
      <w:r>
        <w:rPr>
          <w:rFonts w:ascii="Arial" w:cs="Arial" w:eastAsia="Arial" w:hAnsi="Arial"/>
          <w:sz w:val="19"/>
          <w:szCs w:val="19"/>
          <w:b w:val="1"/>
          <w:bCs w:val="1"/>
          <w:color w:val="auto"/>
        </w:rPr>
        <w:t>Shares</w:t>
      </w:r>
      <w:r>
        <w:rPr>
          <w:rFonts w:ascii="Arial" w:cs="Arial" w:eastAsia="Arial" w:hAnsi="Arial"/>
          <w:sz w:val="19"/>
          <w:szCs w:val="19"/>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19"/>
          <w:szCs w:val="19"/>
          <w:b w:val="1"/>
          <w:bCs w:val="1"/>
          <w:color w:val="auto"/>
        </w:rPr>
        <w:t>Class A-1-A Preferred Shares</w:t>
      </w:r>
      <w:r>
        <w:rPr>
          <w:rFonts w:ascii="Arial" w:cs="Arial" w:eastAsia="Arial" w:hAnsi="Arial"/>
          <w:sz w:val="19"/>
          <w:szCs w:val="19"/>
          <w:color w:val="auto"/>
        </w:rPr>
        <w:t>”, “</w:t>
      </w:r>
      <w:r>
        <w:rPr>
          <w:rFonts w:ascii="Arial" w:cs="Arial" w:eastAsia="Arial" w:hAnsi="Arial"/>
          <w:sz w:val="19"/>
          <w:szCs w:val="19"/>
          <w:b w:val="1"/>
          <w:bCs w:val="1"/>
          <w:color w:val="auto"/>
        </w:rPr>
        <w:t>Class A-1-B Preferred Shares</w:t>
      </w:r>
      <w:r>
        <w:rPr>
          <w:rFonts w:ascii="Arial" w:cs="Arial" w:eastAsia="Arial" w:hAnsi="Arial"/>
          <w:sz w:val="19"/>
          <w:szCs w:val="19"/>
          <w:color w:val="auto"/>
        </w:rPr>
        <w:t>” (collectively with the Class A-1-A Preferred Shares, the “</w:t>
      </w:r>
      <w:r>
        <w:rPr>
          <w:rFonts w:ascii="Arial" w:cs="Arial" w:eastAsia="Arial" w:hAnsi="Arial"/>
          <w:sz w:val="19"/>
          <w:szCs w:val="19"/>
          <w:b w:val="1"/>
          <w:bCs w:val="1"/>
          <w:color w:val="auto"/>
        </w:rPr>
        <w:t>Class A-1 Preferred Shares</w:t>
      </w:r>
      <w:r>
        <w:rPr>
          <w:rFonts w:ascii="Arial" w:cs="Arial" w:eastAsia="Arial" w:hAnsi="Arial"/>
          <w:sz w:val="19"/>
          <w:szCs w:val="19"/>
          <w:color w:val="auto"/>
        </w:rPr>
        <w:t>”), “</w:t>
      </w:r>
      <w:r>
        <w:rPr>
          <w:rFonts w:ascii="Arial" w:cs="Arial" w:eastAsia="Arial" w:hAnsi="Arial"/>
          <w:sz w:val="19"/>
          <w:szCs w:val="19"/>
          <w:b w:val="1"/>
          <w:bCs w:val="1"/>
          <w:color w:val="auto"/>
        </w:rPr>
        <w:t>Class A-2 Preferred Shares</w:t>
      </w:r>
      <w:r>
        <w:rPr>
          <w:rFonts w:ascii="Arial" w:cs="Arial" w:eastAsia="Arial" w:hAnsi="Arial"/>
          <w:sz w:val="19"/>
          <w:szCs w:val="19"/>
          <w:color w:val="auto"/>
        </w:rPr>
        <w:t>”, “</w:t>
      </w:r>
      <w:r>
        <w:rPr>
          <w:rFonts w:ascii="Arial" w:cs="Arial" w:eastAsia="Arial" w:hAnsi="Arial"/>
          <w:sz w:val="19"/>
          <w:szCs w:val="19"/>
          <w:b w:val="1"/>
          <w:bCs w:val="1"/>
          <w:color w:val="auto"/>
        </w:rPr>
        <w:t>Class B Common</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w:t>
      </w:r>
      <w:r>
        <w:rPr>
          <w:rFonts w:ascii="Arial" w:cs="Arial" w:eastAsia="Arial" w:hAnsi="Arial"/>
          <w:sz w:val="19"/>
          <w:szCs w:val="19"/>
          <w:b w:val="1"/>
          <w:bCs w:val="1"/>
          <w:color w:val="auto"/>
        </w:rPr>
        <w:t>Class C Common Shares</w:t>
      </w:r>
      <w:r>
        <w:rPr>
          <w:rFonts w:ascii="Arial" w:cs="Arial" w:eastAsia="Arial" w:hAnsi="Arial"/>
          <w:sz w:val="19"/>
          <w:szCs w:val="19"/>
          <w:color w:val="auto"/>
        </w:rPr>
        <w:t>”, “</w:t>
      </w:r>
      <w:r>
        <w:rPr>
          <w:rFonts w:ascii="Arial" w:cs="Arial" w:eastAsia="Arial" w:hAnsi="Arial"/>
          <w:sz w:val="19"/>
          <w:szCs w:val="19"/>
          <w:b w:val="1"/>
          <w:bCs w:val="1"/>
          <w:color w:val="auto"/>
        </w:rPr>
        <w:t>Class D Common Shares</w:t>
      </w:r>
      <w:r>
        <w:rPr>
          <w:rFonts w:ascii="Arial" w:cs="Arial" w:eastAsia="Arial" w:hAnsi="Arial"/>
          <w:sz w:val="19"/>
          <w:szCs w:val="19"/>
          <w:color w:val="auto"/>
        </w:rPr>
        <w:t>”, “</w:t>
      </w:r>
      <w:r>
        <w:rPr>
          <w:rFonts w:ascii="Arial" w:cs="Arial" w:eastAsia="Arial" w:hAnsi="Arial"/>
          <w:sz w:val="19"/>
          <w:szCs w:val="19"/>
          <w:b w:val="1"/>
          <w:bCs w:val="1"/>
          <w:color w:val="auto"/>
        </w:rPr>
        <w:t>Class E Common Shares</w:t>
      </w:r>
      <w:r>
        <w:rPr>
          <w:rFonts w:ascii="Arial" w:cs="Arial" w:eastAsia="Arial" w:hAnsi="Arial"/>
          <w:sz w:val="19"/>
          <w:szCs w:val="19"/>
          <w:color w:val="auto"/>
        </w:rPr>
        <w:t>” and “</w:t>
      </w:r>
      <w:r>
        <w:rPr>
          <w:rFonts w:ascii="Arial" w:cs="Arial" w:eastAsia="Arial" w:hAnsi="Arial"/>
          <w:sz w:val="19"/>
          <w:szCs w:val="19"/>
          <w:b w:val="1"/>
          <w:bCs w:val="1"/>
          <w:color w:val="auto"/>
        </w:rPr>
        <w:t>Class F Preferred Shares</w:t>
      </w:r>
      <w:r>
        <w:rPr>
          <w:rFonts w:ascii="Arial" w:cs="Arial" w:eastAsia="Arial" w:hAnsi="Arial"/>
          <w:sz w:val="19"/>
          <w:szCs w:val="19"/>
          <w:color w:val="auto"/>
        </w:rPr>
        <w:t>”. Subject to the limitations (in each case to the extent applicable) set forth in Section 2.02, Section 2.07 and Section 6.13,</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Class E Common Shares, Class F Preferred Shares, and any new class or series of Shares or Equity Securities in the Company. The Company may issue fractional Shares, and all Shares shall be rounded to the nearest fourth decimal place. Ownership of a Share (or a fraction thereof)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42"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shall not entitle a Member to call for a partition or division of any property of the Company or for any accounting.</w:t>
      </w:r>
    </w:p>
    <w:p>
      <w:pPr>
        <w:spacing w:after="0" w:line="233" w:lineRule="exact"/>
        <w:rPr>
          <w:sz w:val="20"/>
          <w:szCs w:val="20"/>
          <w:color w:val="auto"/>
        </w:rPr>
      </w:pPr>
    </w:p>
    <w:p>
      <w:pPr>
        <w:jc w:val="both"/>
        <w:ind w:firstLine="1305"/>
        <w:spacing w:after="0" w:line="264" w:lineRule="auto"/>
        <w:tabs>
          <w:tab w:leader="none" w:pos="1904"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22"/>
          <w:szCs w:val="22"/>
          <w:b w:val="1"/>
          <w:bCs w:val="1"/>
          <w:color w:val="auto"/>
        </w:rPr>
        <w:t>Members Schedule</w:t>
      </w:r>
      <w:r>
        <w:rPr>
          <w:rFonts w:ascii="Arial" w:cs="Arial" w:eastAsia="Arial" w:hAnsi="Arial"/>
          <w:sz w:val="22"/>
          <w:szCs w:val="22"/>
          <w:color w:val="auto"/>
        </w:rPr>
        <w:t>”), as the same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88" w:lineRule="exact"/>
        <w:rPr>
          <w:rFonts w:ascii="Arial" w:cs="Arial" w:eastAsia="Arial" w:hAnsi="Arial"/>
          <w:sz w:val="22"/>
          <w:szCs w:val="22"/>
          <w:color w:val="010000"/>
        </w:rPr>
      </w:pPr>
    </w:p>
    <w:p>
      <w:pPr>
        <w:jc w:val="both"/>
        <w:ind w:firstLine="1305"/>
        <w:spacing w:after="0" w:line="302" w:lineRule="auto"/>
        <w:tabs>
          <w:tab w:leader="none" w:pos="1716"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A partial copy of the Members Schedule as of the date of the First A&amp;R Agreement showing only the aggregate number of each class of Shares held by the Members as at such time (but not any identifying information about the Persons holding any Shares) was provided to SoftBank prior to the execution of the SoftBank Purchase Agreement. A partial copy of the Members Schedule as of the date of the Second A&amp;R Agreement showing only the aggregate number of each class of Shares held by the Members (but not any identifying information about the Persons holding any Shares) was provided to Honda prior to the execution of the Honda Purchase Agreement. A partial copy of the Members Schedule as of the date of the Third A&amp;R Agreement showing only the aggregate number of each class of Shares held by the Members (but not any identifying information about the Persons holding any Shares (other than the Class F Preferred Shares)) was provided to the Class F Preferred Members prior to the execution of the Class F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and Honda shall be entitled to request a full and complete unredacted copy of the Members Schedule from time to time.</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7" w:lineRule="auto"/>
        <w:tabs>
          <w:tab w:leader="none" w:pos="1757"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subject to the terms and conditions thereof, SoftBank UK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issued to SoftBank UK 900,000 Class A-1-A Preferred Shares, which Class A-1-A Preferred Shares were subsequently Transferred by Softbank UK to SoftBank.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48" w:right="239" w:bottom="1440" w:gutter="0" w:footer="0" w:header="0"/>
        </w:sectPr>
      </w:pPr>
    </w:p>
    <w:bookmarkStart w:id="126" w:name="page127"/>
    <w:bookmarkEnd w:id="126"/>
    <w:p>
      <w:pPr>
        <w:ind w:left="1300"/>
        <w:spacing w:after="0"/>
        <w:rPr>
          <w:sz w:val="20"/>
          <w:szCs w:val="20"/>
          <w:color w:val="auto"/>
        </w:rPr>
      </w:pPr>
      <w:r>
        <w:rPr>
          <w:rFonts w:ascii="Arial" w:cs="Arial" w:eastAsia="Arial" w:hAnsi="Arial"/>
          <w:sz w:val="22"/>
          <w:szCs w:val="22"/>
          <w:color w:val="010000"/>
        </w:rPr>
        <w:t>(b)</w:t>
      </w:r>
    </w:p>
    <w:p>
      <w:pPr>
        <w:spacing w:after="0" w:line="247" w:lineRule="exact"/>
        <w:rPr>
          <w:sz w:val="20"/>
          <w:szCs w:val="20"/>
          <w:color w:val="auto"/>
        </w:rPr>
      </w:pPr>
    </w:p>
    <w:p>
      <w:pPr>
        <w:jc w:val="both"/>
        <w:ind w:firstLine="1953"/>
        <w:spacing w:after="0" w:line="305" w:lineRule="auto"/>
        <w:tabs>
          <w:tab w:leader="none" w:pos="2342"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Deployment</w:t>
      </w:r>
      <w:r>
        <w:rPr>
          <w:rFonts w:ascii="Arial" w:cs="Arial" w:eastAsia="Arial" w:hAnsi="Arial"/>
          <w:sz w:val="19"/>
          <w:szCs w:val="19"/>
          <w:color w:val="auto"/>
        </w:rPr>
        <w:t>”) within the following one hundred twenty (120) day period, the Company shall be entitled to deliver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 Approvals</w:t>
      </w:r>
      <w:r>
        <w:rPr>
          <w:rFonts w:ascii="Arial" w:cs="Arial" w:eastAsia="Arial" w:hAnsi="Arial"/>
          <w:sz w:val="19"/>
          <w:szCs w:val="19"/>
          <w:color w:val="auto"/>
        </w:rPr>
        <w:t>”) in connection with the issuance of Class A-1-B Preferred Shares pursuant to Section 2.02(c).</w:t>
      </w:r>
    </w:p>
    <w:p>
      <w:pPr>
        <w:spacing w:after="0" w:line="154" w:lineRule="exact"/>
        <w:rPr>
          <w:rFonts w:ascii="Arial" w:cs="Arial" w:eastAsia="Arial" w:hAnsi="Arial"/>
          <w:sz w:val="19"/>
          <w:szCs w:val="19"/>
          <w:color w:val="010000"/>
        </w:rPr>
      </w:pPr>
    </w:p>
    <w:p>
      <w:pPr>
        <w:jc w:val="both"/>
        <w:ind w:firstLine="1953"/>
        <w:spacing w:after="0" w:line="302" w:lineRule="auto"/>
        <w:tabs>
          <w:tab w:leader="none" w:pos="2483"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(c)</w:t>
      </w:r>
    </w:p>
    <w:p>
      <w:pPr>
        <w:spacing w:after="0" w:line="247" w:lineRule="exact"/>
        <w:rPr>
          <w:sz w:val="20"/>
          <w:szCs w:val="20"/>
          <w:color w:val="auto"/>
        </w:rPr>
      </w:pPr>
    </w:p>
    <w:p>
      <w:pPr>
        <w:jc w:val="both"/>
        <w:ind w:firstLine="1953"/>
        <w:spacing w:after="0" w:line="272" w:lineRule="auto"/>
        <w:tabs>
          <w:tab w:leader="none" w:pos="2504"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22"/>
          <w:szCs w:val="22"/>
          <w:b w:val="1"/>
          <w:bCs w:val="1"/>
          <w:color w:val="auto"/>
        </w:rPr>
        <w:t>CD Notice</w:t>
      </w:r>
      <w:r>
        <w:rPr>
          <w:rFonts w:ascii="Arial" w:cs="Arial" w:eastAsia="Arial" w:hAnsi="Arial"/>
          <w:sz w:val="22"/>
          <w:szCs w:val="22"/>
          <w:color w:val="auto"/>
        </w:rPr>
        <w:t>”). Subject to the satisfaction of the Second Tranche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48" w:right="239" w:bottom="1440" w:gutter="0" w:footer="0" w:header="0"/>
        </w:sectPr>
      </w:pPr>
    </w:p>
    <w:bookmarkStart w:id="127" w:name="page128"/>
    <w:bookmarkEnd w:id="127"/>
    <w:p>
      <w:pPr>
        <w:jc w:val="both"/>
        <w:spacing w:after="0" w:line="303" w:lineRule="auto"/>
        <w:rPr>
          <w:sz w:val="20"/>
          <w:szCs w:val="20"/>
          <w:color w:val="auto"/>
        </w:rPr>
      </w:pPr>
      <w:r>
        <w:rPr>
          <w:rFonts w:ascii="Arial" w:cs="Arial" w:eastAsia="Arial" w:hAnsi="Arial"/>
          <w:sz w:val="19"/>
          <w:szCs w:val="19"/>
          <w:color w:val="auto"/>
        </w:rPr>
        <w:t>Conditions, within fifty (50) days (or such shorter period contemplated by the immediately following sentence) of the delivery of the CD Notice (such applicable period, the “</w:t>
      </w:r>
      <w:r>
        <w:rPr>
          <w:rFonts w:ascii="Arial" w:cs="Arial" w:eastAsia="Arial" w:hAnsi="Arial"/>
          <w:sz w:val="19"/>
          <w:szCs w:val="19"/>
          <w:b w:val="1"/>
          <w:bCs w:val="1"/>
          <w:color w:val="auto"/>
        </w:rPr>
        <w:t>Payment Period</w:t>
      </w:r>
      <w:r>
        <w:rPr>
          <w:rFonts w:ascii="Arial" w:cs="Arial" w:eastAsia="Arial" w:hAnsi="Arial"/>
          <w:sz w:val="19"/>
          <w:szCs w:val="19"/>
          <w:color w:val="auto"/>
        </w:rPr>
        <w:t>”), SoftBank will purchase and acquire from the Company, and the Company will issue, sell and deliver to SoftBank, a number of Class A-1-B Preferred Shares equal to $1,350,000,000 (the “</w:t>
      </w:r>
      <w:r>
        <w:rPr>
          <w:rFonts w:ascii="Arial" w:cs="Arial" w:eastAsia="Arial" w:hAnsi="Arial"/>
          <w:sz w:val="19"/>
          <w:szCs w:val="19"/>
          <w:b w:val="1"/>
          <w:bCs w:val="1"/>
          <w:color w:val="auto"/>
        </w:rPr>
        <w:t>Subsequent SoftBank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19"/>
          <w:szCs w:val="19"/>
          <w:b w:val="1"/>
          <w:bCs w:val="1"/>
          <w:color w:val="auto"/>
        </w:rPr>
        <w:t>Advance Notice</w:t>
      </w:r>
      <w:r>
        <w:rPr>
          <w:rFonts w:ascii="Arial" w:cs="Arial" w:eastAsia="Arial" w:hAnsi="Arial"/>
          <w:sz w:val="19"/>
          <w:szCs w:val="19"/>
          <w:color w:val="auto"/>
        </w:rPr>
        <w:t xml:space="preserve">”)) the definitive date on which Commercial Deployment will occur, then the Payment Period will be reduced by the aggregate number of days between the date the Advance Notice is delivered to SoftBank in accordance with the terms of this Agreement and the date of Commercial Deployment;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the Payment Period be reduced to fewer than twenty five (25) days following the date on which Commercial Deployment occurs.</w:t>
      </w:r>
    </w:p>
    <w:p>
      <w:pPr>
        <w:spacing w:after="0" w:line="159" w:lineRule="exact"/>
        <w:rPr>
          <w:sz w:val="20"/>
          <w:szCs w:val="20"/>
          <w:color w:val="auto"/>
        </w:rPr>
      </w:pPr>
    </w:p>
    <w:p>
      <w:pPr>
        <w:jc w:val="both"/>
        <w:ind w:firstLine="1953"/>
        <w:spacing w:after="0" w:line="303" w:lineRule="auto"/>
        <w:tabs>
          <w:tab w:leader="none" w:pos="2416"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 through 6.13(d)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Arial" w:cs="Arial" w:eastAsia="Arial" w:hAnsi="Arial"/>
          <w:sz w:val="19"/>
          <w:szCs w:val="19"/>
          <w:b w:val="1"/>
          <w:bCs w:val="1"/>
          <w:color w:val="auto"/>
        </w:rPr>
        <w:t>Cure Period</w:t>
      </w:r>
      <w:r>
        <w:rPr>
          <w:rFonts w:ascii="Arial" w:cs="Arial" w:eastAsia="Arial" w:hAnsi="Arial"/>
          <w:sz w:val="19"/>
          <w:szCs w:val="19"/>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160" w:lineRule="exact"/>
        <w:rPr>
          <w:rFonts w:ascii="Arial" w:cs="Arial" w:eastAsia="Arial" w:hAnsi="Arial"/>
          <w:sz w:val="19"/>
          <w:szCs w:val="19"/>
          <w:color w:val="010000"/>
        </w:rPr>
      </w:pPr>
    </w:p>
    <w:p>
      <w:pPr>
        <w:jc w:val="both"/>
        <w:ind w:firstLine="1953"/>
        <w:spacing w:after="0" w:line="277" w:lineRule="auto"/>
        <w:tabs>
          <w:tab w:leader="none" w:pos="2489"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The remedies provided for in Section 2.02(c)(ii)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SoftBank of its obligations under Section 5.1 of the SoftBank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48" w:right="239" w:bottom="1440" w:gutter="0" w:footer="0" w:header="0"/>
        </w:sectPr>
      </w:pPr>
    </w:p>
    <w:bookmarkStart w:id="128" w:name="page129"/>
    <w:bookmarkEnd w:id="128"/>
    <w:p>
      <w:pPr>
        <w:jc w:val="both"/>
        <w:ind w:firstLine="1305"/>
        <w:spacing w:after="0" w:line="322" w:lineRule="auto"/>
        <w:tabs>
          <w:tab w:leader="none" w:pos="1783"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If the SoftBank CFIUS Condition has not been satisfied prior to the occurrence of Commercial Deployment, then (without prejudice to the rights of GM or the Company arising as a result of or in connection with any breach by SoftBank of its obligations under Section 5.1 of the SoftBank Purchase Agreement) upon the occurrence of Commercial Deployment, automatically and without any further action by the Company or any Member (and without any recourse by any Member):</w:t>
      </w:r>
    </w:p>
    <w:p>
      <w:pPr>
        <w:spacing w:after="0" w:line="137" w:lineRule="exact"/>
        <w:rPr>
          <w:rFonts w:ascii="Arial" w:cs="Arial" w:eastAsia="Arial" w:hAnsi="Arial"/>
          <w:sz w:val="19"/>
          <w:szCs w:val="19"/>
          <w:color w:val="010000"/>
        </w:rPr>
      </w:pPr>
    </w:p>
    <w:p>
      <w:pPr>
        <w:ind w:right="20" w:firstLine="1953"/>
        <w:spacing w:after="0" w:line="373" w:lineRule="auto"/>
        <w:tabs>
          <w:tab w:leader="none" w:pos="2437"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the Class A-1 Preferred Return will (effective on and after the date of Commercial Deployment) be permanently reduced from a rate of seven percent (7%) per annum to a rate of three and a half percent (3.5%) per annum;</w:t>
      </w:r>
    </w:p>
    <w:p>
      <w:pPr>
        <w:spacing w:after="0" w:line="90" w:lineRule="exact"/>
        <w:rPr>
          <w:rFonts w:ascii="Arial" w:cs="Arial" w:eastAsia="Arial" w:hAnsi="Arial"/>
          <w:sz w:val="19"/>
          <w:szCs w:val="19"/>
          <w:color w:val="010000"/>
        </w:rPr>
      </w:pPr>
    </w:p>
    <w:p>
      <w:pPr>
        <w:ind w:left="2520" w:hanging="567"/>
        <w:spacing w:after="0"/>
        <w:tabs>
          <w:tab w:leader="none" w:pos="2520" w:val="left"/>
        </w:tabs>
        <w:numPr>
          <w:ilvl w:val="1"/>
          <w:numId w:val="58"/>
        </w:numPr>
        <w:rPr>
          <w:rFonts w:ascii="Arial" w:cs="Arial" w:eastAsia="Arial" w:hAnsi="Arial"/>
          <w:sz w:val="21"/>
          <w:szCs w:val="21"/>
          <w:color w:val="010000"/>
        </w:rPr>
      </w:pPr>
      <w:r>
        <w:rPr>
          <w:rFonts w:ascii="Arial" w:cs="Arial" w:eastAsia="Arial" w:hAnsi="Arial"/>
          <w:sz w:val="21"/>
          <w:szCs w:val="21"/>
          <w:color w:val="auto"/>
        </w:rPr>
        <w:t>the denominator in the definition of A-1-A Preferred Share Conversion Ratio will be permanently</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increased from $10 to $16;</w:t>
      </w:r>
    </w:p>
    <w:p>
      <w:pPr>
        <w:spacing w:after="0" w:line="233" w:lineRule="exact"/>
        <w:rPr>
          <w:rFonts w:ascii="Arial" w:cs="Arial" w:eastAsia="Arial" w:hAnsi="Arial"/>
          <w:sz w:val="21"/>
          <w:szCs w:val="21"/>
          <w:color w:val="010000"/>
        </w:rPr>
      </w:pPr>
    </w:p>
    <w:p>
      <w:pPr>
        <w:jc w:val="both"/>
        <w:ind w:firstLine="1953"/>
        <w:spacing w:after="0" w:line="311" w:lineRule="auto"/>
        <w:tabs>
          <w:tab w:leader="none" w:pos="2476"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the conversion ratio for the Class A-2 Preferred Shares pursuant to Section 2.11(a), Section 9.07(a)(i), Section 9.10(a),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151" w:lineRule="exact"/>
        <w:rPr>
          <w:rFonts w:ascii="Arial" w:cs="Arial" w:eastAsia="Arial" w:hAnsi="Arial"/>
          <w:sz w:val="19"/>
          <w:szCs w:val="19"/>
          <w:color w:val="010000"/>
        </w:rPr>
      </w:pPr>
    </w:p>
    <w:p>
      <w:pPr>
        <w:ind w:left="2440" w:hanging="487"/>
        <w:spacing w:after="0"/>
        <w:tabs>
          <w:tab w:leader="none" w:pos="2440"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Section 6.13(c) will be amended to read, in its entirety, as follows:</w:t>
      </w:r>
    </w:p>
    <w:p>
      <w:pPr>
        <w:spacing w:after="0" w:line="247"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19"/>
          <w:szCs w:val="19"/>
          <w:b w:val="1"/>
          <w:bCs w:val="1"/>
          <w:color w:val="auto"/>
        </w:rPr>
        <w:t>Senior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142" w:lineRule="exact"/>
        <w:rPr>
          <w:sz w:val="20"/>
          <w:szCs w:val="20"/>
          <w:color w:val="auto"/>
        </w:rPr>
      </w:pPr>
    </w:p>
    <w:p>
      <w:pPr>
        <w:jc w:val="both"/>
        <w:ind w:firstLine="1305"/>
        <w:spacing w:after="0" w:line="262" w:lineRule="auto"/>
        <w:tabs>
          <w:tab w:leader="none" w:pos="1743"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Arial" w:cs="Arial" w:eastAsia="Arial" w:hAnsi="Arial"/>
          <w:sz w:val="22"/>
          <w:szCs w:val="22"/>
          <w:b w:val="1"/>
          <w:bCs w:val="1"/>
          <w:color w:val="auto"/>
        </w:rPr>
        <w:t>GM Commitment</w:t>
      </w:r>
      <w:r>
        <w:rPr>
          <w:rFonts w:ascii="Arial" w:cs="Arial" w:eastAsia="Arial" w:hAnsi="Arial"/>
          <w:sz w:val="22"/>
          <w:szCs w:val="22"/>
          <w:color w:val="auto"/>
        </w:rPr>
        <w:t>”), in exchange for which the Company issued to GM 1,100,000 Class A-2 Preferred Shares and 5,500,000 Class C Common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48" w:right="239" w:bottom="1440" w:gutter="0" w:footer="0" w:header="0"/>
        </w:sectPr>
      </w:pPr>
    </w:p>
    <w:bookmarkStart w:id="129" w:name="page130"/>
    <w:bookmarkEnd w:id="129"/>
    <w:p>
      <w:pPr>
        <w:ind w:right="20" w:firstLine="1305"/>
        <w:spacing w:after="0" w:line="289" w:lineRule="auto"/>
        <w:tabs>
          <w:tab w:leader="none" w:pos="1719"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As promptly as reasonably practicable following the consummation of the Subsequent SoftBank Commitment, the Company shall deliver to Honda an updated Members Schedule.</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u w:val="single" w:color="auto"/>
          <w:color w:val="auto"/>
        </w:rPr>
        <w:t>Class B Common Shares</w:t>
      </w:r>
      <w:r>
        <w:rPr>
          <w:rFonts w:ascii="Arial" w:cs="Arial" w:eastAsia="Arial" w:hAnsi="Arial"/>
          <w:sz w:val="19"/>
          <w:szCs w:val="19"/>
          <w:color w:val="auto"/>
        </w:rPr>
        <w:t>.</w:t>
      </w:r>
    </w:p>
    <w:p>
      <w:pPr>
        <w:spacing w:after="0" w:line="247" w:lineRule="exact"/>
        <w:rPr>
          <w:sz w:val="20"/>
          <w:szCs w:val="20"/>
          <w:color w:val="auto"/>
        </w:rPr>
      </w:pPr>
    </w:p>
    <w:p>
      <w:pPr>
        <w:jc w:val="both"/>
        <w:ind w:firstLine="1305"/>
        <w:spacing w:after="0" w:line="324" w:lineRule="auto"/>
        <w:tabs>
          <w:tab w:leader="none" w:pos="1919"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Awards of Class B Common Shares (“</w:t>
      </w:r>
      <w:r>
        <w:rPr>
          <w:rFonts w:ascii="Arial" w:cs="Arial" w:eastAsia="Arial" w:hAnsi="Arial"/>
          <w:sz w:val="19"/>
          <w:szCs w:val="19"/>
          <w:b w:val="1"/>
          <w:bCs w:val="1"/>
          <w:color w:val="auto"/>
        </w:rPr>
        <w:t>Share Awards</w:t>
      </w:r>
      <w:r>
        <w:rPr>
          <w:rFonts w:ascii="Arial" w:cs="Arial" w:eastAsia="Arial" w:hAnsi="Arial"/>
          <w:sz w:val="19"/>
          <w:szCs w:val="19"/>
          <w:color w:val="auto"/>
        </w:rPr>
        <w:t>”), options to purchase Class B Common Shares (“</w:t>
      </w:r>
      <w:r>
        <w:rPr>
          <w:rFonts w:ascii="Arial" w:cs="Arial" w:eastAsia="Arial" w:hAnsi="Arial"/>
          <w:sz w:val="19"/>
          <w:szCs w:val="19"/>
          <w:b w:val="1"/>
          <w:bCs w:val="1"/>
          <w:color w:val="auto"/>
        </w:rPr>
        <w:t>Options</w:t>
      </w:r>
      <w:r>
        <w:rPr>
          <w:rFonts w:ascii="Arial" w:cs="Arial" w:eastAsia="Arial" w:hAnsi="Arial"/>
          <w:sz w:val="19"/>
          <w:szCs w:val="19"/>
          <w:color w:val="auto"/>
        </w:rPr>
        <w:t>”) and rights to receive Class B Common Shares (“</w:t>
      </w:r>
      <w:r>
        <w:rPr>
          <w:rFonts w:ascii="Arial" w:cs="Arial" w:eastAsia="Arial" w:hAnsi="Arial"/>
          <w:sz w:val="19"/>
          <w:szCs w:val="19"/>
          <w:b w:val="1"/>
          <w:bCs w:val="1"/>
          <w:color w:val="auto"/>
        </w:rPr>
        <w:t>RSUs</w:t>
      </w:r>
      <w:r>
        <w:rPr>
          <w:rFonts w:ascii="Arial" w:cs="Arial" w:eastAsia="Arial" w:hAnsi="Arial"/>
          <w:sz w:val="19"/>
          <w:szCs w:val="19"/>
          <w:color w:val="auto"/>
        </w:rPr>
        <w:t>”, and collectively with Share Awards and Options, “</w:t>
      </w:r>
      <w:r>
        <w:rPr>
          <w:rFonts w:ascii="Arial" w:cs="Arial" w:eastAsia="Arial" w:hAnsi="Arial"/>
          <w:sz w:val="19"/>
          <w:szCs w:val="19"/>
          <w:b w:val="1"/>
          <w:bCs w:val="1"/>
          <w:color w:val="auto"/>
        </w:rPr>
        <w:t>Equity</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may be granted or issued, as applicable, on or after the Original Closing Date to Employee Members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a Share Grant Agreement and in accordance with the 2018/2019 Incentive Plan or any successor employee incentive plan.</w:t>
      </w:r>
    </w:p>
    <w:p>
      <w:pPr>
        <w:spacing w:after="0" w:line="136" w:lineRule="exact"/>
        <w:rPr>
          <w:rFonts w:ascii="Arial" w:cs="Arial" w:eastAsia="Arial" w:hAnsi="Arial"/>
          <w:sz w:val="19"/>
          <w:szCs w:val="19"/>
          <w:color w:val="010000"/>
        </w:rPr>
      </w:pPr>
    </w:p>
    <w:p>
      <w:pPr>
        <w:jc w:val="both"/>
        <w:ind w:firstLine="1305"/>
        <w:spacing w:after="0" w:line="322" w:lineRule="auto"/>
        <w:tabs>
          <w:tab w:leader="none" w:pos="1742"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With respect to Fiscal Years 2018 and 2019, the Company may grant or issue to Employee Members (pursuant to Share Grant Agreements) Equity Awards that may be issued, exercised or settled into, in the aggregate, up to that maximum number of Class B Common Shares set forth in the 2018/2019 Incentive Plan. From and after Fiscal Year 2020, the Company (acting upon the approval of the Board of Directors) may issue additional Equity Awards to Employee Members.</w:t>
      </w:r>
    </w:p>
    <w:p>
      <w:pPr>
        <w:spacing w:after="0" w:line="137" w:lineRule="exact"/>
        <w:rPr>
          <w:rFonts w:ascii="Arial" w:cs="Arial" w:eastAsia="Arial" w:hAnsi="Arial"/>
          <w:sz w:val="19"/>
          <w:szCs w:val="19"/>
          <w:color w:val="010000"/>
        </w:rPr>
      </w:pPr>
    </w:p>
    <w:p>
      <w:pPr>
        <w:jc w:val="both"/>
        <w:ind w:firstLine="1305"/>
        <w:spacing w:after="0" w:line="322" w:lineRule="auto"/>
        <w:tabs>
          <w:tab w:leader="none" w:pos="1838"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137" w:lineRule="exact"/>
        <w:rPr>
          <w:rFonts w:ascii="Arial" w:cs="Arial" w:eastAsia="Arial" w:hAnsi="Arial"/>
          <w:sz w:val="19"/>
          <w:szCs w:val="19"/>
          <w:color w:val="010000"/>
        </w:rPr>
      </w:pPr>
    </w:p>
    <w:p>
      <w:pPr>
        <w:jc w:val="both"/>
        <w:ind w:firstLine="1305"/>
        <w:spacing w:after="0" w:line="311" w:lineRule="auto"/>
        <w:tabs>
          <w:tab w:leader="none" w:pos="1783"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 xml:space="preserve">Each Share Grant Agreement with respect to Equity Awards is intended to qualify as a compensatory benefit plan within the meaning of Rule 701 of the Securities Act and the issuance of Class B Common Shares, from time to time, pursuant to the terms of this Agreement and the applicable Share Grant Agreement is intended to qualify for the exemption from registration under the Securities Act provided by Rule 701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Section 2.03(b), the foregoing shall not restrict or limit the Company’s ability to issue any Class B Common Shares pursuant to any other exemption from registration under the Securities Act available to the Company and to designate any such issuance as not being subject to Rule 701.</w:t>
      </w:r>
    </w:p>
    <w:p>
      <w:pPr>
        <w:spacing w:after="0" w:line="151" w:lineRule="exact"/>
        <w:rPr>
          <w:rFonts w:ascii="Arial" w:cs="Arial" w:eastAsia="Arial" w:hAnsi="Arial"/>
          <w:sz w:val="19"/>
          <w:szCs w:val="19"/>
          <w:color w:val="010000"/>
        </w:rPr>
      </w:pPr>
    </w:p>
    <w:p>
      <w:pPr>
        <w:ind w:firstLine="1305"/>
        <w:spacing w:after="0" w:line="289" w:lineRule="auto"/>
        <w:tabs>
          <w:tab w:leader="none" w:pos="1946"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Subject, in each case, to the terms and conditions of the applicable Share Grant Agreement (and as appropriately adjusted for the Share Split):</w:t>
      </w:r>
    </w:p>
    <w:p>
      <w:pPr>
        <w:spacing w:after="0" w:line="160" w:lineRule="exact"/>
        <w:rPr>
          <w:rFonts w:ascii="Arial" w:cs="Arial" w:eastAsia="Arial" w:hAnsi="Arial"/>
          <w:sz w:val="22"/>
          <w:szCs w:val="22"/>
          <w:color w:val="010000"/>
        </w:rPr>
      </w:pPr>
    </w:p>
    <w:p>
      <w:pPr>
        <w:jc w:val="both"/>
        <w:ind w:firstLine="1953"/>
        <w:spacing w:after="0" w:line="322" w:lineRule="auto"/>
        <w:tabs>
          <w:tab w:leader="none" w:pos="2356" w:val="left"/>
        </w:tabs>
        <w:numPr>
          <w:ilvl w:val="1"/>
          <w:numId w:val="61"/>
        </w:numPr>
        <w:rPr>
          <w:rFonts w:ascii="Arial" w:cs="Arial" w:eastAsia="Arial" w:hAnsi="Arial"/>
          <w:sz w:val="19"/>
          <w:szCs w:val="19"/>
          <w:color w:val="010000"/>
        </w:rPr>
      </w:pPr>
      <w:r>
        <w:rPr>
          <w:rFonts w:ascii="Arial" w:cs="Arial" w:eastAsia="Arial" w:hAnsi="Arial"/>
          <w:sz w:val="19"/>
          <w:szCs w:val="19"/>
          <w:color w:val="auto"/>
        </w:rPr>
        <w:t>Class B Common Shares that would be issued as a result of the exercise of a right to purchase pursuant to an issued Option shall be deemed, prior to their actual issuance, to be issued unvested Class B Common Shares for the purposes of Section 3.01(b)(ii) (and the holder of the Option shall be deemed a Class B Member solely for such purpose); provided, that, for clarity, no Distributions will actually be made with respect to such deemed unvested Class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48"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B Common Shares and Section 3.03 will not apply to such deemed unvested Class B Common Shares; and</w:t>
      </w:r>
    </w:p>
    <w:p>
      <w:pPr>
        <w:spacing w:after="0" w:line="233" w:lineRule="exact"/>
        <w:rPr>
          <w:sz w:val="20"/>
          <w:szCs w:val="20"/>
          <w:color w:val="auto"/>
        </w:rPr>
      </w:pPr>
    </w:p>
    <w:p>
      <w:pPr>
        <w:jc w:val="both"/>
        <w:ind w:firstLine="1953"/>
        <w:spacing w:after="0" w:line="267" w:lineRule="auto"/>
        <w:tabs>
          <w:tab w:leader="none" w:pos="2402" w:val="left"/>
        </w:tabs>
        <w:numPr>
          <w:ilvl w:val="0"/>
          <w:numId w:val="62"/>
        </w:numPr>
        <w:rPr>
          <w:rFonts w:ascii="Arial" w:cs="Arial" w:eastAsia="Arial" w:hAnsi="Arial"/>
          <w:sz w:val="22"/>
          <w:szCs w:val="22"/>
          <w:color w:val="010000"/>
        </w:rPr>
      </w:pPr>
      <w:r>
        <w:rPr>
          <w:rFonts w:ascii="Arial" w:cs="Arial" w:eastAsia="Arial" w:hAnsi="Arial"/>
          <w:sz w:val="22"/>
          <w:szCs w:val="22"/>
          <w:color w:val="auto"/>
        </w:rPr>
        <w:t>Class B Common Shares that would be issued as a result of the right to receive such Shares pursuant to an RSU shall be deemed, prior to their actual issuance, to be issued unvested Class B Common Shares for the purposes of Sections 3.01(b)(ii) and 3.01(b)(iii) (and the holder of the RSU shall be deemed a Class B Member solely for such purposes) and Section 3.03.</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8"/>
          <w:szCs w:val="18"/>
          <w:b w:val="1"/>
          <w:bCs w:val="1"/>
          <w:u w:val="single" w:color="auto"/>
          <w:color w:val="auto"/>
        </w:rPr>
        <w:t>Additional Classes of Shares</w:t>
      </w:r>
      <w:r>
        <w:rPr>
          <w:rFonts w:ascii="Arial" w:cs="Arial" w:eastAsia="Arial" w:hAnsi="Arial"/>
          <w:sz w:val="18"/>
          <w:szCs w:val="18"/>
          <w:color w:val="auto"/>
        </w:rPr>
        <w:t>.</w:t>
      </w:r>
    </w:p>
    <w:p>
      <w:pPr>
        <w:spacing w:after="0" w:line="253" w:lineRule="exact"/>
        <w:rPr>
          <w:sz w:val="20"/>
          <w:szCs w:val="20"/>
          <w:color w:val="auto"/>
        </w:rPr>
      </w:pPr>
    </w:p>
    <w:p>
      <w:pPr>
        <w:jc w:val="both"/>
        <w:ind w:firstLine="1305"/>
        <w:spacing w:after="0" w:line="272" w:lineRule="auto"/>
        <w:tabs>
          <w:tab w:leader="none" w:pos="1743"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Class E Common Shares</w:t>
      </w:r>
      <w:r>
        <w:rPr>
          <w:rFonts w:ascii="Arial" w:cs="Arial" w:eastAsia="Arial" w:hAnsi="Arial"/>
          <w:sz w:val="22"/>
          <w:szCs w:val="22"/>
          <w:color w:val="auto"/>
        </w:rPr>
        <w:t>. Pursuant to the Honda Purchase Agreement, and subject to the terms and conditions thereof, Honda made Capital Contributions totaling $750,000,000 in the aggregate (the “</w:t>
      </w:r>
      <w:r>
        <w:rPr>
          <w:rFonts w:ascii="Arial" w:cs="Arial" w:eastAsia="Arial" w:hAnsi="Arial"/>
          <w:sz w:val="22"/>
          <w:szCs w:val="22"/>
          <w:b w:val="1"/>
          <w:bCs w:val="1"/>
          <w:color w:val="auto"/>
        </w:rPr>
        <w:t>Honda Commitment</w:t>
      </w:r>
      <w:r>
        <w:rPr>
          <w:rFonts w:ascii="Arial" w:cs="Arial" w:eastAsia="Arial" w:hAnsi="Arial"/>
          <w:sz w:val="22"/>
          <w:szCs w:val="22"/>
          <w:color w:val="auto"/>
        </w:rPr>
        <w:t>”), pursuant to which the Company has issued to Honda 495,000 Class E Common Shares.</w:t>
      </w:r>
    </w:p>
    <w:p>
      <w:pPr>
        <w:spacing w:after="0" w:line="179" w:lineRule="exact"/>
        <w:rPr>
          <w:rFonts w:ascii="Arial" w:cs="Arial" w:eastAsia="Arial" w:hAnsi="Arial"/>
          <w:sz w:val="22"/>
          <w:szCs w:val="22"/>
          <w:color w:val="010000"/>
        </w:rPr>
      </w:pPr>
    </w:p>
    <w:p>
      <w:pPr>
        <w:jc w:val="both"/>
        <w:ind w:firstLine="1305"/>
        <w:spacing w:after="0" w:line="262" w:lineRule="auto"/>
        <w:tabs>
          <w:tab w:leader="none" w:pos="1742"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Class F Preferred Shares</w:t>
      </w:r>
      <w:r>
        <w:rPr>
          <w:rFonts w:ascii="Arial" w:cs="Arial" w:eastAsia="Arial" w:hAnsi="Arial"/>
          <w:sz w:val="22"/>
          <w:szCs w:val="22"/>
          <w:color w:val="auto"/>
        </w:rPr>
        <w:t xml:space="preserve">. Pursuant to the Class F Purchase Agreement, and subject to the terms and conditions thereof, each Class F New Member, SoftBank, Honda and GM made the Capital Contributions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totaling $1,150,000,025 in the aggregate (the “</w:t>
      </w:r>
      <w:r>
        <w:rPr>
          <w:rFonts w:ascii="Arial" w:cs="Arial" w:eastAsia="Arial" w:hAnsi="Arial"/>
          <w:sz w:val="22"/>
          <w:szCs w:val="22"/>
          <w:b w:val="1"/>
          <w:bCs w:val="1"/>
          <w:color w:val="auto"/>
        </w:rPr>
        <w:t>Class F Commitment</w:t>
      </w:r>
      <w:r>
        <w:rPr>
          <w:rFonts w:ascii="Arial" w:cs="Arial" w:eastAsia="Arial" w:hAnsi="Arial"/>
          <w:sz w:val="22"/>
          <w:szCs w:val="22"/>
          <w:color w:val="auto"/>
        </w:rPr>
        <w:t xml:space="preserve">”), pursuant to which the Company issued to such Class F Preferred Members the Class F Preferred Shares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which includes the Deferred Shares (as defined in the Class F Purchase Agreement) issued to SoftBank.</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22"/>
          <w:szCs w:val="22"/>
          <w:b w:val="1"/>
          <w:bCs w:val="1"/>
          <w:u w:val="single" w:color="auto"/>
          <w:color w:val="auto"/>
        </w:rPr>
        <w:t>Other Contributions</w:t>
      </w:r>
      <w:r>
        <w:rPr>
          <w:rFonts w:ascii="Arial" w:cs="Arial" w:eastAsia="Arial" w:hAnsi="Arial"/>
          <w:sz w:val="22"/>
          <w:szCs w:val="22"/>
          <w:color w:val="auto"/>
        </w:rPr>
        <w:t>. No Member shall be required to make any contributions to the Company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Contributions as provided in this Article II or as otherwise expressly set forth in this Agreement. Subject to Section 2.07,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2.06 </w:t>
      </w:r>
      <w:r>
        <w:rPr>
          <w:rFonts w:ascii="Arial" w:cs="Arial" w:eastAsia="Arial" w:hAnsi="Arial"/>
          <w:sz w:val="21"/>
          <w:szCs w:val="21"/>
          <w:b w:val="1"/>
          <w:bCs w:val="1"/>
          <w:u w:val="single" w:color="auto"/>
          <w:color w:val="auto"/>
        </w:rPr>
        <w:t>Issuances of Shares</w:t>
      </w:r>
      <w:r>
        <w:rPr>
          <w:rFonts w:ascii="Arial" w:cs="Arial" w:eastAsia="Arial" w:hAnsi="Arial"/>
          <w:sz w:val="21"/>
          <w:szCs w:val="21"/>
          <w:color w:val="auto"/>
        </w:rPr>
        <w:t>. Subject to the limitations set forth in this Agreement (including Section 2.02, Section 2.07 and</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6.13),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47" w:right="239" w:bottom="1440" w:gutter="0" w:footer="0" w:header="0"/>
        </w:sectPr>
      </w:pPr>
    </w:p>
    <w:bookmarkStart w:id="131" w:name="page132"/>
    <w:bookmarkEnd w:id="131"/>
    <w:p>
      <w:pPr>
        <w:ind w:left="660"/>
        <w:spacing w:after="0"/>
        <w:tabs>
          <w:tab w:leader="none" w:pos="120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43"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Except as provided in Section 2.07(e) or Section 2.07(f),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xml:space="preserve">”) to each holder of Preemptive Shares setting forth a description of the New Securities to be sold, the proposed purchase price, the aggregate number of New Securities to be sold and the terms and conditions of sale. Upon receipt of the Company’s Notice of Intention to Sell, each holder of Preemptive Shares shall have the right, during the Acceptance Period, to elect to purchase, at the price and on the terms and conditions stated in the Company’s Notice of Intention to Sell,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Section 2.07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2.07, then any Class A-1 Member, Class D Member, Class E Member or Class F Preferred Member who elects to purchase such New Securities pursuant to this Section 2.07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2.07. If one or more holders of Preemptive Shares do not elect to purchase their entire share of the New Securities (such aggregate portion of New Securities that has not been so elected, the “</w:t>
      </w:r>
      <w:r>
        <w:rPr>
          <w:rFonts w:ascii="Arial" w:cs="Arial" w:eastAsia="Arial" w:hAnsi="Arial"/>
          <w:sz w:val="19"/>
          <w:szCs w:val="19"/>
          <w:b w:val="1"/>
          <w:bCs w:val="1"/>
          <w:color w:val="auto"/>
        </w:rPr>
        <w:t>Excess New Securities</w:t>
      </w:r>
      <w:r>
        <w:rPr>
          <w:rFonts w:ascii="Arial" w:cs="Arial" w:eastAsia="Arial" w:hAnsi="Arial"/>
          <w:sz w:val="19"/>
          <w:szCs w:val="19"/>
          <w:color w:val="auto"/>
        </w:rPr>
        <w:t>”), then the Company will offer, by written notice (the “</w:t>
      </w:r>
      <w:r>
        <w:rPr>
          <w:rFonts w:ascii="Arial" w:cs="Arial" w:eastAsia="Arial" w:hAnsi="Arial"/>
          <w:sz w:val="19"/>
          <w:szCs w:val="19"/>
          <w:b w:val="1"/>
          <w:bCs w:val="1"/>
          <w:color w:val="auto"/>
        </w:rPr>
        <w:t>Supplemental Notice of Intention to Sell</w:t>
      </w:r>
      <w:r>
        <w:rPr>
          <w:rFonts w:ascii="Arial" w:cs="Arial" w:eastAsia="Arial" w:hAnsi="Arial"/>
          <w:sz w:val="19"/>
          <w:szCs w:val="19"/>
          <w:color w:val="auto"/>
        </w:rPr>
        <w:t>”), to each holder of Preemptive Shares who has elected to purchase his, her or its entire proportion of the New Securities pursuant to this Section 2.07 (the “</w:t>
      </w:r>
      <w:r>
        <w:rPr>
          <w:rFonts w:ascii="Arial" w:cs="Arial" w:eastAsia="Arial" w:hAnsi="Arial"/>
          <w:sz w:val="19"/>
          <w:szCs w:val="19"/>
          <w:b w:val="1"/>
          <w:bCs w:val="1"/>
          <w:color w:val="auto"/>
        </w:rPr>
        <w:t>Full</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the right to elect to purchase, at the price and on the terms and conditions stated in the Company’s Notice of</w:t>
      </w:r>
      <w:r>
        <w:rPr>
          <w:rFonts w:ascii="Arial" w:cs="Arial" w:eastAsia="Arial" w:hAnsi="Arial"/>
          <w:sz w:val="19"/>
          <w:szCs w:val="19"/>
          <w:b w:val="1"/>
          <w:bCs w:val="1"/>
          <w:color w:val="auto"/>
        </w:rPr>
        <w:t xml:space="preserve"> </w:t>
      </w:r>
      <w:r>
        <w:rPr>
          <w:rFonts w:ascii="Arial" w:cs="Arial" w:eastAsia="Arial" w:hAnsi="Arial"/>
          <w:sz w:val="19"/>
          <w:szCs w:val="19"/>
          <w:color w:val="auto"/>
        </w:rPr>
        <w:t>Intention to Sell:</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firstLine="1953"/>
        <w:spacing w:after="0" w:line="289" w:lineRule="auto"/>
        <w:tabs>
          <w:tab w:leader="none" w:pos="2329"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in relation to Class F Preferred Shares held by Full Participants, their Class F Preemptive Proportion (the “</w:t>
      </w:r>
      <w:r>
        <w:rPr>
          <w:rFonts w:ascii="Arial" w:cs="Arial" w:eastAsia="Arial" w:hAnsi="Arial"/>
          <w:sz w:val="22"/>
          <w:szCs w:val="22"/>
          <w:b w:val="1"/>
          <w:bCs w:val="1"/>
          <w:color w:val="auto"/>
        </w:rPr>
        <w:t>Class F Excess Process</w:t>
      </w:r>
      <w:r>
        <w:rPr>
          <w:rFonts w:ascii="Arial" w:cs="Arial" w:eastAsia="Arial" w:hAnsi="Arial"/>
          <w:sz w:val="22"/>
          <w:szCs w:val="22"/>
          <w:color w:val="auto"/>
        </w:rPr>
        <w:t>”); and</w:t>
      </w:r>
    </w:p>
    <w:p>
      <w:pPr>
        <w:spacing w:after="0" w:line="160" w:lineRule="exact"/>
        <w:rPr>
          <w:rFonts w:ascii="Arial" w:cs="Arial" w:eastAsia="Arial" w:hAnsi="Arial"/>
          <w:sz w:val="22"/>
          <w:szCs w:val="22"/>
          <w:color w:val="010000"/>
        </w:rPr>
      </w:pPr>
    </w:p>
    <w:p>
      <w:pPr>
        <w:jc w:val="both"/>
        <w:ind w:firstLine="1953"/>
        <w:spacing w:after="0" w:line="277" w:lineRule="auto"/>
        <w:tabs>
          <w:tab w:leader="none" w:pos="2416"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following completion of the Class F Excess Process, in relation to all other Preemptive Shares held by Full Participants their Preemptive Proportion (calculated as if (A) Class F Preferred Shares are excluded from the determination of Preemptive Proportion (including the Total Conversion Shares used therefor) and (B) the Total Conversion Shares excludes all Shares of each holder of Preemptive Shares that did not elect to purchase their entire share of the New Securities) of the Excess New Securities remaining after the Class F Excess Process, such that all of the Excess New Securities remaining after the Class F Excess Process may be purchased by such holders, if so elected.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42" w:right="239" w:bottom="1440" w:gutter="0" w:footer="0" w:header="0"/>
        </w:sectPr>
      </w:pPr>
    </w:p>
    <w:bookmarkStart w:id="132" w:name="page133"/>
    <w:bookmarkEnd w:id="132"/>
    <w:p>
      <w:pPr>
        <w:jc w:val="both"/>
        <w:ind w:firstLine="648"/>
        <w:spacing w:after="0" w:line="271" w:lineRule="auto"/>
        <w:rPr>
          <w:sz w:val="20"/>
          <w:szCs w:val="20"/>
          <w:color w:val="auto"/>
        </w:rPr>
      </w:pPr>
      <w:r>
        <w:rPr>
          <w:rFonts w:ascii="Arial" w:cs="Arial" w:eastAsia="Arial" w:hAnsi="Arial"/>
          <w:sz w:val="21"/>
          <w:szCs w:val="21"/>
          <w:color w:val="auto"/>
        </w:rPr>
        <w:t>All elections under this Section 2.07(a)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21"/>
          <w:szCs w:val="21"/>
          <w:b w:val="1"/>
          <w:bCs w:val="1"/>
          <w:color w:val="auto"/>
        </w:rPr>
        <w:t>Acceptance Period</w:t>
      </w:r>
      <w:r>
        <w:rPr>
          <w:rFonts w:ascii="Arial" w:cs="Arial" w:eastAsia="Arial" w:hAnsi="Arial"/>
          <w:sz w:val="21"/>
          <w:szCs w:val="21"/>
          <w:color w:val="auto"/>
        </w:rPr>
        <w:t>”).</w:t>
      </w:r>
    </w:p>
    <w:p>
      <w:pPr>
        <w:spacing w:after="0" w:line="208" w:lineRule="exact"/>
        <w:rPr>
          <w:sz w:val="20"/>
          <w:szCs w:val="20"/>
          <w:color w:val="auto"/>
        </w:rPr>
      </w:pPr>
    </w:p>
    <w:p>
      <w:pPr>
        <w:jc w:val="both"/>
        <w:ind w:firstLine="1305"/>
        <w:spacing w:after="0" w:line="277" w:lineRule="auto"/>
        <w:tabs>
          <w:tab w:leader="none" w:pos="1850"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 Notice of Intention to Sell, if the same is issued), sell and issue any of the New Securities not elected for purchase pursuant to Section 2.07(a) to any Person(s) at a price and upon terms and conditions no more favorable, in the aggregate, to such Person(s) than those stated in the Company’s Notice of Intention to Sell.</w:t>
      </w:r>
    </w:p>
    <w:p>
      <w:pPr>
        <w:spacing w:after="0" w:line="177" w:lineRule="exact"/>
        <w:rPr>
          <w:rFonts w:ascii="Arial" w:cs="Arial" w:eastAsia="Arial" w:hAnsi="Arial"/>
          <w:sz w:val="21"/>
          <w:szCs w:val="21"/>
          <w:color w:val="010000"/>
        </w:rPr>
      </w:pPr>
    </w:p>
    <w:p>
      <w:pPr>
        <w:jc w:val="both"/>
        <w:ind w:firstLine="1305"/>
        <w:spacing w:after="0" w:line="272" w:lineRule="auto"/>
        <w:tabs>
          <w:tab w:leader="none" w:pos="1743"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2.07(a).</w:t>
      </w:r>
    </w:p>
    <w:p>
      <w:pPr>
        <w:spacing w:after="0" w:line="179" w:lineRule="exact"/>
        <w:rPr>
          <w:rFonts w:ascii="Arial" w:cs="Arial" w:eastAsia="Arial" w:hAnsi="Arial"/>
          <w:sz w:val="22"/>
          <w:szCs w:val="22"/>
          <w:color w:val="010000"/>
        </w:rPr>
      </w:pPr>
    </w:p>
    <w:p>
      <w:pPr>
        <w:jc w:val="both"/>
        <w:ind w:firstLine="1305"/>
        <w:spacing w:after="0" w:line="311" w:lineRule="auto"/>
        <w:tabs>
          <w:tab w:leader="none" w:pos="1756"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51" w:lineRule="exact"/>
        <w:rPr>
          <w:rFonts w:ascii="Arial" w:cs="Arial" w:eastAsia="Arial" w:hAnsi="Arial"/>
          <w:sz w:val="19"/>
          <w:szCs w:val="19"/>
          <w:color w:val="010000"/>
        </w:rPr>
      </w:pPr>
    </w:p>
    <w:p>
      <w:pPr>
        <w:jc w:val="both"/>
        <w:ind w:firstLine="1305"/>
        <w:spacing w:after="0" w:line="305" w:lineRule="auto"/>
        <w:tabs>
          <w:tab w:leader="none" w:pos="1784"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 no holder of Preemptive Shares shall have a right to purchase New Securities pursuant to this Section 2.07,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 may comply with the provisions of this Section 2.07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2.07(a) with respect to their purchase, for cash, of such New Securities as they would have been entitled to purchase pursuant to Section 2.07(a).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48" w:right="239" w:bottom="1440" w:gutter="0" w:footer="0" w:header="0"/>
        </w:sectPr>
      </w:pPr>
    </w:p>
    <w:bookmarkStart w:id="133" w:name="page134"/>
    <w:bookmarkEnd w:id="133"/>
    <w:p>
      <w:pPr>
        <w:ind w:firstLine="1305"/>
        <w:spacing w:after="0" w:line="289" w:lineRule="auto"/>
        <w:tabs>
          <w:tab w:leader="none" w:pos="1908"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2.07, the preemptive rights contained in this Section 2.07 shall not apply to:</w:t>
      </w:r>
    </w:p>
    <w:p>
      <w:pPr>
        <w:spacing w:after="0" w:line="160" w:lineRule="exact"/>
        <w:rPr>
          <w:rFonts w:ascii="Arial" w:cs="Arial" w:eastAsia="Arial" w:hAnsi="Arial"/>
          <w:sz w:val="22"/>
          <w:szCs w:val="22"/>
          <w:color w:val="010000"/>
        </w:rPr>
      </w:pPr>
    </w:p>
    <w:p>
      <w:pPr>
        <w:ind w:right="20" w:firstLine="1953"/>
        <w:spacing w:after="0" w:line="289" w:lineRule="auto"/>
        <w:tabs>
          <w:tab w:leader="none" w:pos="2599"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any Equity Securities issued pursuant to the funding of the GM Commitment, the SoftBank Commitment and the Subsequent SoftBank Commitment;</w:t>
      </w:r>
    </w:p>
    <w:p>
      <w:pPr>
        <w:spacing w:after="0" w:line="160" w:lineRule="exact"/>
        <w:rPr>
          <w:rFonts w:ascii="Arial" w:cs="Arial" w:eastAsia="Arial" w:hAnsi="Arial"/>
          <w:sz w:val="22"/>
          <w:szCs w:val="22"/>
          <w:color w:val="010000"/>
        </w:rPr>
      </w:pPr>
    </w:p>
    <w:p>
      <w:pPr>
        <w:ind w:left="2400" w:hanging="447"/>
        <w:spacing w:after="0"/>
        <w:tabs>
          <w:tab w:leader="none" w:pos="2400"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any Equity Securities issued pursuant to Sections 2.10 or 2.11;</w:t>
      </w:r>
    </w:p>
    <w:p>
      <w:pPr>
        <w:spacing w:after="0" w:line="246" w:lineRule="exact"/>
        <w:rPr>
          <w:rFonts w:ascii="Arial" w:cs="Arial" w:eastAsia="Arial" w:hAnsi="Arial"/>
          <w:sz w:val="22"/>
          <w:szCs w:val="22"/>
          <w:color w:val="010000"/>
        </w:rPr>
      </w:pPr>
    </w:p>
    <w:p>
      <w:pPr>
        <w:ind w:right="20" w:firstLine="1953"/>
        <w:spacing w:after="0" w:line="289" w:lineRule="auto"/>
        <w:tabs>
          <w:tab w:leader="none" w:pos="2449"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any Class B Common Shares that may be issued to Employee Members, including upon the exercise or settlement of any Equity Award;</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1"/>
          <w:numId w:val="66"/>
        </w:numPr>
        <w:rPr>
          <w:rFonts w:ascii="Arial" w:cs="Arial" w:eastAsia="Arial" w:hAnsi="Arial"/>
          <w:sz w:val="21"/>
          <w:szCs w:val="21"/>
          <w:color w:val="010000"/>
        </w:rPr>
      </w:pPr>
      <w:r>
        <w:rPr>
          <w:rFonts w:ascii="Arial" w:cs="Arial" w:eastAsia="Arial" w:hAnsi="Arial"/>
          <w:sz w:val="21"/>
          <w:szCs w:val="21"/>
          <w:color w:val="auto"/>
        </w:rPr>
        <w:t>any Equity Securities issued in connection with an IPO (including pursuant to Section 9.10(c));</w:t>
      </w:r>
    </w:p>
    <w:p>
      <w:pPr>
        <w:spacing w:after="0" w:line="258" w:lineRule="exact"/>
        <w:rPr>
          <w:rFonts w:ascii="Arial" w:cs="Arial" w:eastAsia="Arial" w:hAnsi="Arial"/>
          <w:sz w:val="21"/>
          <w:szCs w:val="21"/>
          <w:color w:val="010000"/>
        </w:rPr>
      </w:pPr>
    </w:p>
    <w:p>
      <w:pPr>
        <w:ind w:firstLine="1953"/>
        <w:spacing w:after="0" w:line="289" w:lineRule="auto"/>
        <w:tabs>
          <w:tab w:leader="none" w:pos="2417"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any Equity Securities issued upon any subdivision, split, recapitalization, reclassification, combination or similar reorganization; and</w:t>
      </w:r>
    </w:p>
    <w:p>
      <w:pPr>
        <w:spacing w:after="0" w:line="160" w:lineRule="exact"/>
        <w:rPr>
          <w:rFonts w:ascii="Arial" w:cs="Arial" w:eastAsia="Arial" w:hAnsi="Arial"/>
          <w:sz w:val="22"/>
          <w:szCs w:val="22"/>
          <w:color w:val="010000"/>
        </w:rPr>
      </w:pPr>
    </w:p>
    <w:p>
      <w:pPr>
        <w:jc w:val="both"/>
        <w:ind w:firstLine="1953"/>
        <w:spacing w:after="0" w:line="309" w:lineRule="auto"/>
        <w:tabs>
          <w:tab w:leader="none" w:pos="2599"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any Equity Securities issued in connection with any merger, consolidation, acquisition for stock, business combination, purchase of assets or business(es) of, or any similar extraordinary transaction with a third party (each an “</w:t>
      </w:r>
      <w:r>
        <w:rPr>
          <w:rFonts w:ascii="Arial" w:cs="Arial" w:eastAsia="Arial" w:hAnsi="Arial"/>
          <w:sz w:val="19"/>
          <w:szCs w:val="19"/>
          <w:b w:val="1"/>
          <w:bCs w:val="1"/>
          <w:color w:val="auto"/>
        </w:rPr>
        <w:t>M&amp;A Transaction</w:t>
      </w:r>
      <w:r>
        <w:rPr>
          <w:rFonts w:ascii="Arial" w:cs="Arial" w:eastAsia="Arial" w:hAnsi="Arial"/>
          <w:sz w:val="19"/>
          <w:szCs w:val="19"/>
          <w:color w:val="auto"/>
        </w:rPr>
        <w:t>”); provided that the value (measured as of the date of issuance) of such Equity Securities issued by the Company pursuant to the exemption set forth in this Section 2.07(f)(vi) does not exceed an aggregate of $250,000,000 with respect to any individual calendar year (it being understood that in the event such $250,000,000 cap is exceeded in any given calendar year, the preemptive rights contained in this Section 2.07 will apply (subject to the other limitations set forth in this Agreement) solely with respect to that portion of Equity Securities issued in excess of such cap in such calendar year).</w:t>
      </w:r>
    </w:p>
    <w:p>
      <w:pPr>
        <w:spacing w:after="0" w:line="14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2.08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 representing Shares (“</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2.09 </w:t>
      </w:r>
      <w:r>
        <w:rPr>
          <w:rFonts w:ascii="Arial" w:cs="Arial" w:eastAsia="Arial" w:hAnsi="Arial"/>
          <w:sz w:val="21"/>
          <w:szCs w:val="21"/>
          <w:b w:val="1"/>
          <w:bCs w:val="1"/>
          <w:u w:val="single" w:color="auto"/>
          <w:color w:val="auto"/>
        </w:rPr>
        <w:t>Repurchase Rights</w:t>
      </w:r>
      <w:r>
        <w:rPr>
          <w:rFonts w:ascii="Arial" w:cs="Arial" w:eastAsia="Arial" w:hAnsi="Arial"/>
          <w:sz w:val="21"/>
          <w:szCs w:val="21"/>
          <w:color w:val="auto"/>
        </w:rPr>
        <w:t>. If an Employee Member ceases to be employed by or provide services to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Share Grant Agreement or other agreement (or agreements) with the Company) at a price per Class B Common Share specified by, on the timeline provided by, and otherwise on the terms and conditions contained within, a Share Grant Agreement or other agreement (or agreements) between an Employee Member and the Company.</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pacing w:after="0" w:line="253" w:lineRule="exact"/>
        <w:rPr>
          <w:sz w:val="20"/>
          <w:szCs w:val="20"/>
          <w:color w:val="auto"/>
        </w:rPr>
      </w:pPr>
    </w:p>
    <w:p>
      <w:pPr>
        <w:ind w:right="20" w:firstLine="1305"/>
        <w:spacing w:after="0" w:line="289" w:lineRule="auto"/>
        <w:tabs>
          <w:tab w:leader="none" w:pos="1743" w:val="left"/>
        </w:tabs>
        <w:numPr>
          <w:ilvl w:val="0"/>
          <w:numId w:val="67"/>
        </w:numPr>
        <w:rPr>
          <w:rFonts w:ascii="Arial" w:cs="Arial" w:eastAsia="Arial" w:hAnsi="Arial"/>
          <w:sz w:val="22"/>
          <w:szCs w:val="22"/>
          <w:color w:val="010000"/>
        </w:rPr>
      </w:pPr>
      <w:r>
        <w:rPr>
          <w:rFonts w:ascii="Arial" w:cs="Arial" w:eastAsia="Arial" w:hAnsi="Arial"/>
          <w:sz w:val="22"/>
          <w:szCs w:val="22"/>
          <w:color w:val="auto"/>
        </w:rPr>
        <w:t>Each Class A-1 Preferred Member shall have the right, at such Member’s option, at any time and from time to time to convert all or any portion of the Class A-1 Preferred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48" w:right="239" w:bottom="1440" w:gutter="0" w:footer="0" w:header="0"/>
        </w:sectPr>
      </w:pPr>
    </w:p>
    <w:bookmarkStart w:id="134" w:name="page135"/>
    <w:bookmarkEnd w:id="134"/>
    <w:p>
      <w:pPr>
        <w:jc w:val="both"/>
        <w:spacing w:after="0" w:line="266" w:lineRule="auto"/>
        <w:rPr>
          <w:sz w:val="20"/>
          <w:szCs w:val="20"/>
          <w:color w:val="auto"/>
        </w:rPr>
      </w:pPr>
      <w:r>
        <w:rPr>
          <w:rFonts w:ascii="Arial" w:cs="Arial" w:eastAsia="Arial" w:hAnsi="Arial"/>
          <w:sz w:val="22"/>
          <w:szCs w:val="22"/>
          <w:color w:val="auto"/>
        </w:rPr>
        <w:t>Shares held by such Member into Class D Common Shares by providing the Company with written notice of such conversion. A conversion of Class A-1 Preferred Shares pursuant to this Section 2.10(a) shall be effective as of the close of business on the first (1st) Business Day after the Company’s receipt of the conversion notice.</w:t>
      </w:r>
    </w:p>
    <w:p>
      <w:pPr>
        <w:spacing w:after="0" w:line="185" w:lineRule="exact"/>
        <w:rPr>
          <w:sz w:val="20"/>
          <w:szCs w:val="20"/>
          <w:color w:val="auto"/>
        </w:rPr>
      </w:pPr>
    </w:p>
    <w:p>
      <w:pPr>
        <w:jc w:val="both"/>
        <w:ind w:firstLine="1305"/>
        <w:spacing w:after="0" w:line="291" w:lineRule="auto"/>
        <w:tabs>
          <w:tab w:leader="none" w:pos="1796" w:val="left"/>
        </w:tabs>
        <w:numPr>
          <w:ilvl w:val="0"/>
          <w:numId w:val="68"/>
        </w:numPr>
        <w:rPr>
          <w:rFonts w:ascii="Arial" w:cs="Arial" w:eastAsia="Arial" w:hAnsi="Arial"/>
          <w:sz w:val="21"/>
          <w:szCs w:val="21"/>
          <w:color w:val="010000"/>
        </w:rPr>
      </w:pPr>
      <w:r>
        <w:rPr>
          <w:rFonts w:ascii="Arial" w:cs="Arial" w:eastAsia="Arial" w:hAnsi="Arial"/>
          <w:sz w:val="21"/>
          <w:szCs w:val="21"/>
          <w:color w:val="auto"/>
        </w:rPr>
        <w:t>In connection with any conversion pursuant to Section 2.10(a),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61" w:lineRule="exact"/>
        <w:rPr>
          <w:rFonts w:ascii="Arial" w:cs="Arial" w:eastAsia="Arial" w:hAnsi="Arial"/>
          <w:sz w:val="21"/>
          <w:szCs w:val="21"/>
          <w:color w:val="010000"/>
        </w:rPr>
      </w:pPr>
    </w:p>
    <w:p>
      <w:pPr>
        <w:jc w:val="both"/>
        <w:ind w:right="20" w:firstLine="1305"/>
        <w:spacing w:after="0" w:line="267" w:lineRule="auto"/>
        <w:tabs>
          <w:tab w:leader="none" w:pos="1824"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2.10 shall cease to have the rights, preferences and privileges provided under this Agreement for the Class A-1 Preferred Shares and shall thereafter be treated as a Class D Common Share for all purposes.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11" w:lineRule="auto"/>
        <w:tabs>
          <w:tab w:leader="none" w:pos="1743"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2.11 shall be effective as of the close of business on the first (1st) Business Day after the Company’s receipt of the conversion notice.</w:t>
      </w:r>
    </w:p>
    <w:p>
      <w:pPr>
        <w:spacing w:after="0" w:line="151" w:lineRule="exact"/>
        <w:rPr>
          <w:rFonts w:ascii="Arial" w:cs="Arial" w:eastAsia="Arial" w:hAnsi="Arial"/>
          <w:sz w:val="19"/>
          <w:szCs w:val="19"/>
          <w:color w:val="010000"/>
        </w:rPr>
      </w:pPr>
    </w:p>
    <w:p>
      <w:pPr>
        <w:jc w:val="both"/>
        <w:ind w:firstLine="1305"/>
        <w:spacing w:after="0" w:line="267" w:lineRule="auto"/>
        <w:tabs>
          <w:tab w:leader="none" w:pos="1837"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2.11 shall cease to have the rights, preferences and privileges provided under this Agreement for the Class A-2 Preferred Shares and shall thereafter be treated as a Class C Common Share for all purposes.</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53" w:lineRule="exact"/>
        <w:rPr>
          <w:sz w:val="20"/>
          <w:szCs w:val="20"/>
          <w:color w:val="auto"/>
        </w:rPr>
      </w:pPr>
    </w:p>
    <w:p>
      <w:pPr>
        <w:ind w:right="20" w:firstLine="1305"/>
        <w:spacing w:after="0" w:line="289" w:lineRule="auto"/>
        <w:tabs>
          <w:tab w:leader="none" w:pos="1757"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918"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Subject to Section 3.02 and Section 3.03, and in accordance with the provisions of this Section 3.01, Distributions pursuant to this Article III shall be made Quarterly in arrears (on the final day of each Quarter) in the following order of priority: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48" w:right="239" w:bottom="1440" w:gutter="0" w:footer="0" w:header="0"/>
        </w:sectPr>
      </w:pPr>
    </w:p>
    <w:bookmarkStart w:id="135" w:name="page136"/>
    <w:bookmarkEnd w:id="135"/>
    <w:p>
      <w:pPr>
        <w:jc w:val="both"/>
        <w:ind w:firstLine="1953"/>
        <w:spacing w:after="0" w:line="273" w:lineRule="auto"/>
        <w:tabs>
          <w:tab w:leader="none" w:pos="2437" w:val="left"/>
        </w:tabs>
        <w:numPr>
          <w:ilvl w:val="1"/>
          <w:numId w:val="71"/>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(A) cash or (B)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179" w:lineRule="exact"/>
        <w:rPr>
          <w:rFonts w:ascii="Arial" w:cs="Arial" w:eastAsia="Arial" w:hAnsi="Arial"/>
          <w:sz w:val="21"/>
          <w:szCs w:val="21"/>
          <w:color w:val="010000"/>
        </w:rPr>
      </w:pPr>
    </w:p>
    <w:p>
      <w:pPr>
        <w:jc w:val="both"/>
        <w:ind w:firstLine="1953"/>
        <w:spacing w:after="0" w:line="305" w:lineRule="auto"/>
        <w:tabs>
          <w:tab w:leader="none" w:pos="2416"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Distributions shall be made to the Non-A-1 Members until the cumulative amount received in cash by each of the Members pursuant to this Section 3.01(b)(ii) and Section 3.01(b)(i) with respect to all such Distributions made after June 28, 2018 to the relevant calculation date (including, for clarity, any Distributions made in such applicable Quarter pursuant to Section 3.01(b)(i)), equals the amount such Member would have received if all such Distributions had been distributed ratably on an as-converted basis (for the purpose of such calculation with (A) the Class A-1 Preferred Shares being deemed converted to Class D Common Shares pursuant to Section 2.10(b), and (B) Class F Preferred Shares being deemed converted to Class D Common Shares at the Class F Preferred Share Conversion Ratio) among such Members based upon the number of Non-A-1 Interests held by each such Non-A-1 Member and the number of Class A-1 Preferred Shares held by each such Class A-1 Preferred Member, in each case, immediately prior to such Distribution. For the avoidance of doubt, the Class A-1 Preferred Shares shall not be entitled to any Distributions pursuant to this Section 3.01(b)(ii).</w:t>
      </w:r>
    </w:p>
    <w:p>
      <w:pPr>
        <w:spacing w:after="0" w:line="154" w:lineRule="exact"/>
        <w:rPr>
          <w:rFonts w:ascii="Arial" w:cs="Arial" w:eastAsia="Arial" w:hAnsi="Arial"/>
          <w:sz w:val="19"/>
          <w:szCs w:val="19"/>
          <w:color w:val="010000"/>
        </w:rPr>
      </w:pPr>
    </w:p>
    <w:p>
      <w:pPr>
        <w:jc w:val="both"/>
        <w:ind w:firstLine="1953"/>
        <w:spacing w:after="0" w:line="307" w:lineRule="auto"/>
        <w:tabs>
          <w:tab w:leader="none" w:pos="2584"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all further Distributions shall be made to each Non-A-1 Member and Class A-1 Preferred Member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Section 3.01(b)(iii), the (A) Class A-1 Preferred Shares shall be deemed converted to Class D Common Shares pursuant to Section 2.10(b) without (for the purposes of calculating such conversion) any reduction in the Class A-1-A Preferred Unpaid Return or Class A-1-B Preferred Unpaid Return due to Distributions for such Quarter made pursuant to this Section 3.01(b)(iii), and (B) Class F Preferred Shares being deemed converted to Class D Common Shares at the Class F Preferred Share Conversion Ratio.</w:t>
      </w:r>
    </w:p>
    <w:p>
      <w:pPr>
        <w:spacing w:after="0" w:line="154" w:lineRule="exact"/>
        <w:rPr>
          <w:rFonts w:ascii="Arial" w:cs="Arial" w:eastAsia="Arial" w:hAnsi="Arial"/>
          <w:sz w:val="19"/>
          <w:szCs w:val="19"/>
          <w:color w:val="010000"/>
        </w:rPr>
      </w:pPr>
    </w:p>
    <w:p>
      <w:pPr>
        <w:ind w:firstLine="1305"/>
        <w:spacing w:after="0" w:line="289" w:lineRule="auto"/>
        <w:tabs>
          <w:tab w:leader="none" w:pos="1743"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No later than five (5) Business Days prior to the end of each Quarter, the Company will send written notice to each Class A-1 Preferred Member stating whether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48" w:right="2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22"/>
          <w:szCs w:val="22"/>
          <w:color w:val="auto"/>
        </w:rPr>
        <w:t>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196" w:lineRule="exact"/>
        <w:rPr>
          <w:sz w:val="20"/>
          <w:szCs w:val="20"/>
          <w:color w:val="auto"/>
        </w:rPr>
      </w:pPr>
    </w:p>
    <w:p>
      <w:pPr>
        <w:jc w:val="both"/>
        <w:ind w:firstLine="1305"/>
        <w:spacing w:after="0" w:line="315" w:lineRule="auto"/>
        <w:tabs>
          <w:tab w:leader="none" w:pos="1783"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No distributions shall be made in respect of a Vested Class B Common Share pursuant to Section 3.01(b)(ii), Section 3.01(b)(iii) or Section 3.02(a)(iii), until such time that an aggregate amount of Distributions (since the date of grant of such Class B Common Share) pursuant to Section 3.01(b) or 3.02(a), as applicable, equal to the Class B Floor Amount shall have been Distributed on each Class C Common Share. For the avoidance of doubt, no holder of any Class B Common Share will later have the right to receive any amount foregone pursuant to the preceding sentence of this Section 3.01(d).</w:t>
      </w:r>
    </w:p>
    <w:p>
      <w:pPr>
        <w:spacing w:after="0" w:line="146" w:lineRule="exact"/>
        <w:rPr>
          <w:rFonts w:ascii="Arial" w:cs="Arial" w:eastAsia="Arial" w:hAnsi="Arial"/>
          <w:sz w:val="19"/>
          <w:szCs w:val="19"/>
          <w:color w:val="010000"/>
        </w:rPr>
      </w:pPr>
    </w:p>
    <w:p>
      <w:pPr>
        <w:jc w:val="both"/>
        <w:ind w:firstLine="1305"/>
        <w:spacing w:after="0" w:line="272" w:lineRule="auto"/>
        <w:tabs>
          <w:tab w:leader="none" w:pos="1824"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79" w:lineRule="exact"/>
        <w:rPr>
          <w:rFonts w:ascii="Arial" w:cs="Arial" w:eastAsia="Arial" w:hAnsi="Arial"/>
          <w:sz w:val="22"/>
          <w:szCs w:val="22"/>
          <w:color w:val="010000"/>
        </w:rPr>
      </w:pPr>
    </w:p>
    <w:p>
      <w:pPr>
        <w:ind w:firstLine="1305"/>
        <w:spacing w:after="0" w:line="289" w:lineRule="auto"/>
        <w:tabs>
          <w:tab w:leader="none" w:pos="176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Notwithstanding any provision to the contrary contained in this Agreement the Company shall not make any Distribution to Members if such Distribution would violate Section 18-607 of the Act or other applicable law.</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770"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Notwithstanding Section 3.01, upon a liquidation (pursuant to Article X) or a Deemed Liquidation Event, the Company shall distribute the net proceeds or assets available for distribution, whether in cash or in other property, to the Members as follows:</w:t>
      </w:r>
    </w:p>
    <w:p>
      <w:pPr>
        <w:spacing w:after="0" w:line="179" w:lineRule="exact"/>
        <w:rPr>
          <w:rFonts w:ascii="Arial" w:cs="Arial" w:eastAsia="Arial" w:hAnsi="Arial"/>
          <w:sz w:val="22"/>
          <w:szCs w:val="22"/>
          <w:color w:val="010000"/>
        </w:rPr>
      </w:pPr>
    </w:p>
    <w:p>
      <w:pPr>
        <w:jc w:val="both"/>
        <w:ind w:firstLine="1953"/>
        <w:spacing w:after="0" w:line="306" w:lineRule="auto"/>
        <w:tabs>
          <w:tab w:leader="none" w:pos="2396" w:val="left"/>
        </w:tabs>
        <w:numPr>
          <w:ilvl w:val="2"/>
          <w:numId w:val="74"/>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Class A-1 Preferred Members and Class F Preferred Members shall receive,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(proportional to their share of the aggregate (A) Class A-1 Liquidation Preference Amount for all Class A-1 Preferred Shares, </w:t>
      </w:r>
      <w:r>
        <w:rPr>
          <w:rFonts w:ascii="Arial" w:cs="Arial" w:eastAsia="Arial" w:hAnsi="Arial"/>
          <w:sz w:val="19"/>
          <w:szCs w:val="19"/>
          <w:i w:val="1"/>
          <w:iCs w:val="1"/>
          <w:color w:val="auto"/>
        </w:rPr>
        <w:t>plus</w:t>
      </w:r>
    </w:p>
    <w:p>
      <w:pPr>
        <w:jc w:val="both"/>
        <w:ind w:firstLine="8"/>
        <w:spacing w:after="0" w:line="258" w:lineRule="auto"/>
        <w:tabs>
          <w:tab w:leader="none" w:pos="375" w:val="left"/>
        </w:tabs>
        <w:numPr>
          <w:ilvl w:val="0"/>
          <w:numId w:val="75"/>
        </w:numPr>
        <w:rPr>
          <w:rFonts w:ascii="Arial" w:cs="Arial" w:eastAsia="Arial" w:hAnsi="Arial"/>
          <w:sz w:val="22"/>
          <w:szCs w:val="22"/>
          <w:color w:val="auto"/>
        </w:rPr>
      </w:pPr>
      <w:r>
        <w:rPr>
          <w:rFonts w:ascii="Arial" w:cs="Arial" w:eastAsia="Arial" w:hAnsi="Arial"/>
          <w:sz w:val="22"/>
          <w:szCs w:val="22"/>
          <w:color w:val="auto"/>
        </w:rPr>
        <w:t>Class F Liquidation Preference Amount for all Class F Preferred Shares) for each Class A-1 Preferred Share and Class F Preferred Share, as applicable, the greater of (1) (x) for each Class A-1 Preferred Share held by such Class A-1 Preferred Member, the applicable Class A-1 Liquidation Preference Amount, and (y) for each Class F Preferred Share held by such Class F Preferred Member, the Class F Liquidation Preference Amount, and (2) the amount distributable pursuant to Section 3.02(a)(iii) with respect to such Class A-1 Preferred Share or Class F Preferred Share, as applicable, as if such Share had converted into a Class D Common Share (pursuant to Section 2.10, in the case of a Class A-1 Preferred Share, and at the Class F Preferred Share Conversion Ratio, in the case of a Class 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48" w:right="2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22"/>
          <w:szCs w:val="22"/>
          <w:color w:val="auto"/>
        </w:rPr>
        <w:t>Preferred Share) immediately prior to the event giving rise to a Distribution pursuant to this Section 3.02. If upon any such liquidation or Deemed Liquidation Event, the net proceeds or assets available for distribution to the Members shall be insufficient to pay the holders of Class A-1 Preferred Shares and Class F Preferred Shares the full amount to which they shall be entitled under this Section 3.02(a)(i), the holders of Class A-1 Preferred Shares and Class F Preferred Shares shall share ratably in any distribution of the assets available for distribution in proportion to the respective amounts which would otherwise be payable in respect of such shares held by them upon such distribution if all amounts payable on or with respect to such shares were paid in full pursuant to this Section 3.02(a)(i).</w:t>
      </w:r>
    </w:p>
    <w:p>
      <w:pPr>
        <w:spacing w:after="0" w:line="196" w:lineRule="exact"/>
        <w:rPr>
          <w:sz w:val="20"/>
          <w:szCs w:val="20"/>
          <w:color w:val="auto"/>
        </w:rPr>
      </w:pPr>
    </w:p>
    <w:p>
      <w:pPr>
        <w:ind w:left="2420" w:hanging="467"/>
        <w:spacing w:after="0"/>
        <w:tabs>
          <w:tab w:leader="none" w:pos="2420" w:val="left"/>
        </w:tabs>
        <w:numPr>
          <w:ilvl w:val="1"/>
          <w:numId w:val="76"/>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Class A-2 Preferred Members shall receive, for each Class A-2 Preferred Share, the greater of</w:t>
      </w:r>
    </w:p>
    <w:p>
      <w:pPr>
        <w:spacing w:after="0" w:line="65" w:lineRule="exact"/>
        <w:rPr>
          <w:rFonts w:ascii="Arial" w:cs="Arial" w:eastAsia="Arial" w:hAnsi="Arial"/>
          <w:sz w:val="19"/>
          <w:szCs w:val="19"/>
          <w:color w:val="010000"/>
        </w:rPr>
      </w:pPr>
    </w:p>
    <w:p>
      <w:pPr>
        <w:jc w:val="both"/>
        <w:ind w:firstLine="8"/>
        <w:spacing w:after="0" w:line="266" w:lineRule="auto"/>
        <w:tabs>
          <w:tab w:leader="none" w:pos="364"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Class A-2 Liquidation Preference Amount and (B) the amount distributable pursuant to Section 3.02(a)(iii) with respect to such Class A-2 Preferred Share as if such Share had converted into a Class C Common Share (pursuant to Section 2.11) immediately prior to the event giving rise to a Distribution pursuant to this Section 3.02.</w:t>
      </w:r>
    </w:p>
    <w:p>
      <w:pPr>
        <w:spacing w:after="0" w:line="185" w:lineRule="exact"/>
        <w:rPr>
          <w:rFonts w:ascii="Arial" w:cs="Arial" w:eastAsia="Arial" w:hAnsi="Arial"/>
          <w:sz w:val="22"/>
          <w:szCs w:val="22"/>
          <w:color w:val="auto"/>
        </w:rPr>
      </w:pPr>
    </w:p>
    <w:p>
      <w:pPr>
        <w:jc w:val="both"/>
        <w:ind w:firstLine="1953"/>
        <w:spacing w:after="0" w:line="272" w:lineRule="auto"/>
        <w:tabs>
          <w:tab w:leader="none" w:pos="2584" w:val="left"/>
        </w:tabs>
        <w:numPr>
          <w:ilvl w:val="1"/>
          <w:numId w:val="77"/>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to Non-A-1 Members (other than the Class A-2 Preferred Members and Class F Preferred Members), ratably among such Members based upon the number of Non-A-1 Interests held by each such Non-A-1 Member (other than Class A-2 Preferred Shares and Class F Preferred Shares).</w:t>
      </w:r>
    </w:p>
    <w:p>
      <w:pPr>
        <w:spacing w:after="0" w:line="174" w:lineRule="exact"/>
        <w:rPr>
          <w:sz w:val="20"/>
          <w:szCs w:val="20"/>
          <w:color w:val="auto"/>
        </w:rPr>
      </w:pPr>
    </w:p>
    <w:p>
      <w:pPr>
        <w:ind w:left="1840" w:hanging="535"/>
        <w:spacing w:after="0"/>
        <w:tabs>
          <w:tab w:leader="none" w:pos="1840"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A “</w:t>
      </w:r>
      <w:r>
        <w:rPr>
          <w:rFonts w:ascii="Arial" w:cs="Arial" w:eastAsia="Arial" w:hAnsi="Arial"/>
          <w:sz w:val="19"/>
          <w:szCs w:val="19"/>
          <w:b w:val="1"/>
          <w:bCs w:val="1"/>
          <w:color w:val="auto"/>
        </w:rPr>
        <w:t>Deemed Liquidation Event</w:t>
      </w:r>
      <w:r>
        <w:rPr>
          <w:rFonts w:ascii="Arial" w:cs="Arial" w:eastAsia="Arial" w:hAnsi="Arial"/>
          <w:sz w:val="19"/>
          <w:szCs w:val="19"/>
          <w:color w:val="auto"/>
        </w:rPr>
        <w:t>” shall occur upon either of a Sale of the Company or a Drag-Along Sale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Transaction.</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Unvested Class B Common Shares</w:t>
      </w:r>
      <w:r>
        <w:rPr>
          <w:rFonts w:ascii="Arial" w:cs="Arial" w:eastAsia="Arial" w:hAnsi="Arial"/>
          <w:sz w:val="19"/>
          <w:szCs w:val="19"/>
          <w:color w:val="auto"/>
        </w:rPr>
        <w:t>. Notwithstanding anything in this Agreement to the contrary, (a) no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made in respect of any Class B Common Share that is not a Vested Class B Common Share, (b) any amount that would otherwise be distributable in cash in respect of a Class B Common Share pursuant to Section 3.01 or Section 3.02 but for the fact that such Class B Common Share is not a Vested Class B Common Share shall be withheld by the Company and Distributed with respect to such Class B Common Share, without interest, at the time of the first cash Distribution to the Non-A-1 Members following the date on which such Class B Common Share becomes a Vested Class B Common Share and (c) if a Class B Common Share that is not a Vested Class B Common Share is repurchased or forfeited (or otherwise becomes incapable of vesting), then such Class B Common Share shall not be entitled to receive or retain any Distributions.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3.04 </w:t>
      </w:r>
      <w:r>
        <w:rPr>
          <w:rFonts w:ascii="Arial" w:cs="Arial" w:eastAsia="Arial" w:hAnsi="Arial"/>
          <w:sz w:val="22"/>
          <w:szCs w:val="22"/>
          <w:b w:val="1"/>
          <w:bCs w:val="1"/>
          <w:u w:val="single" w:color="auto"/>
          <w:color w:val="auto"/>
        </w:rPr>
        <w:t>Distributions In-Kind</w:t>
      </w:r>
      <w:r>
        <w:rPr>
          <w:rFonts w:ascii="Arial" w:cs="Arial" w:eastAsia="Arial" w:hAnsi="Arial"/>
          <w:sz w:val="22"/>
          <w:szCs w:val="22"/>
          <w:color w:val="auto"/>
        </w:rPr>
        <w:t>. Distributions of property other than cash, including securities (but, for the avoidance of</w:t>
      </w:r>
      <w:r>
        <w:rPr>
          <w:rFonts w:ascii="Arial" w:cs="Arial" w:eastAsia="Arial" w:hAnsi="Arial"/>
          <w:sz w:val="22"/>
          <w:szCs w:val="22"/>
          <w:b w:val="1"/>
          <w:bCs w:val="1"/>
          <w:color w:val="auto"/>
        </w:rPr>
        <w:t xml:space="preserve"> </w:t>
      </w:r>
      <w:r>
        <w:rPr>
          <w:rFonts w:ascii="Arial" w:cs="Arial" w:eastAsia="Arial" w:hAnsi="Arial"/>
          <w:sz w:val="22"/>
          <w:szCs w:val="22"/>
          <w:color w:val="auto"/>
        </w:rPr>
        <w:t>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48" w:right="239" w:bottom="1440" w:gutter="0" w:footer="0" w:header="0"/>
        </w:sectPr>
      </w:pPr>
    </w:p>
    <w:bookmarkStart w:id="138" w:name="page139"/>
    <w:bookmarkEnd w:id="138"/>
    <w:p>
      <w:pPr>
        <w:jc w:val="both"/>
        <w:spacing w:after="0" w:line="312" w:lineRule="auto"/>
        <w:rPr>
          <w:sz w:val="20"/>
          <w:szCs w:val="20"/>
          <w:color w:val="auto"/>
        </w:rPr>
      </w:pPr>
      <w:r>
        <w:rPr>
          <w:rFonts w:ascii="Arial" w:cs="Arial" w:eastAsia="Arial" w:hAnsi="Arial"/>
          <w:sz w:val="19"/>
          <w:szCs w:val="19"/>
          <w:color w:val="auto"/>
        </w:rPr>
        <w:t>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 The Company shall not make any in-kind distributions in respect of the Class F Preferred Shares of property that is not an equity security or debt security of an entity classified as a corporation for U.S. federal income tax purposes without the consent of the Class F Preferred Members to whom such distribution is to be made.</w:t>
      </w:r>
    </w:p>
    <w:p>
      <w:pPr>
        <w:spacing w:after="0" w:line="14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3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b w:val="1"/>
          <w:bCs w:val="1"/>
          <w:u w:val="single" w:color="auto"/>
          <w:color w:val="auto"/>
        </w:rPr>
        <w:t>Corporate Status</w:t>
      </w:r>
      <w:r>
        <w:rPr>
          <w:rFonts w:ascii="Arial" w:cs="Arial" w:eastAsia="Arial" w:hAnsi="Arial"/>
          <w:sz w:val="19"/>
          <w:szCs w:val="19"/>
          <w:color w:val="auto"/>
        </w:rPr>
        <w:t>. The Members intend that the Company be treated as a corporation for U.S. federal, and,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if the Entity is eligible to make an entity classification election, it shall elect to be treated as an association taxable as a corporation, unless the prior written consent of all Members has been obtained.</w:t>
      </w:r>
    </w:p>
    <w:p>
      <w:pPr>
        <w:spacing w:after="0" w:line="14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 to a Member any amounts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withheld by the Company under applicable law and, if so required, remit any such amounts to the applicable governmental authority.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53" w:lineRule="exact"/>
        <w:rPr>
          <w:sz w:val="20"/>
          <w:szCs w:val="20"/>
          <w:color w:val="auto"/>
        </w:rPr>
      </w:pPr>
    </w:p>
    <w:p>
      <w:pPr>
        <w:ind w:firstLine="1305"/>
        <w:spacing w:after="0" w:line="289" w:lineRule="auto"/>
        <w:tabs>
          <w:tab w:leader="none" w:pos="1757"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auto"/>
        </w:rPr>
        <w:t>GM Consolidated Group</w:t>
      </w:r>
      <w:r>
        <w:rPr>
          <w:rFonts w:ascii="Arial" w:cs="Arial" w:eastAsia="Arial" w:hAnsi="Arial"/>
          <w:sz w:val="22"/>
          <w:szCs w:val="22"/>
          <w:color w:val="auto"/>
        </w:rPr>
        <w:t>. For the 2018 Tax Period of the GM Consolidated Group, the Company shall timely deliver to GM Parent a properly completed and duly executed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48" w:right="239" w:bottom="1440" w:gutter="0" w:footer="0" w:header="0"/>
        </w:sectPr>
      </w:pPr>
    </w:p>
    <w:bookmarkStart w:id="139" w:name="page140"/>
    <w:bookmarkEnd w:id="139"/>
    <w:p>
      <w:pPr>
        <w:jc w:val="both"/>
        <w:spacing w:after="0" w:line="273" w:lineRule="auto"/>
        <w:rPr>
          <w:sz w:val="20"/>
          <w:szCs w:val="20"/>
          <w:color w:val="auto"/>
        </w:rPr>
      </w:pPr>
      <w:r>
        <w:rPr>
          <w:rFonts w:ascii="Arial" w:cs="Arial" w:eastAsia="Arial" w:hAnsi="Arial"/>
          <w:sz w:val="21"/>
          <w:szCs w:val="21"/>
          <w:color w:val="auto"/>
        </w:rPr>
        <w:t xml:space="preserve">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the Company or SoftBank, without the Company’s or SoftBank’s consent, as applicable, not to be unreasonably withheld, conditioned or delayed.</w:t>
      </w:r>
    </w:p>
    <w:p>
      <w:pPr>
        <w:spacing w:after="0" w:line="179" w:lineRule="exact"/>
        <w:rPr>
          <w:sz w:val="20"/>
          <w:szCs w:val="20"/>
          <w:color w:val="auto"/>
        </w:rPr>
      </w:pPr>
    </w:p>
    <w:p>
      <w:pPr>
        <w:ind w:left="1740" w:hanging="435"/>
        <w:spacing w:after="0"/>
        <w:tabs>
          <w:tab w:leader="none" w:pos="1740" w:val="left"/>
        </w:tabs>
        <w:numPr>
          <w:ilvl w:val="0"/>
          <w:numId w:val="80"/>
        </w:numPr>
        <w:rPr>
          <w:rFonts w:ascii="Arial" w:cs="Arial" w:eastAsia="Arial" w:hAnsi="Arial"/>
          <w:sz w:val="22"/>
          <w:szCs w:val="22"/>
          <w:color w:val="010000"/>
        </w:rPr>
      </w:pPr>
      <w:r>
        <w:rPr>
          <w:rFonts w:ascii="Arial" w:cs="Arial" w:eastAsia="Arial" w:hAnsi="Arial"/>
          <w:sz w:val="22"/>
          <w:szCs w:val="22"/>
          <w:u w:val="single" w:color="auto"/>
          <w:color w:val="auto"/>
        </w:rPr>
        <w:t>Payment from the GM Investor to the Company for Use of Company NOLs and Tax Credits</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64" w:lineRule="auto"/>
        <w:tabs>
          <w:tab w:leader="none" w:pos="2423"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 Days following delivery of written notice by the Company to the GM Investor of the amount of Excess NOL Tax Increase for such Tax Period.</w:t>
      </w:r>
    </w:p>
    <w:p>
      <w:pPr>
        <w:spacing w:after="0" w:line="188" w:lineRule="exact"/>
        <w:rPr>
          <w:rFonts w:ascii="Arial" w:cs="Arial" w:eastAsia="Arial" w:hAnsi="Arial"/>
          <w:sz w:val="22"/>
          <w:szCs w:val="22"/>
          <w:color w:val="010000"/>
        </w:rPr>
      </w:pPr>
    </w:p>
    <w:p>
      <w:pPr>
        <w:jc w:val="both"/>
        <w:ind w:firstLine="1953"/>
        <w:spacing w:after="0" w:line="272" w:lineRule="auto"/>
        <w:tabs>
          <w:tab w:leader="none" w:pos="2497" w:val="left"/>
        </w:tabs>
        <w:numPr>
          <w:ilvl w:val="1"/>
          <w:numId w:val="80"/>
        </w:numPr>
        <w:rPr>
          <w:rFonts w:ascii="Arial" w:cs="Arial" w:eastAsia="Arial" w:hAnsi="Arial"/>
          <w:sz w:val="21"/>
          <w:szCs w:val="21"/>
          <w:color w:val="010000"/>
        </w:rPr>
      </w:pPr>
      <w:r>
        <w:rPr>
          <w:rFonts w:ascii="Arial" w:cs="Arial" w:eastAsia="Arial" w:hAnsi="Arial"/>
          <w:sz w:val="21"/>
          <w:szCs w:val="21"/>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183" w:lineRule="exact"/>
        <w:rPr>
          <w:rFonts w:ascii="Arial" w:cs="Arial" w:eastAsia="Arial" w:hAnsi="Arial"/>
          <w:sz w:val="21"/>
          <w:szCs w:val="21"/>
          <w:color w:val="010000"/>
        </w:rPr>
      </w:pPr>
    </w:p>
    <w:p>
      <w:pPr>
        <w:jc w:val="both"/>
        <w:ind w:firstLine="1953"/>
        <w:spacing w:after="0" w:line="272" w:lineRule="auto"/>
        <w:tabs>
          <w:tab w:leader="none" w:pos="2503"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The GM Investor and its advisors shall calculate the NOL Deficit Amount and the deficit amount in respect of R&amp;D Tax Credits and Other Tax Credits upon a Deconsolidation and shall deliver such calculations, certified by the chief tax officer of GM Parent,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48" w:right="239" w:bottom="1440" w:gutter="0" w:footer="0" w:header="0"/>
        </w:sectPr>
      </w:pPr>
    </w:p>
    <w:bookmarkStart w:id="140" w:name="page141"/>
    <w:bookmarkEnd w:id="140"/>
    <w:p>
      <w:pPr>
        <w:jc w:val="both"/>
        <w:spacing w:after="0" w:line="261" w:lineRule="auto"/>
        <w:rPr>
          <w:sz w:val="20"/>
          <w:szCs w:val="20"/>
          <w:color w:val="auto"/>
        </w:rPr>
      </w:pPr>
      <w:r>
        <w:rPr>
          <w:rFonts w:ascii="Arial" w:cs="Arial" w:eastAsia="Arial" w:hAnsi="Arial"/>
          <w:sz w:val="22"/>
          <w:szCs w:val="22"/>
          <w:color w:val="auto"/>
        </w:rPr>
        <w:t>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191" w:lineRule="exact"/>
        <w:rPr>
          <w:sz w:val="20"/>
          <w:szCs w:val="20"/>
          <w:color w:val="auto"/>
        </w:rPr>
      </w:pPr>
    </w:p>
    <w:p>
      <w:pPr>
        <w:ind w:left="1720" w:hanging="415"/>
        <w:spacing w:after="0"/>
        <w:tabs>
          <w:tab w:leader="none" w:pos="1720" w:val="left"/>
        </w:tabs>
        <w:numPr>
          <w:ilvl w:val="1"/>
          <w:numId w:val="81"/>
        </w:numPr>
        <w:rPr>
          <w:rFonts w:ascii="Arial" w:cs="Arial" w:eastAsia="Arial" w:hAnsi="Arial"/>
          <w:sz w:val="22"/>
          <w:szCs w:val="22"/>
          <w:color w:val="010000"/>
        </w:rPr>
      </w:pPr>
      <w:r>
        <w:rPr>
          <w:rFonts w:ascii="Arial" w:cs="Arial" w:eastAsia="Arial" w:hAnsi="Arial"/>
          <w:sz w:val="22"/>
          <w:szCs w:val="22"/>
          <w:u w:val="single" w:color="auto"/>
          <w:color w:val="auto"/>
        </w:rPr>
        <w:t>Payment from the Company to the GM Investor for Inclusion of Company Income</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72" w:lineRule="auto"/>
        <w:tabs>
          <w:tab w:leader="none" w:pos="2639" w:val="left"/>
        </w:tabs>
        <w:numPr>
          <w:ilvl w:val="2"/>
          <w:numId w:val="81"/>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79" w:lineRule="exact"/>
        <w:rPr>
          <w:rFonts w:ascii="Arial" w:cs="Arial" w:eastAsia="Arial" w:hAnsi="Arial"/>
          <w:sz w:val="22"/>
          <w:szCs w:val="22"/>
          <w:color w:val="010000"/>
        </w:rPr>
      </w:pPr>
    </w:p>
    <w:p>
      <w:pPr>
        <w:jc w:val="both"/>
        <w:ind w:firstLine="1953"/>
        <w:spacing w:after="0" w:line="264" w:lineRule="auto"/>
        <w:tabs>
          <w:tab w:leader="none" w:pos="2402" w:val="left"/>
        </w:tabs>
        <w:numPr>
          <w:ilvl w:val="2"/>
          <w:numId w:val="81"/>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88" w:lineRule="exact"/>
        <w:rPr>
          <w:rFonts w:ascii="Arial" w:cs="Arial" w:eastAsia="Arial" w:hAnsi="Arial"/>
          <w:sz w:val="22"/>
          <w:szCs w:val="22"/>
          <w:color w:val="010000"/>
        </w:rPr>
      </w:pPr>
    </w:p>
    <w:p>
      <w:pPr>
        <w:jc w:val="both"/>
        <w:ind w:firstLine="1953"/>
        <w:spacing w:after="0" w:line="264" w:lineRule="auto"/>
        <w:tabs>
          <w:tab w:leader="none" w:pos="2449" w:val="left"/>
        </w:tabs>
        <w:numPr>
          <w:ilvl w:val="2"/>
          <w:numId w:val="81"/>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188" w:lineRule="exact"/>
        <w:rPr>
          <w:rFonts w:ascii="Arial" w:cs="Arial" w:eastAsia="Arial" w:hAnsi="Arial"/>
          <w:sz w:val="22"/>
          <w:szCs w:val="22"/>
          <w:color w:val="010000"/>
        </w:rPr>
      </w:pPr>
    </w:p>
    <w:p>
      <w:pPr>
        <w:jc w:val="both"/>
        <w:ind w:firstLine="1953"/>
        <w:spacing w:after="0" w:line="280" w:lineRule="auto"/>
        <w:tabs>
          <w:tab w:leader="none" w:pos="2611" w:val="left"/>
        </w:tabs>
        <w:numPr>
          <w:ilvl w:val="2"/>
          <w:numId w:val="81"/>
        </w:numPr>
        <w:rPr>
          <w:rFonts w:ascii="Arial" w:cs="Arial" w:eastAsia="Arial" w:hAnsi="Arial"/>
          <w:sz w:val="21"/>
          <w:szCs w:val="21"/>
          <w:color w:val="010000"/>
        </w:rPr>
      </w:pPr>
      <w:r>
        <w:rPr>
          <w:rFonts w:ascii="Arial" w:cs="Arial" w:eastAsia="Arial" w:hAnsi="Arial"/>
          <w:sz w:val="21"/>
          <w:szCs w:val="21"/>
          <w:color w:val="auto"/>
        </w:rPr>
        <w:t>With respect to each Tax Period of the GM Consolidated Group ending after the Original Closing Date, the GM Investor shall make a payment to the Company equal to the excess, if any, of (A) the aggregate net payment made by the Company to the GM 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171" w:lineRule="exact"/>
        <w:rPr>
          <w:rFonts w:ascii="Arial" w:cs="Arial" w:eastAsia="Arial" w:hAnsi="Arial"/>
          <w:sz w:val="21"/>
          <w:szCs w:val="21"/>
          <w:color w:val="010000"/>
        </w:rPr>
      </w:pPr>
    </w:p>
    <w:p>
      <w:pPr>
        <w:jc w:val="both"/>
        <w:ind w:firstLine="1305"/>
        <w:spacing w:after="0" w:line="272" w:lineRule="auto"/>
        <w:tabs>
          <w:tab w:leader="none" w:pos="1945" w:val="left"/>
        </w:tabs>
        <w:numPr>
          <w:ilvl w:val="1"/>
          <w:numId w:val="81"/>
        </w:numPr>
        <w:rPr>
          <w:rFonts w:ascii="Arial" w:cs="Arial" w:eastAsia="Arial" w:hAnsi="Arial"/>
          <w:sz w:val="22"/>
          <w:szCs w:val="22"/>
          <w:color w:val="010000"/>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179" w:lineRule="exact"/>
        <w:rPr>
          <w:rFonts w:ascii="Arial" w:cs="Arial" w:eastAsia="Arial" w:hAnsi="Arial"/>
          <w:sz w:val="22"/>
          <w:szCs w:val="22"/>
          <w:color w:val="010000"/>
        </w:rPr>
      </w:pPr>
    </w:p>
    <w:p>
      <w:pPr>
        <w:jc w:val="both"/>
        <w:ind w:firstLine="1953"/>
        <w:spacing w:after="0" w:line="306" w:lineRule="auto"/>
        <w:tabs>
          <w:tab w:leader="none" w:pos="2410" w:val="left"/>
        </w:tabs>
        <w:numPr>
          <w:ilvl w:val="2"/>
          <w:numId w:val="81"/>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w:t>
      </w:r>
    </w:p>
    <w:p>
      <w:pPr>
        <w:ind w:firstLine="8"/>
        <w:spacing w:after="0" w:line="272" w:lineRule="auto"/>
        <w:tabs>
          <w:tab w:leader="none" w:pos="354"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reduced (but not below zero) by the Section 59(e) Detriment Amount with respect to such Tax Period and (B) shall be increased by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48" w:right="239" w:bottom="1440" w:gutter="0" w:footer="0" w:header="0"/>
        </w:sectPr>
      </w:pPr>
    </w:p>
    <w:bookmarkStart w:id="141" w:name="page142"/>
    <w:bookmarkEnd w:id="141"/>
    <w:p>
      <w:pPr>
        <w:jc w:val="both"/>
        <w:spacing w:after="0" w:line="298" w:lineRule="auto"/>
        <w:rPr>
          <w:sz w:val="20"/>
          <w:szCs w:val="20"/>
          <w:color w:val="auto"/>
        </w:rPr>
      </w:pPr>
      <w:r>
        <w:rPr>
          <w:rFonts w:ascii="Arial" w:cs="Arial" w:eastAsia="Arial" w:hAnsi="Arial"/>
          <w:sz w:val="19"/>
          <w:szCs w:val="19"/>
          <w:color w:val="auto"/>
        </w:rPr>
        <w:t>Section 59(e) Benefit Amount with respect to such Tax Period; provided, any adjustment pursuant to this Section 4.03(d)(i)(B) shall be deferred and shall only be made when and to the extent that, immediately prior to giving effect to such adjustment, the aggregate adjustments under Section 4.03(d)(i)(A) and Section 4.03(d)(ii)(A) exceed the aggregate adjustments under this Section 4.03(d)(i)</w:t>
      </w:r>
    </w:p>
    <w:p>
      <w:pPr>
        <w:spacing w:after="0" w:line="1"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and Section 4.03(d)(ii)(B); and</w:t>
      </w:r>
    </w:p>
    <w:p>
      <w:pPr>
        <w:spacing w:after="0" w:line="228" w:lineRule="exact"/>
        <w:rPr>
          <w:rFonts w:ascii="Arial" w:cs="Arial" w:eastAsia="Arial" w:hAnsi="Arial"/>
          <w:sz w:val="22"/>
          <w:szCs w:val="22"/>
          <w:color w:val="auto"/>
        </w:rPr>
      </w:pPr>
    </w:p>
    <w:p>
      <w:pPr>
        <w:jc w:val="both"/>
        <w:ind w:right="20" w:firstLine="1953"/>
        <w:spacing w:after="0" w:line="306" w:lineRule="auto"/>
        <w:tabs>
          <w:tab w:leader="none" w:pos="2456" w:val="left"/>
        </w:tabs>
        <w:numPr>
          <w:ilvl w:val="1"/>
          <w:numId w:val="83"/>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w:t>
      </w:r>
    </w:p>
    <w:p>
      <w:pPr>
        <w:jc w:val="both"/>
        <w:ind w:firstLine="8"/>
        <w:spacing w:after="0" w:line="296" w:lineRule="auto"/>
        <w:tabs>
          <w:tab w:leader="none" w:pos="354"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increased by the Section 59(e) Detriment Amount with respect to such Tax Period and shall be (B) reduced (but not below zero) by the Section 59(e) Benefit Amount with respect to such Tax Period; provided, any adjustment pursuant to this Section 4.03(d)(ii)</w:t>
      </w:r>
    </w:p>
    <w:p>
      <w:pPr>
        <w:spacing w:after="0" w:line="1" w:lineRule="exact"/>
        <w:rPr>
          <w:rFonts w:ascii="Arial" w:cs="Arial" w:eastAsia="Arial" w:hAnsi="Arial"/>
          <w:sz w:val="19"/>
          <w:szCs w:val="19"/>
          <w:color w:val="auto"/>
        </w:rPr>
      </w:pPr>
    </w:p>
    <w:p>
      <w:pPr>
        <w:jc w:val="both"/>
        <w:ind w:firstLine="8"/>
        <w:spacing w:after="0" w:line="264" w:lineRule="auto"/>
        <w:tabs>
          <w:tab w:leader="none" w:pos="347" w:val="left"/>
        </w:tabs>
        <w:numPr>
          <w:ilvl w:val="0"/>
          <w:numId w:val="84"/>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174" w:lineRule="exact"/>
        <w:rPr>
          <w:sz w:val="20"/>
          <w:szCs w:val="20"/>
          <w:color w:val="auto"/>
        </w:rPr>
      </w:pPr>
    </w:p>
    <w:p>
      <w:pPr>
        <w:jc w:val="both"/>
        <w:ind w:firstLine="1305"/>
        <w:spacing w:after="0" w:line="261" w:lineRule="auto"/>
        <w:tabs>
          <w:tab w:leader="none" w:pos="1743"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auto"/>
        </w:rPr>
        <w:t>State and Local Income and Franchise Taxes</w:t>
      </w:r>
      <w:r>
        <w:rPr>
          <w:rFonts w:ascii="Arial" w:cs="Arial" w:eastAsia="Arial" w:hAnsi="Arial"/>
          <w:sz w:val="22"/>
          <w:szCs w:val="22"/>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Section 4.03; provided,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194" w:lineRule="exact"/>
        <w:rPr>
          <w:rFonts w:ascii="Arial" w:cs="Arial" w:eastAsia="Arial" w:hAnsi="Arial"/>
          <w:sz w:val="22"/>
          <w:szCs w:val="22"/>
          <w:color w:val="010000"/>
        </w:rPr>
      </w:pPr>
    </w:p>
    <w:p>
      <w:pPr>
        <w:jc w:val="both"/>
        <w:ind w:firstLine="1305"/>
        <w:spacing w:after="0" w:line="274" w:lineRule="auto"/>
        <w:tabs>
          <w:tab w:leader="none" w:pos="1733" w:val="left"/>
        </w:tabs>
        <w:numPr>
          <w:ilvl w:val="0"/>
          <w:numId w:val="85"/>
        </w:numPr>
        <w:rPr>
          <w:rFonts w:ascii="Arial" w:cs="Arial" w:eastAsia="Arial" w:hAnsi="Arial"/>
          <w:sz w:val="21"/>
          <w:szCs w:val="21"/>
          <w:color w:val="010000"/>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21"/>
          <w:szCs w:val="21"/>
          <w:b w:val="1"/>
          <w:bCs w:val="1"/>
          <w:color w:val="auto"/>
        </w:rPr>
        <w:t>Accounting Firm</w:t>
      </w:r>
      <w:r>
        <w:rPr>
          <w:rFonts w:ascii="Arial" w:cs="Arial" w:eastAsia="Arial" w:hAnsi="Arial"/>
          <w:sz w:val="21"/>
          <w:szCs w:val="21"/>
          <w:color w:val="auto"/>
        </w:rPr>
        <w:t>”)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48" w:right="239" w:bottom="1440" w:gutter="0" w:footer="0" w:header="0"/>
        </w:sectPr>
      </w:pPr>
    </w:p>
    <w:bookmarkStart w:id="142" w:name="page143"/>
    <w:bookmarkEnd w:id="142"/>
    <w:p>
      <w:pPr>
        <w:jc w:val="both"/>
        <w:ind w:firstLine="1305"/>
        <w:spacing w:after="0" w:line="261" w:lineRule="auto"/>
        <w:tabs>
          <w:tab w:leader="none" w:pos="1918"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Indemnification for Taxes</w:t>
      </w:r>
      <w:r>
        <w:rPr>
          <w:rFonts w:ascii="Arial" w:cs="Arial" w:eastAsia="Arial" w:hAnsi="Arial"/>
          <w:sz w:val="22"/>
          <w:szCs w:val="22"/>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189" w:lineRule="exact"/>
        <w:rPr>
          <w:rFonts w:ascii="Arial" w:cs="Arial" w:eastAsia="Arial" w:hAnsi="Arial"/>
          <w:sz w:val="22"/>
          <w:szCs w:val="22"/>
          <w:color w:val="010000"/>
        </w:rPr>
      </w:pPr>
    </w:p>
    <w:p>
      <w:pPr>
        <w:jc w:val="both"/>
        <w:ind w:firstLine="1305"/>
        <w:spacing w:after="0" w:line="322" w:lineRule="auto"/>
        <w:tabs>
          <w:tab w:leader="none" w:pos="1823" w:val="left"/>
        </w:tabs>
        <w:numPr>
          <w:ilvl w:val="0"/>
          <w:numId w:val="86"/>
        </w:numPr>
        <w:rPr>
          <w:rFonts w:ascii="Arial" w:cs="Arial" w:eastAsia="Arial" w:hAnsi="Arial"/>
          <w:sz w:val="19"/>
          <w:szCs w:val="19"/>
          <w:color w:val="010000"/>
        </w:rPr>
      </w:pPr>
      <w:r>
        <w:rPr>
          <w:rFonts w:ascii="Arial" w:cs="Arial" w:eastAsia="Arial" w:hAnsi="Arial"/>
          <w:sz w:val="19"/>
          <w:szCs w:val="19"/>
          <w:u w:val="single" w:color="auto"/>
          <w:color w:val="auto"/>
        </w:rPr>
        <w:t>Net Payments</w:t>
      </w:r>
      <w:r>
        <w:rPr>
          <w:rFonts w:ascii="Arial" w:cs="Arial" w:eastAsia="Arial" w:hAnsi="Arial"/>
          <w:sz w:val="19"/>
          <w:szCs w:val="19"/>
          <w:color w:val="auto"/>
        </w:rPr>
        <w:t>. Without limiting any other provision in this Section 4.03, if as of any date each of the GM Investor and the Company is obligated to make a payment to the 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137" w:lineRule="exact"/>
        <w:rPr>
          <w:rFonts w:ascii="Arial" w:cs="Arial" w:eastAsia="Arial" w:hAnsi="Arial"/>
          <w:sz w:val="19"/>
          <w:szCs w:val="19"/>
          <w:color w:val="010000"/>
        </w:rPr>
      </w:pPr>
    </w:p>
    <w:p>
      <w:pPr>
        <w:jc w:val="both"/>
        <w:ind w:firstLine="1305"/>
        <w:spacing w:after="0" w:line="264" w:lineRule="auto"/>
        <w:tabs>
          <w:tab w:leader="none" w:pos="1694"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 this Section 4.03 shall be treated as distribution under Section 301 of the Code for all applicable tax purposes, unless otherwise required by applicable law.</w:t>
      </w:r>
    </w:p>
    <w:p>
      <w:pPr>
        <w:spacing w:after="0" w:line="188" w:lineRule="exact"/>
        <w:rPr>
          <w:rFonts w:ascii="Arial" w:cs="Arial" w:eastAsia="Arial" w:hAnsi="Arial"/>
          <w:sz w:val="22"/>
          <w:szCs w:val="22"/>
          <w:color w:val="010000"/>
        </w:rPr>
      </w:pPr>
    </w:p>
    <w:p>
      <w:pPr>
        <w:jc w:val="both"/>
        <w:ind w:firstLine="1305"/>
        <w:spacing w:after="0" w:line="315" w:lineRule="auto"/>
        <w:tabs>
          <w:tab w:leader="none" w:pos="1829" w:val="left"/>
        </w:tabs>
        <w:numPr>
          <w:ilvl w:val="0"/>
          <w:numId w:val="86"/>
        </w:numPr>
        <w:rPr>
          <w:rFonts w:ascii="Arial" w:cs="Arial" w:eastAsia="Arial" w:hAnsi="Arial"/>
          <w:sz w:val="19"/>
          <w:szCs w:val="19"/>
          <w:color w:val="010000"/>
        </w:rPr>
      </w:pPr>
      <w:r>
        <w:rPr>
          <w:rFonts w:ascii="Arial" w:cs="Arial" w:eastAsia="Arial" w:hAnsi="Arial"/>
          <w:sz w:val="19"/>
          <w:szCs w:val="19"/>
          <w:u w:val="single" w:color="auto"/>
          <w:color w:val="auto"/>
        </w:rPr>
        <w:t>Examples</w:t>
      </w:r>
      <w:r>
        <w:rPr>
          <w:rFonts w:ascii="Arial" w:cs="Arial" w:eastAsia="Arial" w:hAnsi="Arial"/>
          <w:sz w:val="19"/>
          <w:szCs w:val="19"/>
          <w:color w:val="auto"/>
        </w:rPr>
        <w:t xml:space="preserve">. Any ambiguity in the provisions of this Section 4.03 shall be resolved (where possible) by reference to the examples delivered by the GM Investor and acknowledged by SoftBank and the Company pursuant to that certain letter provided to SoftBank UK prior to the execution of the SoftBank Purchase Agreement (and subsequently acknowledged and agreed to by SoftBank) and acknowledged by Honda pursuant to that certain letter provided to Honda prior to the execution of the Honda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conflict with such letter, this Section 4.03 shall control.</w:t>
      </w:r>
    </w:p>
    <w:p>
      <w:pPr>
        <w:spacing w:after="0" w:line="146" w:lineRule="exact"/>
        <w:rPr>
          <w:rFonts w:ascii="Arial" w:cs="Arial" w:eastAsia="Arial" w:hAnsi="Arial"/>
          <w:sz w:val="19"/>
          <w:szCs w:val="19"/>
          <w:color w:val="010000"/>
        </w:rPr>
      </w:pPr>
    </w:p>
    <w:p>
      <w:pPr>
        <w:ind w:left="1740" w:hanging="435"/>
        <w:spacing w:after="0"/>
        <w:tabs>
          <w:tab w:leader="none" w:pos="1740"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Consistent Reporting Covenant</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61" w:lineRule="auto"/>
        <w:tabs>
          <w:tab w:leader="none" w:pos="2356"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 the Class A-1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A-1 Preferred Shares that is paid by accretion of the Class A-1 Preferred Return on such Shares (in accordance with Section 3.01(c) hereof) as a taxable distribution pursuant to Section 305(b)(2)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48" w:right="2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the Code or take any position inconsistent with the intended tax treatment described in this Section 4.03(k).</w:t>
      </w:r>
    </w:p>
    <w:p>
      <w:pPr>
        <w:spacing w:after="0" w:line="233" w:lineRule="exact"/>
        <w:rPr>
          <w:sz w:val="20"/>
          <w:szCs w:val="20"/>
          <w:color w:val="auto"/>
        </w:rPr>
      </w:pPr>
    </w:p>
    <w:p>
      <w:pPr>
        <w:ind w:firstLine="1953"/>
        <w:spacing w:after="0" w:line="289" w:lineRule="auto"/>
        <w:tabs>
          <w:tab w:leader="none" w:pos="2497" w:val="left"/>
        </w:tabs>
        <w:numPr>
          <w:ilvl w:val="1"/>
          <w:numId w:val="87"/>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 the Class A-2 Preferred Shares and the Class F Preferred Shares are intended to be treated as common stock for all purposes of the Code.</w:t>
      </w:r>
    </w:p>
    <w:p>
      <w:pPr>
        <w:spacing w:after="0" w:line="160" w:lineRule="exact"/>
        <w:rPr>
          <w:rFonts w:ascii="Arial" w:cs="Arial" w:eastAsia="Arial" w:hAnsi="Arial"/>
          <w:sz w:val="22"/>
          <w:szCs w:val="22"/>
          <w:color w:val="010000"/>
        </w:rPr>
      </w:pPr>
    </w:p>
    <w:p>
      <w:pPr>
        <w:jc w:val="both"/>
        <w:ind w:firstLine="1305"/>
        <w:spacing w:after="0" w:line="267" w:lineRule="auto"/>
        <w:tabs>
          <w:tab w:leader="none" w:pos="1707"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Audit Adjustments</w:t>
      </w:r>
      <w:r>
        <w:rPr>
          <w:rFonts w:ascii="Arial" w:cs="Arial" w:eastAsia="Arial" w:hAnsi="Arial"/>
          <w:sz w:val="22"/>
          <w:szCs w:val="22"/>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184" w:lineRule="exact"/>
        <w:rPr>
          <w:rFonts w:ascii="Arial" w:cs="Arial" w:eastAsia="Arial" w:hAnsi="Arial"/>
          <w:sz w:val="22"/>
          <w:szCs w:val="22"/>
          <w:color w:val="010000"/>
        </w:rPr>
      </w:pPr>
    </w:p>
    <w:p>
      <w:pPr>
        <w:jc w:val="both"/>
        <w:ind w:firstLine="1305"/>
        <w:spacing w:after="0" w:line="272" w:lineRule="auto"/>
        <w:tabs>
          <w:tab w:leader="none" w:pos="1829"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179" w:lineRule="exact"/>
        <w:rPr>
          <w:rFonts w:ascii="Arial" w:cs="Arial" w:eastAsia="Arial" w:hAnsi="Arial"/>
          <w:sz w:val="22"/>
          <w:szCs w:val="22"/>
          <w:color w:val="010000"/>
        </w:rPr>
      </w:pPr>
    </w:p>
    <w:p>
      <w:pPr>
        <w:ind w:left="1740" w:hanging="435"/>
        <w:spacing w:after="0"/>
        <w:tabs>
          <w:tab w:leader="none" w:pos="1740"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4.03, the following terms shall be defined as follows:</w:t>
      </w:r>
    </w:p>
    <w:p>
      <w:pPr>
        <w:spacing w:after="0" w:line="240" w:lineRule="exact"/>
        <w:rPr>
          <w:rFonts w:ascii="Arial" w:cs="Arial" w:eastAsia="Arial" w:hAnsi="Arial"/>
          <w:sz w:val="22"/>
          <w:szCs w:val="22"/>
          <w:color w:val="010000"/>
        </w:rPr>
      </w:pPr>
    </w:p>
    <w:p>
      <w:pPr>
        <w:ind w:firstLine="1953"/>
        <w:spacing w:after="0" w:line="379" w:lineRule="auto"/>
        <w:tabs>
          <w:tab w:leader="none" w:pos="2356"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Aggregate Company Hypothetical Pre-Deconsolidation Tax Amount</w:t>
      </w:r>
      <w:r>
        <w:rPr>
          <w:rFonts w:ascii="Arial" w:cs="Arial" w:eastAsia="Arial" w:hAnsi="Arial"/>
          <w:sz w:val="19"/>
          <w:szCs w:val="19"/>
          <w:color w:val="auto"/>
        </w:rPr>
        <w:t>” means, with respect to a Tax Period, the sum of the Company Hypothetical Pre-Deconsolidation Tax Amount for such Tax Period and all prior Tax Periods.</w:t>
      </w:r>
    </w:p>
    <w:p>
      <w:pPr>
        <w:spacing w:after="0" w:line="80" w:lineRule="exact"/>
        <w:rPr>
          <w:sz w:val="20"/>
          <w:szCs w:val="20"/>
          <w:color w:val="auto"/>
        </w:rPr>
      </w:pPr>
    </w:p>
    <w:p>
      <w:pPr>
        <w:jc w:val="both"/>
        <w:ind w:firstLine="1953"/>
        <w:spacing w:after="0" w:line="266" w:lineRule="auto"/>
        <w:tabs>
          <w:tab w:leader="none" w:pos="2497"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 Hypothetical Pre-Deconsolidation Tax Amount</w:t>
      </w:r>
      <w:r>
        <w:rPr>
          <w:rFonts w:ascii="Arial" w:cs="Arial" w:eastAsia="Arial" w:hAnsi="Arial"/>
          <w:sz w:val="22"/>
          <w:szCs w:val="22"/>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 U.S. consolidated group (but had utilized the same tax accounting methods, elections, conventions, practices, policies and principles actually utilized by the GM Consolidated Group).</w:t>
      </w:r>
    </w:p>
    <w:p>
      <w:pPr>
        <w:spacing w:after="0" w:line="178" w:lineRule="exact"/>
        <w:rPr>
          <w:rFonts w:ascii="Arial" w:cs="Arial" w:eastAsia="Arial" w:hAnsi="Arial"/>
          <w:sz w:val="22"/>
          <w:szCs w:val="22"/>
          <w:color w:val="010000"/>
        </w:rPr>
      </w:pPr>
    </w:p>
    <w:p>
      <w:pPr>
        <w:ind w:left="2480" w:hanging="527"/>
        <w:spacing w:after="0"/>
        <w:tabs>
          <w:tab w:leader="none" w:pos="2480"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Deconsolidation</w:t>
      </w:r>
      <w:r>
        <w:rPr>
          <w:rFonts w:ascii="Arial" w:cs="Arial" w:eastAsia="Arial" w:hAnsi="Arial"/>
          <w:sz w:val="19"/>
          <w:szCs w:val="19"/>
          <w:color w:val="auto"/>
        </w:rPr>
        <w:t>” means any event pursuant to which the Company ceases to be included in the GM</w:t>
      </w:r>
    </w:p>
    <w:p>
      <w:pPr>
        <w:spacing w:after="0" w:line="7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Consolidated Group.</w:t>
      </w:r>
    </w:p>
    <w:p>
      <w:pPr>
        <w:spacing w:after="0" w:line="227" w:lineRule="exact"/>
        <w:rPr>
          <w:rFonts w:ascii="Arial" w:cs="Arial" w:eastAsia="Arial" w:hAnsi="Arial"/>
          <w:sz w:val="19"/>
          <w:szCs w:val="19"/>
          <w:color w:val="010000"/>
        </w:rPr>
      </w:pPr>
    </w:p>
    <w:p>
      <w:pPr>
        <w:jc w:val="both"/>
        <w:ind w:firstLine="1953"/>
        <w:spacing w:after="0" w:line="281" w:lineRule="auto"/>
        <w:tabs>
          <w:tab w:leader="none" w:pos="2626" w:val="left"/>
        </w:tabs>
        <w:numPr>
          <w:ilvl w:val="0"/>
          <w:numId w:val="8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Excess NOL Tax Increase</w:t>
      </w:r>
      <w:r>
        <w:rPr>
          <w:rFonts w:ascii="Arial" w:cs="Arial" w:eastAsia="Arial" w:hAnsi="Arial"/>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48" w:right="239" w:bottom="1440" w:gutter="0" w:footer="0" w:header="0"/>
        </w:sectPr>
      </w:pPr>
    </w:p>
    <w:bookmarkStart w:id="144" w:name="page145"/>
    <w:bookmarkEnd w:id="144"/>
    <w:p>
      <w:pPr>
        <w:ind w:firstLine="1953"/>
        <w:spacing w:after="0" w:line="295" w:lineRule="auto"/>
        <w:tabs>
          <w:tab w:leader="none" w:pos="2417"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147" w:lineRule="exact"/>
        <w:rPr>
          <w:rFonts w:ascii="Arial" w:cs="Arial" w:eastAsia="Arial" w:hAnsi="Arial"/>
          <w:sz w:val="22"/>
          <w:szCs w:val="22"/>
          <w:color w:val="010000"/>
        </w:rPr>
      </w:pPr>
    </w:p>
    <w:p>
      <w:pPr>
        <w:ind w:firstLine="1953"/>
        <w:spacing w:after="0" w:line="295" w:lineRule="auto"/>
        <w:tabs>
          <w:tab w:leader="none" w:pos="253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010000"/>
        </w:rPr>
      </w:pPr>
    </w:p>
    <w:p>
      <w:pPr>
        <w:jc w:val="both"/>
        <w:ind w:firstLine="1953"/>
        <w:spacing w:after="0" w:line="310" w:lineRule="auto"/>
        <w:tabs>
          <w:tab w:leader="none" w:pos="2591"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4" w:lineRule="exact"/>
        <w:rPr>
          <w:rFonts w:ascii="Arial" w:cs="Arial" w:eastAsia="Arial" w:hAnsi="Arial"/>
          <w:sz w:val="19"/>
          <w:szCs w:val="19"/>
          <w:color w:val="010000"/>
        </w:rPr>
      </w:pPr>
    </w:p>
    <w:p>
      <w:pPr>
        <w:jc w:val="both"/>
        <w:ind w:firstLine="1953"/>
        <w:spacing w:after="0" w:line="307" w:lineRule="auto"/>
        <w:tabs>
          <w:tab w:leader="none" w:pos="2611"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xml:space="preserve">”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 such net operating losses are the last losses that would have otherwise been taken into account in clause (A)).</w:t>
      </w:r>
    </w:p>
    <w:p>
      <w:pPr>
        <w:spacing w:after="0" w:line="145" w:lineRule="exact"/>
        <w:rPr>
          <w:rFonts w:ascii="Arial" w:cs="Arial" w:eastAsia="Arial" w:hAnsi="Arial"/>
          <w:sz w:val="19"/>
          <w:szCs w:val="19"/>
          <w:color w:val="010000"/>
        </w:rPr>
      </w:pPr>
    </w:p>
    <w:p>
      <w:pPr>
        <w:ind w:firstLine="1953"/>
        <w:spacing w:after="0" w:line="295" w:lineRule="auto"/>
        <w:tabs>
          <w:tab w:leader="none" w:pos="253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NOL Deficit Amount</w:t>
      </w:r>
      <w:r>
        <w:rPr>
          <w:rFonts w:ascii="Arial" w:cs="Arial" w:eastAsia="Arial" w:hAnsi="Arial"/>
          <w:sz w:val="22"/>
          <w:szCs w:val="22"/>
          <w:color w:val="auto"/>
        </w:rPr>
        <w:t>” shall mean an amount equal to the excess, if any, of (A) the Hypothetical Deconsolidated Company NOL Amount over (B) $1,300,000,000.</w:t>
      </w:r>
    </w:p>
    <w:p>
      <w:pPr>
        <w:spacing w:after="0" w:line="147" w:lineRule="exact"/>
        <w:rPr>
          <w:rFonts w:ascii="Arial" w:cs="Arial" w:eastAsia="Arial" w:hAnsi="Arial"/>
          <w:sz w:val="22"/>
          <w:szCs w:val="22"/>
          <w:color w:val="010000"/>
        </w:rPr>
      </w:pPr>
    </w:p>
    <w:p>
      <w:pPr>
        <w:ind w:firstLine="1953"/>
        <w:spacing w:after="0" w:line="295" w:lineRule="auto"/>
        <w:tabs>
          <w:tab w:leader="none" w:pos="243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Other Tax Credits</w:t>
      </w:r>
      <w:r>
        <w:rPr>
          <w:rFonts w:ascii="Arial" w:cs="Arial" w:eastAsia="Arial" w:hAnsi="Arial"/>
          <w:sz w:val="22"/>
          <w:szCs w:val="22"/>
          <w:color w:val="auto"/>
        </w:rPr>
        <w:t>” shall mean any U.S. federal, state or local income or franchise tax credits other than R&amp;D Tax Credits as defined herein.</w:t>
      </w:r>
    </w:p>
    <w:p>
      <w:pPr>
        <w:spacing w:after="0" w:line="147" w:lineRule="exact"/>
        <w:rPr>
          <w:rFonts w:ascii="Arial" w:cs="Arial" w:eastAsia="Arial" w:hAnsi="Arial"/>
          <w:sz w:val="22"/>
          <w:szCs w:val="22"/>
          <w:color w:val="010000"/>
        </w:rPr>
      </w:pPr>
    </w:p>
    <w:p>
      <w:pPr>
        <w:jc w:val="both"/>
        <w:ind w:firstLine="1953"/>
        <w:spacing w:after="0" w:line="275" w:lineRule="auto"/>
        <w:tabs>
          <w:tab w:leader="none" w:pos="2572"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xml:space="preserve">” shall mean any U.S. federal income tax credits for research activities under Section 41 of the Code, and, for the purpose of applying </w:t>
      </w:r>
      <w:r>
        <w:rPr>
          <w:rFonts w:ascii="Arial" w:cs="Arial" w:eastAsia="Arial" w:hAnsi="Arial"/>
          <w:sz w:val="22"/>
          <w:szCs w:val="22"/>
          <w:u w:val="single" w:color="auto"/>
          <w:color w:val="auto"/>
        </w:rPr>
        <w:t>Section 4.03(e)</w:t>
      </w:r>
      <w:r>
        <w:rPr>
          <w:rFonts w:ascii="Arial" w:cs="Arial" w:eastAsia="Arial" w:hAnsi="Arial"/>
          <w:sz w:val="22"/>
          <w:szCs w:val="22"/>
          <w:color w:val="auto"/>
        </w:rPr>
        <w:t>, any state or local income or franchise tax credits that are directly analogous to tax credits for research activities under Section 41 of the Code.</w:t>
      </w:r>
    </w:p>
    <w:p>
      <w:pPr>
        <w:spacing w:after="0" w:line="170" w:lineRule="exact"/>
        <w:rPr>
          <w:rFonts w:ascii="Arial" w:cs="Arial" w:eastAsia="Arial" w:hAnsi="Arial"/>
          <w:sz w:val="22"/>
          <w:szCs w:val="22"/>
          <w:color w:val="010000"/>
        </w:rPr>
      </w:pPr>
    </w:p>
    <w:p>
      <w:pPr>
        <w:ind w:firstLine="1953"/>
        <w:spacing w:after="0" w:line="295" w:lineRule="auto"/>
        <w:tabs>
          <w:tab w:leader="none" w:pos="2645"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Section 59(e) Benefit Amount</w:t>
      </w:r>
      <w:r>
        <w:rPr>
          <w:rFonts w:ascii="Arial" w:cs="Arial" w:eastAsia="Arial" w:hAnsi="Arial"/>
          <w:sz w:val="22"/>
          <w:szCs w:val="22"/>
          <w:color w:val="auto"/>
        </w:rPr>
        <w:t>” with respect to a Tax Period means the amount by which the payment (A) required by the Company to GM under Section 4.03(c) for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42" w:right="239" w:bottom="1440" w:gutter="0" w:footer="0" w:header="0"/>
        </w:sectPr>
      </w:pPr>
    </w:p>
    <w:bookmarkStart w:id="145" w:name="page146"/>
    <w:bookmarkEnd w:id="145"/>
    <w:p>
      <w:pPr>
        <w:jc w:val="both"/>
        <w:spacing w:after="0" w:line="276" w:lineRule="auto"/>
        <w:rPr>
          <w:sz w:val="20"/>
          <w:szCs w:val="20"/>
          <w:color w:val="auto"/>
        </w:rPr>
      </w:pPr>
      <w:r>
        <w:rPr>
          <w:rFonts w:ascii="Arial" w:cs="Arial" w:eastAsia="Arial" w:hAnsi="Arial"/>
          <w:sz w:val="21"/>
          <w:szCs w:val="21"/>
          <w:color w:val="auto"/>
        </w:rPr>
        <w:t>such Tax Period would have been more or (B) by GM to the Company under Section 4.03(b)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72" w:lineRule="exact"/>
        <w:rPr>
          <w:sz w:val="20"/>
          <w:szCs w:val="20"/>
          <w:color w:val="auto"/>
        </w:rPr>
      </w:pPr>
    </w:p>
    <w:p>
      <w:pPr>
        <w:jc w:val="both"/>
        <w:ind w:right="20" w:firstLine="1953"/>
        <w:spacing w:after="0" w:line="338" w:lineRule="auto"/>
        <w:tabs>
          <w:tab w:leader="none" w:pos="2638"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Section 59(e) Detriment Amount</w:t>
      </w:r>
      <w:r>
        <w:rPr>
          <w:rFonts w:ascii="Arial" w:cs="Arial" w:eastAsia="Arial" w:hAnsi="Arial"/>
          <w:sz w:val="19"/>
          <w:szCs w:val="19"/>
          <w:color w:val="auto"/>
        </w:rPr>
        <w:t>” with respect to a Tax Period means the amount by which the payment (A) required by the Company to GM under Section 4.03(c) for such Tax Period would have been less or (B) by GM to the Company under Section 4.03(b) would have been more, in each case, had no Section 59(e) Election been made.</w:t>
      </w:r>
    </w:p>
    <w:p>
      <w:pPr>
        <w:spacing w:after="0" w:line="116" w:lineRule="exact"/>
        <w:rPr>
          <w:rFonts w:ascii="Arial" w:cs="Arial" w:eastAsia="Arial" w:hAnsi="Arial"/>
          <w:sz w:val="19"/>
          <w:szCs w:val="19"/>
          <w:color w:val="010000"/>
        </w:rPr>
      </w:pPr>
    </w:p>
    <w:p>
      <w:pPr>
        <w:ind w:left="2560" w:hanging="607"/>
        <w:spacing w:after="0"/>
        <w:tabs>
          <w:tab w:leader="none" w:pos="256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Tax Period</w:t>
      </w:r>
      <w:r>
        <w:rPr>
          <w:rFonts w:ascii="Arial" w:cs="Arial" w:eastAsia="Arial" w:hAnsi="Arial"/>
          <w:sz w:val="22"/>
          <w:szCs w:val="22"/>
          <w:color w:val="auto"/>
        </w:rPr>
        <w:t>” means a taxable year as defined in Section 441(b) of the Code.</w:t>
      </w:r>
    </w:p>
    <w:p>
      <w:pPr>
        <w:spacing w:after="0" w:line="24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SoftBank Purchase Agreement) incurred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issuance of any Equity Securities to SoftBank, SoftBank UK or any of their Affiliates or Permitted Transferees pursuant to this Agreement or the SoftBank Purchase Agreement or in relation to the issuance of any Class F Preferred Shares shall, in each case, be paid by SoftBank when due. Any Transfer Taxes (as defined in the Honda Purchase Agreement) incurred in connection with any issuance of any Equity Securities to Honda or any of its Affiliates or Permitted Transferees pursuant to this Agreement or the Honda Purchase Agreement or in relation to the issuance of any Class F Preferred Shares shall be paid by Honda when due. Any Transfer Taxes (as defined in the Class F Purchase Agreement) incurred in connection with any issuance of Class F Preferred Shares to a Class F Preferred Member or any of their Affiliates or Permitted Transferees pursuant to this Agreement, the Class F Purchase Agreement, or any subscription agreement shall be paid by such Class F Preferred Members when due. The Company shall file all necessary tax returns and other documentation with respect to all Transfer Taxes and, if required by applicable law, the GM Investor, SoftBank, Honda and the Class F New Members (as applicable) will, and will cause their Affiliates, to join in the execution of any such tax returns and other documentation.</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provisions contained in this Article IV, and any payments required to be made pursuant hereto, shall survive the termination of the Company and the withdrawal of any Member.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MEMBERS</w:t>
      </w:r>
    </w:p>
    <w:p>
      <w:pPr>
        <w:spacing w:after="0" w:line="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u w:val="single" w:color="auto"/>
          <w:color w:val="auto"/>
        </w:rPr>
        <w:t>Voting Rights of Members</w:t>
      </w:r>
      <w:r>
        <w:rPr>
          <w:rFonts w:ascii="Arial" w:cs="Arial" w:eastAsia="Arial" w:hAnsi="Arial"/>
          <w:sz w:val="19"/>
          <w:szCs w:val="19"/>
          <w:color w:val="auto"/>
        </w:rPr>
        <w:t>. Subject to Section 2.02 and Section 9.10:</w:t>
      </w:r>
    </w:p>
    <w:p>
      <w:pPr>
        <w:spacing w:after="0" w:line="229" w:lineRule="exact"/>
        <w:rPr>
          <w:sz w:val="20"/>
          <w:szCs w:val="20"/>
          <w:color w:val="auto"/>
        </w:rPr>
      </w:pPr>
    </w:p>
    <w:p>
      <w:pPr>
        <w:ind w:firstLine="1305"/>
        <w:spacing w:after="0" w:line="289" w:lineRule="auto"/>
        <w:tabs>
          <w:tab w:leader="none" w:pos="1716"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48" w:right="239" w:bottom="1440" w:gutter="0" w:footer="0" w:header="0"/>
        </w:sectPr>
      </w:pPr>
    </w:p>
    <w:bookmarkStart w:id="146" w:name="page147"/>
    <w:bookmarkEnd w:id="146"/>
    <w:p>
      <w:pPr>
        <w:ind w:right="20" w:firstLine="1305"/>
        <w:spacing w:after="0" w:line="289" w:lineRule="auto"/>
        <w:tabs>
          <w:tab w:leader="none" w:pos="1728"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right="20" w:firstLine="1305"/>
        <w:spacing w:after="0" w:line="289" w:lineRule="auto"/>
        <w:tabs>
          <w:tab w:leader="none" w:pos="1743"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28"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43"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33"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E Member shall be entitled to one (1) vote for each Class E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5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Each Class F Preferred Member shall be entitled to one (1) vote for each Class F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314" w:lineRule="auto"/>
        <w:tabs>
          <w:tab w:leader="none" w:pos="1796"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8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5.02 </w:t>
      </w:r>
      <w:r>
        <w:rPr>
          <w:rFonts w:ascii="Arial" w:cs="Arial" w:eastAsia="Arial" w:hAnsi="Arial"/>
          <w:sz w:val="19"/>
          <w:szCs w:val="19"/>
          <w:b w:val="1"/>
          <w:bCs w:val="1"/>
          <w:u w:val="single" w:color="auto"/>
          <w:color w:val="auto"/>
        </w:rPr>
        <w:t>Quorum; Voting</w:t>
      </w:r>
      <w:r>
        <w:rPr>
          <w:rFonts w:ascii="Arial" w:cs="Arial" w:eastAsia="Arial" w:hAnsi="Arial"/>
          <w:sz w:val="19"/>
          <w:szCs w:val="19"/>
          <w:color w:val="auto"/>
        </w:rPr>
        <w:t>. A quorum shall be present with respect to a meeting of the Members if a Majority of the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47" w:right="239" w:bottom="1440" w:gutter="0" w:footer="0" w:header="0"/>
        </w:sectPr>
      </w:pPr>
    </w:p>
    <w:bookmarkStart w:id="147" w:name="page148"/>
    <w:bookmarkEnd w:id="147"/>
    <w:p>
      <w:pPr>
        <w:jc w:val="both"/>
        <w:spacing w:after="0" w:line="266" w:lineRule="auto"/>
        <w:rPr>
          <w:sz w:val="20"/>
          <w:szCs w:val="20"/>
          <w:color w:val="auto"/>
        </w:rPr>
      </w:pPr>
      <w:r>
        <w:rPr>
          <w:rFonts w:ascii="Arial" w:cs="Arial" w:eastAsia="Arial" w:hAnsi="Arial"/>
          <w:sz w:val="22"/>
          <w:szCs w:val="22"/>
          <w:color w:val="auto"/>
        </w:rPr>
        <w:t>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b w:val="1"/>
          <w:bCs w:val="1"/>
          <w:color w:val="auto"/>
        </w:rPr>
        <w:t xml:space="preserve">5.03 </w:t>
      </w:r>
      <w:r>
        <w:rPr>
          <w:rFonts w:ascii="Arial" w:cs="Arial" w:eastAsia="Arial" w:hAnsi="Arial"/>
          <w:sz w:val="21"/>
          <w:szCs w:val="21"/>
          <w:b w:val="1"/>
          <w:bCs w:val="1"/>
          <w:u w:val="single" w:color="auto"/>
          <w:color w:val="auto"/>
        </w:rPr>
        <w:t>Written Consent</w:t>
      </w:r>
      <w:r>
        <w:rPr>
          <w:rFonts w:ascii="Arial" w:cs="Arial" w:eastAsia="Arial" w:hAnsi="Arial"/>
          <w:sz w:val="21"/>
          <w:szCs w:val="21"/>
          <w:color w:val="auto"/>
        </w:rPr>
        <w:t>. Any action required or permitted to be taken at a meeting of the Members may be taken without a</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7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Meetings of the Members may be called by (a) the Board of Directors or (b) a Majority of the Members.</w:t>
      </w:r>
    </w:p>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 any annual meeting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calling a special meeting pursuant to Section 5.04 may designate the place for such special meeting. If no designation is made, the place of meeting shall be the principal office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5.06 </w:t>
      </w:r>
      <w:r>
        <w:rPr>
          <w:rFonts w:ascii="Arial" w:cs="Arial" w:eastAsia="Arial" w:hAnsi="Arial"/>
          <w:sz w:val="21"/>
          <w:szCs w:val="21"/>
          <w:b w:val="1"/>
          <w:bCs w:val="1"/>
          <w:u w:val="single" w:color="auto"/>
          <w:color w:val="auto"/>
        </w:rPr>
        <w:t>Notice of Meeting</w:t>
      </w:r>
      <w:r>
        <w:rPr>
          <w:rFonts w:ascii="Arial" w:cs="Arial" w:eastAsia="Arial" w:hAnsi="Arial"/>
          <w:sz w:val="21"/>
          <w:szCs w:val="21"/>
          <w:color w:val="auto"/>
        </w:rPr>
        <w:t>. Written notice stating the place, day and hour of the meeting and, in case of a special meeting,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purpose or purposes for which the meeting is called, shall 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6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 a member of the Company. No</w:t>
      </w:r>
      <w:r>
        <w:rPr>
          <w:rFonts w:ascii="Arial" w:cs="Arial" w:eastAsia="Arial" w:hAnsi="Arial"/>
          <w:sz w:val="19"/>
          <w:szCs w:val="19"/>
          <w:b w:val="1"/>
          <w:bCs w:val="1"/>
          <w:color w:val="auto"/>
        </w:rPr>
        <w:t xml:space="preserve"> </w:t>
      </w:r>
      <w:r>
        <w:rPr>
          <w:rFonts w:ascii="Arial" w:cs="Arial" w:eastAsia="Arial" w:hAnsi="Arial"/>
          <w:sz w:val="19"/>
          <w:szCs w:val="19"/>
          <w:color w:val="auto"/>
        </w:rPr>
        <w:t>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53" w:lineRule="exact"/>
        <w:rPr>
          <w:sz w:val="20"/>
          <w:szCs w:val="20"/>
          <w:color w:val="auto"/>
        </w:rPr>
      </w:pPr>
    </w:p>
    <w:p>
      <w:pPr>
        <w:ind w:firstLine="1305"/>
        <w:spacing w:after="0" w:line="289" w:lineRule="auto"/>
        <w:tabs>
          <w:tab w:leader="none" w:pos="173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Subject to Article XI, any agreement entered into with any Employee Member and any restriction on any Class E Member in any written agreement entered into by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47" w:right="239" w:bottom="1440" w:gutter="0" w:footer="0" w:header="0"/>
        </w:sectPr>
      </w:pPr>
    </w:p>
    <w:bookmarkStart w:id="148" w:name="page149"/>
    <w:bookmarkEnd w:id="148"/>
    <w:p>
      <w:pPr>
        <w:jc w:val="both"/>
        <w:spacing w:after="0" w:line="271" w:lineRule="auto"/>
        <w:rPr>
          <w:sz w:val="20"/>
          <w:szCs w:val="20"/>
          <w:color w:val="auto"/>
        </w:rPr>
      </w:pPr>
      <w:r>
        <w:rPr>
          <w:rFonts w:ascii="Arial" w:cs="Arial" w:eastAsia="Arial" w:hAnsi="Arial"/>
          <w:sz w:val="21"/>
          <w:szCs w:val="21"/>
          <w:color w:val="auto"/>
        </w:rPr>
        <w:t>Company with a Class E Member, each Member and its Affiliates and its and their respective officers, directors, equityholders, partners, members, managers, agents, employees and investment advisers (and other funds and accounts advised or sub-advised by such investment advisers) (the “</w:t>
      </w:r>
      <w:r>
        <w:rPr>
          <w:rFonts w:ascii="Arial" w:cs="Arial" w:eastAsia="Arial" w:hAnsi="Arial"/>
          <w:sz w:val="21"/>
          <w:szCs w:val="21"/>
          <w:b w:val="1"/>
          <w:bCs w:val="1"/>
          <w:color w:val="auto"/>
        </w:rPr>
        <w:t>Member Group Persons</w:t>
      </w:r>
      <w:r>
        <w:rPr>
          <w:rFonts w:ascii="Arial" w:cs="Arial" w:eastAsia="Arial" w:hAnsi="Arial"/>
          <w:sz w:val="21"/>
          <w:szCs w:val="21"/>
          <w:color w:val="auto"/>
        </w:rPr>
        <w:t>”) (i) is permitted to have, and may presently or in the future have, investments or other business relationships with entities engaged in other, complementary or competing lines of business other than through the Company and its Subsidiaries (an “</w:t>
      </w:r>
      <w:r>
        <w:rPr>
          <w:rFonts w:ascii="Arial" w:cs="Arial" w:eastAsia="Arial" w:hAnsi="Arial"/>
          <w:sz w:val="21"/>
          <w:szCs w:val="21"/>
          <w:b w:val="1"/>
          <w:bCs w:val="1"/>
          <w:color w:val="auto"/>
        </w:rPr>
        <w:t>Other Business</w:t>
      </w:r>
      <w:r>
        <w:rPr>
          <w:rFonts w:ascii="Arial" w:cs="Arial" w:eastAsia="Arial" w:hAnsi="Arial"/>
          <w:sz w:val="21"/>
          <w:szCs w:val="21"/>
          <w:color w:val="auto"/>
        </w:rPr>
        <w:t>”), (ii) 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 Employee Member, the involvement of any Member Group Person in any Other Business will not constitute a conflict of interest by such Persons with respect to the Company or its Members or any of its Subsidiaries.</w:t>
      </w:r>
    </w:p>
    <w:p>
      <w:pPr>
        <w:spacing w:after="0" w:line="185" w:lineRule="exact"/>
        <w:rPr>
          <w:sz w:val="20"/>
          <w:szCs w:val="20"/>
          <w:color w:val="auto"/>
        </w:rPr>
      </w:pPr>
    </w:p>
    <w:p>
      <w:pPr>
        <w:jc w:val="both"/>
        <w:ind w:firstLine="1305"/>
        <w:spacing w:after="0" w:line="272" w:lineRule="auto"/>
        <w:tabs>
          <w:tab w:leader="none" w:pos="1783"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179" w:lineRule="exact"/>
        <w:rPr>
          <w:rFonts w:ascii="Arial" w:cs="Arial" w:eastAsia="Arial" w:hAnsi="Arial"/>
          <w:sz w:val="22"/>
          <w:szCs w:val="22"/>
          <w:color w:val="010000"/>
        </w:rPr>
      </w:pPr>
    </w:p>
    <w:p>
      <w:pPr>
        <w:jc w:val="both"/>
        <w:ind w:firstLine="1953"/>
        <w:spacing w:after="0" w:line="275" w:lineRule="auto"/>
        <w:tabs>
          <w:tab w:leader="none" w:pos="2410" w:val="left"/>
        </w:tabs>
        <w:numPr>
          <w:ilvl w:val="1"/>
          <w:numId w:val="95"/>
        </w:numPr>
        <w:rPr>
          <w:rFonts w:ascii="Arial" w:cs="Arial" w:eastAsia="Arial" w:hAnsi="Arial"/>
          <w:sz w:val="21"/>
          <w:szCs w:val="21"/>
          <w:color w:val="010000"/>
        </w:rPr>
      </w:pPr>
      <w:r>
        <w:rPr>
          <w:rFonts w:ascii="Arial" w:cs="Arial" w:eastAsia="Arial" w:hAnsi="Arial"/>
          <w:sz w:val="21"/>
          <w:szCs w:val="21"/>
          <w:color w:val="auto"/>
        </w:rPr>
        <w:t>the Directors shall not have, or be deemed to have, any duties or 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76" w:lineRule="exact"/>
        <w:rPr>
          <w:rFonts w:ascii="Arial" w:cs="Arial" w:eastAsia="Arial" w:hAnsi="Arial"/>
          <w:sz w:val="21"/>
          <w:szCs w:val="21"/>
          <w:color w:val="010000"/>
        </w:rPr>
      </w:pPr>
    </w:p>
    <w:p>
      <w:pPr>
        <w:jc w:val="both"/>
        <w:ind w:firstLine="2601"/>
        <w:spacing w:after="0" w:line="272" w:lineRule="auto"/>
        <w:tabs>
          <w:tab w:leader="none" w:pos="3235"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transaction or arrangement, or any proposed transaction or arrangement, between the Company or its Subsidiaries, on the one hand, and SoftBank or any SoftBank Party, on the other hand, including the decision to engage, or not to engage in, such transaction or arrangement; and</w:t>
      </w:r>
    </w:p>
    <w:p>
      <w:pPr>
        <w:spacing w:after="0" w:line="179" w:lineRule="exact"/>
        <w:rPr>
          <w:rFonts w:ascii="Arial" w:cs="Arial" w:eastAsia="Arial" w:hAnsi="Arial"/>
          <w:sz w:val="22"/>
          <w:szCs w:val="22"/>
          <w:color w:val="010000"/>
        </w:rPr>
      </w:pPr>
    </w:p>
    <w:p>
      <w:pPr>
        <w:jc w:val="both"/>
        <w:ind w:firstLine="2601"/>
        <w:spacing w:after="0" w:line="267" w:lineRule="auto"/>
        <w:tabs>
          <w:tab w:leader="none" w:pos="3156"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decision to engage or not to engage in any transaction or arrangement, or any proposed transaction or arrangement contemplated by the Transaction Documents or the Commercial Agreements (as the same may be amended from time to time in accordance with the provisions thereof), or which is otherwise on terms consistent with the Commercial Agreements;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48" w:right="239" w:bottom="1440" w:gutter="0" w:footer="0" w:header="0"/>
        </w:sectPr>
      </w:pPr>
    </w:p>
    <w:bookmarkStart w:id="149" w:name="page150"/>
    <w:bookmarkEnd w:id="149"/>
    <w:p>
      <w:pPr>
        <w:ind w:left="2600"/>
        <w:spacing w:after="0"/>
        <w:tabs>
          <w:tab w:leader="none" w:pos="3220" w:val="left"/>
        </w:tabs>
        <w:rPr>
          <w:sz w:val="20"/>
          <w:szCs w:val="20"/>
          <w:color w:val="auto"/>
        </w:rPr>
      </w:pPr>
      <w:r>
        <w:rPr>
          <w:rFonts w:ascii="Arial" w:cs="Arial" w:eastAsia="Arial" w:hAnsi="Arial"/>
          <w:sz w:val="21"/>
          <w:szCs w:val="21"/>
          <w:color w:val="010000"/>
        </w:rPr>
        <w:t>(C)</w:t>
      </w:r>
      <w:r>
        <w:rPr>
          <w:sz w:val="20"/>
          <w:szCs w:val="20"/>
          <w:color w:val="auto"/>
        </w:rPr>
        <w:tab/>
      </w:r>
      <w:r>
        <w:rPr>
          <w:rFonts w:ascii="Arial" w:cs="Arial" w:eastAsia="Arial" w:hAnsi="Arial"/>
          <w:sz w:val="21"/>
          <w:szCs w:val="21"/>
          <w:color w:val="auto"/>
        </w:rPr>
        <w:t>the issuance of Equity Securities to the GM Investor or any of its Affiliates pursuant to</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Section 2.06;</w:t>
      </w:r>
    </w:p>
    <w:p>
      <w:pPr>
        <w:spacing w:after="0" w:line="233" w:lineRule="exact"/>
        <w:rPr>
          <w:sz w:val="20"/>
          <w:szCs w:val="20"/>
          <w:color w:val="auto"/>
        </w:rPr>
      </w:pPr>
    </w:p>
    <w:p>
      <w:pPr>
        <w:jc w:val="both"/>
        <w:ind w:firstLine="1953"/>
        <w:spacing w:after="0" w:line="262" w:lineRule="auto"/>
        <w:tabs>
          <w:tab w:leader="none" w:pos="2672" w:val="left"/>
        </w:tabs>
        <w:numPr>
          <w:ilvl w:val="1"/>
          <w:numId w:val="96"/>
        </w:numPr>
        <w:rPr>
          <w:rFonts w:ascii="Arial" w:cs="Arial" w:eastAsia="Arial" w:hAnsi="Arial"/>
          <w:sz w:val="22"/>
          <w:szCs w:val="22"/>
          <w:color w:val="010000"/>
        </w:rPr>
      </w:pPr>
      <w:r>
        <w:rPr>
          <w:rFonts w:ascii="Arial" w:cs="Arial" w:eastAsia="Arial" w:hAnsi="Arial"/>
          <w:sz w:val="22"/>
          <w:szCs w:val="22"/>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 and</w:t>
      </w:r>
    </w:p>
    <w:p>
      <w:pPr>
        <w:spacing w:after="0" w:line="193" w:lineRule="exact"/>
        <w:rPr>
          <w:rFonts w:ascii="Arial" w:cs="Arial" w:eastAsia="Arial" w:hAnsi="Arial"/>
          <w:sz w:val="22"/>
          <w:szCs w:val="22"/>
          <w:color w:val="010000"/>
        </w:rPr>
      </w:pPr>
    </w:p>
    <w:p>
      <w:pPr>
        <w:jc w:val="both"/>
        <w:ind w:firstLine="1953"/>
        <w:spacing w:after="0" w:line="305" w:lineRule="auto"/>
        <w:tabs>
          <w:tab w:leader="none" w:pos="2462"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the Security Director shall discharge his or her duties in a manner that he or she reasonably believes in good faith to be, in descending order: first, in the national security interest of the United States of America; and second, where not inconsistent with the national security interest of the United States of America, in the best interests of the Company. The Security Director shall not have, or be deemed to have, any duties or implied duties (other than as set forth in the preceding sentence and the NSA) to the Company or its Subsidiaries. Subject to the foregoing, in no event shall the Security Director have, or be deemed to have, any duties or implied duties (including fiduciary duties) to any Member or Person and the Security Director shall not be required to act in or consider the best interests of any Member or Person and any duties or implied duties (including fiduciary duties) of the Security Director to any Member or Person that would otherwise apply at law or in equity are hereby disclaimed and eliminated to the fullest extent permitted under the Act and any other applicable law, and each Member hereby disclaims and waives all rights to, and releases the Security Director from, any such duties.</w:t>
      </w:r>
    </w:p>
    <w:p>
      <w:pPr>
        <w:spacing w:after="0" w:line="154" w:lineRule="exact"/>
        <w:rPr>
          <w:rFonts w:ascii="Arial" w:cs="Arial" w:eastAsia="Arial" w:hAnsi="Arial"/>
          <w:sz w:val="19"/>
          <w:szCs w:val="19"/>
          <w:color w:val="010000"/>
        </w:rPr>
      </w:pPr>
    </w:p>
    <w:p>
      <w:pPr>
        <w:jc w:val="both"/>
        <w:ind w:firstLine="1305"/>
        <w:spacing w:after="0" w:line="306" w:lineRule="auto"/>
        <w:tabs>
          <w:tab w:leader="none" w:pos="1743"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this Agreement, any Transaction Document, any Commercial Agreement or any Honda Commercial Agreement, or (ii) the implied contractual covenant of good faith and fair dealing of the Members.</w:t>
      </w:r>
    </w:p>
    <w:p>
      <w:pPr>
        <w:spacing w:after="0" w:line="153" w:lineRule="exact"/>
        <w:rPr>
          <w:rFonts w:ascii="Arial" w:cs="Arial" w:eastAsia="Arial" w:hAnsi="Arial"/>
          <w:sz w:val="19"/>
          <w:szCs w:val="19"/>
          <w:color w:val="010000"/>
        </w:rPr>
      </w:pPr>
    </w:p>
    <w:p>
      <w:pPr>
        <w:jc w:val="both"/>
        <w:ind w:firstLine="1305"/>
        <w:spacing w:after="0" w:line="272" w:lineRule="auto"/>
        <w:tabs>
          <w:tab w:leader="none" w:pos="1728"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48" w:right="239" w:bottom="1440" w:gutter="0" w:footer="0" w:header="0"/>
        </w:sectPr>
      </w:pPr>
    </w:p>
    <w:bookmarkStart w:id="150" w:name="page151"/>
    <w:bookmarkEnd w:id="150"/>
    <w:p>
      <w:pPr>
        <w:jc w:val="both"/>
        <w:spacing w:after="0" w:line="303" w:lineRule="auto"/>
        <w:rPr>
          <w:sz w:val="20"/>
          <w:szCs w:val="20"/>
          <w:color w:val="auto"/>
        </w:rPr>
      </w:pPr>
      <w:r>
        <w:rPr>
          <w:rFonts w:ascii="Arial" w:cs="Arial" w:eastAsia="Arial" w:hAnsi="Arial"/>
          <w:sz w:val="19"/>
          <w:szCs w:val="19"/>
          <w:color w:val="auto"/>
        </w:rPr>
        <w:t>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investment adviser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5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5.09 </w:t>
      </w: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Except as otherwise required by applicable law or as expressly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14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 Member, in its capacity as a Member,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power to act for or on behalf of, or to bind the Company.</w:t>
      </w:r>
    </w:p>
    <w:p>
      <w:pPr>
        <w:spacing w:after="0" w:line="1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 Agreement, the prior written consent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GM Investor (acting in its sole discretion and in its capacity as a Member) will be required prior to entering into or consummating any Sale of the Company or any IPO.</w:t>
      </w:r>
    </w:p>
    <w:p>
      <w:pPr>
        <w:spacing w:after="0" w:line="17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Honda Minority Consent Right</w:t>
      </w:r>
      <w:r>
        <w:rPr>
          <w:rFonts w:ascii="Arial" w:cs="Arial" w:eastAsia="Arial" w:hAnsi="Arial"/>
          <w:sz w:val="19"/>
          <w:szCs w:val="19"/>
          <w:color w:val="auto"/>
        </w:rPr>
        <w:t>. Without Honda’s prior written consent, for so long as Honda owns the Honda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Floor Amount, the Company shall not make any alteration or amendment or waiver to this Agreement that would have a material and disproportionate adverse effect on the terms of the Class E Common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5.12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48" w:right="239" w:bottom="1440" w:gutter="0" w:footer="0" w:header="0"/>
        </w:sectPr>
      </w:pPr>
    </w:p>
    <w:bookmarkStart w:id="151" w:name="page152"/>
    <w:bookmarkEnd w:id="151"/>
    <w:p>
      <w:pPr>
        <w:jc w:val="both"/>
        <w:spacing w:after="0" w:line="273" w:lineRule="auto"/>
        <w:rPr>
          <w:sz w:val="20"/>
          <w:szCs w:val="20"/>
          <w:color w:val="auto"/>
        </w:rPr>
      </w:pPr>
      <w:r>
        <w:rPr>
          <w:rFonts w:ascii="Arial" w:cs="Arial" w:eastAsia="Arial" w:hAnsi="Arial"/>
          <w:sz w:val="21"/>
          <w:szCs w:val="21"/>
          <w:color w:val="auto"/>
        </w:rPr>
        <w:t>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Section 9.10)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b w:val="1"/>
          <w:bCs w:val="1"/>
          <w:u w:val="single" w:color="auto"/>
          <w:color w:val="auto"/>
        </w:rPr>
        <w:t>Class F Minority Consent Right</w:t>
      </w:r>
      <w:r>
        <w:rPr>
          <w:rFonts w:ascii="Arial" w:cs="Arial" w:eastAsia="Arial" w:hAnsi="Arial"/>
          <w:sz w:val="19"/>
          <w:szCs w:val="19"/>
          <w:color w:val="auto"/>
        </w:rPr>
        <w:t>. Without the prior written consent of a Majority of the Class F Preferred,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shall not make any alteration or amendment or waiver to this Agreement that would (a) have a material and disproportionate adverse effect on the terms of the Class F Preferred Shares, (b) alter the definitions of Class F Liquidation Preference Amount or Class F Preferred Capital Value, (c) alter the definitions of Deemed Liquidation Event, Sale of the Company or Drag-Along Sale Transaction in a manner that would adversely affect in any material respect the rights of the Class F Preferred Shares, or (d) result in the net proceeds or assets available for distribution upon a liquidation or Deemed Liquidation Event not being applied in accordance with Section 3.02 (as the same may be amended from time to time, pursuant to the terms and conditions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5.13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F Preferred Shares (except as contemplated by Section 9.10) or (iii) to correct any typographical or similar ministerial errors. In determining whether an amendment has a material and disproportionate adverse effect on the terms of the Class F Preferred Shares, only the terms related thereto shall be considered, and any other relationship(s) the Class F Preferred Members may have with the Company, any of its Subsidiaries or the other Members shall not be considered and no characteristic of the Class F Preferred Members other than the terms of the Class F Preferred Shares shall be considered.</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MANAGEMENT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47" w:right="239" w:bottom="1440" w:gutter="0" w:footer="0" w:header="0"/>
        </w:sectPr>
      </w:pPr>
    </w:p>
    <w:bookmarkStart w:id="152" w:name="page153"/>
    <w:bookmarkEnd w:id="152"/>
    <w:p>
      <w:pPr>
        <w:ind w:left="660"/>
        <w:spacing w:after="0"/>
        <w:tabs>
          <w:tab w:leader="none" w:pos="120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5" w:lineRule="auto"/>
        <w:tabs>
          <w:tab w:leader="none" w:pos="1865" w:val="left"/>
        </w:tabs>
        <w:numPr>
          <w:ilvl w:val="0"/>
          <w:numId w:val="98"/>
        </w:numPr>
        <w:rPr>
          <w:rFonts w:ascii="Arial" w:cs="Arial" w:eastAsia="Arial" w:hAnsi="Arial"/>
          <w:sz w:val="21"/>
          <w:szCs w:val="21"/>
          <w:color w:val="010000"/>
        </w:rPr>
      </w:pPr>
      <w:r>
        <w:rPr>
          <w:rFonts w:ascii="Arial" w:cs="Arial" w:eastAsia="Arial" w:hAnsi="Arial"/>
          <w:sz w:val="21"/>
          <w:szCs w:val="21"/>
          <w:color w:val="auto"/>
        </w:rPr>
        <w:t>Without prejudice to Section 5.12, to the fullest extent permitted by law, the business and affairs of the Company shall be managed by a board of directors (the “</w:t>
      </w:r>
      <w:r>
        <w:rPr>
          <w:rFonts w:ascii="Arial" w:cs="Arial" w:eastAsia="Arial" w:hAnsi="Arial"/>
          <w:sz w:val="21"/>
          <w:szCs w:val="21"/>
          <w:b w:val="1"/>
          <w:bCs w:val="1"/>
          <w:color w:val="auto"/>
        </w:rPr>
        <w:t>Board of Directors</w:t>
      </w:r>
      <w:r>
        <w:rPr>
          <w:rFonts w:ascii="Arial" w:cs="Arial" w:eastAsia="Arial" w:hAnsi="Arial"/>
          <w:sz w:val="21"/>
          <w:szCs w:val="21"/>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76" w:lineRule="exact"/>
        <w:rPr>
          <w:rFonts w:ascii="Arial" w:cs="Arial" w:eastAsia="Arial" w:hAnsi="Arial"/>
          <w:sz w:val="21"/>
          <w:szCs w:val="21"/>
          <w:color w:val="010000"/>
        </w:rPr>
      </w:pPr>
    </w:p>
    <w:p>
      <w:pPr>
        <w:ind w:firstLine="1305"/>
        <w:spacing w:after="0" w:line="289" w:lineRule="auto"/>
        <w:tabs>
          <w:tab w:leader="none" w:pos="1756"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pacing w:after="0" w:line="15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 shall consist of nine (9) Directors.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notify the CFIUS Monitoring Agency concerning any such change to the size of the Board of Directors and the size of the Board of Directors shall not be decreased to less than six (6) Directors.</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16"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Security Director,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and Class F Preferred Shares shall, by vote of a Majority of the Common Shares, have the exclusive right to designate, appoint, remove and replace one (1) Director (the “</w:t>
      </w:r>
      <w:r>
        <w:rPr>
          <w:rFonts w:ascii="Arial" w:cs="Arial" w:eastAsia="Arial" w:hAnsi="Arial"/>
          <w:sz w:val="19"/>
          <w:szCs w:val="19"/>
          <w:b w:val="1"/>
          <w:bCs w:val="1"/>
          <w:color w:val="auto"/>
        </w:rPr>
        <w:t>Common Director</w:t>
      </w:r>
      <w:r>
        <w:rPr>
          <w:rFonts w:ascii="Arial" w:cs="Arial" w:eastAsia="Arial" w:hAnsi="Arial"/>
          <w:sz w:val="19"/>
          <w:szCs w:val="19"/>
          <w:color w:val="auto"/>
        </w:rPr>
        <w:t>”), (iii) the Security Director shall be designated, appointed, removed, and replaced in accordance with the terms set forth in the NSA and in Section 6.03(e) and (iv) following the receipt of SoftBank CFIUS Approval and subject to Section 6.05 and the requirements set forth in the NSA, SoftBank shall have the exclusive right (exercisable by written notification to the Company and the GM Investor), for so long as SoftBank owns the SoftBank Floor Amount, to designate, appoint, remove and replace one (1) Director (the “</w:t>
      </w:r>
      <w:r>
        <w:rPr>
          <w:rFonts w:ascii="Arial" w:cs="Arial" w:eastAsia="Arial" w:hAnsi="Arial"/>
          <w:sz w:val="19"/>
          <w:szCs w:val="19"/>
          <w:b w:val="1"/>
          <w:bCs w:val="1"/>
          <w:color w:val="auto"/>
        </w:rPr>
        <w:t>SoftBank Director</w:t>
      </w:r>
      <w:r>
        <w:rPr>
          <w:rFonts w:ascii="Arial" w:cs="Arial" w:eastAsia="Arial" w:hAnsi="Arial"/>
          <w:sz w:val="19"/>
          <w:szCs w:val="19"/>
          <w:color w:val="auto"/>
        </w:rPr>
        <w:t>”). The initial A-2 Preferred Directors are such five (5) natural Persons as were notified in writing to the Company and SoftBank by GM and the initial Common Director is such one (1) natural Person as was notified in writing to the Company and SoftBank by GM. Subject to Section 6.03(e), if at any time any Director ceases to serve on the Board of Directors (whether due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342" w:right="239" w:bottom="1440" w:gutter="0" w:footer="0" w:header="0"/>
        </w:sectPr>
      </w:pPr>
    </w:p>
    <w:bookmarkStart w:id="153" w:name="page154"/>
    <w:bookmarkEnd w:id="153"/>
    <w:p>
      <w:pPr>
        <w:jc w:val="both"/>
        <w:spacing w:after="0" w:line="301" w:lineRule="auto"/>
        <w:rPr>
          <w:sz w:val="20"/>
          <w:szCs w:val="20"/>
          <w:color w:val="auto"/>
        </w:rPr>
      </w:pPr>
      <w:r>
        <w:rPr>
          <w:rFonts w:ascii="Arial" w:cs="Arial" w:eastAsia="Arial" w:hAnsi="Arial"/>
          <w:sz w:val="19"/>
          <w:szCs w:val="19"/>
          <w:color w:val="auto"/>
        </w:rPr>
        <w:t>to resignation, removal or otherwise), the Member(s) entitled to designate and appoint such Director pursuant to this Section 6.03 shall designate and appoint a replacement for such Director by written notice to the Board of Directors (it being further understood and agreed that the failure by any party to designate and appoint a 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Section 6.03 is the exclusive means by which Directors may be removed or replaced.</w:t>
      </w:r>
    </w:p>
    <w:p>
      <w:pPr>
        <w:spacing w:after="0" w:line="157" w:lineRule="exact"/>
        <w:rPr>
          <w:sz w:val="20"/>
          <w:szCs w:val="20"/>
          <w:color w:val="auto"/>
        </w:rPr>
      </w:pPr>
    </w:p>
    <w:p>
      <w:pPr>
        <w:jc w:val="both"/>
        <w:ind w:firstLine="1305"/>
        <w:spacing w:after="0" w:line="262" w:lineRule="auto"/>
        <w:tabs>
          <w:tab w:leader="none" w:pos="1810"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93" w:lineRule="exact"/>
        <w:rPr>
          <w:rFonts w:ascii="Arial" w:cs="Arial" w:eastAsia="Arial" w:hAnsi="Arial"/>
          <w:sz w:val="22"/>
          <w:szCs w:val="22"/>
          <w:color w:val="010000"/>
        </w:rPr>
      </w:pPr>
    </w:p>
    <w:p>
      <w:pPr>
        <w:jc w:val="both"/>
        <w:ind w:firstLine="1305"/>
        <w:spacing w:after="0" w:line="309" w:lineRule="auto"/>
        <w:tabs>
          <w:tab w:leader="none" w:pos="1757"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151" w:lineRule="exact"/>
        <w:rPr>
          <w:rFonts w:ascii="Arial" w:cs="Arial" w:eastAsia="Arial" w:hAnsi="Arial"/>
          <w:sz w:val="19"/>
          <w:szCs w:val="19"/>
          <w:color w:val="010000"/>
        </w:rPr>
      </w:pPr>
    </w:p>
    <w:p>
      <w:pPr>
        <w:jc w:val="both"/>
        <w:ind w:firstLine="1305"/>
        <w:spacing w:after="0" w:line="272" w:lineRule="auto"/>
        <w:tabs>
          <w:tab w:leader="none" w:pos="1756"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Any A-2 Preferred Director or Common Director may authorize any other Director to act for such Director by proxy on any matter brought before the Board of Directors for a vote, which proxy may be granted orally or in writing by the applicable Director. Any such proxy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348" w:right="239" w:bottom="1440" w:gutter="0" w:footer="0" w:header="0"/>
        </w:sectPr>
      </w:pPr>
    </w:p>
    <w:bookmarkStart w:id="154" w:name="page155"/>
    <w:bookmarkEnd w:id="154"/>
    <w:p>
      <w:pPr>
        <w:spacing w:after="0" w:line="276" w:lineRule="auto"/>
        <w:rPr>
          <w:sz w:val="20"/>
          <w:szCs w:val="20"/>
          <w:color w:val="auto"/>
        </w:rPr>
      </w:pPr>
      <w:r>
        <w:rPr>
          <w:rFonts w:ascii="Arial" w:cs="Arial" w:eastAsia="Arial" w:hAnsi="Arial"/>
          <w:sz w:val="22"/>
          <w:szCs w:val="22"/>
          <w:color w:val="auto"/>
        </w:rPr>
        <w:t xml:space="preserve">shall be revocable at the pleasure of the Director granting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right to revocation shall not invalidate or otherwise affect actions taken under such proxy prior to such revocation.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(e)</w:t>
      </w:r>
    </w:p>
    <w:p>
      <w:pPr>
        <w:spacing w:after="0" w:line="247" w:lineRule="exact"/>
        <w:rPr>
          <w:sz w:val="20"/>
          <w:szCs w:val="20"/>
          <w:color w:val="auto"/>
        </w:rPr>
      </w:pPr>
    </w:p>
    <w:p>
      <w:pPr>
        <w:jc w:val="both"/>
        <w:ind w:left="1960" w:hanging="7"/>
        <w:spacing w:after="0" w:line="302" w:lineRule="auto"/>
        <w:tabs>
          <w:tab w:leader="none" w:pos="22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accordance with the NSA, solely with respect to any vacancy for the Security Director position, the Board of Directors shall nominate a candidate for the Security Director position and the Company shall seek the consent of both SoftBank and GM concerning such candidate. Any candidate so nominated by the Board of Directors shall satisfy the requirements set forth in the NSA, unless exempted or otherwise approved by the CFIUS Monitoring Agency. Subject to the prior consent of both SoftBank and GM concerning such candidate, the Company shall notify the CFIUS Monitoring Agency concerning such candidate in accordance with the NSA, and shall seek any exemptions or other approvals to the extent such candidate fails to meet all of the requirements set forth in the NSA. Without prejudice to any other rights set forth in the NSA, subject to the approval by the CFIUS Monitoring Agency or the deemed approval by the CFIUS Monitoring Agency for failing to object within the deadline set forth in the NSA, concerning such candidate, and only after following the nomination process set forth above, the GM Investor shall be entitled to designate and appoint such candidate as the Security Director by written notice to the Board of Directors.</w:t>
      </w:r>
    </w:p>
    <w:p>
      <w:pPr>
        <w:spacing w:after="0" w:line="158" w:lineRule="exact"/>
        <w:rPr>
          <w:rFonts w:ascii="Arial" w:cs="Arial" w:eastAsia="Arial" w:hAnsi="Arial"/>
          <w:sz w:val="19"/>
          <w:szCs w:val="19"/>
          <w:color w:val="auto"/>
        </w:rPr>
      </w:pPr>
    </w:p>
    <w:p>
      <w:pPr>
        <w:jc w:val="both"/>
        <w:ind w:left="1960" w:hanging="7"/>
        <w:spacing w:after="0" w:line="276" w:lineRule="auto"/>
        <w:tabs>
          <w:tab w:leader="none" w:pos="228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In accordance with the NSA, solely with respect to the removal of the Security Director, the Majority of the Members or the Board of Directors (including the Directors employed by Cruise) shall each be entitled to remove the Security Director, at any time and from time to time, with or without cause (subject to applicable law), in their respective sole discretion, and, in the case of the Majority of the Members, the GM Investor shall give written notice of such removal to the Board of Directors.</w:t>
      </w:r>
    </w:p>
    <w:p>
      <w:pPr>
        <w:spacing w:after="0" w:line="17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6.04 </w:t>
      </w:r>
      <w:r>
        <w:rPr>
          <w:rFonts w:ascii="Arial" w:cs="Arial" w:eastAsia="Arial" w:hAnsi="Arial"/>
          <w:sz w:val="19"/>
          <w:szCs w:val="19"/>
          <w:b w:val="1"/>
          <w:bCs w:val="1"/>
          <w:u w:val="single" w:color="auto"/>
          <w:color w:val="auto"/>
        </w:rPr>
        <w:t>Board Observer</w:t>
      </w:r>
      <w:r>
        <w:rPr>
          <w:rFonts w:ascii="Arial" w:cs="Arial" w:eastAsia="Arial" w:hAnsi="Arial"/>
          <w:sz w:val="19"/>
          <w:szCs w:val="19"/>
          <w:color w:val="auto"/>
        </w:rPr>
        <w:t>. Following the receipt of SoftBank CFIUS Approval and subject to Section 6.05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set forth in the NSA, SoftBank shall have the exclusive right, for so long as SoftBank owns the SoftBank Floor Amount, to designate one natural person to attend all meetings of the Board of Directors in a non-voting observer capacity (the “</w:t>
      </w:r>
      <w:r>
        <w:rPr>
          <w:rFonts w:ascii="Arial" w:cs="Arial" w:eastAsia="Arial" w:hAnsi="Arial"/>
          <w:sz w:val="19"/>
          <w:szCs w:val="19"/>
          <w:b w:val="1"/>
          <w:bCs w:val="1"/>
          <w:color w:val="auto"/>
        </w:rPr>
        <w:t>SoftBank Board Observer</w:t>
      </w:r>
      <w:r>
        <w:rPr>
          <w:rFonts w:ascii="Arial" w:cs="Arial" w:eastAsia="Arial" w:hAnsi="Arial"/>
          <w:sz w:val="19"/>
          <w:szCs w:val="19"/>
          <w:color w:val="auto"/>
        </w:rPr>
        <w:t>”). Following the receipt of Honda CFIUS Approval and subject to Section 6.05, Honda shall have the exclusive right, for so long as Honda owns the Honda Floor Amount, to designate one natural person to attend all meetings of the Board of Directors in a non-voting observer capacity (the “</w:t>
      </w:r>
      <w:r>
        <w:rPr>
          <w:rFonts w:ascii="Arial" w:cs="Arial" w:eastAsia="Arial" w:hAnsi="Arial"/>
          <w:sz w:val="19"/>
          <w:szCs w:val="19"/>
          <w:b w:val="1"/>
          <w:bCs w:val="1"/>
          <w:color w:val="auto"/>
        </w:rPr>
        <w:t>Honda Board Observer</w:t>
      </w:r>
      <w:r>
        <w:rPr>
          <w:rFonts w:ascii="Arial" w:cs="Arial" w:eastAsia="Arial" w:hAnsi="Arial"/>
          <w:sz w:val="19"/>
          <w:szCs w:val="19"/>
          <w:color w:val="auto"/>
        </w:rPr>
        <w:t>”, and together with the SoftBank Board Observer, the “</w:t>
      </w:r>
      <w:r>
        <w:rPr>
          <w:rFonts w:ascii="Arial" w:cs="Arial" w:eastAsia="Arial" w:hAnsi="Arial"/>
          <w:sz w:val="19"/>
          <w:szCs w:val="19"/>
          <w:b w:val="1"/>
          <w:bCs w:val="1"/>
          <w:color w:val="auto"/>
        </w:rPr>
        <w:t>Board Observers</w:t>
      </w:r>
      <w:r>
        <w:rPr>
          <w:rFonts w:ascii="Arial" w:cs="Arial" w:eastAsia="Arial" w:hAnsi="Arial"/>
          <w:sz w:val="19"/>
          <w:szCs w:val="19"/>
          <w:color w:val="auto"/>
        </w:rPr>
        <w:t>”). The following terms and conditions will apply to the Board Observers: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348" w:right="239" w:bottom="1440" w:gutter="0" w:footer="0" w:header="0"/>
        </w:sectPr>
      </w:pPr>
    </w:p>
    <w:bookmarkStart w:id="155" w:name="page156"/>
    <w:bookmarkEnd w:id="155"/>
    <w:p>
      <w:pPr>
        <w:jc w:val="both"/>
        <w:ind w:firstLine="1305"/>
        <w:spacing w:after="0" w:line="307" w:lineRule="auto"/>
        <w:tabs>
          <w:tab w:leader="none" w:pos="1730"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 xml:space="preserve">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and (ii) the Honda Board Observer copies of all reports, notices, minutes, consents, actions taken or proposed to be taken without a meeting and other materials in each case (and to the extent) that the Company provides the same to the Board of Directors, subject to the restrictions set forth in Section 6.14, each such delivery to be made concurrently with the delivery of such materials to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deliver any such notice or materials to any Board Observer shall not impair the validity of any action taken by the Board of Directors;</w:t>
      </w:r>
    </w:p>
    <w:p>
      <w:pPr>
        <w:spacing w:after="0" w:line="154" w:lineRule="exact"/>
        <w:rPr>
          <w:rFonts w:ascii="Arial" w:cs="Arial" w:eastAsia="Arial" w:hAnsi="Arial"/>
          <w:sz w:val="19"/>
          <w:szCs w:val="19"/>
          <w:color w:val="010000"/>
        </w:rPr>
      </w:pPr>
    </w:p>
    <w:p>
      <w:pPr>
        <w:jc w:val="both"/>
        <w:ind w:firstLine="1305"/>
        <w:spacing w:after="0" w:line="261" w:lineRule="auto"/>
        <w:tabs>
          <w:tab w:leader="none" w:pos="1728"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and (ii) the Honda Board Observer may be excluded from access to any portion of any meeting to the extent that matters with respect to which Honda Competitively Sensitive Information is shared, presented or discussed;</w:t>
      </w:r>
    </w:p>
    <w:p>
      <w:pPr>
        <w:spacing w:after="0" w:line="189" w:lineRule="exact"/>
        <w:rPr>
          <w:rFonts w:ascii="Arial" w:cs="Arial" w:eastAsia="Arial" w:hAnsi="Arial"/>
          <w:sz w:val="22"/>
          <w:szCs w:val="22"/>
          <w:color w:val="010000"/>
        </w:rPr>
      </w:pPr>
    </w:p>
    <w:p>
      <w:pPr>
        <w:jc w:val="both"/>
        <w:ind w:firstLine="1305"/>
        <w:spacing w:after="0" w:line="334" w:lineRule="auto"/>
        <w:tabs>
          <w:tab w:leader="none" w:pos="1770"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27" w:lineRule="exact"/>
        <w:rPr>
          <w:rFonts w:ascii="Arial" w:cs="Arial" w:eastAsia="Arial" w:hAnsi="Arial"/>
          <w:sz w:val="19"/>
          <w:szCs w:val="19"/>
          <w:color w:val="010000"/>
        </w:rPr>
      </w:pPr>
    </w:p>
    <w:p>
      <w:pPr>
        <w:ind w:firstLine="1305"/>
        <w:spacing w:after="0" w:line="289" w:lineRule="auto"/>
        <w:tabs>
          <w:tab w:leader="none" w:pos="1837"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subject to Section 6.04(f), SoftBank has the right to remove and replace or substitute the SoftBank Board Observer from time to time by providing written notice to the Company;</w:t>
      </w:r>
    </w:p>
    <w:p>
      <w:pPr>
        <w:spacing w:after="0" w:line="160" w:lineRule="exact"/>
        <w:rPr>
          <w:rFonts w:ascii="Arial" w:cs="Arial" w:eastAsia="Arial" w:hAnsi="Arial"/>
          <w:sz w:val="22"/>
          <w:szCs w:val="22"/>
          <w:color w:val="010000"/>
        </w:rPr>
      </w:pPr>
    </w:p>
    <w:p>
      <w:pPr>
        <w:ind w:firstLine="1305"/>
        <w:spacing w:after="0" w:line="289" w:lineRule="auto"/>
        <w:tabs>
          <w:tab w:leader="none" w:pos="1743"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subject to Section 6.04(g), Honda has the right to remove and replace or substitute the Honda Board Observer from time to time by providing written notice to the Company;</w:t>
      </w:r>
    </w:p>
    <w:p>
      <w:pPr>
        <w:spacing w:after="0" w:line="160" w:lineRule="exact"/>
        <w:rPr>
          <w:rFonts w:ascii="Arial" w:cs="Arial" w:eastAsia="Arial" w:hAnsi="Arial"/>
          <w:sz w:val="22"/>
          <w:szCs w:val="22"/>
          <w:color w:val="010000"/>
        </w:rPr>
      </w:pPr>
    </w:p>
    <w:p>
      <w:pPr>
        <w:jc w:val="both"/>
        <w:ind w:firstLine="1305"/>
        <w:spacing w:after="0" w:line="291" w:lineRule="auto"/>
        <w:tabs>
          <w:tab w:leader="none" w:pos="1706" w:val="left"/>
        </w:tabs>
        <w:numPr>
          <w:ilvl w:val="0"/>
          <w:numId w:val="102"/>
        </w:numPr>
        <w:rPr>
          <w:rFonts w:ascii="Arial" w:cs="Arial" w:eastAsia="Arial" w:hAnsi="Arial"/>
          <w:sz w:val="21"/>
          <w:szCs w:val="21"/>
          <w:color w:val="010000"/>
        </w:rPr>
      </w:pPr>
      <w:r>
        <w:rPr>
          <w:rFonts w:ascii="Arial" w:cs="Arial" w:eastAsia="Arial" w:hAnsi="Arial"/>
          <w:sz w:val="21"/>
          <w:szCs w:val="21"/>
          <w:color w:val="auto"/>
        </w:rPr>
        <w:t>upon such time as SoftBank owns less than the SoftBank Floor Amount, the SoftBank Board Observer shall be automatically removed and shall cease to have any of the rights contemplated by this Section 6.04, and the right of SoftBank to designate, appoint, remove and replace the SoftBank Board Observer shall be null and void;</w:t>
      </w:r>
    </w:p>
    <w:p>
      <w:pPr>
        <w:spacing w:after="0" w:line="161" w:lineRule="exact"/>
        <w:rPr>
          <w:rFonts w:ascii="Arial" w:cs="Arial" w:eastAsia="Arial" w:hAnsi="Arial"/>
          <w:sz w:val="21"/>
          <w:szCs w:val="21"/>
          <w:color w:val="010000"/>
        </w:rPr>
      </w:pPr>
    </w:p>
    <w:p>
      <w:pPr>
        <w:ind w:firstLine="1305"/>
        <w:spacing w:after="0" w:line="289" w:lineRule="auto"/>
        <w:tabs>
          <w:tab w:leader="none" w:pos="1877"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upon such time as Honda owns less than the Honda Floor Amount, the Honda Board Observer shall be automatically removed and shall cease to have any of the rights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348" w:right="239" w:bottom="1440" w:gutter="0" w:footer="0" w:header="0"/>
        </w:sectPr>
      </w:pPr>
    </w:p>
    <w:bookmarkStart w:id="156" w:name="page157"/>
    <w:bookmarkEnd w:id="156"/>
    <w:p>
      <w:pPr>
        <w:ind w:right="20"/>
        <w:spacing w:after="0" w:line="276" w:lineRule="auto"/>
        <w:rPr>
          <w:sz w:val="20"/>
          <w:szCs w:val="20"/>
          <w:color w:val="auto"/>
        </w:rPr>
      </w:pPr>
      <w:r>
        <w:rPr>
          <w:rFonts w:ascii="Arial" w:cs="Arial" w:eastAsia="Arial" w:hAnsi="Arial"/>
          <w:sz w:val="22"/>
          <w:szCs w:val="22"/>
          <w:color w:val="auto"/>
        </w:rPr>
        <w:t>contemplated by this Section 6.04, and the right of Honda to designate, appoint, remove and replace the Honda Board Observer shall be null and void; and</w:t>
      </w:r>
    </w:p>
    <w:p>
      <w:pPr>
        <w:spacing w:after="0" w:line="174" w:lineRule="exact"/>
        <w:rPr>
          <w:sz w:val="20"/>
          <w:szCs w:val="20"/>
          <w:color w:val="auto"/>
        </w:rPr>
      </w:pPr>
    </w:p>
    <w:p>
      <w:pPr>
        <w:ind w:firstLine="1305"/>
        <w:spacing w:after="0" w:line="289" w:lineRule="auto"/>
        <w:tabs>
          <w:tab w:leader="none" w:pos="1769"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prior to appointment, the Board Observers will each enter into a confidentiality agreement with the Company, on terms mutually acceptable to the Board of Directors and the Board Observers.</w:t>
      </w:r>
    </w:p>
    <w:p>
      <w:pPr>
        <w:spacing w:after="0" w:line="15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6.05 </w:t>
      </w:r>
      <w:r>
        <w:rPr>
          <w:rFonts w:ascii="Arial" w:cs="Arial" w:eastAsia="Arial" w:hAnsi="Arial"/>
          <w:sz w:val="19"/>
          <w:szCs w:val="19"/>
          <w:b w:val="1"/>
          <w:bCs w:val="1"/>
          <w:u w:val="single" w:color="auto"/>
          <w:color w:val="auto"/>
        </w:rPr>
        <w:t>Director Appointee Screening</w:t>
      </w:r>
      <w:r>
        <w:rPr>
          <w:rFonts w:ascii="Arial" w:cs="Arial" w:eastAsia="Arial" w:hAnsi="Arial"/>
          <w:sz w:val="19"/>
          <w:szCs w:val="19"/>
          <w:color w:val="auto"/>
        </w:rPr>
        <w:t>. Unless otherwise agreed in writing by SoftBank and the GM Investor in the case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SoftBank Director and SoftBank Board Observer, or Honda and the GM Investor in the case of the Honda Board Observer, each Person selected pursuant to Section 6.03(a) from time to time to serve as the SoftBank Director or a Board Observer (a) (i) in the case of the Softbank Director or Softbank Board Observer must be a U.S. citizen and (ii) in the case of the Honda Board Observer must be a U.S. or Japanese citizen; (b) (i) in the case of the SoftBank Director or SoftBank Board Observer, must not be (A) an employee, director (or board observer), manager, officer or consultant of any SoftBank Restricted Person or (B) a Person who has direct or indirect control, influence or management oversight of Persons who are employees, directors (or board observer), managers, officers or consultants of a SoftBank Restricted Person and (ii) in the case of the Honda Board Observer, must not be (A) an employee of or a consultant of Honda R&amp;D Co., Ltd. (“</w:t>
      </w:r>
      <w:r>
        <w:rPr>
          <w:rFonts w:ascii="Arial" w:cs="Arial" w:eastAsia="Arial" w:hAnsi="Arial"/>
          <w:sz w:val="19"/>
          <w:szCs w:val="19"/>
          <w:b w:val="1"/>
          <w:bCs w:val="1"/>
          <w:color w:val="auto"/>
        </w:rPr>
        <w:t>Honda R&amp;D Co</w:t>
      </w:r>
      <w:r>
        <w:rPr>
          <w:rFonts w:ascii="Arial" w:cs="Arial" w:eastAsia="Arial" w:hAnsi="Arial"/>
          <w:sz w:val="19"/>
          <w:szCs w:val="19"/>
          <w:color w:val="auto"/>
        </w:rPr>
        <w:t>”) or any successor thereof or (B) have direct or indirect control, influence or management oversight of employees, directors, managers, officers or consultants of Honda R&amp;D Co or any successor thereof; (c) in the case of the SoftBank Director or SoftBank Board Observer, must not be a member of any investment committee (or similar body) of any Person whose other members include one or more Persons that are described in subsection (b)(i); (d) must not (i) be a “bad actor” as defined in Rule 506(d)(1) of the Securities Act or (ii) have been convicted of a felony (excluding driving under the influence) or any crime involving moral turpitude; and (e) shall be subject to the prior written approval of the Majority of the Class A-2 Preferred. If any nominee for the position of SoftBank Director or either of the Board Observers is rejected by the Majority of the Class A-2 Preferred, such Person shall not be nominated or appointed as a Director or either Board Observer, as applicable. If, at any time following the appointment of any SoftBank Director or any Board Observer, the Majority of the Class A-2 Preferred believes that such SoftBank Director or Board Observer no longer satisfies the applicable criteria described in clauses (a) through (d) above, the Majority of the Class A-2 Preferred may deliver written notice thereof to the Majority of the Class A-1 Preferred in the case of the SoftBank Director or SoftBank Board Observer or Honda, in the case of the Honda Board Observer and the Board of Directors in any case. If, following reasonable consultation with SoftBank or Honda, as applicable, the Board of Directors determines that such criteria are not met, such SoftBank Director or Board Observer (as applicable) will be deemed automatically removed, without recourse, as a Director or Board Observer (as applicable) and SoftBank or Honda, as applicable, shall have the right to fill the resulting vacancy as contemplated by Section 6.03 and Section 6.04 but subject to this Section 6.05. If no Class A-2 Preferred Shares are outstanding, references in this Section 6.05 to a Majority of the Class A-2 Preferred will be deemed to be to a Majority of the Class C Common.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348" w:right="239" w:bottom="1440" w:gutter="0" w:footer="0" w:header="0"/>
        </w:sectPr>
      </w:pPr>
    </w:p>
    <w:bookmarkStart w:id="157" w:name="page158"/>
    <w:bookmarkEnd w:id="157"/>
    <w:p>
      <w:pPr>
        <w:jc w:val="both"/>
        <w:ind w:firstLine="648"/>
        <w:spacing w:after="0" w:line="379" w:lineRule="auto"/>
        <w:rPr>
          <w:sz w:val="20"/>
          <w:szCs w:val="20"/>
          <w:color w:val="auto"/>
        </w:rPr>
      </w:pPr>
      <w:r>
        <w:rPr>
          <w:rFonts w:ascii="Arial" w:cs="Arial" w:eastAsia="Arial" w:hAnsi="Arial"/>
          <w:sz w:val="19"/>
          <w:szCs w:val="19"/>
          <w:b w:val="1"/>
          <w:bCs w:val="1"/>
          <w:color w:val="auto"/>
        </w:rPr>
        <w:t xml:space="preserve">6.06 </w:t>
      </w:r>
      <w:r>
        <w:rPr>
          <w:rFonts w:ascii="Arial" w:cs="Arial" w:eastAsia="Arial" w:hAnsi="Arial"/>
          <w:sz w:val="19"/>
          <w:szCs w:val="19"/>
          <w:b w:val="1"/>
          <w:bCs w:val="1"/>
          <w:u w:val="single" w:color="auto"/>
          <w:color w:val="auto"/>
        </w:rPr>
        <w:t>Tenure of Directors</w:t>
      </w:r>
      <w:r>
        <w:rPr>
          <w:rFonts w:ascii="Arial" w:cs="Arial" w:eastAsia="Arial" w:hAnsi="Arial"/>
          <w:sz w:val="19"/>
          <w:szCs w:val="19"/>
          <w:color w:val="auto"/>
        </w:rPr>
        <w:t>. Each Director shall hold office until the earliest of such Person’s death, resignation, removal or</w:t>
      </w:r>
      <w:r>
        <w:rPr>
          <w:rFonts w:ascii="Arial" w:cs="Arial" w:eastAsia="Arial" w:hAnsi="Arial"/>
          <w:sz w:val="19"/>
          <w:szCs w:val="19"/>
          <w:b w:val="1"/>
          <w:bCs w:val="1"/>
          <w:color w:val="auto"/>
        </w:rPr>
        <w:t xml:space="preserve"> </w:t>
      </w:r>
      <w:r>
        <w:rPr>
          <w:rFonts w:ascii="Arial" w:cs="Arial" w:eastAsia="Arial" w:hAnsi="Arial"/>
          <w:sz w:val="19"/>
          <w:szCs w:val="19"/>
          <w:color w:val="auto"/>
        </w:rPr>
        <w:t>replacement (or, in the case of the SoftBank Director, such time as SoftBank owns less than the SoftBank Floor Amount).</w:t>
      </w:r>
    </w:p>
    <w:p>
      <w:pPr>
        <w:spacing w:after="0" w:line="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6.07 </w:t>
      </w:r>
      <w:r>
        <w:rPr>
          <w:rFonts w:ascii="Arial" w:cs="Arial" w:eastAsia="Arial" w:hAnsi="Arial"/>
          <w:sz w:val="19"/>
          <w:szCs w:val="19"/>
          <w:b w:val="1"/>
          <w:bCs w:val="1"/>
          <w:u w:val="single" w:color="auto"/>
          <w:color w:val="auto"/>
        </w:rPr>
        <w:t>Committees</w:t>
      </w:r>
      <w:r>
        <w:rPr>
          <w:rFonts w:ascii="Arial" w:cs="Arial" w:eastAsia="Arial" w:hAnsi="Arial"/>
          <w:sz w:val="19"/>
          <w:szCs w:val="19"/>
          <w:color w:val="auto"/>
        </w:rPr>
        <w:t>. The Board of Directors may establish one or more committees, each committee to consist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Article VI (including quorum, voting, notice and other similar requirements), unless otherwise determined by the Board of Directors or the applicable committee (by a vote of a Majority of a Committee).</w:t>
      </w:r>
    </w:p>
    <w:p>
      <w:pPr>
        <w:spacing w:after="0" w:line="14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b w:val="1"/>
          <w:bCs w:val="1"/>
          <w:color w:val="auto"/>
        </w:rPr>
        <w:t xml:space="preserve">6.08 </w:t>
      </w:r>
      <w:r>
        <w:rPr>
          <w:rFonts w:ascii="Arial" w:cs="Arial" w:eastAsia="Arial" w:hAnsi="Arial"/>
          <w:sz w:val="19"/>
          <w:szCs w:val="19"/>
          <w:b w:val="1"/>
          <w:bCs w:val="1"/>
          <w:u w:val="single" w:color="auto"/>
          <w:color w:val="auto"/>
        </w:rPr>
        <w:t>Director Compensation</w:t>
      </w:r>
      <w:r>
        <w:rPr>
          <w:rFonts w:ascii="Arial" w:cs="Arial" w:eastAsia="Arial" w:hAnsi="Arial"/>
          <w:sz w:val="19"/>
          <w:szCs w:val="19"/>
          <w:color w:val="auto"/>
        </w:rPr>
        <w:t>. Except for any compensation approved by the Board of Directors for the Security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no Director shall be entitled to compensation for acting as a Director. However, the 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 notice to the Board of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 In the event of an actual or planned resignation by the Security Director, the CFIUS Monitoring Agency shall be notified in accordance with the NSA.</w:t>
      </w:r>
    </w:p>
    <w:p>
      <w:pPr>
        <w:spacing w:after="0" w:line="17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b w:val="1"/>
          <w:bCs w:val="1"/>
          <w:u w:val="single" w:color="auto"/>
          <w:color w:val="auto"/>
        </w:rPr>
        <w:t>Vacancies</w:t>
      </w:r>
      <w:r>
        <w:rPr>
          <w:rFonts w:ascii="Arial" w:cs="Arial" w:eastAsia="Arial" w:hAnsi="Arial"/>
          <w:sz w:val="19"/>
          <w:szCs w:val="19"/>
          <w:color w:val="auto"/>
        </w:rPr>
        <w:t>. When any Director shall resign or otherwise cease to serve as Director, such vacancy shall be filled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6.03. Unless otherwise provided by the Member(s) entitled to designate such replacement Director, the replacement shall take effect when such resignation or cessation shall become effective. No vacancy on the Board of Directors shall prevent the operation and functioning of the Board of Directors subject to the terms and conditions hereof.</w:t>
      </w:r>
    </w:p>
    <w:p>
      <w:pPr>
        <w:spacing w:after="0" w:line="13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1"/>
          <w:szCs w:val="21"/>
          <w:b w:val="1"/>
          <w:bCs w:val="1"/>
          <w:color w:val="auto"/>
        </w:rPr>
        <w:t xml:space="preserve">6.11 </w:t>
      </w:r>
      <w:r>
        <w:rPr>
          <w:rFonts w:ascii="Arial" w:cs="Arial" w:eastAsia="Arial" w:hAnsi="Arial"/>
          <w:sz w:val="21"/>
          <w:szCs w:val="21"/>
          <w:b w:val="1"/>
          <w:bCs w:val="1"/>
          <w:u w:val="single" w:color="auto"/>
          <w:color w:val="auto"/>
        </w:rPr>
        <w:t>Meetings</w:t>
      </w:r>
      <w:r>
        <w:rPr>
          <w:rFonts w:ascii="Arial" w:cs="Arial" w:eastAsia="Arial" w:hAnsi="Arial"/>
          <w:sz w:val="21"/>
          <w:szCs w:val="21"/>
          <w:color w:val="auto"/>
        </w:rPr>
        <w:t>. The Board of Directors shall meet at such times and at such places (either within or outside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342" w:right="239" w:bottom="1440" w:gutter="0" w:footer="0" w:header="0"/>
        </w:sectPr>
      </w:pPr>
    </w:p>
    <w:bookmarkStart w:id="158" w:name="page159"/>
    <w:bookmarkEnd w:id="158"/>
    <w:p>
      <w:pPr>
        <w:jc w:val="both"/>
        <w:spacing w:after="0" w:line="301" w:lineRule="auto"/>
        <w:rPr>
          <w:sz w:val="20"/>
          <w:szCs w:val="20"/>
          <w:color w:val="auto"/>
        </w:rPr>
      </w:pPr>
      <w:r>
        <w:rPr>
          <w:rFonts w:ascii="Arial" w:cs="Arial" w:eastAsia="Arial" w:hAnsi="Arial"/>
          <w:sz w:val="19"/>
          <w:szCs w:val="19"/>
          <w:color w:val="auto"/>
        </w:rPr>
        <w:t xml:space="preserve">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and the Honda Board Observer. Meetings of the Board of Directors shall be held on the call of the Chairman, the Board of Directors or at the request of either the Majority of the Class A-2 Preferred or a Majority of the Class C Common upon at least three (3) Business Days written notice to the Directors and the SoftBank Board Observer (only in the event that the SoftBank Director is not serving on the Board of Directors) and the Honda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Arial" w:cs="Arial" w:eastAsia="Arial" w:hAnsi="Arial"/>
          <w:sz w:val="19"/>
          <w:szCs w:val="19"/>
          <w:u w:val="single" w:color="auto"/>
          <w:color w:val="auto"/>
        </w:rPr>
        <w:t>Emergency Meeting</w:t>
      </w:r>
      <w:r>
        <w:rPr>
          <w:rFonts w:ascii="Arial" w:cs="Arial" w:eastAsia="Arial" w:hAnsi="Arial"/>
          <w:sz w:val="19"/>
          <w:szCs w:val="19"/>
          <w:color w:val="auto"/>
        </w:rPr>
        <w:t>”), and presence of any Director at a meeting constitutes waiver of notice of such meeting except as otherwise provided by law. Any resolutions passed at an Emergency Meeting shall be provided as promptly as reasonably practicable by the Company to the SoftBank Board Observer (only in the event that the SoftBank Director is not serving on the Board of Directors) and the Honda Board Observer.</w:t>
      </w:r>
    </w:p>
    <w:p>
      <w:pPr>
        <w:spacing w:after="0" w:line="151"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Meetings by Telephone</w:t>
      </w:r>
      <w:r>
        <w:rPr>
          <w:rFonts w:ascii="Arial" w:cs="Arial" w:eastAsia="Arial" w:hAnsi="Arial"/>
          <w:sz w:val="19"/>
          <w:szCs w:val="19"/>
          <w:color w:val="auto"/>
        </w:rPr>
        <w:t>. Directors may participate in a meeting of the Board of Directors or a committee thereof by</w:t>
      </w:r>
      <w:r>
        <w:rPr>
          <w:rFonts w:ascii="Arial" w:cs="Arial" w:eastAsia="Arial" w:hAnsi="Arial"/>
          <w:sz w:val="19"/>
          <w:szCs w:val="19"/>
          <w:b w:val="1"/>
          <w:bCs w:val="1"/>
          <w:color w:val="auto"/>
        </w:rPr>
        <w:t xml:space="preserve"> </w:t>
      </w:r>
      <w:r>
        <w:rPr>
          <w:rFonts w:ascii="Arial" w:cs="Arial" w:eastAsia="Arial" w:hAnsi="Arial"/>
          <w:sz w:val="19"/>
          <w:szCs w:val="19"/>
          <w:color w:val="auto"/>
        </w:rPr>
        <w:t>means of conference telephone, videoconference or similar communications equipment by which all Persons participating in the meeting can hear each other at the same time. Such participation shall constitute presence in person at the meeting.</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6.13 </w:t>
      </w:r>
      <w:r>
        <w:rPr>
          <w:rFonts w:ascii="Arial" w:cs="Arial" w:eastAsia="Arial" w:hAnsi="Arial"/>
          <w:sz w:val="21"/>
          <w:szCs w:val="21"/>
          <w:b w:val="1"/>
          <w:bCs w:val="1"/>
          <w:u w:val="single" w:color="auto"/>
          <w:color w:val="auto"/>
        </w:rPr>
        <w:t>Quorum; Actions of Board of Directors; SoftBank Minority Consent Rights</w:t>
      </w:r>
      <w:r>
        <w:rPr>
          <w:rFonts w:ascii="Arial" w:cs="Arial" w:eastAsia="Arial" w:hAnsi="Arial"/>
          <w:sz w:val="21"/>
          <w:szCs w:val="21"/>
          <w:color w:val="auto"/>
        </w:rPr>
        <w:t>. A quorum at all meetings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Except as otherwise set forth in Section 6.16, each Director shall have one (1) vote on all matters submitted to the Board of Directors (whether the consideration of such matter is taken at a meeting, by written consent or otherwise). The vote of (or written consent signed by) a Majority of the Board shall be required for any action, decision or approval by the Board of Directors; </w:t>
      </w:r>
      <w:r>
        <w:rPr>
          <w:rFonts w:ascii="Arial" w:cs="Arial" w:eastAsia="Arial" w:hAnsi="Arial"/>
          <w:sz w:val="21"/>
          <w:szCs w:val="21"/>
          <w:u w:val="single" w:color="auto"/>
          <w:color w:val="auto"/>
        </w:rPr>
        <w:t>provided</w:t>
      </w:r>
      <w:r>
        <w:rPr>
          <w:rFonts w:ascii="Arial" w:cs="Arial" w:eastAsia="Arial" w:hAnsi="Arial"/>
          <w:sz w:val="21"/>
          <w:szCs w:val="21"/>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348" w:right="239" w:bottom="1440" w:gutter="0" w:footer="0" w:header="0"/>
        </w:sectPr>
      </w:pPr>
    </w:p>
    <w:bookmarkStart w:id="159" w:name="page160"/>
    <w:bookmarkEnd w:id="159"/>
    <w:p>
      <w:pPr>
        <w:jc w:val="both"/>
        <w:ind w:firstLine="1305"/>
        <w:spacing w:after="0" w:line="303" w:lineRule="auto"/>
        <w:tabs>
          <w:tab w:leader="none" w:pos="1878"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155" w:lineRule="exact"/>
        <w:rPr>
          <w:rFonts w:ascii="Arial" w:cs="Arial" w:eastAsia="Arial" w:hAnsi="Arial"/>
          <w:sz w:val="19"/>
          <w:szCs w:val="19"/>
          <w:color w:val="010000"/>
        </w:rPr>
      </w:pPr>
    </w:p>
    <w:p>
      <w:pPr>
        <w:jc w:val="both"/>
        <w:ind w:firstLine="1305"/>
        <w:spacing w:after="0" w:line="303" w:lineRule="auto"/>
        <w:tabs>
          <w:tab w:leader="none" w:pos="2012"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 xml:space="preserve">without prejudice to Sections 5.08(b)(i)(B), 5.08(b)(i)(C) and 5.08(b)(ii),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the same may be amended from time to time in accordance with the provisions thereof), or which is otherwise on terms consistent with the Commercial Agreements; or (iii) providing for the issuance of Equity Securities pursuant to Section 2.06;</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firstLine="1305"/>
        <w:spacing w:after="0" w:line="264" w:lineRule="auto"/>
        <w:tabs>
          <w:tab w:leader="none" w:pos="1730"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rights of the Class A-1 Preferred Shares in Sections 3.01(b)(i) or 3.02(a)(i) (the “</w:t>
      </w:r>
      <w:r>
        <w:rPr>
          <w:rFonts w:ascii="Arial" w:cs="Arial" w:eastAsia="Arial" w:hAnsi="Arial"/>
          <w:sz w:val="22"/>
          <w:szCs w:val="22"/>
          <w:b w:val="1"/>
          <w:bCs w:val="1"/>
          <w:color w:val="auto"/>
        </w:rPr>
        <w:t>Par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this subsection (ii) will not apply to (A) the Class F Preferred Shares issued to the Class F Preferred Members pursuant to the Class F Purchase Agreement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348" w:right="239" w:bottom="1440" w:gutter="0" w:footer="0" w:header="0"/>
        </w:sectPr>
      </w:pPr>
    </w:p>
    <w:bookmarkStart w:id="160" w:name="page161"/>
    <w:bookmarkEnd w:id="160"/>
    <w:p>
      <w:pPr>
        <w:ind w:firstLine="8"/>
        <w:spacing w:after="0" w:line="276" w:lineRule="auto"/>
        <w:tabs>
          <w:tab w:leader="none" w:pos="37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first $1,000,000,000 of new Par Securities issued in addition to the Class F Preferred Shares (with such amount being calculated based on the consideration paid by the recipient(s) of such Par Securities); or</w:t>
      </w:r>
    </w:p>
    <w:p>
      <w:pPr>
        <w:spacing w:after="0" w:line="174" w:lineRule="exact"/>
        <w:rPr>
          <w:rFonts w:ascii="Arial" w:cs="Arial" w:eastAsia="Arial" w:hAnsi="Arial"/>
          <w:sz w:val="22"/>
          <w:szCs w:val="22"/>
          <w:color w:val="auto"/>
        </w:rPr>
      </w:pPr>
    </w:p>
    <w:p>
      <w:pPr>
        <w:jc w:val="both"/>
        <w:ind w:firstLine="1305"/>
        <w:spacing w:after="0" w:line="280" w:lineRule="auto"/>
        <w:tabs>
          <w:tab w:leader="none" w:pos="1796" w:val="left"/>
        </w:tabs>
        <w:numPr>
          <w:ilvl w:val="1"/>
          <w:numId w:val="105"/>
        </w:numPr>
        <w:rPr>
          <w:rFonts w:ascii="Arial" w:cs="Arial" w:eastAsia="Arial" w:hAnsi="Arial"/>
          <w:sz w:val="21"/>
          <w:szCs w:val="21"/>
          <w:color w:val="010000"/>
        </w:rPr>
      </w:pPr>
      <w:r>
        <w:rPr>
          <w:rFonts w:ascii="Arial" w:cs="Arial" w:eastAsia="Arial" w:hAnsi="Arial"/>
          <w:sz w:val="21"/>
          <w:szCs w:val="21"/>
          <w:color w:val="auto"/>
        </w:rPr>
        <w:t>consummate an IPO, prior to June 28, 2021, pursuant to which Class A-1 Preferred Members would receive Low-Vote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21"/>
          <w:szCs w:val="21"/>
          <w:b w:val="1"/>
          <w:bCs w:val="1"/>
          <w:color w:val="auto"/>
        </w:rPr>
        <w:t>IPO</w:t>
      </w:r>
      <w:r>
        <w:rPr>
          <w:rFonts w:ascii="Arial" w:cs="Arial" w:eastAsia="Arial" w:hAnsi="Arial"/>
          <w:sz w:val="21"/>
          <w:szCs w:val="21"/>
          <w:color w:val="auto"/>
        </w:rPr>
        <w:t xml:space="preserve"> </w:t>
      </w:r>
      <w:r>
        <w:rPr>
          <w:rFonts w:ascii="Arial" w:cs="Arial" w:eastAsia="Arial" w:hAnsi="Arial"/>
          <w:sz w:val="21"/>
          <w:szCs w:val="21"/>
          <w:b w:val="1"/>
          <w:bCs w:val="1"/>
          <w:color w:val="auto"/>
        </w:rPr>
        <w:t>Shortfall</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6.13(d) will not apply if:</w:t>
      </w:r>
    </w:p>
    <w:p>
      <w:pPr>
        <w:spacing w:after="0" w:line="171" w:lineRule="exact"/>
        <w:rPr>
          <w:rFonts w:ascii="Arial" w:cs="Arial" w:eastAsia="Arial" w:hAnsi="Arial"/>
          <w:sz w:val="21"/>
          <w:szCs w:val="21"/>
          <w:color w:val="010000"/>
        </w:rPr>
      </w:pPr>
    </w:p>
    <w:p>
      <w:pPr>
        <w:jc w:val="both"/>
        <w:ind w:firstLine="1953"/>
        <w:spacing w:after="0" w:line="322" w:lineRule="auto"/>
        <w:tabs>
          <w:tab w:leader="none" w:pos="2423" w:val="left"/>
        </w:tabs>
        <w:numPr>
          <w:ilvl w:val="2"/>
          <w:numId w:val="105"/>
        </w:numPr>
        <w:rPr>
          <w:rFonts w:ascii="Arial" w:cs="Arial" w:eastAsia="Arial" w:hAnsi="Arial"/>
          <w:sz w:val="19"/>
          <w:szCs w:val="19"/>
          <w:color w:val="010000"/>
        </w:rPr>
      </w:pPr>
      <w:r>
        <w:rPr>
          <w:rFonts w:ascii="Arial" w:cs="Arial" w:eastAsia="Arial" w:hAnsi="Arial"/>
          <w:sz w:val="19"/>
          <w:szCs w:val="19"/>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Low-Vote IPO Shares and/or cash equal to the aggregate IPO Shortfall that would be suffered by such Class A-1 Preferred Member; or</w:t>
      </w:r>
    </w:p>
    <w:p>
      <w:pPr>
        <w:spacing w:after="0" w:line="137" w:lineRule="exact"/>
        <w:rPr>
          <w:rFonts w:ascii="Arial" w:cs="Arial" w:eastAsia="Arial" w:hAnsi="Arial"/>
          <w:sz w:val="19"/>
          <w:szCs w:val="19"/>
          <w:color w:val="010000"/>
        </w:rPr>
      </w:pPr>
    </w:p>
    <w:p>
      <w:pPr>
        <w:jc w:val="both"/>
        <w:ind w:firstLine="1953"/>
        <w:spacing w:after="0" w:line="322" w:lineRule="auto"/>
        <w:tabs>
          <w:tab w:leader="none" w:pos="2470" w:val="left"/>
        </w:tabs>
        <w:numPr>
          <w:ilvl w:val="2"/>
          <w:numId w:val="105"/>
        </w:numPr>
        <w:rPr>
          <w:rFonts w:ascii="Arial" w:cs="Arial" w:eastAsia="Arial" w:hAnsi="Arial"/>
          <w:sz w:val="19"/>
          <w:szCs w:val="19"/>
          <w:color w:val="010000"/>
        </w:rPr>
      </w:pPr>
      <w:r>
        <w:rPr>
          <w:rFonts w:ascii="Arial" w:cs="Arial" w:eastAsia="Arial" w:hAnsi="Arial"/>
          <w:sz w:val="19"/>
          <w:szCs w:val="19"/>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Low-Vote IPO Shares and/or cash equal to the aggregate IPO Shortfall.</w:t>
      </w:r>
    </w:p>
    <w:p>
      <w:pPr>
        <w:spacing w:after="0" w:line="13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SoftBank Floor Amount, none of the foregoing actions in this Section 6.13 shall be taken without the approval of the Majority of the Class A-1 Preferred. For clarity, if the rights in this Section 6.13(a) through (d) are amended or cease to apply pursuant to Sections 2.02(c)(ii) or 2.02(d), such rights will also be amended or cease to apply (as applicable) with respect to the Majority of the Class A-1 Preferred (to the extent rights were granted pursuant to the prior sentence).</w:t>
      </w:r>
    </w:p>
    <w:p>
      <w:pPr>
        <w:spacing w:after="0" w:line="14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b w:val="1"/>
          <w:bCs w:val="1"/>
          <w:color w:val="auto"/>
        </w:rPr>
        <w:t>.</w:t>
      </w:r>
    </w:p>
    <w:p>
      <w:pPr>
        <w:spacing w:after="0" w:line="253" w:lineRule="exact"/>
        <w:rPr>
          <w:sz w:val="20"/>
          <w:szCs w:val="20"/>
          <w:color w:val="auto"/>
        </w:rPr>
      </w:pPr>
    </w:p>
    <w:p>
      <w:pPr>
        <w:jc w:val="both"/>
        <w:ind w:firstLine="1305"/>
        <w:spacing w:after="0" w:line="280" w:lineRule="auto"/>
        <w:tabs>
          <w:tab w:leader="none" w:pos="1824"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Notwithstanding anything to the contrary in this Agreement (and subject further, and without prejudice, to Section 8.03),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48" w:right="239" w:bottom="1440" w:gutter="0" w:footer="0" w:header="0"/>
        </w:sectPr>
      </w:pPr>
    </w:p>
    <w:bookmarkStart w:id="161" w:name="page162"/>
    <w:bookmarkEnd w:id="161"/>
    <w:p>
      <w:pPr>
        <w:jc w:val="both"/>
        <w:spacing w:after="0" w:line="309" w:lineRule="auto"/>
        <w:rPr>
          <w:sz w:val="20"/>
          <w:szCs w:val="20"/>
          <w:color w:val="auto"/>
        </w:rPr>
      </w:pPr>
      <w:r>
        <w:rPr>
          <w:rFonts w:ascii="Arial" w:cs="Arial" w:eastAsia="Arial" w:hAnsi="Arial"/>
          <w:sz w:val="19"/>
          <w:szCs w:val="19"/>
          <w:color w:val="auto"/>
        </w:rPr>
        <w:t xml:space="preserve">Director (and the SoftBank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 (1) Business Day in advance of such materials being shared or presented</w:t>
      </w:r>
    </w:p>
    <w:p>
      <w:pPr>
        <w:spacing w:after="0" w:line="149" w:lineRule="exact"/>
        <w:rPr>
          <w:sz w:val="20"/>
          <w:szCs w:val="20"/>
          <w:color w:val="auto"/>
        </w:rPr>
      </w:pPr>
    </w:p>
    <w:p>
      <w:pPr>
        <w:jc w:val="both"/>
        <w:ind w:firstLine="1305"/>
        <w:spacing w:after="0" w:line="304" w:lineRule="auto"/>
        <w:tabs>
          <w:tab w:leader="none" w:pos="1900"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(and subject further, and without prejudice, to Section 8.03),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Section 6.14(b) is without prejudice to Section 6.14(a)), and the Honda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w:t>
      </w:r>
    </w:p>
    <w:p>
      <w:pPr>
        <w:spacing w:after="0" w:line="15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b w:val="1"/>
          <w:bCs w:val="1"/>
          <w:u w:val="single" w:color="auto"/>
          <w:color w:val="auto"/>
        </w:rPr>
        <w:t>Officers</w:t>
      </w:r>
      <w:r>
        <w:rPr>
          <w:rFonts w:ascii="Arial" w:cs="Arial" w:eastAsia="Arial" w:hAnsi="Arial"/>
          <w:sz w:val="19"/>
          <w:szCs w:val="19"/>
          <w:color w:val="auto"/>
        </w:rPr>
        <w:t>. The Board of Directors may from time to time appoint individuals as officers of the Company (“</w:t>
      </w:r>
      <w:r>
        <w:rPr>
          <w:rFonts w:ascii="Arial" w:cs="Arial" w:eastAsia="Arial" w:hAnsi="Arial"/>
          <w:sz w:val="19"/>
          <w:szCs w:val="19"/>
          <w:b w:val="1"/>
          <w:bCs w:val="1"/>
          <w:color w:val="auto"/>
        </w:rPr>
        <w:t>Officers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Officers of the Company shall have such titles, duties, authority and compensation (if any) as shall be fixed by the Board of Directors from time to time. Any Officer may be removed, with or without cause, at any time by the Board of Directors.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6.16 </w:t>
      </w:r>
      <w:r>
        <w:rPr>
          <w:rFonts w:ascii="Arial" w:cs="Arial" w:eastAsia="Arial" w:hAnsi="Arial"/>
          <w:sz w:val="19"/>
          <w:szCs w:val="19"/>
          <w:b w:val="1"/>
          <w:bCs w:val="1"/>
          <w:u w:val="single" w:color="auto"/>
          <w:color w:val="auto"/>
        </w:rPr>
        <w:t>Enhanced Voting Rights</w:t>
      </w:r>
      <w:r>
        <w:rPr>
          <w:rFonts w:ascii="Arial" w:cs="Arial" w:eastAsia="Arial" w:hAnsi="Arial"/>
          <w:sz w:val="19"/>
          <w:szCs w:val="19"/>
          <w:color w:val="auto"/>
        </w:rPr>
        <w:t>. The Class A-2 Preferred Members, by vote of a Majority of the Class A-2 Preferred (or, if</w:t>
      </w:r>
      <w:r>
        <w:rPr>
          <w:rFonts w:ascii="Arial" w:cs="Arial" w:eastAsia="Arial" w:hAnsi="Arial"/>
          <w:sz w:val="19"/>
          <w:szCs w:val="19"/>
          <w:b w:val="1"/>
          <w:bCs w:val="1"/>
          <w:color w:val="auto"/>
        </w:rPr>
        <w:t xml:space="preserve"> </w:t>
      </w:r>
      <w:r>
        <w:rPr>
          <w:rFonts w:ascii="Arial" w:cs="Arial" w:eastAsia="Arial" w:hAnsi="Arial"/>
          <w:sz w:val="19"/>
          <w:szCs w:val="19"/>
          <w:color w:val="auto"/>
        </w:rPr>
        <w:t>there are no Class A-2 Preferred Shares outstanding, the Class C Members, by vote of a Majority of the Class C Common), shall have the right to, upon written notice to the Company, designate up to two (2) of the A-2 Preferred Directors to have enhanced voting rights as Directors. Any A-2 Preferred Director so designated shall have two (2) votes on all matters submitted to the Board of Directors (whether the consideration of such matter is taken at a meeting, by written consent or otherwise). The Class A-2 Preferred Members, by vote of a Majority of the Class A-2 Preferred (or, if there are no Class A-2 Preferred Shares outstanding, the Class C Members, by vote of a Majority of the Class C Common), may, at any time upon written notice to the Company, designate an alternate A-2 Preferred Director to have the enhanced voting rights under this Section 6.16.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348" w:right="239" w:bottom="1440" w:gutter="0" w:footer="0" w:header="0"/>
        </w:sectPr>
      </w:pPr>
    </w:p>
    <w:bookmarkStart w:id="162" w:name="page163"/>
    <w:bookmarkEnd w:id="162"/>
    <w:p>
      <w:pPr>
        <w:jc w:val="center"/>
        <w:ind w:right="220"/>
        <w:spacing w:after="0"/>
        <w:rPr>
          <w:sz w:val="20"/>
          <w:szCs w:val="20"/>
          <w:color w:val="auto"/>
        </w:rPr>
      </w:pPr>
      <w:r>
        <w:rPr>
          <w:rFonts w:ascii="Arial" w:cs="Arial" w:eastAsia="Arial" w:hAnsi="Arial"/>
          <w:sz w:val="22"/>
          <w:szCs w:val="22"/>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2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7.01 </w:t>
      </w:r>
      <w:r>
        <w:rPr>
          <w:rFonts w:ascii="Arial" w:cs="Arial" w:eastAsia="Arial" w:hAnsi="Arial"/>
          <w:sz w:val="19"/>
          <w:szCs w:val="19"/>
          <w:b w:val="1"/>
          <w:bCs w:val="1"/>
          <w:u w:val="single" w:color="auto"/>
          <w:color w:val="auto"/>
        </w:rPr>
        <w:t>Exculpation</w:t>
      </w:r>
      <w:r>
        <w:rPr>
          <w:rFonts w:ascii="Arial" w:cs="Arial" w:eastAsia="Arial" w:hAnsi="Arial"/>
          <w:sz w:val="19"/>
          <w:szCs w:val="19"/>
          <w:color w:val="auto"/>
        </w:rPr>
        <w:t>. No Officer shall be liable to any other Officer, the Company or any Member for any loss suffered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or any Member;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1" w:lineRule="auto"/>
        <w:tabs>
          <w:tab w:leader="none" w:pos="1784"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Subject to the limitations and conditions as provided in this Article VII,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342" w:right="239" w:bottom="1440" w:gutter="0" w:footer="0" w:header="0"/>
        </w:sectPr>
      </w:pPr>
    </w:p>
    <w:bookmarkStart w:id="163" w:name="page164"/>
    <w:bookmarkEnd w:id="163"/>
    <w:p>
      <w:pPr>
        <w:jc w:val="both"/>
        <w:spacing w:after="0" w:line="304" w:lineRule="auto"/>
        <w:rPr>
          <w:sz w:val="20"/>
          <w:szCs w:val="20"/>
          <w:color w:val="auto"/>
        </w:rPr>
      </w:pPr>
      <w:r>
        <w:rPr>
          <w:rFonts w:ascii="Arial" w:cs="Arial" w:eastAsia="Arial" w:hAnsi="Arial"/>
          <w:sz w:val="19"/>
          <w:szCs w:val="19"/>
          <w:color w:val="auto"/>
        </w:rPr>
        <w:t xml:space="preserve">such Person to indemnity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a Person is entitled to or receives exculpation pursuant to Section 7.01 or as expressly provided for in any Commercial Agreement or Transaction Document,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employment, consulting, services or other agreement between such Person, on the one hand, under the Transaction Documents, Share Grant Agreement, the Honda Commercial Agreements, the Honda Purchase Agreement or the Class F Purchase Agreement.</w:t>
      </w:r>
    </w:p>
    <w:p>
      <w:pPr>
        <w:spacing w:after="0" w:line="156" w:lineRule="exact"/>
        <w:rPr>
          <w:sz w:val="20"/>
          <w:szCs w:val="20"/>
          <w:color w:val="auto"/>
        </w:rPr>
      </w:pPr>
    </w:p>
    <w:p>
      <w:pPr>
        <w:jc w:val="both"/>
        <w:ind w:firstLine="1305"/>
        <w:spacing w:after="0" w:line="264" w:lineRule="auto"/>
        <w:tabs>
          <w:tab w:leader="none" w:pos="1972"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pacing w:after="0" w:line="188" w:lineRule="exact"/>
        <w:rPr>
          <w:rFonts w:ascii="Arial" w:cs="Arial" w:eastAsia="Arial" w:hAnsi="Arial"/>
          <w:sz w:val="22"/>
          <w:szCs w:val="22"/>
          <w:color w:val="010000"/>
        </w:rPr>
      </w:pPr>
    </w:p>
    <w:p>
      <w:pPr>
        <w:jc w:val="both"/>
        <w:ind w:firstLine="1305"/>
        <w:spacing w:after="0" w:line="334" w:lineRule="auto"/>
        <w:tabs>
          <w:tab w:leader="none" w:pos="1757"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27" w:lineRule="exact"/>
        <w:rPr>
          <w:rFonts w:ascii="Arial" w:cs="Arial" w:eastAsia="Arial" w:hAnsi="Arial"/>
          <w:sz w:val="19"/>
          <w:szCs w:val="19"/>
          <w:color w:val="010000"/>
        </w:rPr>
      </w:pPr>
    </w:p>
    <w:p>
      <w:pPr>
        <w:jc w:val="both"/>
        <w:ind w:firstLine="1305"/>
        <w:spacing w:after="0" w:line="264" w:lineRule="auto"/>
        <w:tabs>
          <w:tab w:leader="none" w:pos="1742"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88" w:lineRule="exact"/>
        <w:rPr>
          <w:rFonts w:ascii="Arial" w:cs="Arial" w:eastAsia="Arial" w:hAnsi="Arial"/>
          <w:sz w:val="22"/>
          <w:szCs w:val="22"/>
          <w:color w:val="010000"/>
        </w:rPr>
      </w:pPr>
    </w:p>
    <w:p>
      <w:pPr>
        <w:jc w:val="both"/>
        <w:ind w:firstLine="1305"/>
        <w:spacing w:after="0" w:line="262" w:lineRule="auto"/>
        <w:tabs>
          <w:tab w:leader="none" w:pos="1743"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93" w:lineRule="exact"/>
        <w:rPr>
          <w:rFonts w:ascii="Arial" w:cs="Arial" w:eastAsia="Arial" w:hAnsi="Arial"/>
          <w:sz w:val="22"/>
          <w:szCs w:val="22"/>
          <w:color w:val="010000"/>
        </w:rPr>
      </w:pPr>
    </w:p>
    <w:p>
      <w:pPr>
        <w:ind w:firstLine="1305"/>
        <w:spacing w:after="0" w:line="373" w:lineRule="auto"/>
        <w:tabs>
          <w:tab w:leader="none" w:pos="1719"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348" w:right="239" w:bottom="1440" w:gutter="0" w:footer="0" w:header="0"/>
        </w:sectPr>
      </w:pPr>
    </w:p>
    <w:bookmarkStart w:id="164" w:name="page165"/>
    <w:bookmarkEnd w:id="164"/>
    <w:p>
      <w:pPr>
        <w:jc w:val="both"/>
        <w:ind w:firstLine="1305"/>
        <w:spacing w:after="0" w:line="264" w:lineRule="auto"/>
        <w:tabs>
          <w:tab w:leader="none" w:pos="1796"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This Article VII shall inure to the benefit of the Covered Persons and their heirs, representatives, successors and assigns, and it is the express intention of the parties hereto that the provisions of this Article VII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7.03 </w:t>
      </w:r>
      <w:r>
        <w:rPr>
          <w:rFonts w:ascii="Arial" w:cs="Arial" w:eastAsia="Arial" w:hAnsi="Arial"/>
          <w:sz w:val="22"/>
          <w:szCs w:val="22"/>
          <w:b w:val="1"/>
          <w:bCs w:val="1"/>
          <w:u w:val="single" w:color="auto"/>
          <w:color w:val="auto"/>
        </w:rPr>
        <w:t>No Personal Liability</w:t>
      </w:r>
      <w:r>
        <w:rPr>
          <w:rFonts w:ascii="Arial" w:cs="Arial" w:eastAsia="Arial" w:hAnsi="Arial"/>
          <w:sz w:val="22"/>
          <w:szCs w:val="22"/>
          <w:color w:val="auto"/>
        </w:rPr>
        <w:t>. No individual who is a Director or an Officer, or any combination of the foregoing,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INFORMATION; RELATED MATTERS; COMPLIANCE</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8.01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 The Company shall (and shall cause it Subsidiaries to) maintain books and records of account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pacing w:after="0" w:line="253" w:lineRule="exact"/>
        <w:rPr>
          <w:sz w:val="20"/>
          <w:szCs w:val="20"/>
          <w:color w:val="auto"/>
        </w:rPr>
      </w:pPr>
    </w:p>
    <w:p>
      <w:pPr>
        <w:ind w:left="1740" w:hanging="435"/>
        <w:spacing w:after="0"/>
        <w:tabs>
          <w:tab w:leader="none" w:pos="1740"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The Company shall deliver to (i) (A) SoftBank, for so long as SoftBank owns the SoftBank Floor Amount and</w:t>
      </w:r>
    </w:p>
    <w:p>
      <w:pPr>
        <w:spacing w:after="0" w:line="65" w:lineRule="exact"/>
        <w:rPr>
          <w:rFonts w:ascii="Arial" w:cs="Arial" w:eastAsia="Arial" w:hAnsi="Arial"/>
          <w:sz w:val="19"/>
          <w:szCs w:val="19"/>
          <w:color w:val="010000"/>
        </w:rPr>
      </w:pPr>
    </w:p>
    <w:p>
      <w:pPr>
        <w:jc w:val="both"/>
        <w:ind w:firstLine="8"/>
        <w:spacing w:after="0" w:line="266" w:lineRule="auto"/>
        <w:tabs>
          <w:tab w:leader="none" w:pos="35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Honda, for so long as Honda owns the Honda Floor Amount, and (C) to each New Class F Preferred Member, for so long as such Member owns the Class F Floor Amount, and, in each case of clauses (A),(B) and (C), subject to Section 8.03, and (ii) the GM Investor:</w:t>
      </w:r>
    </w:p>
    <w:p>
      <w:pPr>
        <w:spacing w:after="0" w:line="185" w:lineRule="exact"/>
        <w:rPr>
          <w:rFonts w:ascii="Arial" w:cs="Arial" w:eastAsia="Arial" w:hAnsi="Arial"/>
          <w:sz w:val="22"/>
          <w:szCs w:val="22"/>
          <w:color w:val="auto"/>
        </w:rPr>
      </w:pPr>
    </w:p>
    <w:p>
      <w:pPr>
        <w:jc w:val="both"/>
        <w:ind w:firstLine="1953"/>
        <w:spacing w:after="0" w:line="315" w:lineRule="auto"/>
        <w:tabs>
          <w:tab w:leader="none" w:pos="2383" w:val="left"/>
        </w:tabs>
        <w:numPr>
          <w:ilvl w:val="2"/>
          <w:numId w:val="112"/>
        </w:numPr>
        <w:rPr>
          <w:rFonts w:ascii="Arial" w:cs="Arial" w:eastAsia="Arial" w:hAnsi="Arial"/>
          <w:sz w:val="19"/>
          <w:szCs w:val="19"/>
          <w:color w:val="010000"/>
        </w:rPr>
      </w:pPr>
      <w:r>
        <w:rPr>
          <w:rFonts w:ascii="Arial" w:cs="Arial" w:eastAsia="Arial" w:hAnsi="Arial"/>
          <w:sz w:val="19"/>
          <w:szCs w:val="19"/>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146" w:lineRule="exact"/>
        <w:rPr>
          <w:rFonts w:ascii="Arial" w:cs="Arial" w:eastAsia="Arial" w:hAnsi="Arial"/>
          <w:sz w:val="19"/>
          <w:szCs w:val="19"/>
          <w:color w:val="010000"/>
        </w:rPr>
      </w:pPr>
    </w:p>
    <w:p>
      <w:pPr>
        <w:jc w:val="both"/>
        <w:ind w:firstLine="1953"/>
        <w:spacing w:after="0" w:line="272" w:lineRule="auto"/>
        <w:tabs>
          <w:tab w:leader="none" w:pos="2389" w:val="left"/>
        </w:tabs>
        <w:numPr>
          <w:ilvl w:val="2"/>
          <w:numId w:val="112"/>
        </w:numPr>
        <w:rPr>
          <w:rFonts w:ascii="Arial" w:cs="Arial" w:eastAsia="Arial" w:hAnsi="Arial"/>
          <w:sz w:val="22"/>
          <w:szCs w:val="22"/>
          <w:color w:val="010000"/>
        </w:rPr>
      </w:pPr>
      <w:r>
        <w:rPr>
          <w:rFonts w:ascii="Arial" w:cs="Arial" w:eastAsia="Arial" w:hAnsi="Arial"/>
          <w:sz w:val="22"/>
          <w:szCs w:val="22"/>
          <w:color w:val="auto"/>
        </w:rPr>
        <w:t>as soon as practicable, but in any event within forty-five (45) days, following the end of each of the first three fiscal quarters of each Fiscal Year of the Company beginning with the fiscal quarter ending September 30, 2018, unaudited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348" w:right="239" w:bottom="1440" w:gutter="0" w:footer="0" w:header="0"/>
        </w:sectPr>
      </w:pPr>
    </w:p>
    <w:bookmarkStart w:id="165" w:name="page166"/>
    <w:bookmarkEnd w:id="165"/>
    <w:p>
      <w:pPr>
        <w:jc w:val="both"/>
        <w:spacing w:after="0" w:line="312" w:lineRule="auto"/>
        <w:rPr>
          <w:sz w:val="20"/>
          <w:szCs w:val="20"/>
          <w:color w:val="auto"/>
        </w:rPr>
      </w:pPr>
      <w:r>
        <w:rPr>
          <w:rFonts w:ascii="Arial" w:cs="Arial" w:eastAsia="Arial" w:hAnsi="Arial"/>
          <w:sz w:val="19"/>
          <w:szCs w:val="19"/>
          <w:color w:val="auto"/>
        </w:rPr>
        <w:t xml:space="preserve">(including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Arial" w:cs="Arial" w:eastAsia="Arial" w:hAnsi="Arial"/>
          <w:sz w:val="19"/>
          <w:szCs w:val="19"/>
          <w:u w:val="single" w:color="auto"/>
          <w:color w:val="auto"/>
        </w:rPr>
        <w:t>provided</w:t>
      </w:r>
      <w:r>
        <w:rPr>
          <w:rFonts w:ascii="Arial" w:cs="Arial" w:eastAsia="Arial" w:hAnsi="Arial"/>
          <w:sz w:val="19"/>
          <w:szCs w:val="19"/>
          <w:color w:val="auto"/>
        </w:rPr>
        <w:t>, that quarterly information provided before delivery of the first annual audited financial statements is subject to revision as part of the implementation of standalone financial reporting capabilities;</w:t>
      </w:r>
    </w:p>
    <w:p>
      <w:pPr>
        <w:spacing w:after="0" w:line="146" w:lineRule="exact"/>
        <w:rPr>
          <w:sz w:val="20"/>
          <w:szCs w:val="20"/>
          <w:color w:val="auto"/>
        </w:rPr>
      </w:pPr>
    </w:p>
    <w:p>
      <w:pPr>
        <w:jc w:val="both"/>
        <w:ind w:firstLine="1953"/>
        <w:spacing w:after="0" w:line="275" w:lineRule="auto"/>
        <w:tabs>
          <w:tab w:leader="none" w:pos="2476" w:val="left"/>
        </w:tabs>
        <w:numPr>
          <w:ilvl w:val="0"/>
          <w:numId w:val="113"/>
        </w:numPr>
        <w:rPr>
          <w:rFonts w:ascii="Arial" w:cs="Arial" w:eastAsia="Arial" w:hAnsi="Arial"/>
          <w:sz w:val="21"/>
          <w:szCs w:val="21"/>
          <w:color w:val="010000"/>
        </w:rPr>
      </w:pPr>
      <w:r>
        <w:rPr>
          <w:rFonts w:ascii="Arial" w:cs="Arial" w:eastAsia="Arial" w:hAnsi="Arial"/>
          <w:sz w:val="21"/>
          <w:szCs w:val="21"/>
          <w:color w:val="auto"/>
        </w:rPr>
        <w:t xml:space="preserve">as soon as practicable, but in any event within thirty (30) days after the end of each month, unaudited trial balances of the Company 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176" w:lineRule="exact"/>
        <w:rPr>
          <w:rFonts w:ascii="Arial" w:cs="Arial" w:eastAsia="Arial" w:hAnsi="Arial"/>
          <w:sz w:val="21"/>
          <w:szCs w:val="21"/>
          <w:color w:val="010000"/>
        </w:rPr>
      </w:pPr>
    </w:p>
    <w:p>
      <w:pPr>
        <w:ind w:firstLine="1953"/>
        <w:spacing w:after="0" w:line="289" w:lineRule="auto"/>
        <w:tabs>
          <w:tab w:leader="none" w:pos="2491"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as soon as practicable, but in any event within thirty (30) days after the end of each fiscal quarter of each Fiscal Year of the Company, the Members Schedule; and</w:t>
      </w:r>
    </w:p>
    <w:p>
      <w:pPr>
        <w:spacing w:after="0" w:line="160" w:lineRule="exact"/>
        <w:rPr>
          <w:rFonts w:ascii="Arial" w:cs="Arial" w:eastAsia="Arial" w:hAnsi="Arial"/>
          <w:sz w:val="22"/>
          <w:szCs w:val="22"/>
          <w:color w:val="010000"/>
        </w:rPr>
      </w:pPr>
    </w:p>
    <w:p>
      <w:pPr>
        <w:jc w:val="both"/>
        <w:ind w:firstLine="1953"/>
        <w:spacing w:after="0" w:line="322" w:lineRule="auto"/>
        <w:tabs>
          <w:tab w:leader="none" w:pos="2404" w:val="left"/>
        </w:tabs>
        <w:numPr>
          <w:ilvl w:val="0"/>
          <w:numId w:val="113"/>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 For clarity, this Section 8.02(a)(v) will be subject to Section 8.06.</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8.03 </w:t>
      </w:r>
      <w:r>
        <w:rPr>
          <w:rFonts w:ascii="Arial" w:cs="Arial" w:eastAsia="Arial" w:hAnsi="Arial"/>
          <w:sz w:val="22"/>
          <w:szCs w:val="22"/>
          <w:b w:val="1"/>
          <w:bCs w:val="1"/>
          <w:u w:val="single" w:color="auto"/>
          <w:color w:val="auto"/>
        </w:rPr>
        <w:t>Technical Information</w:t>
      </w:r>
      <w:r>
        <w:rPr>
          <w:rFonts w:ascii="Arial" w:cs="Arial" w:eastAsia="Arial" w:hAnsi="Arial"/>
          <w:sz w:val="22"/>
          <w:szCs w:val="22"/>
          <w:color w:val="auto"/>
        </w:rPr>
        <w:t>. Except to the extent required pursuant to the Honda Commercial Agreements, but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else to the contrary in this Agreement, the Company will not provide (and nothing in this Article VIII or otherwise in this Agreement will require the Company or any of its Directors or employees to provide) any Technical Information to any Class A-1 Preferred Member, Class D Member, Class E Member, Class F Preferred Members, the SoftBank Director or either of the Board Observers.</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838" w:val="left"/>
        </w:tabs>
        <w:numPr>
          <w:ilvl w:val="0"/>
          <w:numId w:val="114"/>
        </w:numPr>
        <w:rPr>
          <w:rFonts w:ascii="Arial" w:cs="Arial" w:eastAsia="Arial" w:hAnsi="Arial"/>
          <w:sz w:val="22"/>
          <w:szCs w:val="22"/>
          <w:color w:val="010000"/>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348" w:right="239" w:bottom="1440" w:gutter="0" w:footer="0" w:header="0"/>
        </w:sectPr>
      </w:pPr>
    </w:p>
    <w:bookmarkStart w:id="166" w:name="page167"/>
    <w:bookmarkEnd w:id="166"/>
    <w:p>
      <w:pPr>
        <w:jc w:val="both"/>
        <w:ind w:firstLine="1305"/>
        <w:spacing w:after="0" w:line="334" w:lineRule="auto"/>
        <w:tabs>
          <w:tab w:leader="none" w:pos="1850"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not use any funds received from GM, SoftBank, Honda or any Class F New Member in violation of Applicable Trade Laws, including, directly or indirectly, for the benefit of any Blocked Person.</w:t>
      </w:r>
    </w:p>
    <w:p>
      <w:pPr>
        <w:spacing w:after="0" w:line="127" w:lineRule="exact"/>
        <w:rPr>
          <w:rFonts w:ascii="Arial" w:cs="Arial" w:eastAsia="Arial" w:hAnsi="Arial"/>
          <w:sz w:val="19"/>
          <w:szCs w:val="19"/>
          <w:color w:val="010000"/>
        </w:rPr>
      </w:pPr>
    </w:p>
    <w:p>
      <w:pPr>
        <w:jc w:val="both"/>
        <w:ind w:firstLine="1305"/>
        <w:spacing w:after="0" w:line="277" w:lineRule="auto"/>
        <w:tabs>
          <w:tab w:leader="none" w:pos="1743" w:val="left"/>
        </w:tabs>
        <w:numPr>
          <w:ilvl w:val="0"/>
          <w:numId w:val="115"/>
        </w:numPr>
        <w:rPr>
          <w:rFonts w:ascii="Arial" w:cs="Arial" w:eastAsia="Arial" w:hAnsi="Arial"/>
          <w:sz w:val="21"/>
          <w:szCs w:val="21"/>
          <w:color w:val="010000"/>
        </w:rPr>
      </w:pPr>
      <w:r>
        <w:rPr>
          <w:rFonts w:ascii="Arial" w:cs="Arial" w:eastAsia="Arial" w:hAnsi="Arial"/>
          <w:sz w:val="21"/>
          <w:szCs w:val="21"/>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77" w:lineRule="exact"/>
        <w:rPr>
          <w:rFonts w:ascii="Arial" w:cs="Arial" w:eastAsia="Arial" w:hAnsi="Arial"/>
          <w:sz w:val="21"/>
          <w:szCs w:val="21"/>
          <w:color w:val="010000"/>
        </w:rPr>
      </w:pPr>
    </w:p>
    <w:p>
      <w:pPr>
        <w:jc w:val="both"/>
        <w:ind w:firstLine="1305"/>
        <w:spacing w:after="0" w:line="272" w:lineRule="auto"/>
        <w:tabs>
          <w:tab w:leader="none" w:pos="1742"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pacing w:after="0" w:line="179" w:lineRule="exact"/>
        <w:rPr>
          <w:rFonts w:ascii="Arial" w:cs="Arial" w:eastAsia="Arial" w:hAnsi="Arial"/>
          <w:sz w:val="22"/>
          <w:szCs w:val="22"/>
          <w:color w:val="010000"/>
        </w:rPr>
      </w:pPr>
    </w:p>
    <w:p>
      <w:pPr>
        <w:jc w:val="both"/>
        <w:ind w:firstLine="1305"/>
        <w:spacing w:after="0" w:line="277" w:lineRule="auto"/>
        <w:tabs>
          <w:tab w:leader="none" w:pos="1716" w:val="left"/>
        </w:tabs>
        <w:numPr>
          <w:ilvl w:val="0"/>
          <w:numId w:val="115"/>
        </w:numPr>
        <w:rPr>
          <w:rFonts w:ascii="Arial" w:cs="Arial" w:eastAsia="Arial" w:hAnsi="Arial"/>
          <w:sz w:val="21"/>
          <w:szCs w:val="21"/>
          <w:color w:val="010000"/>
        </w:rPr>
      </w:pPr>
      <w:r>
        <w:rPr>
          <w:rFonts w:ascii="Arial" w:cs="Arial" w:eastAsia="Arial" w:hAnsi="Arial"/>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8.05 </w:t>
      </w:r>
      <w:r>
        <w:rPr>
          <w:rFonts w:ascii="Arial" w:cs="Arial" w:eastAsia="Arial" w:hAnsi="Arial"/>
          <w:sz w:val="22"/>
          <w:szCs w:val="22"/>
          <w:b w:val="1"/>
          <w:bCs w:val="1"/>
          <w:u w:val="single" w:color="auto"/>
          <w:color w:val="auto"/>
        </w:rPr>
        <w:t>Notice to Honda of an OEM Investment</w:t>
      </w:r>
      <w:r>
        <w:rPr>
          <w:rFonts w:ascii="Arial" w:cs="Arial" w:eastAsia="Arial" w:hAnsi="Arial"/>
          <w:sz w:val="22"/>
          <w:szCs w:val="22"/>
          <w:color w:val="auto"/>
        </w:rPr>
        <w:t>. The Company shall provide the Class E Member with written notice of an</w:t>
      </w:r>
      <w:r>
        <w:rPr>
          <w:rFonts w:ascii="Arial" w:cs="Arial" w:eastAsia="Arial" w:hAnsi="Arial"/>
          <w:sz w:val="22"/>
          <w:szCs w:val="22"/>
          <w:b w:val="1"/>
          <w:bCs w:val="1"/>
          <w:color w:val="auto"/>
        </w:rPr>
        <w:t xml:space="preserve"> </w:t>
      </w:r>
      <w:r>
        <w:rPr>
          <w:rFonts w:ascii="Arial" w:cs="Arial" w:eastAsia="Arial" w:hAnsi="Arial"/>
          <w:sz w:val="22"/>
          <w:szCs w:val="22"/>
          <w:color w:val="auto"/>
        </w:rPr>
        <w:t>OEM Investment through the Honda Board Observer prior to the execution of the definitive agreement with respect to the consummation of such OEM Investment.</w:t>
      </w:r>
    </w:p>
    <w:p>
      <w:pPr>
        <w:spacing w:after="0" w:line="1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8.06 </w:t>
      </w:r>
      <w:r>
        <w:rPr>
          <w:rFonts w:ascii="Arial" w:cs="Arial" w:eastAsia="Arial" w:hAnsi="Arial"/>
          <w:sz w:val="21"/>
          <w:szCs w:val="21"/>
          <w:b w:val="1"/>
          <w:bCs w:val="1"/>
          <w:u w:val="single" w:color="auto"/>
          <w:color w:val="auto"/>
        </w:rPr>
        <w:t>Material Non-Public Information</w:t>
      </w:r>
      <w:r>
        <w:rPr>
          <w:rFonts w:ascii="Arial" w:cs="Arial" w:eastAsia="Arial" w:hAnsi="Arial"/>
          <w:sz w:val="21"/>
          <w:szCs w:val="21"/>
          <w:color w:val="auto"/>
        </w:rPr>
        <w:t>. Notwithstanding anything to the contrary herein, (a) the Company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any Class F New Member with any Material Non-Public Information, and (b) the Company shall not be deemed to be in breach of any obligation under this Agreement as a result of withholding Material Non-Public Information or failing to comply with any of its covenants or obligations herein as a result of the failure to provide Material Non-Public Information (including its obligations to provide a Company’s Notice of Intention to Sell, or any other notice, pursuant to Section 2.07).</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IX</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348" w:right="239" w:bottom="1440" w:gutter="0" w:footer="0" w:header="0"/>
        </w:sectPr>
      </w:pPr>
    </w:p>
    <w:bookmarkStart w:id="167" w:name="page168"/>
    <w:bookmarkEnd w:id="167"/>
    <w:p>
      <w:pPr>
        <w:ind w:left="660"/>
        <w:spacing w:after="0"/>
        <w:tabs>
          <w:tab w:leader="none" w:pos="120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(a)</w:t>
      </w:r>
    </w:p>
    <w:p>
      <w:pPr>
        <w:spacing w:after="0" w:line="247" w:lineRule="exact"/>
        <w:rPr>
          <w:sz w:val="20"/>
          <w:szCs w:val="20"/>
          <w:color w:val="auto"/>
        </w:rPr>
      </w:pPr>
    </w:p>
    <w:p>
      <w:pPr>
        <w:jc w:val="both"/>
        <w:ind w:firstLine="1953"/>
        <w:spacing w:after="0" w:line="315" w:lineRule="auto"/>
        <w:tabs>
          <w:tab w:leader="none" w:pos="2356"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 xml:space="preserve">Prior to the SoftBank Trigger Date, (A) no Class A-1 Preferred Shares, Class D Common Shares or any other Equity Securities held by SoftBank or any of its Affiliates (other than any Class F Preferred Shares held by SoftBank or any of its Affiliates) and (B) no Class B Common Shares,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w:t>
      </w:r>
    </w:p>
    <w:p>
      <w:pPr>
        <w:spacing w:after="0" w:line="146" w:lineRule="exact"/>
        <w:rPr>
          <w:rFonts w:ascii="Arial" w:cs="Arial" w:eastAsia="Arial" w:hAnsi="Arial"/>
          <w:sz w:val="19"/>
          <w:szCs w:val="19"/>
          <w:color w:val="010000"/>
        </w:rPr>
      </w:pPr>
    </w:p>
    <w:p>
      <w:pPr>
        <w:jc w:val="both"/>
        <w:ind w:firstLine="1953"/>
        <w:spacing w:after="0" w:line="264" w:lineRule="auto"/>
        <w:tabs>
          <w:tab w:leader="none" w:pos="2456"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 xml:space="preserve">Prior to the Honda Trigger Date, no Class E Common Shares or any other Equity Securities held by Honda or any of its Affiliates (except any Class F Preferred Shares held by Honda or any of its Affiliates),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2"/>
          <w:szCs w:val="22"/>
          <w:i w:val="1"/>
          <w:iCs w:val="1"/>
          <w:color w:val="auto"/>
        </w:rPr>
        <w:t xml:space="preserve">ab initio </w:t>
      </w:r>
      <w:r>
        <w:rPr>
          <w:rFonts w:ascii="Arial" w:cs="Arial" w:eastAsia="Arial" w:hAnsi="Arial"/>
          <w:sz w:val="22"/>
          <w:szCs w:val="22"/>
          <w:color w:val="auto"/>
        </w:rPr>
        <w:t>and of no effect whatsoever.</w:t>
      </w:r>
    </w:p>
    <w:p>
      <w:pPr>
        <w:spacing w:after="0" w:line="188" w:lineRule="exact"/>
        <w:rPr>
          <w:rFonts w:ascii="Arial" w:cs="Arial" w:eastAsia="Arial" w:hAnsi="Arial"/>
          <w:sz w:val="22"/>
          <w:szCs w:val="22"/>
          <w:color w:val="010000"/>
        </w:rPr>
      </w:pPr>
    </w:p>
    <w:p>
      <w:pPr>
        <w:jc w:val="both"/>
        <w:ind w:firstLine="1953"/>
        <w:spacing w:after="0" w:line="280" w:lineRule="auto"/>
        <w:tabs>
          <w:tab w:leader="none" w:pos="2503" w:val="left"/>
        </w:tabs>
        <w:numPr>
          <w:ilvl w:val="0"/>
          <w:numId w:val="116"/>
        </w:numPr>
        <w:rPr>
          <w:rFonts w:ascii="Arial" w:cs="Arial" w:eastAsia="Arial" w:hAnsi="Arial"/>
          <w:sz w:val="21"/>
          <w:szCs w:val="21"/>
          <w:color w:val="010000"/>
        </w:rPr>
      </w:pPr>
      <w:r>
        <w:rPr>
          <w:rFonts w:ascii="Arial" w:cs="Arial" w:eastAsia="Arial" w:hAnsi="Arial"/>
          <w:sz w:val="21"/>
          <w:szCs w:val="21"/>
          <w:color w:val="auto"/>
        </w:rPr>
        <w:t xml:space="preserve">Prior to the Class F Trigger Date, no Class F Preferred Shares or any other Equity Securities held by Class F New Members or any of their respective Affiliates, and no Class F Preferred Shares held by Honda, SoftBank or any of their respective Affiliates, may be Transferred or offered to be Transferred without the prior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effect whatsoever.</w:t>
      </w:r>
    </w:p>
    <w:p>
      <w:pPr>
        <w:spacing w:after="0" w:line="171" w:lineRule="exact"/>
        <w:rPr>
          <w:rFonts w:ascii="Arial" w:cs="Arial" w:eastAsia="Arial" w:hAnsi="Arial"/>
          <w:sz w:val="21"/>
          <w:szCs w:val="21"/>
          <w:color w:val="010000"/>
        </w:rPr>
      </w:pPr>
    </w:p>
    <w:p>
      <w:pPr>
        <w:jc w:val="both"/>
        <w:ind w:firstLine="1953"/>
        <w:spacing w:after="0" w:line="262" w:lineRule="auto"/>
        <w:tabs>
          <w:tab w:leader="none" w:pos="2666"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Sections 9.01(a)(i), 9.01(a)(ii) and 9.01(a)(iii) (A) will not apply to any Transfer pursuant to Sections 2.02(c), 2.10, 9.02, 9.07, 9.08, 9.09, 9.10 or 9.12 (such Transfer, an “</w:t>
      </w:r>
      <w:r>
        <w:rPr>
          <w:rFonts w:ascii="Arial" w:cs="Arial" w:eastAsia="Arial" w:hAnsi="Arial"/>
          <w:sz w:val="22"/>
          <w:szCs w:val="22"/>
          <w:b w:val="1"/>
          <w:bCs w:val="1"/>
          <w:color w:val="auto"/>
        </w:rPr>
        <w:t>Excluded Transfer</w:t>
      </w:r>
      <w:r>
        <w:rPr>
          <w:rFonts w:ascii="Arial" w:cs="Arial" w:eastAsia="Arial" w:hAnsi="Arial"/>
          <w:sz w:val="22"/>
          <w:szCs w:val="22"/>
          <w:color w:val="auto"/>
        </w:rPr>
        <w:t>”) and (B) will cease to apply upon consummation of an IPO. For clarity, except as set forth in Section 9.01(b) (and notwithstanding Sections 9.01(a)(iii) and 9.01(a)(v)), no Class A-2 Preferred Member, Class C Member or the GM Investor or its Affiliates with respect to its or their respective Class F Preferred Shares is subject to any restrictions on Transfer of its Class A-2 Preferred Shares, Class C Common Shares or Class F Preferred Shares.</w:t>
      </w:r>
    </w:p>
    <w:p>
      <w:pPr>
        <w:spacing w:after="0" w:line="193" w:lineRule="exact"/>
        <w:rPr>
          <w:rFonts w:ascii="Arial" w:cs="Arial" w:eastAsia="Arial" w:hAnsi="Arial"/>
          <w:sz w:val="22"/>
          <w:szCs w:val="22"/>
          <w:color w:val="010000"/>
        </w:rPr>
      </w:pPr>
    </w:p>
    <w:p>
      <w:pPr>
        <w:jc w:val="both"/>
        <w:ind w:firstLine="1953"/>
        <w:spacing w:after="0" w:line="261" w:lineRule="auto"/>
        <w:tabs>
          <w:tab w:leader="none" w:pos="2444"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From and after the SoftBank Trigger Date, the limitations on Transfer set forth in Sections 9.01(a)(i) will cease to apply; provided, that following the SoftBank Trigger Date and prior to the consummation of an IPO no Transfer of Class A-1 Preferred Shares, Class D Common Shares, or any other Equity Securities held by SoftBank or any of its Affiliates (other than any Class F Preferred Shares held by SoftBank or any of its Affiliates) will be permitted unless the holder of such Shares shall have first complied with the provisions of Section 9.01(a)(vi). From and after the Honda Trigger Date, the limitations on Transfer set forth in Section 9.01(a)(ii) will cease to apply; provided, that following the Honda Trigger Date, and prior to the consummation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342" w:right="239" w:bottom="1440" w:gutter="0" w:footer="0" w:header="0"/>
        </w:sectPr>
      </w:pPr>
    </w:p>
    <w:bookmarkStart w:id="168" w:name="page169"/>
    <w:bookmarkEnd w:id="168"/>
    <w:p>
      <w:pPr>
        <w:jc w:val="both"/>
        <w:spacing w:after="0" w:line="300" w:lineRule="auto"/>
        <w:rPr>
          <w:sz w:val="20"/>
          <w:szCs w:val="20"/>
          <w:color w:val="auto"/>
        </w:rPr>
      </w:pPr>
      <w:r>
        <w:rPr>
          <w:rFonts w:ascii="Arial" w:cs="Arial" w:eastAsia="Arial" w:hAnsi="Arial"/>
          <w:sz w:val="19"/>
          <w:szCs w:val="19"/>
          <w:color w:val="auto"/>
        </w:rPr>
        <w:t>an IPO no Transfer of Class E Common Shares or any other Equity Securities (other than Class F Preferred Shares) held by Honda or any of its Affiliates will be permitted unless the holder of such Shares shall have first complied with the provisions of Section 9.01(a)(vi). From and after the Class F Trigger Date, the limitations on Transfer set forth in Section 9.01(a)(iii) will cease to apply; provided, that following the Class F Trigger Date, and prior to the consummation of an IPO no Transfer of Class F Preferred Shares or any other Equity Securities held by a Class F New Member, or any Class F Preferred Shares held by SoftBank, Honda or any of their respective Affiliates, will be permitted unless the holder of such Shares shall have first complied with the provisions of Section 9.01(a)(vi). Notwithstanding anything to the contrary in this Agreement (including the expiration of the limitations on Transfer set forth in Sections 9.01(a)(i), 9.01(a)(ii) and 9.01(a)(iii) from and after the SoftBank Trigger Date, the Honda Trigger Date or the Class F Trigger Date, as applicable, but prior to the consummation of the IPO), at no time may (a) Class A-1 Preferred Shares, Class D Common Shares or any other Equity Securities held by SoftBank or any of its Affiliates (other than any Class F Preferred Shares held by SoftBank or any of its Affiliates), be Transferred to a SoftBank Restricted Person without the prior written approval of each of the GM Investor and the Board of Directors, (b) Class E Common Shares or any other Equity Securities (including Class F Preferred Shares) held by Honda or any of its Affiliates, be Transferred to a Honda Restricted Person without the prior written approval of each of the GM Investor and the Board of Directors or (c) Class F Preferred Shares or any other Equity Securities held by a Class F New Member, or any Class F Preferred Shares held by SoftBank or any of its Affiliates, be Transferred to a Class F Preferred Member Restricted Person without the prior written approval of each of the GM Investor and the Board of Directors.</w:t>
      </w:r>
    </w:p>
    <w:p>
      <w:pPr>
        <w:spacing w:after="0" w:line="200" w:lineRule="exact"/>
        <w:rPr>
          <w:sz w:val="20"/>
          <w:szCs w:val="20"/>
          <w:color w:val="auto"/>
        </w:rPr>
      </w:pPr>
    </w:p>
    <w:p>
      <w:pPr>
        <w:spacing w:after="0" w:line="238" w:lineRule="exact"/>
        <w:rPr>
          <w:sz w:val="20"/>
          <w:szCs w:val="20"/>
          <w:color w:val="auto"/>
        </w:rPr>
      </w:pPr>
    </w:p>
    <w:p>
      <w:pPr>
        <w:jc w:val="both"/>
        <w:ind w:firstLine="1953"/>
        <w:spacing w:after="0" w:line="302" w:lineRule="auto"/>
        <w:tabs>
          <w:tab w:leader="none" w:pos="2504"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(A) Class A-1 Preferred Shares, Class D Common Shares or any other Equity Securities held by SoftBank or any of its Affiliates (other than any Class F Preferred Shares held by SoftBank or any of its Affiliates), in each case from and after the SoftBank Trigger Date, (B) Class E Common Shares or any other Equity Securities (other than Class F Preferred Shares) held by Honda or any of their Affiliates from and after the Honda Trigger Date, or (C) Class F Preferred Shares or any other Equity Securities held by Class F New Members or their Affiliates or Class F Preferred Shares held by SoftBank, Honda or their respective Affiliates, in each case from and after the Class F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 Notice</w:t>
      </w:r>
      <w:r>
        <w:rPr>
          <w:rFonts w:ascii="Arial" w:cs="Arial" w:eastAsia="Arial" w:hAnsi="Arial"/>
          <w:sz w:val="19"/>
          <w:szCs w:val="19"/>
          <w:color w:val="auto"/>
        </w:rPr>
        <w:t>”) to the Board of Directors and the GM Investor, specifying in reasonable detail the identity of the prospective transferee(s), the number and class of Shares or other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348" w:right="239" w:bottom="1440" w:gutter="0" w:footer="0" w:header="0"/>
        </w:sectPr>
      </w:pPr>
    </w:p>
    <w:bookmarkStart w:id="169" w:name="page170"/>
    <w:bookmarkEnd w:id="169"/>
    <w:p>
      <w:pPr>
        <w:jc w:val="both"/>
        <w:spacing w:after="0" w:line="301" w:lineRule="auto"/>
        <w:rPr>
          <w:sz w:val="20"/>
          <w:szCs w:val="20"/>
          <w:color w:val="auto"/>
        </w:rPr>
      </w:pPr>
      <w:r>
        <w:rPr>
          <w:rFonts w:ascii="Arial" w:cs="Arial" w:eastAsia="Arial" w:hAnsi="Arial"/>
          <w:sz w:val="19"/>
          <w:szCs w:val="19"/>
          <w:color w:val="auto"/>
        </w:rPr>
        <w:t>of its 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 ROFR Date</w:t>
      </w:r>
      <w:r>
        <w:rPr>
          <w:rFonts w:ascii="Arial" w:cs="Arial" w:eastAsia="Arial" w:hAnsi="Arial"/>
          <w:sz w:val="19"/>
          <w:szCs w:val="19"/>
          <w:color w:val="auto"/>
        </w:rPr>
        <w:t>”). If the GM Investor (or one of its Affiliates) does not deliver a GM ROFR Notice electing to purchase all of the ROFR 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Section 9.01(a)(vi) prior to any subsequent Transfer. If the GM Investor has elected to purchase the ROFR Offered Shares in accordance with this Section 9.01(a)(vi),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167" w:lineRule="exact"/>
        <w:rPr>
          <w:sz w:val="20"/>
          <w:szCs w:val="20"/>
          <w:color w:val="auto"/>
        </w:rPr>
      </w:pPr>
    </w:p>
    <w:p>
      <w:pPr>
        <w:jc w:val="both"/>
        <w:ind w:firstLine="1305"/>
        <w:spacing w:after="0" w:line="301" w:lineRule="auto"/>
        <w:tabs>
          <w:tab w:leader="none" w:pos="1810"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342" w:right="239" w:bottom="1440" w:gutter="0" w:footer="0" w:header="0"/>
        </w:sectPr>
      </w:pPr>
    </w:p>
    <w:bookmarkStart w:id="170" w:name="page171"/>
    <w:bookmarkEnd w:id="170"/>
    <w:p>
      <w:pPr>
        <w:spacing w:after="0" w:line="276" w:lineRule="auto"/>
        <w:rPr>
          <w:sz w:val="20"/>
          <w:szCs w:val="20"/>
          <w:color w:val="auto"/>
        </w:rPr>
      </w:pPr>
      <w:r>
        <w:rPr>
          <w:rFonts w:ascii="Arial" w:cs="Arial" w:eastAsia="Arial" w:hAnsi="Arial"/>
          <w:sz w:val="22"/>
          <w:szCs w:val="22"/>
          <w:color w:val="auto"/>
        </w:rPr>
        <w:t>applicable). Each Member as to which the immediately preceding sentence applies shall cause its direct and indirect interest holders to comply with the provisions of this Article IX.</w:t>
      </w:r>
    </w:p>
    <w:p>
      <w:pPr>
        <w:spacing w:after="0" w:line="174" w:lineRule="exact"/>
        <w:rPr>
          <w:sz w:val="20"/>
          <w:szCs w:val="20"/>
          <w:color w:val="auto"/>
        </w:rPr>
      </w:pPr>
    </w:p>
    <w:p>
      <w:pPr>
        <w:ind w:left="1760" w:hanging="455"/>
        <w:spacing w:after="0"/>
        <w:tabs>
          <w:tab w:leader="none" w:pos="1760" w:val="left"/>
        </w:tabs>
        <w:numPr>
          <w:ilvl w:val="1"/>
          <w:numId w:val="119"/>
        </w:numPr>
        <w:rPr>
          <w:rFonts w:ascii="Arial" w:cs="Arial" w:eastAsia="Arial" w:hAnsi="Arial"/>
          <w:sz w:val="19"/>
          <w:szCs w:val="19"/>
          <w:color w:val="010000"/>
        </w:rPr>
      </w:pPr>
      <w:r>
        <w:rPr>
          <w:rFonts w:ascii="Arial" w:cs="Arial" w:eastAsia="Arial" w:hAnsi="Arial"/>
          <w:sz w:val="19"/>
          <w:szCs w:val="19"/>
          <w:color w:val="auto"/>
        </w:rPr>
        <w:t>No Transfer of Class A-1 Preferred Shares may be consummated (and any process pursuant to Section 9.01(a)</w:t>
      </w:r>
    </w:p>
    <w:p>
      <w:pPr>
        <w:spacing w:after="0" w:line="65" w:lineRule="exact"/>
        <w:rPr>
          <w:rFonts w:ascii="Arial" w:cs="Arial" w:eastAsia="Arial" w:hAnsi="Arial"/>
          <w:sz w:val="19"/>
          <w:szCs w:val="19"/>
          <w:color w:val="010000"/>
        </w:rPr>
      </w:pPr>
    </w:p>
    <w:p>
      <w:pPr>
        <w:ind w:firstLine="8"/>
        <w:spacing w:after="0" w:line="276" w:lineRule="auto"/>
        <w:tabs>
          <w:tab w:leader="none" w:pos="37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shall be suspended if a Call Notice is delivered pursuant to Section 9.12) until such time as the Class A-1/D Purchase pursuant to such Call Notice has been consummated.</w:t>
      </w:r>
    </w:p>
    <w:p>
      <w:pPr>
        <w:spacing w:after="0" w:line="174" w:lineRule="exact"/>
        <w:rPr>
          <w:rFonts w:ascii="Arial" w:cs="Arial" w:eastAsia="Arial" w:hAnsi="Arial"/>
          <w:sz w:val="22"/>
          <w:szCs w:val="22"/>
          <w:color w:val="auto"/>
        </w:rPr>
      </w:pPr>
    </w:p>
    <w:p>
      <w:pPr>
        <w:jc w:val="both"/>
        <w:ind w:firstLine="1305"/>
        <w:spacing w:after="0" w:line="267" w:lineRule="auto"/>
        <w:tabs>
          <w:tab w:leader="none" w:pos="2026"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838"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Notwithstanding Section 9.01(a), Class A-1 Preferred Shares, Class D Common Shares, Class B Common Shares, Class E Common Shares and Class F Preferred Shares may be Transferred by the holder thereof without obtaining the approval of the Board of Directors or the GM Investor: (i) in the case of an Employee Member, to a member of the Family Group of the Person to whom such Shares were originally issued (a Transfer pursuant to this clause (i), an “</w:t>
      </w:r>
      <w:r>
        <w:rPr>
          <w:rFonts w:ascii="Arial" w:cs="Arial" w:eastAsia="Arial" w:hAnsi="Arial"/>
          <w:sz w:val="19"/>
          <w:szCs w:val="19"/>
          <w:b w:val="1"/>
          <w:bCs w:val="1"/>
          <w:color w:val="auto"/>
        </w:rPr>
        <w:t>Exempt Employee Member</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 (ii) in the case of a Class A-1 Preferred Member, Class D Member or Class F Preferred Shares held by SoftBank or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to an Affiliate (other than SoftBank Group Corp. or its Subsidiaries) of such Member that (A) is owned and controlled, directly or indirectly, by such Class A-1 Preferred Member or such Class D Member,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(B)(1) with respect to Shares (other than any Class F Preferred Shares) is not a SoftBank Restricted Person and (2) with respect to Class F Preferred Shares, is not a Class F Preferred Member Restricted Person (a Transfer pursuant to this clause (ii), an “</w:t>
      </w:r>
      <w:r>
        <w:rPr>
          <w:rFonts w:ascii="Arial" w:cs="Arial" w:eastAsia="Arial" w:hAnsi="Arial"/>
          <w:sz w:val="19"/>
          <w:szCs w:val="19"/>
          <w:b w:val="1"/>
          <w:bCs w:val="1"/>
          <w:color w:val="auto"/>
        </w:rPr>
        <w:t>Exempt SoftBank Transfer</w:t>
      </w:r>
      <w:r>
        <w:rPr>
          <w:rFonts w:ascii="Arial" w:cs="Arial" w:eastAsia="Arial" w:hAnsi="Arial"/>
          <w:sz w:val="19"/>
          <w:szCs w:val="19"/>
          <w:color w:val="auto"/>
        </w:rPr>
        <w:t>”), (iii) in the case of a Class E Member or Class F Preferred Shares held by Honda or its Affiliates, (A) to an Affiliate that is not a Honda Restricted Person or (B) subject to compliance with Section 9.01(a)(v), following the consummation of an OEM Restricted Investment, to a Person that is not a Honda Restricted Person (a Transfer pursuant to this clause (iii), an “</w:t>
      </w:r>
      <w:r>
        <w:rPr>
          <w:rFonts w:ascii="Arial" w:cs="Arial" w:eastAsia="Arial" w:hAnsi="Arial"/>
          <w:sz w:val="19"/>
          <w:szCs w:val="19"/>
          <w:b w:val="1"/>
          <w:bCs w:val="1"/>
          <w:color w:val="auto"/>
        </w:rPr>
        <w:t>Exempt Honda Transfer</w:t>
      </w:r>
      <w:r>
        <w:rPr>
          <w:rFonts w:ascii="Arial" w:cs="Arial" w:eastAsia="Arial" w:hAnsi="Arial"/>
          <w:sz w:val="19"/>
          <w:szCs w:val="19"/>
          <w:color w:val="auto"/>
        </w:rPr>
        <w:t>”)</w:t>
      </w:r>
      <w:r>
        <w:rPr>
          <w:rFonts w:ascii="Arial" w:cs="Arial" w:eastAsia="Arial" w:hAnsi="Arial"/>
          <w:sz w:val="19"/>
          <w:szCs w:val="19"/>
          <w:u w:val="single" w:color="auto"/>
          <w:color w:val="auto"/>
        </w:rPr>
        <w:t>; provided</w:t>
      </w:r>
      <w:r>
        <w:rPr>
          <w:rFonts w:ascii="Arial" w:cs="Arial" w:eastAsia="Arial" w:hAnsi="Arial"/>
          <w:sz w:val="19"/>
          <w:szCs w:val="19"/>
          <w:color w:val="auto"/>
        </w:rPr>
        <w:t>, that any Transfer by the Class E Member must be a Transfer of all of such Class E Member’s Equity Securities in the Company, or (iv) in the case of a Class F New Member, to an Affiliate of such Class F New Member that is not a Class F Preferred Member Restricted Person (an “</w:t>
      </w:r>
      <w:r>
        <w:rPr>
          <w:rFonts w:ascii="Arial" w:cs="Arial" w:eastAsia="Arial" w:hAnsi="Arial"/>
          <w:sz w:val="19"/>
          <w:szCs w:val="19"/>
          <w:b w:val="1"/>
          <w:bCs w:val="1"/>
          <w:color w:val="auto"/>
        </w:rPr>
        <w:t>Exempt Class F Transfer</w:t>
      </w:r>
      <w:r>
        <w:rPr>
          <w:rFonts w:ascii="Arial" w:cs="Arial" w:eastAsia="Arial" w:hAnsi="Arial"/>
          <w:sz w:val="19"/>
          <w:szCs w:val="19"/>
          <w:color w:val="auto"/>
        </w:rPr>
        <w:t>”). If a Permitted Transferee ceases to meet the criteria set forth in (i), (ii) or (iii) of the preceding sentence (as applicable), such Permitted Transferee shall re-transfer (within ten (10) Business Days) the Shares Transferred to such Permitted Transferee to the original transferor (in the case of an Exempt SoftBank Transfer, an Exempt Honda Transfer or an Exempt Class F Transfer) or to another member of the Family Group of such transferring Person (in the case of an Exempt Employee Member Transfer) and, pending the completion of such re-transfer, such Permitted Transferee shall not have any rights under this Agreement in respect of such Shares held by him, her or 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348" w:right="239" w:bottom="1440" w:gutter="0" w:footer="0" w:header="0"/>
        </w:sectPr>
      </w:pPr>
    </w:p>
    <w:bookmarkStart w:id="171" w:name="page172"/>
    <w:bookmarkEnd w:id="171"/>
    <w:p>
      <w:pPr>
        <w:ind w:firstLine="1305"/>
        <w:spacing w:after="0" w:line="295" w:lineRule="auto"/>
        <w:tabs>
          <w:tab w:leader="none" w:pos="1837"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As used herein, a “</w:t>
      </w:r>
      <w:r>
        <w:rPr>
          <w:rFonts w:ascii="Arial" w:cs="Arial" w:eastAsia="Arial" w:hAnsi="Arial"/>
          <w:sz w:val="22"/>
          <w:szCs w:val="22"/>
          <w:b w:val="1"/>
          <w:bCs w:val="1"/>
          <w:color w:val="auto"/>
        </w:rPr>
        <w:t>Permitted Transferee</w:t>
      </w:r>
      <w:r>
        <w:rPr>
          <w:rFonts w:ascii="Arial" w:cs="Arial" w:eastAsia="Arial" w:hAnsi="Arial"/>
          <w:sz w:val="22"/>
          <w:szCs w:val="22"/>
          <w:color w:val="auto"/>
        </w:rPr>
        <w:t>” shall constitute any Person, other than the Company, to whom Shares are Transferred pursuant to this Section 9.02.</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53" w:lineRule="exact"/>
        <w:rPr>
          <w:sz w:val="20"/>
          <w:szCs w:val="20"/>
          <w:color w:val="auto"/>
        </w:rPr>
      </w:pPr>
    </w:p>
    <w:p>
      <w:pPr>
        <w:jc w:val="both"/>
        <w:ind w:firstLine="1305"/>
        <w:spacing w:after="0" w:line="280" w:lineRule="auto"/>
        <w:tabs>
          <w:tab w:leader="none" w:pos="1743" w:val="left"/>
        </w:tabs>
        <w:numPr>
          <w:ilvl w:val="0"/>
          <w:numId w:val="123"/>
        </w:numPr>
        <w:rPr>
          <w:rFonts w:ascii="Arial" w:cs="Arial" w:eastAsia="Arial" w:hAnsi="Arial"/>
          <w:sz w:val="21"/>
          <w:szCs w:val="21"/>
          <w:color w:val="010000"/>
        </w:rPr>
      </w:pPr>
      <w:r>
        <w:rPr>
          <w:rFonts w:ascii="Arial" w:cs="Arial" w:eastAsia="Arial" w:hAnsi="Arial"/>
          <w:sz w:val="21"/>
          <w:szCs w:val="21"/>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21"/>
          <w:szCs w:val="21"/>
          <w:b w:val="1"/>
          <w:bCs w:val="1"/>
          <w:color w:val="auto"/>
        </w:rPr>
        <w:t>Assignee</w:t>
      </w:r>
      <w:r>
        <w:rPr>
          <w:rFonts w:ascii="Arial" w:cs="Arial" w:eastAsia="Arial" w:hAnsi="Arial"/>
          <w:sz w:val="21"/>
          <w:szCs w:val="21"/>
          <w:color w:val="auto"/>
        </w:rPr>
        <w:t>”. Distributions made before the effective date of such Transfer, shall be paid to the transferor, and Distributions made after such date shall be paid to the Assignee.</w:t>
      </w:r>
    </w:p>
    <w:p>
      <w:pPr>
        <w:spacing w:after="0" w:line="171" w:lineRule="exact"/>
        <w:rPr>
          <w:rFonts w:ascii="Arial" w:cs="Arial" w:eastAsia="Arial" w:hAnsi="Arial"/>
          <w:sz w:val="21"/>
          <w:szCs w:val="21"/>
          <w:color w:val="010000"/>
        </w:rPr>
      </w:pPr>
    </w:p>
    <w:p>
      <w:pPr>
        <w:jc w:val="both"/>
        <w:ind w:firstLine="1305"/>
        <w:spacing w:after="0" w:line="267" w:lineRule="auto"/>
        <w:tabs>
          <w:tab w:leader="none" w:pos="1742" w:val="left"/>
        </w:tabs>
        <w:numPr>
          <w:ilvl w:val="0"/>
          <w:numId w:val="123"/>
        </w:numPr>
        <w:rPr>
          <w:rFonts w:ascii="Arial" w:cs="Arial" w:eastAsia="Arial" w:hAnsi="Arial"/>
          <w:sz w:val="22"/>
          <w:szCs w:val="22"/>
          <w:color w:val="010000"/>
        </w:rPr>
      </w:pPr>
      <w:r>
        <w:rPr>
          <w:rFonts w:ascii="Arial" w:cs="Arial" w:eastAsia="Arial" w:hAnsi="Arial"/>
          <w:sz w:val="22"/>
          <w:szCs w:val="22"/>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84" w:lineRule="exact"/>
        <w:rPr>
          <w:rFonts w:ascii="Arial" w:cs="Arial" w:eastAsia="Arial" w:hAnsi="Arial"/>
          <w:sz w:val="22"/>
          <w:szCs w:val="22"/>
          <w:color w:val="010000"/>
        </w:rPr>
      </w:pPr>
    </w:p>
    <w:p>
      <w:pPr>
        <w:jc w:val="both"/>
        <w:ind w:firstLine="1305"/>
        <w:spacing w:after="0" w:line="304" w:lineRule="auto"/>
        <w:tabs>
          <w:tab w:leader="none" w:pos="1743"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156" w:lineRule="exact"/>
        <w:rPr>
          <w:rFonts w:ascii="Arial" w:cs="Arial" w:eastAsia="Arial" w:hAnsi="Arial"/>
          <w:sz w:val="19"/>
          <w:szCs w:val="19"/>
          <w:color w:val="010000"/>
        </w:rPr>
      </w:pPr>
    </w:p>
    <w:p>
      <w:pPr>
        <w:jc w:val="both"/>
        <w:ind w:firstLine="1305"/>
        <w:spacing w:after="0" w:line="315" w:lineRule="auto"/>
        <w:tabs>
          <w:tab w:leader="none" w:pos="1756"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For clarity (and notwithstanding anything to the contrary herein), the respective rights of SoftBank and Honda hereunder are personal to SoftBank and Honda, as applicable, (for so long as SoftBank or Honda, as applicable, is a Member), do not attach to the Class A-1 Preferred Shares or Class E Common Shares, or any other class of Shares or Equity Securities, and cannot be assigned by SoftBank or Honda to any other Person, except in connection with an Exempt SoftBank Transfer or an Exempt Honda Transfer pursuant to Section 9.02(a)(iii)(A) (but not, for clarity, Section 9.02(a)(iii)(B)).</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342" w:right="239" w:bottom="1440" w:gutter="0" w:footer="0" w:header="0"/>
        </w:sectPr>
      </w:pPr>
    </w:p>
    <w:bookmarkStart w:id="172" w:name="page173"/>
    <w:bookmarkEnd w:id="172"/>
    <w:p>
      <w:pPr>
        <w:ind w:left="660"/>
        <w:spacing w:after="0"/>
        <w:tabs>
          <w:tab w:leader="none" w:pos="120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22" w:lineRule="auto"/>
        <w:tabs>
          <w:tab w:leader="none" w:pos="1824"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In connection with the Transfer of a Share of a Member permitted under the terms of this Agreement, the transferee shall not become a Member (a “</w:t>
      </w:r>
      <w:r>
        <w:rPr>
          <w:rFonts w:ascii="Arial" w:cs="Arial" w:eastAsia="Arial" w:hAnsi="Arial"/>
          <w:sz w:val="19"/>
          <w:szCs w:val="19"/>
          <w:b w:val="1"/>
          <w:bCs w:val="1"/>
          <w:color w:val="auto"/>
        </w:rPr>
        <w:t>Substituted Member</w:t>
      </w:r>
      <w:r>
        <w:rPr>
          <w:rFonts w:ascii="Arial" w:cs="Arial" w:eastAsia="Arial" w:hAnsi="Arial"/>
          <w:sz w:val="19"/>
          <w:szCs w:val="19"/>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137" w:lineRule="exact"/>
        <w:rPr>
          <w:rFonts w:ascii="Arial" w:cs="Arial" w:eastAsia="Arial" w:hAnsi="Arial"/>
          <w:sz w:val="19"/>
          <w:szCs w:val="19"/>
          <w:color w:val="010000"/>
        </w:rPr>
      </w:pPr>
    </w:p>
    <w:p>
      <w:pPr>
        <w:jc w:val="both"/>
        <w:ind w:firstLine="1305"/>
        <w:spacing w:after="0" w:line="291" w:lineRule="auto"/>
        <w:tabs>
          <w:tab w:leader="none" w:pos="1728" w:val="left"/>
        </w:tabs>
        <w:numPr>
          <w:ilvl w:val="0"/>
          <w:numId w:val="124"/>
        </w:numPr>
        <w:rPr>
          <w:rFonts w:ascii="Arial" w:cs="Arial" w:eastAsia="Arial" w:hAnsi="Arial"/>
          <w:sz w:val="21"/>
          <w:szCs w:val="21"/>
          <w:color w:val="010000"/>
        </w:rPr>
      </w:pPr>
      <w:r>
        <w:rPr>
          <w:rFonts w:ascii="Arial" w:cs="Arial" w:eastAsia="Arial" w:hAnsi="Arial"/>
          <w:sz w:val="21"/>
          <w:szCs w:val="21"/>
          <w:color w:val="auto"/>
        </w:rPr>
        <w:t>Notwithstanding anything to the contrary that may be expressed or implied in this Agreement, a Person may be admitted to the Company as a Member by the Board of Directors (an “</w:t>
      </w:r>
      <w:r>
        <w:rPr>
          <w:rFonts w:ascii="Arial" w:cs="Arial" w:eastAsia="Arial" w:hAnsi="Arial"/>
          <w:sz w:val="21"/>
          <w:szCs w:val="21"/>
          <w:b w:val="1"/>
          <w:bCs w:val="1"/>
          <w:color w:val="auto"/>
        </w:rPr>
        <w:t>Additional Member</w:t>
      </w:r>
      <w:r>
        <w:rPr>
          <w:rFonts w:ascii="Arial" w:cs="Arial" w:eastAsia="Arial" w:hAnsi="Arial"/>
          <w:sz w:val="21"/>
          <w:szCs w:val="21"/>
          <w:color w:val="auto"/>
        </w:rPr>
        <w:t>”). Such admission shall become effective on the date on which such admission is shown on the books and records of the Company.</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 to the Company as a Member, each</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and Additional Member shall execute and deliver a joinder to this Agreement in the form attached hereto as Exhibit I or otherwise acceptable to the Board of Directors.</w:t>
      </w:r>
    </w:p>
    <w:p>
      <w:pPr>
        <w:spacing w:after="0" w:line="17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 continue to be subject to all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imposed by this Agreement with respect to Shares and Transfers thereof.</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57"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If any Class A-2 Member, Class C Member or the GM Investor or its Affiliates in their capacity as a Class F Preferred Member (the “</w:t>
      </w:r>
      <w:r>
        <w:rPr>
          <w:rFonts w:ascii="Arial" w:cs="Arial" w:eastAsia="Arial" w:hAnsi="Arial"/>
          <w:sz w:val="19"/>
          <w:szCs w:val="19"/>
          <w:b w:val="1"/>
          <w:bCs w:val="1"/>
          <w:color w:val="auto"/>
        </w:rPr>
        <w:t>Transferring Holder</w:t>
      </w:r>
      <w:r>
        <w:rPr>
          <w:rFonts w:ascii="Arial" w:cs="Arial" w:eastAsia="Arial" w:hAnsi="Arial"/>
          <w:sz w:val="19"/>
          <w:szCs w:val="19"/>
          <w:color w:val="auto"/>
        </w:rPr>
        <w:t>”) proposes to Transfer Class A-2 Preferred Shares, Class C Common Shares or Class F Preferred Shares (or any 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each Class A-1 Preferred Member, each Class E Member and each Class F Preferred Member (the “</w:t>
      </w:r>
      <w:r>
        <w:rPr>
          <w:rFonts w:ascii="Arial" w:cs="Arial" w:eastAsia="Arial" w:hAnsi="Arial"/>
          <w:sz w:val="19"/>
          <w:szCs w:val="19"/>
          <w:b w:val="1"/>
          <w:bCs w:val="1"/>
          <w:color w:val="auto"/>
        </w:rPr>
        <w:t>Participation Members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clarity, such Transferring Holder will not be a Participation Member in its capacity as a Class F Preferred Member, notwithstanding that such Transferring Holder may hold Class F Preferred Shares)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Class D Common Shares, Class E Common Shares and Class F Preferred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342" w:right="239" w:bottom="1440" w:gutter="0" w:footer="0" w:header="0"/>
        </w:sectPr>
      </w:pPr>
    </w:p>
    <w:bookmarkStart w:id="173" w:name="page174"/>
    <w:bookmarkEnd w:id="173"/>
    <w:p>
      <w:pPr>
        <w:jc w:val="both"/>
        <w:spacing w:after="0" w:line="303" w:lineRule="auto"/>
        <w:rPr>
          <w:sz w:val="20"/>
          <w:szCs w:val="20"/>
          <w:color w:val="auto"/>
        </w:rPr>
      </w:pPr>
      <w:r>
        <w:rPr>
          <w:rFonts w:ascii="Arial" w:cs="Arial" w:eastAsia="Arial" w:hAnsi="Arial"/>
          <w:sz w:val="19"/>
          <w:szCs w:val="19"/>
          <w:color w:val="auto"/>
        </w:rPr>
        <w:t>(or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Class D Common Shares with respect to Class D Members, Class E Common Shares with respect to Class E Members, Class F Preferred Shares with respect to Class F Preferred Members (the “</w:t>
      </w:r>
      <w:r>
        <w:rPr>
          <w:rFonts w:ascii="Arial" w:cs="Arial" w:eastAsia="Arial" w:hAnsi="Arial"/>
          <w:sz w:val="19"/>
          <w:szCs w:val="19"/>
          <w:b w:val="1"/>
          <w:bCs w:val="1"/>
          <w:color w:val="auto"/>
        </w:rPr>
        <w:t>Tagged Shares</w:t>
      </w:r>
      <w:r>
        <w:rPr>
          <w:rFonts w:ascii="Arial" w:cs="Arial" w:eastAsia="Arial" w:hAnsi="Arial"/>
          <w:sz w:val="19"/>
          <w:szCs w:val="19"/>
          <w:color w:val="auto"/>
        </w:rPr>
        <w:t>”) to be sold in the Transfer, to be calculated according to the following methodology:</w:t>
      </w:r>
    </w:p>
    <w:p>
      <w:pPr>
        <w:spacing w:after="0" w:line="159" w:lineRule="exact"/>
        <w:rPr>
          <w:sz w:val="20"/>
          <w:szCs w:val="20"/>
          <w:color w:val="auto"/>
        </w:rPr>
      </w:pPr>
    </w:p>
    <w:p>
      <w:pPr>
        <w:jc w:val="both"/>
        <w:ind w:firstLine="1953"/>
        <w:spacing w:after="0" w:line="303" w:lineRule="auto"/>
        <w:tabs>
          <w:tab w:leader="none" w:pos="2342" w:val="left"/>
        </w:tabs>
        <w:numPr>
          <w:ilvl w:val="0"/>
          <w:numId w:val="126"/>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all Non-A-1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all Class A-1 Preferred Shares held by all Participation Member(s) are deemed converted to Class D Common Shares pursuant to Section 2.10(b), all Class E Common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F Preferred Shares held by all Participation Member(s) are deemed converted to Class D Common Shares at the Class F Preferred Share Conversion Ratio (collectively the number of Class D Common Shares resulting from the deemed conversion, plus the number of Class D Common Shares held by the Participation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 solely be for the purposes of calculating the Tagged Shares, and no actual conversion shall occur pursuant to this Section 9.07(a).</w:t>
      </w:r>
    </w:p>
    <w:p>
      <w:pPr>
        <w:spacing w:after="0" w:line="154" w:lineRule="exact"/>
        <w:rPr>
          <w:rFonts w:ascii="Arial" w:cs="Arial" w:eastAsia="Arial" w:hAnsi="Arial"/>
          <w:sz w:val="19"/>
          <w:szCs w:val="19"/>
          <w:color w:val="010000"/>
        </w:rPr>
      </w:pPr>
    </w:p>
    <w:p>
      <w:pPr>
        <w:ind w:left="2540" w:hanging="587"/>
        <w:spacing w:after="0"/>
        <w:tabs>
          <w:tab w:leader="none" w:pos="2540" w:val="left"/>
        </w:tabs>
        <w:numPr>
          <w:ilvl w:val="0"/>
          <w:numId w:val="126"/>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the total number of Shares that are subject to Transfer is determined (the “</w:t>
      </w:r>
      <w:r>
        <w:rPr>
          <w:rFonts w:ascii="Arial" w:cs="Arial" w:eastAsia="Arial" w:hAnsi="Arial"/>
          <w:sz w:val="19"/>
          <w:szCs w:val="19"/>
          <w:b w:val="1"/>
          <w:bCs w:val="1"/>
          <w:color w:val="auto"/>
        </w:rPr>
        <w:t>Total Tagged</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39" w:lineRule="exact"/>
        <w:rPr>
          <w:rFonts w:ascii="Arial" w:cs="Arial" w:eastAsia="Arial" w:hAnsi="Arial"/>
          <w:sz w:val="19"/>
          <w:szCs w:val="19"/>
          <w:color w:val="010000"/>
        </w:rPr>
      </w:pPr>
    </w:p>
    <w:p>
      <w:pPr>
        <w:ind w:left="2460" w:hanging="507"/>
        <w:spacing w:after="0"/>
        <w:tabs>
          <w:tab w:leader="none" w:pos="2460"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46" w:lineRule="exact"/>
        <w:rPr>
          <w:rFonts w:ascii="Arial" w:cs="Arial" w:eastAsia="Arial" w:hAnsi="Arial"/>
          <w:sz w:val="22"/>
          <w:szCs w:val="22"/>
          <w:color w:val="010000"/>
        </w:rPr>
      </w:pPr>
    </w:p>
    <w:p>
      <w:pPr>
        <w:jc w:val="both"/>
        <w:ind w:firstLine="2601"/>
        <w:spacing w:after="0" w:line="267" w:lineRule="auto"/>
        <w:tabs>
          <w:tab w:leader="none" w:pos="3154" w:val="left"/>
        </w:tabs>
        <w:numPr>
          <w:ilvl w:val="1"/>
          <w:numId w:val="126"/>
        </w:numPr>
        <w:rPr>
          <w:rFonts w:ascii="Arial" w:cs="Arial" w:eastAsia="Arial" w:hAnsi="Arial"/>
          <w:sz w:val="22"/>
          <w:szCs w:val="22"/>
          <w:color w:val="010000"/>
        </w:rPr>
      </w:pPr>
      <w:r>
        <w:rPr>
          <w:rFonts w:ascii="Arial" w:cs="Arial" w:eastAsia="Arial" w:hAnsi="Arial"/>
          <w:sz w:val="22"/>
          <w:szCs w:val="22"/>
          <w:color w:val="auto"/>
        </w:rPr>
        <w:t xml:space="preserve">a number of Class A-1-A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the A-1-A Preferred Share Conversion Ratio;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348" w:right="239" w:bottom="1440" w:gutter="0" w:footer="0" w:header="0"/>
        </w:sectPr>
      </w:pPr>
    </w:p>
    <w:bookmarkStart w:id="174" w:name="page175"/>
    <w:bookmarkEnd w:id="174"/>
    <w:p>
      <w:pPr>
        <w:jc w:val="both"/>
        <w:ind w:firstLine="2601"/>
        <w:spacing w:after="0" w:line="267" w:lineRule="auto"/>
        <w:tabs>
          <w:tab w:leader="none" w:pos="3142"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 xml:space="preserve">a number of Class A-1-B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A-1-B Preferred Share Conversion Ratio;</w:t>
      </w:r>
    </w:p>
    <w:p>
      <w:pPr>
        <w:spacing w:after="0" w:line="184" w:lineRule="exact"/>
        <w:rPr>
          <w:rFonts w:ascii="Arial" w:cs="Arial" w:eastAsia="Arial" w:hAnsi="Arial"/>
          <w:sz w:val="22"/>
          <w:szCs w:val="22"/>
          <w:color w:val="010000"/>
        </w:rPr>
      </w:pPr>
    </w:p>
    <w:p>
      <w:pPr>
        <w:jc w:val="both"/>
        <w:ind w:firstLine="2601"/>
        <w:spacing w:after="0" w:line="291" w:lineRule="auto"/>
        <w:tabs>
          <w:tab w:leader="none" w:pos="3061" w:val="left"/>
        </w:tabs>
        <w:numPr>
          <w:ilvl w:val="1"/>
          <w:numId w:val="127"/>
        </w:numPr>
        <w:rPr>
          <w:rFonts w:ascii="Arial" w:cs="Arial" w:eastAsia="Arial" w:hAnsi="Arial"/>
          <w:sz w:val="21"/>
          <w:szCs w:val="21"/>
          <w:color w:val="010000"/>
        </w:rPr>
      </w:pPr>
      <w:r>
        <w:rPr>
          <w:rFonts w:ascii="Arial" w:cs="Arial" w:eastAsia="Arial" w:hAnsi="Arial"/>
          <w:sz w:val="21"/>
          <w:szCs w:val="21"/>
          <w:color w:val="auto"/>
        </w:rPr>
        <w:t xml:space="preserve">a number of Class D Common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D Common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2601"/>
        <w:spacing w:after="0" w:line="334" w:lineRule="auto"/>
        <w:tabs>
          <w:tab w:leader="none" w:pos="3073" w:val="left"/>
        </w:tabs>
        <w:numPr>
          <w:ilvl w:val="1"/>
          <w:numId w:val="127"/>
        </w:numPr>
        <w:rPr>
          <w:rFonts w:ascii="Arial" w:cs="Arial" w:eastAsia="Arial" w:hAnsi="Arial"/>
          <w:sz w:val="19"/>
          <w:szCs w:val="19"/>
          <w:color w:val="010000"/>
        </w:rPr>
      </w:pPr>
      <w:r>
        <w:rPr>
          <w:rFonts w:ascii="Arial" w:cs="Arial" w:eastAsia="Arial" w:hAnsi="Arial"/>
          <w:sz w:val="19"/>
          <w:szCs w:val="19"/>
          <w:color w:val="auto"/>
        </w:rPr>
        <w:t xml:space="preserve">a number of Class E Common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E Common Shares held by such Participation Member prior to the deemed conversion pursuant to subsection (i) above, and (2) the denominator of which is the Total Conversion Shares; and</w:t>
      </w:r>
    </w:p>
    <w:p>
      <w:pPr>
        <w:spacing w:after="0" w:line="127" w:lineRule="exact"/>
        <w:rPr>
          <w:rFonts w:ascii="Arial" w:cs="Arial" w:eastAsia="Arial" w:hAnsi="Arial"/>
          <w:sz w:val="19"/>
          <w:szCs w:val="19"/>
          <w:color w:val="010000"/>
        </w:rPr>
      </w:pPr>
    </w:p>
    <w:p>
      <w:pPr>
        <w:jc w:val="both"/>
        <w:ind w:firstLine="2601"/>
        <w:spacing w:after="0" w:line="291" w:lineRule="auto"/>
        <w:tabs>
          <w:tab w:leader="none" w:pos="3062" w:val="left"/>
        </w:tabs>
        <w:numPr>
          <w:ilvl w:val="1"/>
          <w:numId w:val="127"/>
        </w:numPr>
        <w:rPr>
          <w:rFonts w:ascii="Arial" w:cs="Arial" w:eastAsia="Arial" w:hAnsi="Arial"/>
          <w:sz w:val="21"/>
          <w:szCs w:val="21"/>
          <w:color w:val="010000"/>
        </w:rPr>
      </w:pPr>
      <w:r>
        <w:rPr>
          <w:rFonts w:ascii="Arial" w:cs="Arial" w:eastAsia="Arial" w:hAnsi="Arial"/>
          <w:sz w:val="21"/>
          <w:szCs w:val="21"/>
          <w:color w:val="auto"/>
        </w:rPr>
        <w:t xml:space="preserve">a number of Class F Preferred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F Preferred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1305"/>
        <w:spacing w:after="0" w:line="309" w:lineRule="auto"/>
        <w:tabs>
          <w:tab w:leader="none" w:pos="1837"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Immediately prior to the consummation of the Transfer to the Independent Third Party, the Tagged Shares (other than Class E Common Shares and Class F Preferred Shares) will be automatically, and without any further action, be actually converted into Class D Common Shares pursuant to Section 2.10(b).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151" w:lineRule="exact"/>
        <w:rPr>
          <w:rFonts w:ascii="Arial" w:cs="Arial" w:eastAsia="Arial" w:hAnsi="Arial"/>
          <w:sz w:val="19"/>
          <w:szCs w:val="19"/>
          <w:color w:val="010000"/>
        </w:rPr>
      </w:pPr>
    </w:p>
    <w:p>
      <w:pPr>
        <w:jc w:val="both"/>
        <w:ind w:firstLine="1305"/>
        <w:spacing w:after="0" w:line="261" w:lineRule="auto"/>
        <w:tabs>
          <w:tab w:leader="none" w:pos="1730" w:val="left"/>
        </w:tabs>
        <w:numPr>
          <w:ilvl w:val="0"/>
          <w:numId w:val="128"/>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9.07,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22"/>
          <w:szCs w:val="22"/>
          <w:b w:val="1"/>
          <w:bCs w:val="1"/>
          <w:color w:val="auto"/>
        </w:rPr>
        <w:t>Amended Tag Notice</w:t>
      </w:r>
      <w:r>
        <w:rPr>
          <w:rFonts w:ascii="Arial" w:cs="Arial" w:eastAsia="Arial" w:hAnsi="Arial"/>
          <w:sz w:val="22"/>
          <w:szCs w:val="22"/>
          <w:color w:val="auto"/>
        </w:rPr>
        <w:t>”) to each Participation 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348" w:right="239" w:bottom="1440" w:gutter="0" w:footer="0" w:header="0"/>
        </w:sectPr>
      </w:pPr>
    </w:p>
    <w:bookmarkStart w:id="175" w:name="page176"/>
    <w:bookmarkEnd w:id="175"/>
    <w:p>
      <w:pPr>
        <w:jc w:val="both"/>
        <w:ind w:firstLine="1305"/>
        <w:spacing w:after="0" w:line="274" w:lineRule="auto"/>
        <w:tabs>
          <w:tab w:leader="none" w:pos="1756" w:val="left"/>
        </w:tabs>
        <w:numPr>
          <w:ilvl w:val="0"/>
          <w:numId w:val="129"/>
        </w:numPr>
        <w:rPr>
          <w:rFonts w:ascii="Arial" w:cs="Arial" w:eastAsia="Arial" w:hAnsi="Arial"/>
          <w:sz w:val="21"/>
          <w:szCs w:val="21"/>
          <w:color w:val="010000"/>
        </w:rPr>
      </w:pPr>
      <w:r>
        <w:rPr>
          <w:rFonts w:ascii="Arial" w:cs="Arial" w:eastAsia="Arial" w:hAnsi="Arial"/>
          <w:sz w:val="21"/>
          <w:szCs w:val="21"/>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79" w:lineRule="exact"/>
        <w:rPr>
          <w:rFonts w:ascii="Arial" w:cs="Arial" w:eastAsia="Arial" w:hAnsi="Arial"/>
          <w:sz w:val="21"/>
          <w:szCs w:val="21"/>
          <w:color w:val="010000"/>
        </w:rPr>
      </w:pPr>
    </w:p>
    <w:p>
      <w:pPr>
        <w:jc w:val="both"/>
        <w:ind w:firstLine="1305"/>
        <w:spacing w:after="0" w:line="262" w:lineRule="auto"/>
        <w:tabs>
          <w:tab w:leader="none" w:pos="1797"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Without limiting the generality of the other provisions of this Section 9.07, 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811"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Section 9.08(b) and Section 9.08(d), and without prejudice to Section 5.11,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348" w:right="239" w:bottom="1440" w:gutter="0" w:footer="0" w:header="0"/>
        </w:sectPr>
      </w:pPr>
    </w:p>
    <w:bookmarkStart w:id="176" w:name="page177"/>
    <w:bookmarkEnd w:id="176"/>
    <w:p>
      <w:pPr>
        <w:jc w:val="both"/>
        <w:spacing w:after="0" w:line="303" w:lineRule="auto"/>
        <w:rPr>
          <w:sz w:val="20"/>
          <w:szCs w:val="20"/>
          <w:color w:val="auto"/>
        </w:rPr>
      </w:pPr>
      <w:r>
        <w:rPr>
          <w:rFonts w:ascii="Arial" w:cs="Arial" w:eastAsia="Arial" w:hAnsi="Arial"/>
          <w:sz w:val="19"/>
          <w:szCs w:val="19"/>
          <w:color w:val="auto"/>
        </w:rPr>
        <w:t>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159" w:lineRule="exact"/>
        <w:rPr>
          <w:sz w:val="20"/>
          <w:szCs w:val="20"/>
          <w:color w:val="auto"/>
        </w:rPr>
      </w:pPr>
    </w:p>
    <w:p>
      <w:pPr>
        <w:jc w:val="both"/>
        <w:ind w:firstLine="1305"/>
        <w:spacing w:after="0" w:line="304" w:lineRule="auto"/>
        <w:tabs>
          <w:tab w:leader="none" w:pos="1796" w:val="left"/>
        </w:tabs>
        <w:numPr>
          <w:ilvl w:val="0"/>
          <w:numId w:val="131"/>
        </w:numPr>
        <w:rPr>
          <w:rFonts w:ascii="Arial" w:cs="Arial" w:eastAsia="Arial" w:hAnsi="Arial"/>
          <w:sz w:val="19"/>
          <w:szCs w:val="19"/>
          <w:color w:val="010000"/>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156" w:lineRule="exact"/>
        <w:rPr>
          <w:rFonts w:ascii="Arial" w:cs="Arial" w:eastAsia="Arial" w:hAnsi="Arial"/>
          <w:sz w:val="19"/>
          <w:szCs w:val="19"/>
          <w:color w:val="010000"/>
        </w:rPr>
      </w:pPr>
    </w:p>
    <w:p>
      <w:pPr>
        <w:jc w:val="both"/>
        <w:ind w:firstLine="1305"/>
        <w:spacing w:after="0" w:line="305" w:lineRule="auto"/>
        <w:tabs>
          <w:tab w:leader="none" w:pos="1716" w:val="left"/>
        </w:tabs>
        <w:numPr>
          <w:ilvl w:val="0"/>
          <w:numId w:val="131"/>
        </w:numPr>
        <w:rPr>
          <w:rFonts w:ascii="Arial" w:cs="Arial" w:eastAsia="Arial" w:hAnsi="Arial"/>
          <w:sz w:val="19"/>
          <w:szCs w:val="19"/>
          <w:color w:val="010000"/>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348" w:right="239" w:bottom="1440" w:gutter="0" w:footer="0" w:header="0"/>
        </w:sectPr>
      </w:pPr>
    </w:p>
    <w:bookmarkStart w:id="177" w:name="page178"/>
    <w:bookmarkEnd w:id="177"/>
    <w:p>
      <w:pPr>
        <w:jc w:val="both"/>
        <w:spacing w:after="0" w:line="266" w:lineRule="auto"/>
        <w:rPr>
          <w:sz w:val="20"/>
          <w:szCs w:val="20"/>
          <w:color w:val="auto"/>
        </w:rPr>
      </w:pPr>
      <w:r>
        <w:rPr>
          <w:rFonts w:ascii="Arial" w:cs="Arial" w:eastAsia="Arial" w:hAnsi="Arial"/>
          <w:sz w:val="22"/>
          <w:szCs w:val="22"/>
          <w:color w:val="auto"/>
        </w:rPr>
        <w:t>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pacing w:after="0" w:line="185" w:lineRule="exact"/>
        <w:rPr>
          <w:sz w:val="20"/>
          <w:szCs w:val="20"/>
          <w:color w:val="auto"/>
        </w:rPr>
      </w:pPr>
    </w:p>
    <w:p>
      <w:pPr>
        <w:jc w:val="both"/>
        <w:ind w:firstLine="1305"/>
        <w:spacing w:after="0" w:line="298" w:lineRule="auto"/>
        <w:tabs>
          <w:tab w:leader="none" w:pos="1756" w:val="left"/>
        </w:tabs>
        <w:numPr>
          <w:ilvl w:val="1"/>
          <w:numId w:val="132"/>
        </w:numPr>
        <w:rPr>
          <w:rFonts w:ascii="Arial" w:cs="Arial" w:eastAsia="Arial" w:hAnsi="Arial"/>
          <w:sz w:val="19"/>
          <w:szCs w:val="19"/>
          <w:color w:val="010000"/>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the GM Investor or any of its Affiliates, SoftBank or any of its Affiliates, Honda or any of its Affiliates or any Class F New Member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w:t>
      </w:r>
    </w:p>
    <w:p>
      <w:pPr>
        <w:spacing w:after="0" w:line="2" w:lineRule="exact"/>
        <w:rPr>
          <w:rFonts w:ascii="Arial" w:cs="Arial" w:eastAsia="Arial" w:hAnsi="Arial"/>
          <w:sz w:val="19"/>
          <w:szCs w:val="19"/>
          <w:color w:val="010000"/>
        </w:rPr>
      </w:pPr>
    </w:p>
    <w:p>
      <w:pPr>
        <w:jc w:val="both"/>
        <w:ind w:firstLine="8"/>
        <w:spacing w:after="0" w:line="315" w:lineRule="auto"/>
        <w:tabs>
          <w:tab w:leader="none" w:pos="35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Person in the Sale of the Company (other than for fraud or breach of a covenant).</w:t>
      </w:r>
    </w:p>
    <w:p>
      <w:pPr>
        <w:spacing w:after="0" w:line="145" w:lineRule="exact"/>
        <w:rPr>
          <w:rFonts w:ascii="Arial" w:cs="Arial" w:eastAsia="Arial" w:hAnsi="Arial"/>
          <w:sz w:val="19"/>
          <w:szCs w:val="19"/>
          <w:color w:val="auto"/>
        </w:rPr>
      </w:pPr>
    </w:p>
    <w:p>
      <w:pPr>
        <w:jc w:val="both"/>
        <w:ind w:firstLine="1305"/>
        <w:spacing w:after="0" w:line="267" w:lineRule="auto"/>
        <w:tabs>
          <w:tab w:leader="none" w:pos="1730" w:val="left"/>
        </w:tabs>
        <w:numPr>
          <w:ilvl w:val="1"/>
          <w:numId w:val="133"/>
        </w:numPr>
        <w:rPr>
          <w:rFonts w:ascii="Arial" w:cs="Arial" w:eastAsia="Arial" w:hAnsi="Arial"/>
          <w:sz w:val="22"/>
          <w:szCs w:val="22"/>
          <w:color w:val="010000"/>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184" w:lineRule="exact"/>
        <w:rPr>
          <w:rFonts w:ascii="Arial" w:cs="Arial" w:eastAsia="Arial" w:hAnsi="Arial"/>
          <w:sz w:val="22"/>
          <w:szCs w:val="22"/>
          <w:color w:val="010000"/>
        </w:rPr>
      </w:pPr>
    </w:p>
    <w:p>
      <w:pPr>
        <w:jc w:val="both"/>
        <w:ind w:firstLine="1305"/>
        <w:spacing w:after="0" w:line="309" w:lineRule="auto"/>
        <w:tabs>
          <w:tab w:leader="none" w:pos="1719"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348" w:right="239" w:bottom="1440" w:gutter="0" w:footer="0" w:header="0"/>
        </w:sectPr>
      </w:pPr>
    </w:p>
    <w:bookmarkStart w:id="178" w:name="page179"/>
    <w:bookmarkEnd w:id="178"/>
    <w:p>
      <w:pPr>
        <w:jc w:val="both"/>
        <w:spacing w:after="0" w:line="312" w:lineRule="auto"/>
        <w:rPr>
          <w:sz w:val="20"/>
          <w:szCs w:val="20"/>
          <w:color w:val="auto"/>
        </w:rPr>
      </w:pPr>
      <w:r>
        <w:rPr>
          <w:rFonts w:ascii="Arial" w:cs="Arial" w:eastAsia="Arial" w:hAnsi="Arial"/>
          <w:sz w:val="19"/>
          <w:szCs w:val="19"/>
          <w:color w:val="auto"/>
        </w:rPr>
        <w:t>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Section 9.08(b).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46" w:lineRule="exact"/>
        <w:rPr>
          <w:sz w:val="20"/>
          <w:szCs w:val="20"/>
          <w:color w:val="auto"/>
        </w:rPr>
      </w:pPr>
    </w:p>
    <w:p>
      <w:pPr>
        <w:jc w:val="both"/>
        <w:ind w:firstLine="1305"/>
        <w:spacing w:after="0" w:line="291" w:lineRule="auto"/>
        <w:tabs>
          <w:tab w:leader="none" w:pos="1823" w:val="left"/>
        </w:tabs>
        <w:numPr>
          <w:ilvl w:val="0"/>
          <w:numId w:val="134"/>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161" w:lineRule="exact"/>
        <w:rPr>
          <w:rFonts w:ascii="Arial" w:cs="Arial" w:eastAsia="Arial" w:hAnsi="Arial"/>
          <w:sz w:val="21"/>
          <w:szCs w:val="21"/>
          <w:color w:val="010000"/>
        </w:rPr>
      </w:pPr>
    </w:p>
    <w:p>
      <w:pPr>
        <w:ind w:left="1740" w:hanging="435"/>
        <w:spacing w:after="0"/>
        <w:tabs>
          <w:tab w:leader="none" w:pos="1740" w:val="left"/>
        </w:tabs>
        <w:numPr>
          <w:ilvl w:val="0"/>
          <w:numId w:val="134"/>
        </w:numPr>
        <w:rPr>
          <w:rFonts w:ascii="Arial" w:cs="Arial" w:eastAsia="Arial" w:hAnsi="Arial"/>
          <w:sz w:val="21"/>
          <w:szCs w:val="21"/>
          <w:color w:val="010000"/>
        </w:rPr>
      </w:pPr>
      <w:r>
        <w:rPr>
          <w:rFonts w:ascii="Arial" w:cs="Arial" w:eastAsia="Arial" w:hAnsi="Arial"/>
          <w:sz w:val="21"/>
          <w:szCs w:val="21"/>
          <w:color w:val="auto"/>
        </w:rPr>
        <w:t>The provisions of this Section 9.08 shall not apply to any transaction pursuant to Sections 9.10 or 9.12.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1" w:lineRule="auto"/>
        <w:tabs>
          <w:tab w:leader="none" w:pos="1784"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 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348" w:right="239" w:bottom="1440" w:gutter="0" w:footer="0" w:header="0"/>
        </w:sectPr>
      </w:pPr>
    </w:p>
    <w:bookmarkStart w:id="179" w:name="page180"/>
    <w:bookmarkEnd w:id="179"/>
    <w:p>
      <w:pPr>
        <w:jc w:val="both"/>
        <w:spacing w:after="0" w:line="309" w:lineRule="auto"/>
        <w:rPr>
          <w:sz w:val="20"/>
          <w:szCs w:val="20"/>
          <w:color w:val="auto"/>
        </w:rPr>
      </w:pPr>
      <w:r>
        <w:rPr>
          <w:rFonts w:ascii="Arial" w:cs="Arial" w:eastAsia="Arial" w:hAnsi="Arial"/>
          <w:sz w:val="19"/>
          <w:szCs w:val="19"/>
          <w:color w:val="auto"/>
        </w:rPr>
        <w:t>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 are bound by the provisions of this Section 9.09 and that such Shares may be Transferred only to the Independent Third Party.</w:t>
      </w:r>
    </w:p>
    <w:p>
      <w:pPr>
        <w:spacing w:after="0" w:line="149" w:lineRule="exact"/>
        <w:rPr>
          <w:sz w:val="20"/>
          <w:szCs w:val="20"/>
          <w:color w:val="auto"/>
        </w:rPr>
      </w:pPr>
    </w:p>
    <w:p>
      <w:pPr>
        <w:jc w:val="both"/>
        <w:ind w:firstLine="1305"/>
        <w:spacing w:after="0" w:line="298" w:lineRule="auto"/>
        <w:tabs>
          <w:tab w:leader="none" w:pos="1728"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Transfer would require the GM Investor, any Dragee, the 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7" w:lineRule="exact"/>
        <w:rPr>
          <w:rFonts w:ascii="Arial" w:cs="Arial" w:eastAsia="Arial" w:hAnsi="Arial"/>
          <w:sz w:val="19"/>
          <w:szCs w:val="19"/>
          <w:color w:val="010000"/>
        </w:rPr>
      </w:pPr>
    </w:p>
    <w:p>
      <w:pPr>
        <w:jc w:val="both"/>
        <w:ind w:firstLine="8"/>
        <w:spacing w:after="0" w:line="260" w:lineRule="auto"/>
        <w:tabs>
          <w:tab w:leader="none" w:pos="26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191" w:lineRule="exact"/>
        <w:rPr>
          <w:rFonts w:ascii="Arial" w:cs="Arial" w:eastAsia="Arial" w:hAnsi="Arial"/>
          <w:sz w:val="22"/>
          <w:szCs w:val="22"/>
          <w:color w:val="auto"/>
        </w:rPr>
      </w:pPr>
    </w:p>
    <w:p>
      <w:pPr>
        <w:jc w:val="both"/>
        <w:ind w:firstLine="1305"/>
        <w:spacing w:after="0" w:line="306" w:lineRule="auto"/>
        <w:tabs>
          <w:tab w:leader="none" w:pos="1757" w:val="left"/>
        </w:tabs>
        <w:numPr>
          <w:ilvl w:val="1"/>
          <w:numId w:val="137"/>
        </w:numPr>
        <w:rPr>
          <w:rFonts w:ascii="Arial" w:cs="Arial" w:eastAsia="Arial" w:hAnsi="Arial"/>
          <w:sz w:val="19"/>
          <w:szCs w:val="19"/>
          <w:color w:val="010000"/>
        </w:rPr>
      </w:pPr>
      <w:r>
        <w:rPr>
          <w:rFonts w:ascii="Arial" w:cs="Arial" w:eastAsia="Arial" w:hAnsi="Arial"/>
          <w:sz w:val="19"/>
          <w:szCs w:val="19"/>
          <w:color w:val="auto"/>
        </w:rPr>
        <w:t>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 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53" w:lineRule="exact"/>
        <w:rPr>
          <w:rFonts w:ascii="Arial" w:cs="Arial" w:eastAsia="Arial" w:hAnsi="Arial"/>
          <w:sz w:val="19"/>
          <w:szCs w:val="19"/>
          <w:color w:val="010000"/>
        </w:rPr>
      </w:pPr>
    </w:p>
    <w:p>
      <w:pPr>
        <w:ind w:left="1740" w:hanging="435"/>
        <w:spacing w:after="0"/>
        <w:tabs>
          <w:tab w:leader="none" w:pos="1740" w:val="left"/>
        </w:tabs>
        <w:numPr>
          <w:ilvl w:val="1"/>
          <w:numId w:val="137"/>
        </w:numPr>
        <w:rPr>
          <w:rFonts w:ascii="Arial" w:cs="Arial" w:eastAsia="Arial" w:hAnsi="Arial"/>
          <w:sz w:val="19"/>
          <w:szCs w:val="19"/>
          <w:color w:val="010000"/>
        </w:rPr>
      </w:pPr>
      <w:r>
        <w:rPr>
          <w:rFonts w:ascii="Arial" w:cs="Arial" w:eastAsia="Arial" w:hAnsi="Arial"/>
          <w:sz w:val="19"/>
          <w:szCs w:val="19"/>
          <w:color w:val="auto"/>
        </w:rPr>
        <w:t>The provisions of this Section 9.09 shall not apply to any Transfer to a Permitted Transferee in accordance with</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9.02.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348" w:right="239" w:bottom="1440" w:gutter="0" w:footer="0" w:header="0"/>
        </w:sectPr>
      </w:pPr>
    </w:p>
    <w:bookmarkStart w:id="180" w:name="page181"/>
    <w:bookmarkEnd w:id="180"/>
    <w:p>
      <w:pPr>
        <w:ind w:firstLine="1305"/>
        <w:spacing w:after="0" w:line="289" w:lineRule="auto"/>
        <w:tabs>
          <w:tab w:leader="none" w:pos="1743"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The obligations of a Member in connection with a Drag-Along Sale shall be subject to the limitations set forth in Section 9.08(d) as if such Drag-Along Sale was a Sale of the Company thereunder.</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30"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If the Board of Directors authorizes (subject to Section 5.11 and 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19"/>
          <w:szCs w:val="19"/>
          <w:b w:val="1"/>
          <w:bCs w:val="1"/>
          <w:color w:val="auto"/>
        </w:rPr>
        <w:t>IPO Shares</w:t>
      </w:r>
      <w:r>
        <w:rPr>
          <w:rFonts w:ascii="Arial" w:cs="Arial" w:eastAsia="Arial" w:hAnsi="Arial"/>
          <w:sz w:val="19"/>
          <w:szCs w:val="19"/>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200" w:lineRule="exact"/>
        <w:rPr>
          <w:rFonts w:ascii="Arial" w:cs="Arial" w:eastAsia="Arial" w:hAnsi="Arial"/>
          <w:sz w:val="19"/>
          <w:szCs w:val="19"/>
          <w:color w:val="010000"/>
        </w:rPr>
      </w:pPr>
    </w:p>
    <w:p>
      <w:pPr>
        <w:spacing w:after="0" w:line="232" w:lineRule="exact"/>
        <w:rPr>
          <w:rFonts w:ascii="Arial" w:cs="Arial" w:eastAsia="Arial" w:hAnsi="Arial"/>
          <w:sz w:val="19"/>
          <w:szCs w:val="19"/>
          <w:color w:val="010000"/>
        </w:rPr>
      </w:pPr>
    </w:p>
    <w:p>
      <w:pPr>
        <w:jc w:val="both"/>
        <w:ind w:firstLine="1305"/>
        <w:spacing w:after="0" w:line="303" w:lineRule="auto"/>
        <w:tabs>
          <w:tab w:leader="none" w:pos="1742"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The IPO Shares issued to (i) each Class A-1 Preferred Member with respect to each Class A-1 Preferred Share, each Class B Member with respect to each Class B Common Share, each Class D Member with respect to each Class D Common Share, each Class E Member with respect to each Class E Common Share and each Class F Preferred Member with respect to each Class F Preferred Share and (ii) any other Investor in respect of Equity Securities issued pursuant to Section 2.06 (if such Equity Securities are designated as low-vote Equity Securities by the Board of Directors at the time of issuance or at any time thereafter) (collectively, the “</w:t>
      </w:r>
      <w:r>
        <w:rPr>
          <w:rFonts w:ascii="Arial" w:cs="Arial" w:eastAsia="Arial" w:hAnsi="Arial"/>
          <w:sz w:val="19"/>
          <w:szCs w:val="19"/>
          <w:b w:val="1"/>
          <w:bCs w:val="1"/>
          <w:color w:val="auto"/>
        </w:rPr>
        <w:t>Low-Vote IPO Shares</w:t>
      </w:r>
      <w:r>
        <w:rPr>
          <w:rFonts w:ascii="Arial" w:cs="Arial" w:eastAsia="Arial" w:hAnsi="Arial"/>
          <w:sz w:val="19"/>
          <w:szCs w:val="19"/>
          <w:color w:val="auto"/>
        </w:rPr>
        <w:t>”) will be of a different class to each other IPO Share. The Low-Vote IPO Shares will be identical to each other IPO Share, except that they will be entitled only to the number of votes (including a fraction of a vote) per Low-Vote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348" w:right="239" w:bottom="1440" w:gutter="0" w:footer="0" w:header="0"/>
        </w:sectPr>
      </w:pPr>
    </w:p>
    <w:bookmarkStart w:id="181" w:name="page182"/>
    <w:bookmarkEnd w:id="181"/>
    <w:p>
      <w:pPr>
        <w:jc w:val="both"/>
        <w:spacing w:after="0" w:line="266" w:lineRule="auto"/>
        <w:rPr>
          <w:sz w:val="20"/>
          <w:szCs w:val="20"/>
          <w:color w:val="auto"/>
        </w:rPr>
      </w:pPr>
      <w:r>
        <w:rPr>
          <w:rFonts w:ascii="Arial" w:cs="Arial" w:eastAsia="Arial" w:hAnsi="Arial"/>
          <w:sz w:val="22"/>
          <w:szCs w:val="22"/>
          <w:color w:val="auto"/>
        </w:rPr>
        <w:t>planned issuances or transfers of IPO Shares. Each Member, including each Class A-1 Preferred Member, will take all reasonable action requested by the Company to give effect to this Section 9.10(b) and to cause GM to have “control” within the meaning of Section 368(c) of the Code immediately prior to any “spin-off” or “split-off” transaction.</w:t>
      </w:r>
    </w:p>
    <w:p>
      <w:pPr>
        <w:spacing w:after="0" w:line="185" w:lineRule="exact"/>
        <w:rPr>
          <w:sz w:val="20"/>
          <w:szCs w:val="20"/>
          <w:color w:val="auto"/>
        </w:rPr>
      </w:pPr>
    </w:p>
    <w:p>
      <w:pPr>
        <w:jc w:val="both"/>
        <w:ind w:firstLine="1305"/>
        <w:spacing w:after="0" w:line="301" w:lineRule="auto"/>
        <w:tabs>
          <w:tab w:leader="none" w:pos="1716"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19"/>
          <w:szCs w:val="19"/>
          <w:b w:val="1"/>
          <w:bCs w:val="1"/>
          <w:color w:val="auto"/>
        </w:rPr>
        <w:t>Entity</w:t>
      </w:r>
      <w:r>
        <w:rPr>
          <w:rFonts w:ascii="Arial" w:cs="Arial" w:eastAsia="Arial" w:hAnsi="Arial"/>
          <w:sz w:val="19"/>
          <w:szCs w:val="19"/>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 (C) 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Low-Vote IPO Shares described in Section 9.10(b) above.</w:t>
      </w:r>
    </w:p>
    <w:p>
      <w:pPr>
        <w:spacing w:after="0" w:line="15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30" w:val="left"/>
        </w:tabs>
        <w:numPr>
          <w:ilvl w:val="1"/>
          <w:numId w:val="141"/>
        </w:numPr>
        <w:rPr>
          <w:rFonts w:ascii="Arial" w:cs="Arial" w:eastAsia="Arial" w:hAnsi="Arial"/>
          <w:sz w:val="19"/>
          <w:szCs w:val="19"/>
          <w:color w:val="010000"/>
        </w:rPr>
      </w:pPr>
      <w:r>
        <w:rPr>
          <w:rFonts w:ascii="Arial" w:cs="Arial" w:eastAsia="Arial" w:hAnsi="Arial"/>
          <w:sz w:val="19"/>
          <w:szCs w:val="19"/>
          <w:color w:val="auto"/>
        </w:rPr>
        <w:t>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 all Members that, together with its Affiliates, beneficially own more than five percent (5%) of the Equity Securities in the Company, piggyback registration rights and shelf registration rights and</w:t>
      </w:r>
    </w:p>
    <w:p>
      <w:pPr>
        <w:spacing w:after="0" w:line="2" w:lineRule="exact"/>
        <w:rPr>
          <w:rFonts w:ascii="Arial" w:cs="Arial" w:eastAsia="Arial" w:hAnsi="Arial"/>
          <w:sz w:val="19"/>
          <w:szCs w:val="19"/>
          <w:color w:val="010000"/>
        </w:rPr>
      </w:pPr>
    </w:p>
    <w:p>
      <w:pPr>
        <w:jc w:val="both"/>
        <w:ind w:firstLine="8"/>
        <w:spacing w:after="0" w:line="264" w:lineRule="auto"/>
        <w:tabs>
          <w:tab w:leader="none" w:pos="37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each of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348" w:right="239" w:bottom="1440" w:gutter="0" w:footer="0" w:header="0"/>
        </w:sectPr>
      </w:pPr>
    </w:p>
    <w:bookmarkStart w:id="182" w:name="page183"/>
    <w:bookmarkEnd w:id="182"/>
    <w:p>
      <w:pPr>
        <w:jc w:val="both"/>
        <w:spacing w:after="0" w:line="301" w:lineRule="auto"/>
        <w:rPr>
          <w:sz w:val="20"/>
          <w:szCs w:val="20"/>
          <w:color w:val="auto"/>
        </w:rPr>
      </w:pPr>
      <w:r>
        <w:rPr>
          <w:rFonts w:ascii="Arial" w:cs="Arial" w:eastAsia="Arial" w:hAnsi="Arial"/>
          <w:sz w:val="19"/>
          <w:szCs w:val="19"/>
          <w:color w:val="auto"/>
        </w:rPr>
        <w:t xml:space="preserve">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for so long as they, together with their Affiliates, beneficially own more than one half of a percent (0.50%) of the Equity Securities in the Company, piggyback registration rights, in each case, subject to customary terms and conditions as at the time of the IPO; </w:t>
      </w:r>
      <w:r>
        <w:rPr>
          <w:rFonts w:ascii="Arial" w:cs="Arial" w:eastAsia="Arial" w:hAnsi="Arial"/>
          <w:sz w:val="19"/>
          <w:szCs w:val="19"/>
          <w:u w:val="single" w:color="auto"/>
          <w:color w:val="auto"/>
        </w:rPr>
        <w:t>provided</w:t>
      </w:r>
      <w:r>
        <w:rPr>
          <w:rFonts w:ascii="Arial" w:cs="Arial" w:eastAsia="Arial" w:hAnsi="Arial"/>
          <w:sz w:val="19"/>
          <w:szCs w:val="19"/>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161" w:lineRule="exact"/>
        <w:rPr>
          <w:sz w:val="20"/>
          <w:szCs w:val="20"/>
          <w:color w:val="auto"/>
        </w:rPr>
      </w:pPr>
    </w:p>
    <w:p>
      <w:pPr>
        <w:ind w:left="1740" w:hanging="435"/>
        <w:spacing w:after="0"/>
        <w:tabs>
          <w:tab w:leader="none" w:pos="1740" w:val="left"/>
        </w:tabs>
        <w:numPr>
          <w:ilvl w:val="1"/>
          <w:numId w:val="143"/>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one hundred eighty</w:t>
      </w:r>
    </w:p>
    <w:p>
      <w:pPr>
        <w:spacing w:after="0" w:line="65" w:lineRule="exact"/>
        <w:rPr>
          <w:rFonts w:ascii="Arial" w:cs="Arial" w:eastAsia="Arial" w:hAnsi="Arial"/>
          <w:sz w:val="19"/>
          <w:szCs w:val="19"/>
          <w:color w:val="010000"/>
        </w:rPr>
      </w:pPr>
    </w:p>
    <w:p>
      <w:pPr>
        <w:jc w:val="both"/>
        <w:ind w:firstLine="8"/>
        <w:spacing w:after="0" w:line="305" w:lineRule="auto"/>
        <w:tabs>
          <w:tab w:leader="none" w:pos="53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or any Equity Securities acquired by such Member in the IPO or following the completion of the IPO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155" w:lineRule="exact"/>
        <w:rPr>
          <w:rFonts w:ascii="Arial" w:cs="Arial" w:eastAsia="Arial" w:hAnsi="Arial"/>
          <w:sz w:val="19"/>
          <w:szCs w:val="19"/>
          <w:color w:val="auto"/>
        </w:rPr>
      </w:pPr>
    </w:p>
    <w:p>
      <w:pPr>
        <w:jc w:val="both"/>
        <w:ind w:firstLine="1305"/>
        <w:spacing w:after="0" w:line="309" w:lineRule="auto"/>
        <w:tabs>
          <w:tab w:leader="none" w:pos="1757"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348" w:right="239" w:bottom="1440" w:gutter="0" w:footer="0" w:header="0"/>
        </w:sectPr>
      </w:pPr>
    </w:p>
    <w:bookmarkStart w:id="183" w:name="page184"/>
    <w:bookmarkEnd w:id="183"/>
    <w:p>
      <w:pPr>
        <w:ind w:right="20"/>
        <w:spacing w:after="0" w:line="276" w:lineRule="auto"/>
        <w:rPr>
          <w:sz w:val="20"/>
          <w:szCs w:val="20"/>
          <w:color w:val="auto"/>
        </w:rPr>
      </w:pPr>
      <w:r>
        <w:rPr>
          <w:rFonts w:ascii="Arial" w:cs="Arial" w:eastAsia="Arial" w:hAnsi="Arial"/>
          <w:sz w:val="22"/>
          <w:szCs w:val="22"/>
          <w:color w:val="auto"/>
        </w:rPr>
        <w:t>underwritten public follow-on offering, execute a customary “lockup” agreement in the form requested by the managing underwriter or underwriters with a duration not to exceed ninety (90) days.</w:t>
      </w:r>
    </w:p>
    <w:p>
      <w:pPr>
        <w:spacing w:after="0" w:line="174" w:lineRule="exact"/>
        <w:rPr>
          <w:sz w:val="20"/>
          <w:szCs w:val="20"/>
          <w:color w:val="auto"/>
        </w:rPr>
      </w:pPr>
    </w:p>
    <w:p>
      <w:pPr>
        <w:jc w:val="both"/>
        <w:ind w:firstLine="1305"/>
        <w:spacing w:after="0" w:line="304" w:lineRule="auto"/>
        <w:tabs>
          <w:tab w:leader="none" w:pos="1769"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u w:val="single" w:color="auto"/>
          <w:color w:val="auto"/>
        </w:rPr>
        <w:t>GM Call Right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70" w:val="left"/>
        </w:tabs>
        <w:numPr>
          <w:ilvl w:val="0"/>
          <w:numId w:val="146"/>
        </w:numPr>
        <w:rPr>
          <w:rFonts w:ascii="Arial" w:cs="Arial" w:eastAsia="Arial" w:hAnsi="Arial"/>
          <w:sz w:val="19"/>
          <w:szCs w:val="19"/>
          <w:color w:val="010000"/>
        </w:rPr>
      </w:pPr>
      <w:r>
        <w:rPr>
          <w:rFonts w:ascii="Arial" w:cs="Arial" w:eastAsia="Arial" w:hAnsi="Arial"/>
          <w:sz w:val="19"/>
          <w:szCs w:val="19"/>
          <w:color w:val="auto"/>
        </w:rPr>
        <w:t>At any time after the SoftBank Trigger Date the Company will have the right, by providing written notice to each Class A-1 Preferred Member, each Class D Member and the Board of Directors (a “</w:t>
      </w:r>
      <w:r>
        <w:rPr>
          <w:rFonts w:ascii="Arial" w:cs="Arial" w:eastAsia="Arial" w:hAnsi="Arial"/>
          <w:sz w:val="19"/>
          <w:szCs w:val="19"/>
          <w:b w:val="1"/>
          <w:bCs w:val="1"/>
          <w:color w:val="auto"/>
        </w:rPr>
        <w:t>SoftBank 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excluding any Class F Preferred Shares, held by such Members) in exchange for a cash purchase price (i) per Class A-1 Preferred Share equal to the greater of (A) the applicable Class A-1 Liquidation Preference Amount, and (B) the Per Class A-1 Preferred Share FMV, and (ii) per Class D Common Share (or any other Equity Securities, excluding any Class F Preferred Shares, held by such Members) equal to the Per Class A-1 Preferred Share FMV (collectively, the “</w:t>
      </w:r>
      <w:r>
        <w:rPr>
          <w:rFonts w:ascii="Arial" w:cs="Arial" w:eastAsia="Arial" w:hAnsi="Arial"/>
          <w:sz w:val="19"/>
          <w:szCs w:val="19"/>
          <w:b w:val="1"/>
          <w:bCs w:val="1"/>
          <w:color w:val="auto"/>
        </w:rPr>
        <w:t>Class A-1/D Purchase</w:t>
      </w:r>
      <w:r>
        <w:rPr>
          <w:rFonts w:ascii="Arial" w:cs="Arial" w:eastAsia="Arial" w:hAnsi="Arial"/>
          <w:sz w:val="19"/>
          <w:szCs w:val="19"/>
          <w:color w:val="auto"/>
        </w:rPr>
        <w:t>”). If an Optional SoftBank Conversion Notice has been delivered pursuant to Section 9.13 and, subsequent to the delivery of such Optional SoftBank Conversion Notice, a SoftBank Call Notice is delivered to a Class A-1 Preferred Member or Class D Member, then the process contemplated by Section 9.13 shall be suspended (it being understood that if the Class A-1/D Purchase is subsequently terminated or otherwise fails to be consummated, the process contemplated by Section 9.13 shall resume); provided, that if, at the time the SoftBank Call Notice is delivered to a Class A-1 Preferred Member or Class D Member,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348" w:right="239" w:bottom="1440" w:gutter="0" w:footer="0" w:header="0"/>
        </w:sectPr>
      </w:pPr>
    </w:p>
    <w:bookmarkStart w:id="184" w:name="page185"/>
    <w:bookmarkEnd w:id="184"/>
    <w:p>
      <w:pPr>
        <w:jc w:val="both"/>
        <w:ind w:firstLine="1305"/>
        <w:spacing w:after="0" w:line="277" w:lineRule="auto"/>
        <w:tabs>
          <w:tab w:leader="none" w:pos="1742" w:val="left"/>
        </w:tabs>
        <w:numPr>
          <w:ilvl w:val="0"/>
          <w:numId w:val="147"/>
        </w:numPr>
        <w:rPr>
          <w:rFonts w:ascii="Arial" w:cs="Arial" w:eastAsia="Arial" w:hAnsi="Arial"/>
          <w:sz w:val="21"/>
          <w:szCs w:val="21"/>
          <w:color w:val="010000"/>
        </w:rPr>
      </w:pPr>
      <w:r>
        <w:rPr>
          <w:rFonts w:ascii="Arial" w:cs="Arial" w:eastAsia="Arial" w:hAnsi="Arial"/>
          <w:sz w:val="21"/>
          <w:szCs w:val="21"/>
          <w:color w:val="auto"/>
        </w:rPr>
        <w:t>At any time after the Honda Call Trigger Date, the Company will have the right, by providing written notice to each Class E Member and the Board of Directors (a “</w:t>
      </w:r>
      <w:r>
        <w:rPr>
          <w:rFonts w:ascii="Arial" w:cs="Arial" w:eastAsia="Arial" w:hAnsi="Arial"/>
          <w:sz w:val="21"/>
          <w:szCs w:val="21"/>
          <w:b w:val="1"/>
          <w:bCs w:val="1"/>
          <w:color w:val="auto"/>
        </w:rPr>
        <w:t>Honda Call Notice</w:t>
      </w:r>
      <w:r>
        <w:rPr>
          <w:rFonts w:ascii="Arial" w:cs="Arial" w:eastAsia="Arial" w:hAnsi="Arial"/>
          <w:sz w:val="21"/>
          <w:szCs w:val="21"/>
          <w:color w:val="auto"/>
        </w:rPr>
        <w:t>” and, together with the SoftBank Call Notice, a “</w:t>
      </w:r>
      <w:r>
        <w:rPr>
          <w:rFonts w:ascii="Arial" w:cs="Arial" w:eastAsia="Arial" w:hAnsi="Arial"/>
          <w:sz w:val="21"/>
          <w:szCs w:val="21"/>
          <w:b w:val="1"/>
          <w:bCs w:val="1"/>
          <w:color w:val="auto"/>
        </w:rPr>
        <w:t>Call</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to purchase from each Class E Member all (but not less than all) of the Class E Common Shares then owned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(and any other Equity Securities, excluding Class F Preferred Shares, held by such Members) in exchange for a cash purchase price per Class E Common Share (or any other Equity Securities, excluding Class F Preferred Shares, held by such Members) equal to the Per Class E FMV (the “</w:t>
      </w:r>
      <w:r>
        <w:rPr>
          <w:rFonts w:ascii="Arial" w:cs="Arial" w:eastAsia="Arial" w:hAnsi="Arial"/>
          <w:sz w:val="21"/>
          <w:szCs w:val="21"/>
          <w:b w:val="1"/>
          <w:bCs w:val="1"/>
          <w:color w:val="auto"/>
        </w:rPr>
        <w:t>Class E Purchase</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Delivery of a Call Notice with respect to the Class A-1 Preferred Shares, Class D Common Shares or Class E Common Shares will commence the process set forth on Exhibit II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of a Honda Call Notice, (1) references to “SoftBank” and the “Majority of the Class A-1 Preferred” on Exhibit II shall be replaced with “Honda” and (2) the Qualified Appraisers will only calculate the Standardized FMV and not the IP Upsized FMV).</w:t>
      </w:r>
    </w:p>
    <w:p>
      <w:pPr>
        <w:spacing w:after="0" w:line="188" w:lineRule="exact"/>
        <w:rPr>
          <w:sz w:val="20"/>
          <w:szCs w:val="20"/>
          <w:color w:val="auto"/>
        </w:rPr>
      </w:pPr>
    </w:p>
    <w:p>
      <w:pPr>
        <w:jc w:val="both"/>
        <w:ind w:firstLine="1305"/>
        <w:spacing w:after="0" w:line="306" w:lineRule="auto"/>
        <w:tabs>
          <w:tab w:leader="none" w:pos="1743"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The Company and each Class A-1 Preferred Member, Class D Member and Class E Member will consummate the Class A-1/D Purchase or the Class E Purchase, as applicable, as soon as reasonably practicable and, in any event, within thirty</w:t>
      </w:r>
    </w:p>
    <w:p>
      <w:pPr>
        <w:jc w:val="both"/>
        <w:ind w:firstLine="8"/>
        <w:spacing w:after="0" w:line="258" w:lineRule="auto"/>
        <w:tabs>
          <w:tab w:leader="none" w:pos="42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Arial" w:cs="Arial" w:eastAsia="Arial" w:hAnsi="Arial"/>
          <w:sz w:val="22"/>
          <w:szCs w:val="22"/>
          <w:u w:val="single" w:color="auto"/>
          <w:color w:val="auto"/>
        </w:rPr>
        <w:t>provided</w:t>
      </w:r>
      <w:r>
        <w:rPr>
          <w:rFonts w:ascii="Arial" w:cs="Arial" w:eastAsia="Arial" w:hAnsi="Arial"/>
          <w:sz w:val="22"/>
          <w:szCs w:val="22"/>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98" w:lineRule="exact"/>
        <w:rPr>
          <w:rFonts w:ascii="Arial" w:cs="Arial" w:eastAsia="Arial" w:hAnsi="Arial"/>
          <w:sz w:val="22"/>
          <w:szCs w:val="22"/>
          <w:color w:val="auto"/>
        </w:rPr>
      </w:pPr>
    </w:p>
    <w:p>
      <w:pPr>
        <w:jc w:val="both"/>
        <w:ind w:firstLine="1305"/>
        <w:spacing w:after="0" w:line="264" w:lineRule="auto"/>
        <w:tabs>
          <w:tab w:leader="none" w:pos="1891"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pacing w:after="0" w:line="188" w:lineRule="exact"/>
        <w:rPr>
          <w:rFonts w:ascii="Arial" w:cs="Arial" w:eastAsia="Arial" w:hAnsi="Arial"/>
          <w:sz w:val="22"/>
          <w:szCs w:val="22"/>
          <w:color w:val="010000"/>
        </w:rPr>
      </w:pPr>
    </w:p>
    <w:p>
      <w:pPr>
        <w:jc w:val="both"/>
        <w:ind w:firstLine="1305"/>
        <w:spacing w:after="0" w:line="272" w:lineRule="auto"/>
        <w:tabs>
          <w:tab w:leader="none" w:pos="1716"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At any time after the SoftBank Trigger Date or the Honda Call Trigger Date, as applicable, the GM Investor (or one of its Affiliates) may issue a Call Notice in lieu of the Company, in which event all references to the Company in this Section 9.12 (other than this Section 9.12(e)) shall be deemed to be references to the GM Investor.</w:t>
      </w:r>
    </w:p>
    <w:p>
      <w:pPr>
        <w:spacing w:after="0" w:line="1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53" w:lineRule="exact"/>
        <w:rPr>
          <w:sz w:val="20"/>
          <w:szCs w:val="20"/>
          <w:color w:val="auto"/>
        </w:rPr>
      </w:pPr>
    </w:p>
    <w:p>
      <w:pPr>
        <w:ind w:firstLine="1305"/>
        <w:spacing w:after="0" w:line="289" w:lineRule="auto"/>
        <w:tabs>
          <w:tab w:leader="none" w:pos="1757" w:val="left"/>
        </w:tabs>
        <w:numPr>
          <w:ilvl w:val="0"/>
          <w:numId w:val="150"/>
        </w:numPr>
        <w:rPr>
          <w:rFonts w:ascii="Arial" w:cs="Arial" w:eastAsia="Arial" w:hAnsi="Arial"/>
          <w:sz w:val="22"/>
          <w:szCs w:val="22"/>
          <w:color w:val="010000"/>
        </w:rPr>
      </w:pPr>
      <w:r>
        <w:rPr>
          <w:rFonts w:ascii="Arial" w:cs="Arial" w:eastAsia="Arial" w:hAnsi="Arial"/>
          <w:sz w:val="22"/>
          <w:szCs w:val="22"/>
          <w:color w:val="auto"/>
        </w:rPr>
        <w:t>If an IPO, Sale of the Company or dissolution (pursuant to Article X) has not been consummated prior to the SoftBank Trigger Date then, at any time after the SoftBank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348" w:right="239" w:bottom="1440" w:gutter="0" w:footer="0" w:header="0"/>
        </w:sectPr>
      </w:pPr>
    </w:p>
    <w:bookmarkStart w:id="185" w:name="page186"/>
    <w:bookmarkEnd w:id="185"/>
    <w:p>
      <w:pPr>
        <w:jc w:val="both"/>
        <w:spacing w:after="0" w:line="259" w:lineRule="auto"/>
        <w:rPr>
          <w:sz w:val="20"/>
          <w:szCs w:val="20"/>
          <w:color w:val="auto"/>
        </w:rPr>
      </w:pPr>
      <w:r>
        <w:rPr>
          <w:rFonts w:ascii="Arial" w:cs="Arial" w:eastAsia="Arial" w:hAnsi="Arial"/>
          <w:sz w:val="22"/>
          <w:szCs w:val="22"/>
          <w:color w:val="auto"/>
        </w:rPr>
        <w:t>Trigger Date and subject to Section 9.12(a), SoftBank or its Permitted Transferee shall be entitled to deliver to the Board of Directors an irrevocable written notice (the “</w:t>
      </w:r>
      <w:r>
        <w:rPr>
          <w:rFonts w:ascii="Arial" w:cs="Arial" w:eastAsia="Arial" w:hAnsi="Arial"/>
          <w:sz w:val="22"/>
          <w:szCs w:val="22"/>
          <w:b w:val="1"/>
          <w:bCs w:val="1"/>
          <w:color w:val="auto"/>
        </w:rPr>
        <w:t>Optional SoftBank Conversion Notice</w:t>
      </w:r>
      <w:r>
        <w:rPr>
          <w:rFonts w:ascii="Arial" w:cs="Arial" w:eastAsia="Arial" w:hAnsi="Arial"/>
          <w:sz w:val="22"/>
          <w:szCs w:val="22"/>
          <w:color w:val="auto"/>
        </w:rPr>
        <w:t>”) requiring the Company to, at the election of the GM Investor (i) use its reasonable best efforts to redeem all, but not less than all, of SoftBank’s Class A-1 Preferred Shares and Class D Common Shares for common stock of GM Parent, or (ii) redeem all, but not less than all of SoftBank’s Class A-1 Preferred Shares and Class D Common Shares for cash, in each case on the terms set forth herein and, in the case of sub-section (i), on the terms set forth in the Exchange Agreement. Delivery of the Optional SoftBank Conversion Notice will commence the process set forth on Exhibit II.</w:t>
      </w:r>
    </w:p>
    <w:p>
      <w:pPr>
        <w:spacing w:after="0" w:line="196" w:lineRule="exact"/>
        <w:rPr>
          <w:sz w:val="20"/>
          <w:szCs w:val="20"/>
          <w:color w:val="auto"/>
        </w:rPr>
      </w:pPr>
    </w:p>
    <w:p>
      <w:pPr>
        <w:jc w:val="both"/>
        <w:ind w:firstLine="1305"/>
        <w:spacing w:after="0" w:line="303" w:lineRule="auto"/>
        <w:tabs>
          <w:tab w:leader="none" w:pos="1904"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Within ten (10) Business Days of the date of determination of the final Call Notice/Optional SoftBank Conversion Notice Fair Market Value pursuant to Exhibit II, the Company will deliver written notice to SoftBank, informing SoftBank of the Call Notice/Optional SoftBank Conversion Notice Fair Market Value and whether the GM Investor has elected to have the Company redeem SoftBank’s Class A-1 Preferred Shares and Class D Common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Section 9.13 in cash.</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firstLine="1305"/>
        <w:spacing w:after="0" w:line="304" w:lineRule="auto"/>
        <w:tabs>
          <w:tab w:leader="none" w:pos="1811"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If the Cash Election is made, the Company and SoftBank or its Permitted Transferee will consummate the redemption by the Company of the Class A-1 Preferred Shares and Class D Common Shares (the “</w:t>
      </w:r>
      <w:r>
        <w:rPr>
          <w:rFonts w:ascii="Arial" w:cs="Arial" w:eastAsia="Arial" w:hAnsi="Arial"/>
          <w:sz w:val="19"/>
          <w:szCs w:val="19"/>
          <w:b w:val="1"/>
          <w:bCs w:val="1"/>
          <w:color w:val="auto"/>
        </w:rPr>
        <w:t>Optional SoftBank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w:t>
      </w:r>
      <w:r>
        <w:rPr>
          <w:rFonts w:ascii="Arial" w:cs="Arial" w:eastAsia="Arial" w:hAnsi="Arial"/>
          <w:sz w:val="19"/>
          <w:szCs w:val="19"/>
          <w:color w:val="auto"/>
        </w:rPr>
        <w:t>”) as soon as reasonably practicable and in any event within thirty (30) days of the Cash Election. The place for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principal office of the Company or at such other place as the Company may reasonably determine. In the event of a Cash Election, at the closing thereof SoftBank shall deliver to the Company certificates (if certificated) for its Class A-1 Preferred Shares and Class D Common Shares or, in other cases, mutually acceptable instruments of transfer, in exchange for payment (per Class A-1 Preferred Share and Class D Common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348" w:right="239" w:bottom="1440" w:gutter="0" w:footer="0" w:header="0"/>
        </w:sectPr>
      </w:pPr>
    </w:p>
    <w:bookmarkStart w:id="186" w:name="page187"/>
    <w:bookmarkEnd w:id="186"/>
    <w:p>
      <w:pPr>
        <w:ind w:right="20"/>
        <w:spacing w:after="0" w:line="276" w:lineRule="auto"/>
        <w:rPr>
          <w:sz w:val="20"/>
          <w:szCs w:val="20"/>
          <w:color w:val="auto"/>
        </w:rPr>
      </w:pPr>
      <w:r>
        <w:rPr>
          <w:rFonts w:ascii="Arial" w:cs="Arial" w:eastAsia="Arial" w:hAnsi="Arial"/>
          <w:sz w:val="22"/>
          <w:szCs w:val="22"/>
          <w:color w:val="auto"/>
        </w:rPr>
        <w:t>Each of the Company and SoftBank or its Permitted Transferee shall bear its own costs and expense incurred in connection with the Optional SoftBank Conversion Purchase.</w:t>
      </w:r>
    </w:p>
    <w:p>
      <w:pPr>
        <w:spacing w:after="0" w:line="174" w:lineRule="exact"/>
        <w:rPr>
          <w:sz w:val="20"/>
          <w:szCs w:val="20"/>
          <w:color w:val="auto"/>
        </w:rPr>
      </w:pPr>
    </w:p>
    <w:p>
      <w:pPr>
        <w:ind w:right="20" w:firstLine="1305"/>
        <w:spacing w:after="0" w:line="314" w:lineRule="auto"/>
        <w:tabs>
          <w:tab w:leader="none" w:pos="1728" w:val="left"/>
        </w:tabs>
        <w:numPr>
          <w:ilvl w:val="0"/>
          <w:numId w:val="152"/>
        </w:numPr>
        <w:rPr>
          <w:rFonts w:ascii="Arial" w:cs="Arial" w:eastAsia="Arial" w:hAnsi="Arial"/>
          <w:sz w:val="21"/>
          <w:szCs w:val="21"/>
          <w:color w:val="010000"/>
        </w:rPr>
      </w:pPr>
      <w:r>
        <w:rPr>
          <w:rFonts w:ascii="Arial" w:cs="Arial" w:eastAsia="Arial" w:hAnsi="Arial"/>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137" w:lineRule="exact"/>
        <w:rPr>
          <w:rFonts w:ascii="Arial" w:cs="Arial" w:eastAsia="Arial" w:hAnsi="Arial"/>
          <w:sz w:val="21"/>
          <w:szCs w:val="21"/>
          <w:color w:val="010000"/>
        </w:rPr>
      </w:pPr>
    </w:p>
    <w:p>
      <w:pPr>
        <w:jc w:val="both"/>
        <w:ind w:firstLine="1305"/>
        <w:spacing w:after="0" w:line="259" w:lineRule="auto"/>
        <w:tabs>
          <w:tab w:leader="none" w:pos="1878"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200" w:lineRule="exact"/>
        <w:rPr>
          <w:rFonts w:ascii="Arial" w:cs="Arial" w:eastAsia="Arial" w:hAnsi="Arial"/>
          <w:sz w:val="22"/>
          <w:szCs w:val="22"/>
          <w:color w:val="010000"/>
        </w:rPr>
      </w:pPr>
    </w:p>
    <w:p>
      <w:pPr>
        <w:jc w:val="both"/>
        <w:ind w:firstLine="1305"/>
        <w:spacing w:after="0" w:line="267" w:lineRule="auto"/>
        <w:tabs>
          <w:tab w:leader="none" w:pos="1814"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In lieu of a redemption of the Class A-1 Preferred Shares and Class D Common Shares by the Company pursuant to this Section 9.13, the GM Investor will have the right to have such Class A-1 Preferred Shares and Class D Common Shares transferred to the GM Investor (or its Affiliates) and, if a Cash Election has been made, to have the GM Investor (or its Affiliates) make the applicable cash payments.</w:t>
      </w:r>
    </w:p>
    <w:p>
      <w:pPr>
        <w:spacing w:after="0" w:line="184" w:lineRule="exact"/>
        <w:rPr>
          <w:rFonts w:ascii="Arial" w:cs="Arial" w:eastAsia="Arial" w:hAnsi="Arial"/>
          <w:sz w:val="22"/>
          <w:szCs w:val="22"/>
          <w:color w:val="010000"/>
        </w:rPr>
      </w:pPr>
    </w:p>
    <w:p>
      <w:pPr>
        <w:jc w:val="both"/>
        <w:ind w:firstLine="1305"/>
        <w:spacing w:after="0" w:line="322" w:lineRule="auto"/>
        <w:tabs>
          <w:tab w:leader="none" w:pos="1864"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Section 9.13.</w:t>
      </w:r>
    </w:p>
    <w:p>
      <w:pPr>
        <w:spacing w:after="0" w:line="13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DISSOLUTION</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 any of the following events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affairs shall thereafter be liquidated and wound up pursuant to the Act:</w:t>
      </w:r>
    </w:p>
    <w:p>
      <w:pPr>
        <w:spacing w:after="0" w:line="154" w:lineRule="exact"/>
        <w:rPr>
          <w:sz w:val="20"/>
          <w:szCs w:val="20"/>
          <w:color w:val="auto"/>
        </w:rPr>
      </w:pPr>
    </w:p>
    <w:p>
      <w:pPr>
        <w:ind w:left="5600" w:right="3240" w:hanging="4295"/>
        <w:spacing w:after="0" w:line="699" w:lineRule="auto"/>
        <w:tabs>
          <w:tab w:leader="none" w:pos="1718"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upon the approval of the Board of Directors or a Majority of the Members; 67</w:t>
      </w:r>
    </w:p>
    <w:p>
      <w:pPr>
        <w:sectPr>
          <w:pgSz w:w="11900" w:h="16838" w:orient="portrait"/>
          <w:cols w:equalWidth="0" w:num="1">
            <w:col w:w="11420"/>
          </w:cols>
          <w:pgMar w:left="240" w:top="348" w:right="239" w:bottom="1440" w:gutter="0" w:footer="0" w:header="0"/>
        </w:sectPr>
      </w:pPr>
    </w:p>
    <w:bookmarkStart w:id="187" w:name="page188"/>
    <w:bookmarkEnd w:id="187"/>
    <w:p>
      <w:pPr>
        <w:ind w:left="1740" w:hanging="435"/>
        <w:spacing w:after="0"/>
        <w:tabs>
          <w:tab w:leader="none" w:pos="1740"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upon the issuance of a final and nonappealable judicial decree of dissolution; or</w:t>
      </w:r>
    </w:p>
    <w:p>
      <w:pPr>
        <w:spacing w:after="0" w:line="246" w:lineRule="exact"/>
        <w:rPr>
          <w:rFonts w:ascii="Arial" w:cs="Arial" w:eastAsia="Arial" w:hAnsi="Arial"/>
          <w:sz w:val="22"/>
          <w:szCs w:val="22"/>
          <w:color w:val="010000"/>
        </w:rPr>
      </w:pPr>
    </w:p>
    <w:p>
      <w:pPr>
        <w:ind w:firstLine="1305"/>
        <w:spacing w:after="0" w:line="289" w:lineRule="auto"/>
        <w:tabs>
          <w:tab w:leader="none" w:pos="1865"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1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 Directors shall act as the liquidator or</w:t>
      </w:r>
      <w:r>
        <w:rPr>
          <w:rFonts w:ascii="Arial" w:cs="Arial" w:eastAsia="Arial" w:hAnsi="Arial"/>
          <w:sz w:val="21"/>
          <w:szCs w:val="21"/>
          <w:b w:val="1"/>
          <w:bCs w:val="1"/>
          <w:color w:val="auto"/>
        </w:rPr>
        <w:t xml:space="preserve"> </w:t>
      </w:r>
      <w:r>
        <w:rPr>
          <w:rFonts w:ascii="Arial" w:cs="Arial" w:eastAsia="Arial" w:hAnsi="Arial"/>
          <w:sz w:val="21"/>
          <w:szCs w:val="21"/>
          <w:color w:val="auto"/>
        </w:rPr>
        <w:t>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72" w:lineRule="exact"/>
        <w:rPr>
          <w:sz w:val="20"/>
          <w:szCs w:val="20"/>
          <w:color w:val="auto"/>
        </w:rPr>
      </w:pPr>
    </w:p>
    <w:p>
      <w:pPr>
        <w:jc w:val="both"/>
        <w:ind w:firstLine="1305"/>
        <w:spacing w:after="0" w:line="334" w:lineRule="auto"/>
        <w:tabs>
          <w:tab w:leader="none" w:pos="1797"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27" w:lineRule="exact"/>
        <w:rPr>
          <w:rFonts w:ascii="Arial" w:cs="Arial" w:eastAsia="Arial" w:hAnsi="Arial"/>
          <w:sz w:val="19"/>
          <w:szCs w:val="19"/>
          <w:color w:val="010000"/>
        </w:rPr>
      </w:pPr>
    </w:p>
    <w:p>
      <w:pPr>
        <w:ind w:right="20" w:firstLine="1305"/>
        <w:spacing w:after="0" w:line="289" w:lineRule="auto"/>
        <w:tabs>
          <w:tab w:leader="none" w:pos="1769"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liquidator shall cause the notice described in the Act to be mailed to each known creditor of and claimant against the Company in the manner described thereunder;</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743"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79" w:lineRule="exact"/>
        <w:rPr>
          <w:rFonts w:ascii="Arial" w:cs="Arial" w:eastAsia="Arial" w:hAnsi="Arial"/>
          <w:sz w:val="22"/>
          <w:szCs w:val="22"/>
          <w:color w:val="010000"/>
        </w:rPr>
      </w:pPr>
    </w:p>
    <w:p>
      <w:pPr>
        <w:ind w:firstLine="1305"/>
        <w:spacing w:after="0" w:line="289" w:lineRule="auto"/>
        <w:tabs>
          <w:tab w:leader="none" w:pos="1850"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liquidator shall make reasonable provision to pay all contingent, conditional or unmatured contractual claims known to the Company;</w:t>
      </w:r>
    </w:p>
    <w:p>
      <w:pPr>
        <w:spacing w:after="0" w:line="160" w:lineRule="exact"/>
        <w:rPr>
          <w:rFonts w:ascii="Arial" w:cs="Arial" w:eastAsia="Arial" w:hAnsi="Arial"/>
          <w:sz w:val="22"/>
          <w:szCs w:val="22"/>
          <w:color w:val="010000"/>
        </w:rPr>
      </w:pPr>
    </w:p>
    <w:p>
      <w:pPr>
        <w:ind w:firstLine="1305"/>
        <w:spacing w:after="0" w:line="373" w:lineRule="auto"/>
        <w:tabs>
          <w:tab w:leader="none" w:pos="1770"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90" w:lineRule="exact"/>
        <w:rPr>
          <w:rFonts w:ascii="Arial" w:cs="Arial" w:eastAsia="Arial" w:hAnsi="Arial"/>
          <w:sz w:val="19"/>
          <w:szCs w:val="19"/>
          <w:color w:val="010000"/>
        </w:rPr>
      </w:pPr>
    </w:p>
    <w:p>
      <w:pPr>
        <w:jc w:val="both"/>
        <w:ind w:firstLine="1305"/>
        <w:spacing w:after="0" w:line="272" w:lineRule="auto"/>
        <w:tabs>
          <w:tab w:leader="none" w:pos="1760"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179" w:lineRule="exact"/>
        <w:rPr>
          <w:rFonts w:ascii="Arial" w:cs="Arial" w:eastAsia="Arial" w:hAnsi="Arial"/>
          <w:sz w:val="22"/>
          <w:szCs w:val="22"/>
          <w:color w:val="010000"/>
        </w:rPr>
      </w:pPr>
    </w:p>
    <w:p>
      <w:pPr>
        <w:jc w:val="both"/>
        <w:ind w:firstLine="1305"/>
        <w:spacing w:after="0" w:line="272" w:lineRule="auto"/>
        <w:tabs>
          <w:tab w:leader="none" w:pos="1877"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348" w:right="239" w:bottom="1440" w:gutter="0" w:footer="0" w:header="0"/>
        </w:sectPr>
      </w:pPr>
    </w:p>
    <w:bookmarkStart w:id="188" w:name="page189"/>
    <w:bookmarkEnd w:id="188"/>
    <w:p>
      <w:pPr>
        <w:jc w:val="both"/>
        <w:ind w:firstLine="1305"/>
        <w:spacing w:after="0" w:line="309" w:lineRule="auto"/>
        <w:tabs>
          <w:tab w:leader="none" w:pos="1823"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 assets as provided herein,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23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 Agreements (or any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between GM or its Affiliates, on the one hand, and the Company or its Subsidiaries, on the other hand, in each case in accordance with the terms of this Agreement) and activities in furtherance of their obligations thereunder:</w:t>
      </w:r>
    </w:p>
    <w:p>
      <w:pPr>
        <w:spacing w:after="0" w:line="123" w:lineRule="exact"/>
        <w:rPr>
          <w:sz w:val="20"/>
          <w:szCs w:val="20"/>
          <w:color w:val="auto"/>
        </w:rPr>
      </w:pPr>
    </w:p>
    <w:p>
      <w:pPr>
        <w:jc w:val="both"/>
        <w:ind w:firstLine="1305"/>
        <w:spacing w:after="0" w:line="264" w:lineRule="auto"/>
        <w:tabs>
          <w:tab w:leader="none" w:pos="1851"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188" w:lineRule="exact"/>
        <w:rPr>
          <w:rFonts w:ascii="Arial" w:cs="Arial" w:eastAsia="Arial" w:hAnsi="Arial"/>
          <w:sz w:val="22"/>
          <w:szCs w:val="22"/>
          <w:color w:val="010000"/>
        </w:rPr>
      </w:pPr>
    </w:p>
    <w:p>
      <w:pPr>
        <w:jc w:val="both"/>
        <w:ind w:firstLine="1305"/>
        <w:spacing w:after="0" w:line="272" w:lineRule="auto"/>
        <w:tabs>
          <w:tab w:leader="none" w:pos="1783"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pacing w:after="0" w:line="179" w:lineRule="exact"/>
        <w:rPr>
          <w:rFonts w:ascii="Arial" w:cs="Arial" w:eastAsia="Arial" w:hAnsi="Arial"/>
          <w:sz w:val="22"/>
          <w:szCs w:val="22"/>
          <w:color w:val="010000"/>
        </w:rPr>
      </w:pPr>
    </w:p>
    <w:p>
      <w:pPr>
        <w:jc w:val="both"/>
        <w:ind w:firstLine="1305"/>
        <w:spacing w:after="0" w:line="267" w:lineRule="auto"/>
        <w:tabs>
          <w:tab w:leader="none" w:pos="1811"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348" w:right="239" w:bottom="1440" w:gutter="0" w:footer="0" w:header="0"/>
        </w:sectPr>
      </w:pPr>
    </w:p>
    <w:bookmarkStart w:id="189" w:name="page190"/>
    <w:bookmarkEnd w:id="189"/>
    <w:p>
      <w:pPr>
        <w:ind w:left="660"/>
        <w:spacing w:after="0"/>
        <w:tabs>
          <w:tab w:leader="none" w:pos="130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47" w:lineRule="exact"/>
        <w:rPr>
          <w:sz w:val="20"/>
          <w:szCs w:val="20"/>
          <w:color w:val="auto"/>
        </w:rPr>
      </w:pPr>
    </w:p>
    <w:p>
      <w:pPr>
        <w:jc w:val="both"/>
        <w:ind w:firstLine="1305"/>
        <w:spacing w:after="0" w:line="274" w:lineRule="auto"/>
        <w:tabs>
          <w:tab w:leader="none" w:pos="1824" w:val="left"/>
        </w:tabs>
        <w:numPr>
          <w:ilvl w:val="0"/>
          <w:numId w:val="158"/>
        </w:numPr>
        <w:rPr>
          <w:rFonts w:ascii="Arial" w:cs="Arial" w:eastAsia="Arial" w:hAnsi="Arial"/>
          <w:sz w:val="21"/>
          <w:szCs w:val="21"/>
          <w:color w:val="010000"/>
        </w:rPr>
      </w:pPr>
      <w:r>
        <w:rPr>
          <w:rFonts w:ascii="Arial" w:cs="Arial" w:eastAsia="Arial" w:hAnsi="Arial"/>
          <w:sz w:val="21"/>
          <w:szCs w:val="21"/>
          <w:color w:val="auto"/>
        </w:rPr>
        <w:t>During the three (3) year period immediately following the end of the Control Period (the “</w:t>
      </w:r>
      <w:r>
        <w:rPr>
          <w:rFonts w:ascii="Arial" w:cs="Arial" w:eastAsia="Arial" w:hAnsi="Arial"/>
          <w:sz w:val="21"/>
          <w:szCs w:val="21"/>
          <w:b w:val="1"/>
          <w:bCs w:val="1"/>
          <w:color w:val="auto"/>
        </w:rPr>
        <w:t>Non-Compete</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other than pursuant to the terms and conditions of any agreement entered into between the Company (or its Affiliates), on</w:t>
      </w:r>
      <w:r>
        <w:rPr>
          <w:rFonts w:ascii="Arial" w:cs="Arial" w:eastAsia="Arial" w:hAnsi="Arial"/>
          <w:sz w:val="21"/>
          <w:szCs w:val="21"/>
          <w:b w:val="1"/>
          <w:bCs w:val="1"/>
          <w:color w:val="auto"/>
        </w:rPr>
        <w:t xml:space="preserve"> </w:t>
      </w:r>
      <w:r>
        <w:rPr>
          <w:rFonts w:ascii="Arial" w:cs="Arial" w:eastAsia="Arial" w:hAnsi="Arial"/>
          <w:sz w:val="21"/>
          <w:szCs w:val="21"/>
          <w:color w:val="auto"/>
        </w:rPr>
        <w:t>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85" w:lineRule="exact"/>
        <w:rPr>
          <w:rFonts w:ascii="Arial" w:cs="Arial" w:eastAsia="Arial" w:hAnsi="Arial"/>
          <w:sz w:val="21"/>
          <w:szCs w:val="21"/>
          <w:color w:val="010000"/>
        </w:rPr>
      </w:pPr>
    </w:p>
    <w:p>
      <w:pPr>
        <w:ind w:left="1780" w:hanging="475"/>
        <w:spacing w:after="0"/>
        <w:tabs>
          <w:tab w:leader="none" w:pos="1780" w:val="left"/>
        </w:tabs>
        <w:numPr>
          <w:ilvl w:val="0"/>
          <w:numId w:val="158"/>
        </w:numPr>
        <w:rPr>
          <w:rFonts w:ascii="Arial" w:cs="Arial" w:eastAsia="Arial" w:hAnsi="Arial"/>
          <w:sz w:val="19"/>
          <w:szCs w:val="19"/>
          <w:color w:val="010000"/>
        </w:rPr>
      </w:pPr>
      <w:r>
        <w:rPr>
          <w:rFonts w:ascii="Arial" w:cs="Arial" w:eastAsia="Arial" w:hAnsi="Arial"/>
          <w:sz w:val="19"/>
          <w:szCs w:val="19"/>
          <w:color w:val="auto"/>
        </w:rPr>
        <w:t>Notwithstanding anything herein to the contrary, during the Non-Compete Period, nothing in Section 11.02(a)</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shall restrict:</w:t>
      </w:r>
    </w:p>
    <w:p>
      <w:pPr>
        <w:spacing w:after="0" w:line="233" w:lineRule="exact"/>
        <w:rPr>
          <w:rFonts w:ascii="Arial" w:cs="Arial" w:eastAsia="Arial" w:hAnsi="Arial"/>
          <w:sz w:val="19"/>
          <w:szCs w:val="19"/>
          <w:color w:val="010000"/>
        </w:rPr>
      </w:pPr>
    </w:p>
    <w:p>
      <w:pPr>
        <w:ind w:left="2440" w:hanging="487"/>
        <w:spacing w:after="0"/>
        <w:tabs>
          <w:tab w:leader="none" w:pos="2440" w:val="left"/>
        </w:tabs>
        <w:numPr>
          <w:ilvl w:val="1"/>
          <w:numId w:val="158"/>
        </w:numPr>
        <w:rPr>
          <w:rFonts w:ascii="Arial" w:cs="Arial" w:eastAsia="Arial" w:hAnsi="Arial"/>
          <w:sz w:val="21"/>
          <w:szCs w:val="21"/>
          <w:color w:val="010000"/>
        </w:rPr>
      </w:pPr>
      <w:r>
        <w:rPr>
          <w:rFonts w:ascii="Arial" w:cs="Arial" w:eastAsia="Arial" w:hAnsi="Arial"/>
          <w:sz w:val="21"/>
          <w:szCs w:val="21"/>
          <w:color w:val="auto"/>
        </w:rPr>
        <w:t>the GM Investor’s or any of its Subsidiaries’ ability to engage in, carry on or participate in the GM</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Business;</w:t>
      </w:r>
    </w:p>
    <w:p>
      <w:pPr>
        <w:spacing w:after="0" w:line="233" w:lineRule="exact"/>
        <w:rPr>
          <w:rFonts w:ascii="Arial" w:cs="Arial" w:eastAsia="Arial" w:hAnsi="Arial"/>
          <w:sz w:val="21"/>
          <w:szCs w:val="21"/>
          <w:color w:val="010000"/>
        </w:rPr>
      </w:pPr>
    </w:p>
    <w:p>
      <w:pPr>
        <w:ind w:left="2500" w:hanging="547"/>
        <w:spacing w:after="0"/>
        <w:tabs>
          <w:tab w:leader="none" w:pos="2500" w:val="left"/>
        </w:tabs>
        <w:numPr>
          <w:ilvl w:val="1"/>
          <w:numId w:val="158"/>
        </w:numPr>
        <w:rPr>
          <w:rFonts w:ascii="Arial" w:cs="Arial" w:eastAsia="Arial" w:hAnsi="Arial"/>
          <w:sz w:val="19"/>
          <w:szCs w:val="19"/>
          <w:color w:val="010000"/>
        </w:rPr>
      </w:pPr>
      <w:r>
        <w:rPr>
          <w:rFonts w:ascii="Arial" w:cs="Arial" w:eastAsia="Arial" w:hAnsi="Arial"/>
          <w:sz w:val="19"/>
          <w:szCs w:val="19"/>
          <w:color w:val="auto"/>
        </w:rPr>
        <w:t>the Company’s or any of its Subsidiaries’ ability to engage in, carry on or participate in the AVCo</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33" w:lineRule="exact"/>
        <w:rPr>
          <w:rFonts w:ascii="Arial" w:cs="Arial" w:eastAsia="Arial" w:hAnsi="Arial"/>
          <w:sz w:val="19"/>
          <w:szCs w:val="19"/>
          <w:color w:val="010000"/>
        </w:rPr>
      </w:pPr>
    </w:p>
    <w:p>
      <w:pPr>
        <w:jc w:val="both"/>
        <w:ind w:firstLine="1953"/>
        <w:spacing w:after="0" w:line="272" w:lineRule="auto"/>
        <w:tabs>
          <w:tab w:leader="none" w:pos="2489"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79" w:lineRule="exact"/>
        <w:rPr>
          <w:rFonts w:ascii="Arial" w:cs="Arial" w:eastAsia="Arial" w:hAnsi="Arial"/>
          <w:sz w:val="22"/>
          <w:szCs w:val="22"/>
          <w:color w:val="010000"/>
        </w:rPr>
      </w:pPr>
    </w:p>
    <w:p>
      <w:pPr>
        <w:ind w:left="2440" w:hanging="487"/>
        <w:spacing w:after="0"/>
        <w:tabs>
          <w:tab w:leader="none" w:pos="2440"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consummating an OEM Acquisition;</w:t>
      </w:r>
    </w:p>
    <w:p>
      <w:pPr>
        <w:spacing w:after="0" w:line="246" w:lineRule="exact"/>
        <w:rPr>
          <w:rFonts w:ascii="Arial" w:cs="Arial" w:eastAsia="Arial" w:hAnsi="Arial"/>
          <w:sz w:val="22"/>
          <w:szCs w:val="22"/>
          <w:color w:val="010000"/>
        </w:rPr>
      </w:pPr>
    </w:p>
    <w:p>
      <w:pPr>
        <w:jc w:val="both"/>
        <w:ind w:firstLine="1953"/>
        <w:spacing w:after="0" w:line="306" w:lineRule="auto"/>
        <w:tabs>
          <w:tab w:leader="none" w:pos="2471" w:val="left"/>
        </w:tabs>
        <w:numPr>
          <w:ilvl w:val="1"/>
          <w:numId w:val="158"/>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342" w:right="239" w:bottom="1440" w:gutter="0" w:footer="0" w:header="0"/>
        </w:sectPr>
      </w:pPr>
    </w:p>
    <w:bookmarkStart w:id="190" w:name="page191"/>
    <w:bookmarkEnd w:id="190"/>
    <w:p>
      <w:pPr>
        <w:jc w:val="both"/>
        <w:ind w:firstLine="1953"/>
        <w:spacing w:after="0" w:line="311" w:lineRule="auto"/>
        <w:tabs>
          <w:tab w:leader="none" w:pos="2518"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51" w:lineRule="exact"/>
        <w:rPr>
          <w:rFonts w:ascii="Arial" w:cs="Arial" w:eastAsia="Arial" w:hAnsi="Arial"/>
          <w:sz w:val="19"/>
          <w:szCs w:val="19"/>
          <w:color w:val="010000"/>
        </w:rPr>
      </w:pPr>
    </w:p>
    <w:p>
      <w:pPr>
        <w:ind w:firstLine="1953"/>
        <w:spacing w:after="0" w:line="289" w:lineRule="auto"/>
        <w:tabs>
          <w:tab w:leader="none" w:pos="2578" w:val="left"/>
        </w:tabs>
        <w:numPr>
          <w:ilvl w:val="1"/>
          <w:numId w:val="159"/>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engaging in or consummating any transaction that would constitute a Change of Control;</w:t>
      </w:r>
    </w:p>
    <w:p>
      <w:pPr>
        <w:spacing w:after="0" w:line="160" w:lineRule="exact"/>
        <w:rPr>
          <w:rFonts w:ascii="Arial" w:cs="Arial" w:eastAsia="Arial" w:hAnsi="Arial"/>
          <w:sz w:val="22"/>
          <w:szCs w:val="22"/>
          <w:color w:val="010000"/>
        </w:rPr>
      </w:pPr>
    </w:p>
    <w:p>
      <w:pPr>
        <w:jc w:val="both"/>
        <w:ind w:firstLine="1953"/>
        <w:spacing w:after="0" w:line="272" w:lineRule="auto"/>
        <w:tabs>
          <w:tab w:leader="none" w:pos="2624" w:val="left"/>
        </w:tabs>
        <w:numPr>
          <w:ilvl w:val="1"/>
          <w:numId w:val="159"/>
        </w:numPr>
        <w:rPr>
          <w:rFonts w:ascii="Arial" w:cs="Arial" w:eastAsia="Arial" w:hAnsi="Arial"/>
          <w:sz w:val="22"/>
          <w:szCs w:val="22"/>
          <w:color w:val="010000"/>
        </w:rPr>
      </w:pPr>
      <w:r>
        <w:rPr>
          <w:rFonts w:ascii="Arial" w:cs="Arial" w:eastAsia="Arial" w:hAnsi="Arial"/>
          <w:sz w:val="22"/>
          <w:szCs w:val="22"/>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79" w:lineRule="exact"/>
        <w:rPr>
          <w:rFonts w:ascii="Arial" w:cs="Arial" w:eastAsia="Arial" w:hAnsi="Arial"/>
          <w:sz w:val="22"/>
          <w:szCs w:val="22"/>
          <w:color w:val="010000"/>
        </w:rPr>
      </w:pPr>
    </w:p>
    <w:p>
      <w:pPr>
        <w:ind w:firstLine="1953"/>
        <w:spacing w:after="0" w:line="373" w:lineRule="auto"/>
        <w:tabs>
          <w:tab w:leader="none" w:pos="2504"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the GM Investor or any of its Subsidiaries from owning or holding capital stock or other ownership interests in the entity (and its Subsidiaries or any successor entity) previously identified to SoftBank by the GM Investor; or</w:t>
      </w:r>
    </w:p>
    <w:p>
      <w:pPr>
        <w:spacing w:after="0" w:line="90" w:lineRule="exact"/>
        <w:rPr>
          <w:rFonts w:ascii="Arial" w:cs="Arial" w:eastAsia="Arial" w:hAnsi="Arial"/>
          <w:sz w:val="19"/>
          <w:szCs w:val="19"/>
          <w:color w:val="010000"/>
        </w:rPr>
      </w:pPr>
    </w:p>
    <w:p>
      <w:pPr>
        <w:jc w:val="both"/>
        <w:ind w:firstLine="1953"/>
        <w:spacing w:after="0" w:line="334" w:lineRule="auto"/>
        <w:tabs>
          <w:tab w:leader="none" w:pos="2417"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127" w:lineRule="exact"/>
        <w:rPr>
          <w:rFonts w:ascii="Arial" w:cs="Arial" w:eastAsia="Arial" w:hAnsi="Arial"/>
          <w:sz w:val="19"/>
          <w:szCs w:val="19"/>
          <w:color w:val="010000"/>
        </w:rPr>
      </w:pPr>
    </w:p>
    <w:p>
      <w:pPr>
        <w:jc w:val="both"/>
        <w:ind w:firstLine="1305"/>
        <w:spacing w:after="0" w:line="267" w:lineRule="auto"/>
        <w:tabs>
          <w:tab w:leader="none" w:pos="1865"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184" w:lineRule="exact"/>
        <w:rPr>
          <w:rFonts w:ascii="Arial" w:cs="Arial" w:eastAsia="Arial" w:hAnsi="Arial"/>
          <w:sz w:val="22"/>
          <w:szCs w:val="22"/>
          <w:color w:val="010000"/>
        </w:rPr>
      </w:pPr>
    </w:p>
    <w:p>
      <w:pPr>
        <w:ind w:left="1740" w:hanging="435"/>
        <w:spacing w:after="0"/>
        <w:tabs>
          <w:tab w:leader="none" w:pos="1740"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For the purposes of this Article XI, the Company and its Subsidiaries are not Subsidiaries of the GM Investor.</w:t>
      </w:r>
    </w:p>
    <w:p>
      <w:pPr>
        <w:spacing w:after="0" w:line="27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Member and its Affiliates will be responsible for its own expenses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negotiation of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348" w:right="239" w:bottom="1440" w:gutter="0" w:footer="0" w:header="0"/>
        </w:sectPr>
      </w:pPr>
    </w:p>
    <w:bookmarkStart w:id="191" w:name="page192"/>
    <w:bookmarkEnd w:id="191"/>
    <w:p>
      <w:pPr>
        <w:ind w:firstLine="648"/>
        <w:spacing w:after="0" w:line="320"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b w:val="1"/>
          <w:bCs w:val="1"/>
          <w:u w:val="single" w:color="auto"/>
          <w:color w:val="auto"/>
        </w:rPr>
        <w:t>No Third-Party Rights</w:t>
      </w:r>
      <w:r>
        <w:rPr>
          <w:rFonts w:ascii="Arial" w:cs="Arial" w:eastAsia="Arial" w:hAnsi="Arial"/>
          <w:sz w:val="21"/>
          <w:szCs w:val="21"/>
          <w:color w:val="auto"/>
        </w:rPr>
        <w:t>. Except as otherwise expressly set forth herein (including Sections 4.03 and 7.02), nothing</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shall be construed to grant rights to any Person who is not a party to this Agreement.</w:t>
      </w:r>
    </w:p>
    <w:p>
      <w:pPr>
        <w:spacing w:after="0" w:line="126"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 issued, such Certificated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bear the following legend: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SHARES REPRESENTED BY THIS CERTIFICATE WERE ORIGINALLY ISSUED ON _______________,</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_____, HAVE NOT BEEN REGISTERED UNDER THE SECURITIES ACT OF 1933, AS AMENDED (THE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2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OR APPLICABLE STATE SECURITIES LAWS (“</w:t>
      </w:r>
      <w:r>
        <w:rPr>
          <w:rFonts w:ascii="Arial" w:cs="Arial" w:eastAsia="Arial" w:hAnsi="Arial"/>
          <w:sz w:val="22"/>
          <w:szCs w:val="22"/>
          <w:b w:val="1"/>
          <w:bCs w:val="1"/>
          <w:color w:val="auto"/>
        </w:rPr>
        <w:t>STATE ACTS</w:t>
      </w:r>
      <w:r>
        <w:rPr>
          <w:rFonts w:ascii="Arial" w:cs="Arial" w:eastAsia="Arial" w:hAnsi="Arial"/>
          <w:sz w:val="22"/>
          <w:szCs w:val="22"/>
          <w:color w:val="auto"/>
        </w:rPr>
        <w:t>”) AND MAY NOT BE SOLD, ASSIGNED, PLEDGED, TRANSFERRED OR OTHERWISE DISPOSED OF IN THE ABSENCE OF AN EFFECTIVE REGISTRATION STATEMENT UNDER THE ACT OR STATE ACTS OR AN EXEMPTION FROM REGISTRATION THEREUNDER.</w:t>
      </w:r>
    </w:p>
    <w:p>
      <w:pPr>
        <w:spacing w:after="0" w:line="192" w:lineRule="exact"/>
        <w:rPr>
          <w:sz w:val="20"/>
          <w:szCs w:val="20"/>
          <w:color w:val="auto"/>
        </w:rPr>
      </w:pPr>
    </w:p>
    <w:p>
      <w:pPr>
        <w:jc w:val="both"/>
        <w:ind w:left="660"/>
        <w:spacing w:after="0" w:line="258" w:lineRule="auto"/>
        <w:rPr>
          <w:sz w:val="20"/>
          <w:szCs w:val="20"/>
          <w:color w:val="auto"/>
        </w:rPr>
      </w:pPr>
      <w:r>
        <w:rPr>
          <w:rFonts w:ascii="Arial" w:cs="Arial" w:eastAsia="Arial" w:hAnsi="Arial"/>
          <w:sz w:val="22"/>
          <w:szCs w:val="22"/>
          <w:color w:val="auto"/>
        </w:rPr>
        <w:t>THE TRANSFER OF THE SHARES REPRESENTED BY THIS CERTIFICATE IS SUBJECT TO THE CONDITIONS SPECIFIED IN A FIFTH AMENDED AND RESTATED LIMITED LIABILITY COMPANY AGREEMENT, DATED AS OF DECEMBER 18, 2019, AS AMENDED AND MODIFIED FROM TIME TO TIME, GOVERNING THE ISSUER (THE “</w:t>
      </w:r>
      <w:r>
        <w:rPr>
          <w:rFonts w:ascii="Arial" w:cs="Arial" w:eastAsia="Arial" w:hAnsi="Arial"/>
          <w:sz w:val="22"/>
          <w:szCs w:val="22"/>
          <w:b w:val="1"/>
          <w:bCs w:val="1"/>
          <w:color w:val="auto"/>
        </w:rPr>
        <w:t>COMPANY</w:t>
      </w:r>
      <w:r>
        <w:rPr>
          <w:rFonts w:ascii="Arial" w:cs="Arial" w:eastAsia="Arial" w:hAnsi="Arial"/>
          <w:sz w:val="22"/>
          <w:szCs w:val="22"/>
          <w:color w:val="auto"/>
        </w:rPr>
        <w:t>”), AND BY AND AMONG ITS MEMBERS (THE “</w:t>
      </w:r>
      <w:r>
        <w:rPr>
          <w:rFonts w:ascii="Arial" w:cs="Arial" w:eastAsia="Arial" w:hAnsi="Arial"/>
          <w:sz w:val="22"/>
          <w:szCs w:val="22"/>
          <w:b w:val="1"/>
          <w:bCs w:val="1"/>
          <w:color w:val="auto"/>
        </w:rPr>
        <w:t>LLC AGREEMENT</w:t>
      </w:r>
      <w:r>
        <w:rPr>
          <w:rFonts w:ascii="Arial" w:cs="Arial" w:eastAsia="Arial" w:hAnsi="Arial"/>
          <w:sz w:val="22"/>
          <w:szCs w:val="22"/>
          <w:color w:val="auto"/>
        </w:rPr>
        <w:t>”). THE SHARES REPRESENTED BY THIS CERTIFICATE MAY ALSO BE SUBJECT TO 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878" w:val="left"/>
        </w:tabs>
        <w:numPr>
          <w:ilvl w:val="0"/>
          <w:numId w:val="161"/>
        </w:numPr>
        <w:rPr>
          <w:rFonts w:ascii="Arial" w:cs="Arial" w:eastAsia="Arial" w:hAnsi="Arial"/>
          <w:sz w:val="22"/>
          <w:szCs w:val="22"/>
          <w:color w:val="010000"/>
        </w:rPr>
      </w:pPr>
      <w:r>
        <w:rPr>
          <w:rFonts w:ascii="Arial" w:cs="Arial" w:eastAsia="Arial" w:hAnsi="Arial"/>
          <w:sz w:val="22"/>
          <w:szCs w:val="22"/>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342" w:right="239" w:bottom="1440" w:gutter="0" w:footer="0" w:header="0"/>
        </w:sectPr>
      </w:pPr>
    </w:p>
    <w:bookmarkStart w:id="192" w:name="page193"/>
    <w:bookmarkEnd w:id="192"/>
    <w:p>
      <w:pPr>
        <w:jc w:val="both"/>
        <w:spacing w:after="0" w:line="300" w:lineRule="auto"/>
        <w:rPr>
          <w:sz w:val="20"/>
          <w:szCs w:val="20"/>
          <w:color w:val="auto"/>
        </w:rPr>
      </w:pPr>
      <w:r>
        <w:rPr>
          <w:rFonts w:ascii="Arial" w:cs="Arial" w:eastAsia="Arial" w:hAnsi="Arial"/>
          <w:sz w:val="19"/>
          <w:szCs w:val="19"/>
          <w:color w:val="auto"/>
        </w:rPr>
        <w:t>all or a material portion of the assets or Equity Securities of the Company or any of its Subsidiaries), (ii) another Member, (iii) such Member’s or, in the case of SoftBank any of its or its Affiliate’s, financial planners, accountants, attorneys, investment advisers or other advisors or employees or representatives that need to know such information in connection with the monitoring of the Company, the Member or his, her or its Affiliates or in the normal course of operations of such Member or (iv) in the case of SoftBank or any of its Affiliates, disclosure of information (or any information derived from or based upon such information) of the type specified to SoftBank UK prior to the execution of the SoftBank Purchase Agreement (and subsequently acknowledged and agreed to by SoftBank) to its current or prospective investors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200" w:lineRule="exact"/>
        <w:rPr>
          <w:sz w:val="20"/>
          <w:szCs w:val="20"/>
          <w:color w:val="auto"/>
        </w:rPr>
      </w:pPr>
    </w:p>
    <w:p>
      <w:pPr>
        <w:spacing w:after="0" w:line="229" w:lineRule="exact"/>
        <w:rPr>
          <w:sz w:val="20"/>
          <w:szCs w:val="20"/>
          <w:color w:val="auto"/>
        </w:rPr>
      </w:pPr>
    </w:p>
    <w:p>
      <w:pPr>
        <w:ind w:firstLine="1305"/>
        <w:spacing w:after="0" w:line="289" w:lineRule="auto"/>
        <w:tabs>
          <w:tab w:leader="none" w:pos="1728" w:val="left"/>
        </w:tabs>
        <w:numPr>
          <w:ilvl w:val="0"/>
          <w:numId w:val="162"/>
        </w:numPr>
        <w:rPr>
          <w:rFonts w:ascii="Arial" w:cs="Arial" w:eastAsia="Arial" w:hAnsi="Arial"/>
          <w:sz w:val="22"/>
          <w:szCs w:val="22"/>
          <w:color w:val="010000"/>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b w:val="1"/>
          <w:bCs w:val="1"/>
          <w:u w:val="single" w:color="auto"/>
          <w:color w:val="auto"/>
        </w:rPr>
        <w:t>Power of Attorney</w:t>
      </w:r>
      <w:r>
        <w:rPr>
          <w:rFonts w:ascii="Arial" w:cs="Arial" w:eastAsia="Arial" w:hAnsi="Arial"/>
          <w:sz w:val="21"/>
          <w:szCs w:val="21"/>
          <w:color w:val="auto"/>
        </w:rPr>
        <w:t>. Each of the Members does hereby constitute and appoint the Board of Directors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348" w:right="239" w:bottom="1440" w:gutter="0" w:footer="0" w:header="0"/>
        </w:sectPr>
      </w:pPr>
    </w:p>
    <w:bookmarkStart w:id="193" w:name="page194"/>
    <w:bookmarkEnd w:id="193"/>
    <w:p>
      <w:pPr>
        <w:jc w:val="both"/>
        <w:spacing w:after="0" w:line="327" w:lineRule="auto"/>
        <w:rPr>
          <w:sz w:val="20"/>
          <w:szCs w:val="20"/>
          <w:color w:val="auto"/>
        </w:rPr>
      </w:pPr>
      <w:r>
        <w:rPr>
          <w:rFonts w:ascii="Arial" w:cs="Arial" w:eastAsia="Arial" w:hAnsi="Arial"/>
          <w:sz w:val="19"/>
          <w:szCs w:val="19"/>
          <w:color w:val="auto"/>
        </w:rPr>
        <w:t>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2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8" w:lineRule="exact"/>
        <w:rPr>
          <w:sz w:val="20"/>
          <w:szCs w:val="20"/>
          <w:color w:val="auto"/>
        </w:rPr>
      </w:pPr>
    </w:p>
    <w:p>
      <w:pPr>
        <w:ind w:left="1720" w:hanging="415"/>
        <w:spacing w:after="0"/>
        <w:tabs>
          <w:tab w:leader="none" w:pos="1720" w:val="left"/>
        </w:tabs>
        <w:numPr>
          <w:ilvl w:val="0"/>
          <w:numId w:val="163"/>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1201 Bryant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94103</w:t>
      </w:r>
    </w:p>
    <w:p>
      <w:pPr>
        <w:spacing w:after="0" w:line="4"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Sheldon Quan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Geoff Richardson</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sheldon.quan@getcruise.com</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geoff.richardson@getcruise.com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 xml:space="preserve">Attention: </w:t>
      </w:r>
      <w:r>
        <w:rPr>
          <w:rFonts w:ascii="Arial" w:cs="Arial" w:eastAsia="Arial" w:hAnsi="Arial"/>
          <w:sz w:val="21"/>
          <w:szCs w:val="21"/>
          <w:color w:val="333333"/>
        </w:rPr>
        <w:t>Deputy General Counsel &amp; Chief Compliance Officer, NA, Transformation and Compliance</w:t>
      </w:r>
    </w:p>
    <w:p>
      <w:pPr>
        <w:spacing w:after="0" w:line="15"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tab/>
        <w:t>ann.cathcartchaplin@gm.com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 446-4900</w:t>
      </w:r>
    </w:p>
    <w:p>
      <w:pPr>
        <w:spacing w:after="0" w:line="4"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Peter Martelli</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Jonathan L. Davis</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Peter.Martelli@kirkland.com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Jonathan.Davis@kirkland.com</w:t>
      </w:r>
    </w:p>
    <w:p>
      <w:pPr>
        <w:spacing w:after="0" w:line="242" w:lineRule="exact"/>
        <w:rPr>
          <w:sz w:val="20"/>
          <w:szCs w:val="20"/>
          <w:color w:val="auto"/>
        </w:rPr>
      </w:pPr>
    </w:p>
    <w:p>
      <w:pPr>
        <w:jc w:val="both"/>
        <w:ind w:firstLine="1305"/>
        <w:spacing w:after="0" w:line="294" w:lineRule="auto"/>
        <w:tabs>
          <w:tab w:leader="none" w:pos="1864"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If to a Member, to such Member or his personal representative at his or their last address known to the Company as disclosed on the records of the Company. Notices shall be in writing and shall be sent by facsimile or pdf e-mail (if promptly confirmed by personal delivery, telephone call or mail), by mailed postage prepaid, registered or certified, by United States mail, return receipt requested, by nationally recognized private courier or by personal delivery. Notices shall be effective, (i) if sent by facsimile or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348"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Day, (iii) if mailed, three (3) Business Days after mailing or (iv) if personally delivered, when delivered.</w:t>
      </w:r>
    </w:p>
    <w:p>
      <w:pPr>
        <w:spacing w:after="0" w:line="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b w:val="1"/>
          <w:bCs w:val="1"/>
          <w:u w:val="single" w:color="auto"/>
          <w:color w:val="auto"/>
        </w:rPr>
        <w:t>Facsimile and E-Mail</w:t>
      </w:r>
      <w:r>
        <w:rPr>
          <w:rFonts w:ascii="Arial" w:cs="Arial" w:eastAsia="Arial" w:hAnsi="Arial"/>
          <w:sz w:val="21"/>
          <w:szCs w:val="21"/>
          <w:color w:val="auto"/>
        </w:rPr>
        <w:t>. This Agreement, the agreements referred to herein, and each other agreement or instrument</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into in connection herewith or therewith or contemplated hereby or thereby, and any amendments hereto or thereto, to the extent signed and delivered by means of a facsimile machine or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17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Subject to Sections 5.12, 5.13 and 6.13(a), this Agreement may be amended, modified, or waived</w:t>
      </w:r>
      <w:r>
        <w:rPr>
          <w:rFonts w:ascii="Arial" w:cs="Arial" w:eastAsia="Arial" w:hAnsi="Arial"/>
          <w:sz w:val="22"/>
          <w:szCs w:val="22"/>
          <w:b w:val="1"/>
          <w:bCs w:val="1"/>
          <w:color w:val="auto"/>
        </w:rPr>
        <w:t xml:space="preserve"> </w:t>
      </w:r>
      <w:r>
        <w:rPr>
          <w:rFonts w:ascii="Arial" w:cs="Arial" w:eastAsia="Arial" w:hAnsi="Arial"/>
          <w:sz w:val="22"/>
          <w:szCs w:val="22"/>
          <w:color w:val="auto"/>
        </w:rPr>
        <w:t>only by the approval of both a Majority of the Members and the Board of Directors.</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 such Member’s own tax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12.10 </w:t>
      </w:r>
      <w:r>
        <w:rPr>
          <w:rFonts w:ascii="Arial" w:cs="Arial" w:eastAsia="Arial" w:hAnsi="Arial"/>
          <w:sz w:val="22"/>
          <w:szCs w:val="22"/>
          <w:b w:val="1"/>
          <w:bCs w:val="1"/>
          <w:u w:val="single" w:color="auto"/>
          <w:color w:val="auto"/>
        </w:rPr>
        <w:t>Acknowledgments</w:t>
      </w:r>
      <w:r>
        <w:rPr>
          <w:rFonts w:ascii="Arial" w:cs="Arial" w:eastAsia="Arial" w:hAnsi="Arial"/>
          <w:sz w:val="22"/>
          <w:szCs w:val="22"/>
          <w:color w:val="auto"/>
        </w:rPr>
        <w:t>. Upon execution and delivery of a counterpart to this Agreement or a joinder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each Member (including any of its successors or assigns, each Assignee and each Additional Member) shall be deemed to acknowledge to the Company as follows: (i) the determination of such Member to acquire Shares pursuant to this Agreement or any other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348" w:right="239" w:bottom="1440" w:gutter="0" w:footer="0" w:header="0"/>
        </w:sectPr>
      </w:pPr>
    </w:p>
    <w:bookmarkStart w:id="195" w:name="page196"/>
    <w:bookmarkEnd w:id="195"/>
    <w:p>
      <w:pPr>
        <w:jc w:val="both"/>
        <w:spacing w:after="0" w:line="298" w:lineRule="auto"/>
        <w:rPr>
          <w:sz w:val="20"/>
          <w:szCs w:val="20"/>
          <w:color w:val="auto"/>
        </w:rPr>
      </w:pPr>
      <w:r>
        <w:rPr>
          <w:rFonts w:ascii="Arial" w:cs="Arial" w:eastAsia="Arial" w:hAnsi="Arial"/>
          <w:sz w:val="19"/>
          <w:szCs w:val="19"/>
          <w:color w:val="auto"/>
        </w:rPr>
        <w:t>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w:t>
      </w:r>
    </w:p>
    <w:p>
      <w:pPr>
        <w:spacing w:after="0" w:line="1" w:lineRule="exact"/>
        <w:rPr>
          <w:sz w:val="20"/>
          <w:szCs w:val="20"/>
          <w:color w:val="auto"/>
        </w:rPr>
      </w:pPr>
    </w:p>
    <w:p>
      <w:pPr>
        <w:jc w:val="both"/>
        <w:ind w:firstLine="8"/>
        <w:spacing w:after="0" w:line="301" w:lineRule="auto"/>
        <w:tabs>
          <w:tab w:leader="none" w:pos="32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(v) such Member will, if it wishes counsel on the transactions contemplated hereby, retain its own independent counsel, (vi) Kirkland &amp; Ellis LLP may represent the GM Investor, GM Parent and/or the Company in connection with any and all matters contemplated hereby (including any dispute between the GM Investor, GM Parent and/or the Company, on the one hand, and any other Member, on the other hand) and (vii) Kirkland &amp; Ellis LLP has represented and may represent the Company on matters affecting the Company and its Subsidiaries, and such Member waives any conflict of interest in connection with all such representations by Kirkland &amp; Ellis LLP.</w:t>
      </w:r>
    </w:p>
    <w:p>
      <w:pPr>
        <w:spacing w:after="0" w:line="15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3" w:lineRule="exact"/>
        <w:rPr>
          <w:sz w:val="20"/>
          <w:szCs w:val="20"/>
          <w:color w:val="auto"/>
        </w:rPr>
      </w:pPr>
    </w:p>
    <w:p>
      <w:pPr>
        <w:ind w:firstLine="1305"/>
        <w:spacing w:after="0" w:line="289" w:lineRule="auto"/>
        <w:tabs>
          <w:tab w:leader="none" w:pos="1743" w:val="left"/>
        </w:tabs>
        <w:numPr>
          <w:ilvl w:val="0"/>
          <w:numId w:val="166"/>
        </w:numPr>
        <w:rPr>
          <w:rFonts w:ascii="Arial" w:cs="Arial" w:eastAsia="Arial" w:hAnsi="Arial"/>
          <w:sz w:val="22"/>
          <w:szCs w:val="22"/>
          <w:color w:val="010000"/>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article or section titles or captions contained in this Agreement are for convenience only and shall not be deemed a part of this Agreement.</w:t>
      </w:r>
    </w:p>
    <w:p>
      <w:pPr>
        <w:spacing w:after="0" w:line="160" w:lineRule="exact"/>
        <w:rPr>
          <w:rFonts w:ascii="Arial" w:cs="Arial" w:eastAsia="Arial" w:hAnsi="Arial"/>
          <w:sz w:val="22"/>
          <w:szCs w:val="22"/>
          <w:color w:val="010000"/>
        </w:rPr>
      </w:pPr>
    </w:p>
    <w:p>
      <w:pPr>
        <w:jc w:val="both"/>
        <w:ind w:firstLine="1305"/>
        <w:spacing w:after="0" w:line="304" w:lineRule="auto"/>
        <w:tabs>
          <w:tab w:leader="none" w:pos="1742" w:val="left"/>
        </w:tabs>
        <w:numPr>
          <w:ilvl w:val="0"/>
          <w:numId w:val="166"/>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348" w:right="239" w:bottom="1440" w:gutter="0" w:footer="0" w:header="0"/>
        </w:sectPr>
      </w:pPr>
    </w:p>
    <w:bookmarkStart w:id="196" w:name="page197"/>
    <w:bookmarkEnd w:id="196"/>
    <w:p>
      <w:pPr>
        <w:jc w:val="both"/>
        <w:ind w:firstLine="1305"/>
        <w:spacing w:after="0" w:line="262" w:lineRule="auto"/>
        <w:tabs>
          <w:tab w:leader="none" w:pos="1757" w:val="left"/>
        </w:tabs>
        <w:numPr>
          <w:ilvl w:val="0"/>
          <w:numId w:val="167"/>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93" w:lineRule="exact"/>
        <w:rPr>
          <w:rFonts w:ascii="Arial" w:cs="Arial" w:eastAsia="Arial" w:hAnsi="Arial"/>
          <w:sz w:val="22"/>
          <w:szCs w:val="22"/>
          <w:color w:val="010000"/>
        </w:rPr>
      </w:pPr>
    </w:p>
    <w:p>
      <w:pPr>
        <w:jc w:val="both"/>
        <w:ind w:firstLine="1305"/>
        <w:spacing w:after="0" w:line="311" w:lineRule="auto"/>
        <w:tabs>
          <w:tab w:leader="none" w:pos="1769" w:val="left"/>
        </w:tabs>
        <w:numPr>
          <w:ilvl w:val="0"/>
          <w:numId w:val="167"/>
        </w:numPr>
        <w:rPr>
          <w:rFonts w:ascii="Arial" w:cs="Arial" w:eastAsia="Arial" w:hAnsi="Arial"/>
          <w:sz w:val="19"/>
          <w:szCs w:val="19"/>
          <w:color w:val="010000"/>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Section 2.02(c)(i));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or otherwise affect the ability of a Member to effect a Transfer of Shares in accordance with this Agreement.</w:t>
      </w:r>
    </w:p>
    <w:p>
      <w:pPr>
        <w:spacing w:after="0" w:line="151" w:lineRule="exact"/>
        <w:rPr>
          <w:rFonts w:ascii="Arial" w:cs="Arial" w:eastAsia="Arial" w:hAnsi="Arial"/>
          <w:sz w:val="19"/>
          <w:szCs w:val="19"/>
          <w:color w:val="010000"/>
        </w:rPr>
      </w:pPr>
    </w:p>
    <w:p>
      <w:pPr>
        <w:jc w:val="both"/>
        <w:ind w:firstLine="1305"/>
        <w:spacing w:after="0" w:line="283" w:lineRule="auto"/>
        <w:tabs>
          <w:tab w:leader="none" w:pos="1784" w:val="left"/>
        </w:tabs>
        <w:numPr>
          <w:ilvl w:val="0"/>
          <w:numId w:val="167"/>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71" w:lineRule="exact"/>
        <w:rPr>
          <w:rFonts w:ascii="Arial" w:cs="Arial" w:eastAsia="Arial" w:hAnsi="Arial"/>
          <w:sz w:val="21"/>
          <w:szCs w:val="21"/>
          <w:color w:val="010000"/>
        </w:rPr>
      </w:pPr>
    </w:p>
    <w:p>
      <w:pPr>
        <w:jc w:val="both"/>
        <w:ind w:firstLine="1305"/>
        <w:spacing w:after="0" w:line="291" w:lineRule="auto"/>
        <w:tabs>
          <w:tab w:leader="none" w:pos="1760" w:val="left"/>
        </w:tabs>
        <w:numPr>
          <w:ilvl w:val="0"/>
          <w:numId w:val="167"/>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61" w:lineRule="exact"/>
        <w:rPr>
          <w:rFonts w:ascii="Arial" w:cs="Arial" w:eastAsia="Arial" w:hAnsi="Arial"/>
          <w:sz w:val="21"/>
          <w:szCs w:val="21"/>
          <w:color w:val="010000"/>
        </w:rPr>
      </w:pPr>
    </w:p>
    <w:p>
      <w:pPr>
        <w:jc w:val="both"/>
        <w:ind w:firstLine="1305"/>
        <w:spacing w:after="0" w:line="304" w:lineRule="auto"/>
        <w:tabs>
          <w:tab w:leader="none" w:pos="1728" w:val="left"/>
        </w:tabs>
        <w:numPr>
          <w:ilvl w:val="0"/>
          <w:numId w:val="167"/>
        </w:numPr>
        <w:rPr>
          <w:rFonts w:ascii="Arial" w:cs="Arial" w:eastAsia="Arial" w:hAnsi="Arial"/>
          <w:sz w:val="19"/>
          <w:szCs w:val="19"/>
          <w:color w:val="010000"/>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348" w:right="239" w:bottom="1440" w:gutter="0" w:footer="0" w:header="0"/>
        </w:sectPr>
      </w:pPr>
    </w:p>
    <w:bookmarkStart w:id="197" w:name="page198"/>
    <w:bookmarkEnd w:id="197"/>
    <w:p>
      <w:pPr>
        <w:jc w:val="both"/>
        <w:spacing w:after="0" w:line="305" w:lineRule="auto"/>
        <w:rPr>
          <w:sz w:val="20"/>
          <w:szCs w:val="20"/>
          <w:color w:val="auto"/>
        </w:rPr>
      </w:pPr>
      <w:r>
        <w:rPr>
          <w:rFonts w:ascii="Arial" w:cs="Arial" w:eastAsia="Arial" w:hAnsi="Arial"/>
          <w:sz w:val="19"/>
          <w:szCs w:val="19"/>
          <w:color w:val="auto"/>
        </w:rPr>
        <w:t>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156" w:lineRule="exact"/>
        <w:rPr>
          <w:sz w:val="20"/>
          <w:szCs w:val="20"/>
          <w:color w:val="auto"/>
        </w:rPr>
      </w:pPr>
    </w:p>
    <w:p>
      <w:pPr>
        <w:jc w:val="both"/>
        <w:ind w:firstLine="1305"/>
        <w:spacing w:after="0" w:line="305" w:lineRule="auto"/>
        <w:tabs>
          <w:tab w:leader="none" w:pos="1756" w:val="left"/>
        </w:tabs>
        <w:numPr>
          <w:ilvl w:val="0"/>
          <w:numId w:val="168"/>
        </w:numPr>
        <w:rPr>
          <w:rFonts w:ascii="Arial" w:cs="Arial" w:eastAsia="Arial" w:hAnsi="Arial"/>
          <w:sz w:val="19"/>
          <w:szCs w:val="19"/>
          <w:color w:val="010000"/>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54" w:lineRule="exact"/>
        <w:rPr>
          <w:rFonts w:ascii="Arial" w:cs="Arial" w:eastAsia="Arial" w:hAnsi="Arial"/>
          <w:sz w:val="19"/>
          <w:szCs w:val="19"/>
          <w:color w:val="010000"/>
        </w:rPr>
      </w:pPr>
    </w:p>
    <w:p>
      <w:pPr>
        <w:ind w:firstLine="1305"/>
        <w:spacing w:after="0" w:line="289" w:lineRule="auto"/>
        <w:tabs>
          <w:tab w:leader="none" w:pos="1775" w:val="left"/>
        </w:tabs>
        <w:numPr>
          <w:ilvl w:val="0"/>
          <w:numId w:val="16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856" w:val="left"/>
        </w:tabs>
        <w:numPr>
          <w:ilvl w:val="0"/>
          <w:numId w:val="168"/>
        </w:numPr>
        <w:rPr>
          <w:rFonts w:ascii="Arial" w:cs="Arial" w:eastAsia="Arial" w:hAnsi="Arial"/>
          <w:sz w:val="22"/>
          <w:szCs w:val="22"/>
          <w:color w:val="010000"/>
        </w:rPr>
      </w:pPr>
      <w:r>
        <w:rPr>
          <w:rFonts w:ascii="Arial" w:cs="Arial" w:eastAsia="Arial" w:hAnsi="Arial"/>
          <w:sz w:val="22"/>
          <w:szCs w:val="22"/>
          <w:u w:val="single" w:color="auto"/>
          <w:color w:val="auto"/>
        </w:rPr>
        <w:t>Third Parties</w:t>
      </w:r>
      <w:r>
        <w:rPr>
          <w:rFonts w:ascii="Arial" w:cs="Arial" w:eastAsia="Arial" w:hAnsi="Arial"/>
          <w:sz w:val="22"/>
          <w:szCs w:val="22"/>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12.12 </w:t>
      </w:r>
      <w:r>
        <w:rPr>
          <w:rFonts w:ascii="Arial" w:cs="Arial" w:eastAsia="Arial" w:hAnsi="Arial"/>
          <w:sz w:val="22"/>
          <w:szCs w:val="22"/>
          <w:b w:val="1"/>
          <w:bCs w:val="1"/>
          <w:u w:val="single" w:color="auto"/>
          <w:color w:val="auto"/>
        </w:rPr>
        <w:t>Title to Company Assets</w:t>
      </w:r>
      <w:r>
        <w:rPr>
          <w:rFonts w:ascii="Arial" w:cs="Arial" w:eastAsia="Arial" w:hAnsi="Arial"/>
          <w:sz w:val="22"/>
          <w:szCs w:val="22"/>
          <w:color w:val="auto"/>
        </w:rPr>
        <w:t>. Company assets shall be deemed to be owned by the Company as an entity, and no</w:t>
      </w:r>
      <w:r>
        <w:rPr>
          <w:rFonts w:ascii="Arial" w:cs="Arial" w:eastAsia="Arial" w:hAnsi="Arial"/>
          <w:sz w:val="22"/>
          <w:szCs w:val="22"/>
          <w:b w:val="1"/>
          <w:bCs w:val="1"/>
          <w:color w:val="auto"/>
        </w:rPr>
        <w:t xml:space="preserve"> </w:t>
      </w:r>
      <w:r>
        <w:rPr>
          <w:rFonts w:ascii="Arial" w:cs="Arial" w:eastAsia="Arial" w:hAnsi="Arial"/>
          <w:sz w:val="22"/>
          <w:szCs w:val="22"/>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348" w:right="239" w:bottom="1440" w:gutter="0" w:footer="0" w:header="0"/>
        </w:sectPr>
      </w:pPr>
    </w:p>
    <w:bookmarkStart w:id="198" w:name="page199"/>
    <w:bookmarkEnd w:id="198"/>
    <w:p>
      <w:pPr>
        <w:jc w:val="both"/>
        <w:spacing w:after="0" w:line="276" w:lineRule="auto"/>
        <w:rPr>
          <w:sz w:val="20"/>
          <w:szCs w:val="20"/>
          <w:color w:val="auto"/>
        </w:rPr>
      </w:pPr>
      <w:r>
        <w:rPr>
          <w:rFonts w:ascii="Arial" w:cs="Arial" w:eastAsia="Arial" w:hAnsi="Arial"/>
          <w:sz w:val="22"/>
          <w:szCs w:val="22"/>
          <w:color w:val="auto"/>
        </w:rPr>
        <w:t>recorded as the property of the Company on its books and records, irrespective of the name in which legal title to such Company assets is held.</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12.13 </w:t>
      </w:r>
      <w:r>
        <w:rPr>
          <w:rFonts w:ascii="Arial" w:cs="Arial" w:eastAsia="Arial" w:hAnsi="Arial"/>
          <w:sz w:val="21"/>
          <w:szCs w:val="21"/>
          <w:b w:val="1"/>
          <w:bCs w:val="1"/>
          <w:u w:val="single" w:color="auto"/>
          <w:color w:val="auto"/>
        </w:rPr>
        <w:t>Creditors</w:t>
      </w:r>
      <w:r>
        <w:rPr>
          <w:rFonts w:ascii="Arial" w:cs="Arial" w:eastAsia="Arial" w:hAnsi="Arial"/>
          <w:sz w:val="21"/>
          <w:szCs w:val="21"/>
          <w:color w:val="auto"/>
        </w:rPr>
        <w:t>. None of the provisions of this Agreement shall be for the benefit of or enforceable by any non-Member</w:t>
      </w:r>
      <w:r>
        <w:rPr>
          <w:rFonts w:ascii="Arial" w:cs="Arial" w:eastAsia="Arial" w:hAnsi="Arial"/>
          <w:sz w:val="21"/>
          <w:szCs w:val="21"/>
          <w:b w:val="1"/>
          <w:bCs w:val="1"/>
          <w:color w:val="auto"/>
        </w:rPr>
        <w:t xml:space="preserve"> </w:t>
      </w:r>
      <w:r>
        <w:rPr>
          <w:rFonts w:ascii="Arial" w:cs="Arial" w:eastAsia="Arial" w:hAnsi="Arial"/>
          <w:sz w:val="21"/>
          <w:szCs w:val="21"/>
          <w:color w:val="auto"/>
        </w:rPr>
        <w:t>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 (ii) 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Company and the Members shall be entitled to enforce their respective rights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348" w:right="239" w:bottom="1440" w:gutter="0" w:footer="0" w:header="0"/>
        </w:sectPr>
      </w:pPr>
    </w:p>
    <w:bookmarkStart w:id="199" w:name="page200"/>
    <w:bookmarkEnd w:id="199"/>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b w:val="1"/>
          <w:bCs w:val="1"/>
          <w:u w:val="single" w:color="auto"/>
          <w:color w:val="auto"/>
        </w:rPr>
        <w:t>Time is of the Essence; Computation of Time</w:t>
      </w:r>
      <w:r>
        <w:rPr>
          <w:rFonts w:ascii="Arial" w:cs="Arial" w:eastAsia="Arial" w:hAnsi="Arial"/>
          <w:sz w:val="22"/>
          <w:szCs w:val="22"/>
          <w:color w:val="auto"/>
        </w:rPr>
        <w:t>. Time is of the essence for each and every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12.16 </w:t>
      </w:r>
      <w:r>
        <w:rPr>
          <w:rFonts w:ascii="Arial" w:cs="Arial" w:eastAsia="Arial" w:hAnsi="Arial"/>
          <w:sz w:val="22"/>
          <w:szCs w:val="22"/>
          <w:b w:val="1"/>
          <w:bCs w:val="1"/>
          <w:u w:val="single" w:color="auto"/>
          <w:color w:val="auto"/>
        </w:rPr>
        <w:t>Notice to Members of Provisions</w:t>
      </w:r>
      <w:r>
        <w:rPr>
          <w:rFonts w:ascii="Arial" w:cs="Arial" w:eastAsia="Arial" w:hAnsi="Arial"/>
          <w:sz w:val="22"/>
          <w:szCs w:val="22"/>
          <w:color w:val="auto"/>
        </w:rPr>
        <w:t>. By executing this Agreement (in its current or prior form),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it has actual notice of (i) all of the provisions hereof (including the restrictions on transfer set forth in Article IX) and (ii) all of the provisions of the Certificate of Formation.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In connection with this Agreement and the transactions contemplated hereby,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execute and deliver any additional documents and instruments and perform any additional acts that may be necessary to effectuate and perform the provisions of this Agreement and those transactions.</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12.18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Upon consummation of an IPO or a Sale of the Company, this Agreement will be terminated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Arial" w:cs="Arial" w:eastAsia="Arial" w:hAnsi="Arial"/>
          <w:sz w:val="22"/>
          <w:szCs w:val="22"/>
          <w:u w:val="single" w:color="auto"/>
          <w:color w:val="auto"/>
        </w:rPr>
        <w:t>provided</w:t>
      </w:r>
      <w:r>
        <w:rPr>
          <w:rFonts w:ascii="Arial" w:cs="Arial" w:eastAsia="Arial" w:hAnsi="Arial"/>
          <w:sz w:val="22"/>
          <w:szCs w:val="22"/>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342"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b w:val="1"/>
          <w:bCs w:val="1"/>
          <w:u w:val="single" w:color="auto"/>
          <w:color w:val="auto"/>
        </w:rPr>
        <w:t>Appendix I</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27" w:lineRule="exact"/>
        <w:rPr>
          <w:sz w:val="20"/>
          <w:szCs w:val="20"/>
          <w:color w:val="auto"/>
        </w:rPr>
      </w:pPr>
    </w:p>
    <w:p>
      <w:pPr>
        <w:jc w:val="both"/>
        <w:ind w:firstLine="656"/>
        <w:spacing w:after="0" w:line="269" w:lineRule="auto"/>
        <w:tabs>
          <w:tab w:leader="none" w:pos="111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2018/2019 Incentive Plan</w:t>
      </w:r>
      <w:r>
        <w:rPr>
          <w:rFonts w:ascii="Arial" w:cs="Arial" w:eastAsia="Arial" w:hAnsi="Arial"/>
          <w:sz w:val="22"/>
          <w:szCs w:val="22"/>
          <w:color w:val="auto"/>
        </w:rPr>
        <w:t>” shall mean that employee incentive plan as established in accordance with the terms and conditions of the plan set forth on Section 5.2 of the Disclosure Letter to the SoftBank Purchase Agreement, as the same may be amended from time to time.</w:t>
      </w:r>
    </w:p>
    <w:p>
      <w:pPr>
        <w:spacing w:after="0" w:line="175" w:lineRule="exact"/>
        <w:rPr>
          <w:rFonts w:ascii="Arial" w:cs="Arial" w:eastAsia="Arial" w:hAnsi="Arial"/>
          <w:sz w:val="22"/>
          <w:szCs w:val="22"/>
          <w:color w:val="auto"/>
        </w:rPr>
      </w:pPr>
    </w:p>
    <w:p>
      <w:pPr>
        <w:jc w:val="both"/>
        <w:ind w:firstLine="656"/>
        <w:spacing w:after="0" w:line="266" w:lineRule="auto"/>
        <w:tabs>
          <w:tab w:leader="none" w:pos="114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A-1-A Preferred Share Conversion Ratio</w:t>
      </w:r>
      <w:r>
        <w:rPr>
          <w:rFonts w:ascii="Arial" w:cs="Arial" w:eastAsia="Arial" w:hAnsi="Arial"/>
          <w:sz w:val="22"/>
          <w:szCs w:val="22"/>
          <w:color w:val="auto"/>
        </w:rPr>
        <w:t xml:space="preserve">” shall mean a multiple (which, for the avoidance of doubt, unless, and solely to the extent, Section 2.02(d)(ii) applies,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A-1-A Preferred Unpaid Return and the Class A-1-A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$10 (as adjusted, as necessary, to reflect appropriate and proportional adjustments to take into account any subdivision, reorganization, reclassification, recapitalization, stock split, reverse stock split, combination of shares or similar event).</w:t>
      </w:r>
    </w:p>
    <w:p>
      <w:pPr>
        <w:spacing w:after="0" w:line="178" w:lineRule="exact"/>
        <w:rPr>
          <w:rFonts w:ascii="Arial" w:cs="Arial" w:eastAsia="Arial" w:hAnsi="Arial"/>
          <w:sz w:val="22"/>
          <w:szCs w:val="22"/>
          <w:color w:val="auto"/>
        </w:rPr>
      </w:pPr>
    </w:p>
    <w:p>
      <w:pPr>
        <w:jc w:val="both"/>
        <w:ind w:firstLine="656"/>
        <w:spacing w:after="0" w:line="266" w:lineRule="auto"/>
        <w:tabs>
          <w:tab w:leader="none" w:pos="113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A-1-B Preferred Share Conversion Ratio</w:t>
      </w:r>
      <w:r>
        <w:rPr>
          <w:rFonts w:ascii="Arial" w:cs="Arial" w:eastAsia="Arial" w:hAnsi="Arial"/>
          <w:sz w:val="22"/>
          <w:szCs w:val="22"/>
          <w:color w:val="auto"/>
        </w:rPr>
        <w:t xml:space="preserve">” shall mean a multiple (which, for the avoidance of doubt,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A-1-B Preferred Unpaid Return and the Class A-1-B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$15.15 (as adjusted, as necessary, to reflect appropriate and proportional adjustments to take into account any subdivision, reorganization, reclassification, recapitalization, stock split, reverse stock split, combination of shares or similar event).</w:t>
      </w:r>
    </w:p>
    <w:p>
      <w:pPr>
        <w:spacing w:after="0" w:line="178" w:lineRule="exact"/>
        <w:rPr>
          <w:rFonts w:ascii="Arial" w:cs="Arial" w:eastAsia="Arial" w:hAnsi="Arial"/>
          <w:sz w:val="22"/>
          <w:szCs w:val="22"/>
          <w:color w:val="auto"/>
        </w:rPr>
      </w:pPr>
    </w:p>
    <w:p>
      <w:pPr>
        <w:jc w:val="both"/>
        <w:ind w:firstLine="656"/>
        <w:spacing w:after="0" w:line="261" w:lineRule="auto"/>
        <w:tabs>
          <w:tab w:leader="none" w:pos="113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89" w:lineRule="exact"/>
        <w:rPr>
          <w:rFonts w:ascii="Arial" w:cs="Arial" w:eastAsia="Arial" w:hAnsi="Arial"/>
          <w:sz w:val="22"/>
          <w:szCs w:val="22"/>
          <w:color w:val="auto"/>
        </w:rPr>
      </w:pPr>
    </w:p>
    <w:p>
      <w:pPr>
        <w:ind w:firstLine="656"/>
        <w:spacing w:after="0" w:line="320" w:lineRule="auto"/>
        <w:tabs>
          <w:tab w:leader="none" w:pos="120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mean this Fifth Amended and Restated Limited Liability Company Agreement, including all appendices, exhibits and schedules hereto, as it may be amended, supplemented or otherwise modified from time to time.</w:t>
      </w:r>
    </w:p>
    <w:p>
      <w:pPr>
        <w:spacing w:after="0" w:line="125" w:lineRule="exact"/>
        <w:rPr>
          <w:rFonts w:ascii="Arial" w:cs="Arial" w:eastAsia="Arial" w:hAnsi="Arial"/>
          <w:sz w:val="21"/>
          <w:szCs w:val="21"/>
          <w:color w:val="auto"/>
        </w:rPr>
      </w:pPr>
    </w:p>
    <w:p>
      <w:pPr>
        <w:ind w:firstLine="656"/>
        <w:spacing w:after="0" w:line="295" w:lineRule="auto"/>
        <w:tabs>
          <w:tab w:leader="none" w:pos="107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AGSA</w:t>
      </w:r>
      <w:r>
        <w:rPr>
          <w:rFonts w:ascii="Arial" w:cs="Arial" w:eastAsia="Arial" w:hAnsi="Arial"/>
          <w:sz w:val="22"/>
          <w:szCs w:val="22"/>
          <w:color w:val="auto"/>
        </w:rPr>
        <w:t>” shall mean the Administrative and General Services Agreement entered into between GM and the Company dated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 Company, any of its Subsidiaries or an</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Person of either the Company or any of its Subsidiaries prohibiting bribery or some other form of corruption, including fraud and tax evasion.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w:t>
      </w:r>
    </w:p>
    <w:p>
      <w:pPr>
        <w:sectPr>
          <w:pgSz w:w="11900" w:h="16838" w:orient="portrait"/>
          <w:cols w:equalWidth="0" w:num="1">
            <w:col w:w="11420"/>
          </w:cols>
          <w:pgMar w:left="240" w:top="342" w:right="239" w:bottom="1440" w:gutter="0" w:footer="0" w:header="0"/>
        </w:sectPr>
      </w:pPr>
    </w:p>
    <w:bookmarkStart w:id="201" w:name="page202"/>
    <w:bookmarkEnd w:id="201"/>
    <w:p>
      <w:pPr>
        <w:jc w:val="both"/>
        <w:ind w:firstLine="656"/>
        <w:spacing w:after="0" w:line="275" w:lineRule="auto"/>
        <w:tabs>
          <w:tab w:leader="none" w:pos="1188"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AML Laws</w:t>
      </w:r>
      <w:r>
        <w:rPr>
          <w:rFonts w:ascii="Arial" w:cs="Arial" w:eastAsia="Arial" w:hAnsi="Arial"/>
          <w:sz w:val="22"/>
          <w:szCs w:val="22"/>
          <w:color w:val="auto"/>
        </w:rPr>
        <w:t>” means all laws and regulations applying to the Company, any of its Subsidiaries or an Associated Person of either the Company or any of its Subsidiaries prohibiting money laundering, including attempting to conceal or disguise the identity of illegally obtained proceeds.</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19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170" w:lineRule="exact"/>
        <w:rPr>
          <w:rFonts w:ascii="Arial" w:cs="Arial" w:eastAsia="Arial" w:hAnsi="Arial"/>
          <w:sz w:val="22"/>
          <w:szCs w:val="22"/>
          <w:color w:val="auto"/>
        </w:rPr>
      </w:pPr>
    </w:p>
    <w:p>
      <w:pPr>
        <w:jc w:val="both"/>
        <w:ind w:firstLine="656"/>
        <w:spacing w:after="0" w:line="269" w:lineRule="auto"/>
        <w:tabs>
          <w:tab w:leader="none" w:pos="112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Associated Person</w:t>
      </w:r>
      <w:r>
        <w:rPr>
          <w:rFonts w:ascii="Arial" w:cs="Arial" w:eastAsia="Arial" w:hAnsi="Arial"/>
          <w:sz w:val="22"/>
          <w:szCs w:val="22"/>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75" w:lineRule="exact"/>
        <w:rPr>
          <w:rFonts w:ascii="Arial" w:cs="Arial" w:eastAsia="Arial" w:hAnsi="Arial"/>
          <w:sz w:val="22"/>
          <w:szCs w:val="22"/>
          <w:color w:val="auto"/>
        </w:rPr>
      </w:pPr>
    </w:p>
    <w:p>
      <w:pPr>
        <w:ind w:left="1080" w:hanging="424"/>
        <w:spacing w:after="0"/>
        <w:tabs>
          <w:tab w:leader="none" w:pos="10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jc w:val="both"/>
        <w:ind w:firstLine="656"/>
        <w:spacing w:after="0" w:line="285" w:lineRule="auto"/>
        <w:tabs>
          <w:tab w:leader="none" w:pos="103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Blocked Person</w:t>
      </w:r>
      <w:r>
        <w:rPr>
          <w:rFonts w:ascii="Arial" w:cs="Arial" w:eastAsia="Arial" w:hAnsi="Arial"/>
          <w:sz w:val="21"/>
          <w:szCs w:val="21"/>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62" w:lineRule="exact"/>
        <w:rPr>
          <w:rFonts w:ascii="Arial" w:cs="Arial" w:eastAsia="Arial" w:hAnsi="Arial"/>
          <w:sz w:val="21"/>
          <w:szCs w:val="21"/>
          <w:color w:val="auto"/>
        </w:rPr>
      </w:pPr>
    </w:p>
    <w:p>
      <w:pPr>
        <w:ind w:firstLine="656"/>
        <w:spacing w:after="0" w:line="295" w:lineRule="auto"/>
        <w:tabs>
          <w:tab w:leader="none" w:pos="115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a Sunday, or any day on which commercial banks New York City, New York, Detroit, Michigan or Tokyo, Japan are permitted to be closed.</w:t>
      </w:r>
    </w:p>
    <w:p>
      <w:pPr>
        <w:spacing w:after="0" w:line="147" w:lineRule="exact"/>
        <w:rPr>
          <w:rFonts w:ascii="Arial" w:cs="Arial" w:eastAsia="Arial" w:hAnsi="Arial"/>
          <w:sz w:val="22"/>
          <w:szCs w:val="22"/>
          <w:color w:val="auto"/>
        </w:rPr>
      </w:pPr>
    </w:p>
    <w:p>
      <w:pPr>
        <w:ind w:left="1080" w:hanging="424"/>
        <w:spacing w:after="0"/>
        <w:tabs>
          <w:tab w:leader="none" w:pos="108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Call Notice/Optional SoftBank Conversion Notice Fair Market Value</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Exhibit II</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ind w:right="20" w:firstLine="656"/>
        <w:spacing w:after="0" w:line="295" w:lineRule="auto"/>
        <w:tabs>
          <w:tab w:leader="none" w:pos="125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shall mean a transfer of money or property by a Member to the Company, either as consideration for Shares or as additional capital without a requirement for the issuance of additional Shares.</w:t>
      </w:r>
    </w:p>
    <w:p>
      <w:pPr>
        <w:spacing w:after="0" w:line="147" w:lineRule="exact"/>
        <w:rPr>
          <w:rFonts w:ascii="Arial" w:cs="Arial" w:eastAsia="Arial" w:hAnsi="Arial"/>
          <w:sz w:val="22"/>
          <w:szCs w:val="22"/>
          <w:color w:val="auto"/>
        </w:rPr>
      </w:pPr>
    </w:p>
    <w:p>
      <w:pPr>
        <w:ind w:firstLine="656"/>
        <w:spacing w:after="0" w:line="320" w:lineRule="auto"/>
        <w:tabs>
          <w:tab w:leader="none" w:pos="1188"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shall mean, with respect to an Employee Member, the definition of “Cause” set forth in such Employee Member’s Share Grant Agreement, but will also include a breach of this Agreement by such Employee Member.</w:t>
      </w:r>
    </w:p>
    <w:p>
      <w:pPr>
        <w:spacing w:after="0" w:line="125" w:lineRule="exact"/>
        <w:rPr>
          <w:rFonts w:ascii="Arial" w:cs="Arial" w:eastAsia="Arial" w:hAnsi="Arial"/>
          <w:sz w:val="21"/>
          <w:szCs w:val="21"/>
          <w:color w:val="auto"/>
        </w:rPr>
      </w:pPr>
    </w:p>
    <w:p>
      <w:pPr>
        <w:ind w:left="1080" w:hanging="424"/>
        <w:spacing w:after="0"/>
        <w:tabs>
          <w:tab w:leader="none" w:pos="10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246" w:lineRule="exact"/>
        <w:rPr>
          <w:rFonts w:ascii="Arial" w:cs="Arial" w:eastAsia="Arial" w:hAnsi="Arial"/>
          <w:sz w:val="22"/>
          <w:szCs w:val="22"/>
          <w:color w:val="auto"/>
        </w:rPr>
      </w:pPr>
    </w:p>
    <w:p>
      <w:pPr>
        <w:ind w:left="1060" w:hanging="404"/>
        <w:spacing w:after="0"/>
        <w:tabs>
          <w:tab w:leader="none" w:pos="10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 Monitoring Agency</w:t>
      </w:r>
      <w:r>
        <w:rPr>
          <w:rFonts w:ascii="Arial" w:cs="Arial" w:eastAsia="Arial" w:hAnsi="Arial"/>
          <w:sz w:val="22"/>
          <w:szCs w:val="22"/>
          <w:color w:val="auto"/>
        </w:rPr>
        <w:t>” shall have the meaning given to it in the NSA.</w:t>
      </w:r>
    </w:p>
    <w:p>
      <w:pPr>
        <w:spacing w:after="0" w:line="246" w:lineRule="exact"/>
        <w:rPr>
          <w:rFonts w:ascii="Arial" w:cs="Arial" w:eastAsia="Arial" w:hAnsi="Arial"/>
          <w:sz w:val="22"/>
          <w:szCs w:val="22"/>
          <w:color w:val="auto"/>
        </w:rPr>
      </w:pPr>
    </w:p>
    <w:p>
      <w:pPr>
        <w:ind w:firstLine="656"/>
        <w:spacing w:after="0" w:line="295" w:lineRule="auto"/>
        <w:tabs>
          <w:tab w:leader="none" w:pos="116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(i) any “person” or “group” (within the meaning of Sections 13(d) and 14(d) of the Exchange Act) becomes the “beneficial owner” (as defined in Rule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I-2</w:t>
      </w:r>
    </w:p>
    <w:p>
      <w:pPr>
        <w:sectPr>
          <w:pgSz w:w="11900" w:h="16838" w:orient="portrait"/>
          <w:cols w:equalWidth="0" w:num="1">
            <w:col w:w="11420"/>
          </w:cols>
          <w:pgMar w:left="240" w:top="342" w:right="239" w:bottom="1440" w:gutter="0" w:footer="0" w:header="0"/>
        </w:sectPr>
      </w:pPr>
    </w:p>
    <w:bookmarkStart w:id="202" w:name="page203"/>
    <w:bookmarkEnd w:id="202"/>
    <w:p>
      <w:pPr>
        <w:jc w:val="both"/>
        <w:spacing w:after="0" w:line="309" w:lineRule="auto"/>
        <w:rPr>
          <w:sz w:val="20"/>
          <w:szCs w:val="20"/>
          <w:color w:val="auto"/>
        </w:rPr>
      </w:pPr>
      <w:r>
        <w:rPr>
          <w:rFonts w:ascii="Arial" w:cs="Arial" w:eastAsia="Arial" w:hAnsi="Arial"/>
          <w:sz w:val="19"/>
          <w:szCs w:val="19"/>
          <w:color w:val="auto"/>
        </w:rPr>
        <w:t>13d-3 under the Exchange Act), directly or indirectly, of more than fifty percent (50%) of the outstanding voting securities of a Person (the “</w:t>
      </w:r>
      <w:r>
        <w:rPr>
          <w:rFonts w:ascii="Arial" w:cs="Arial" w:eastAsia="Arial" w:hAnsi="Arial"/>
          <w:sz w:val="19"/>
          <w:szCs w:val="19"/>
          <w:b w:val="1"/>
          <w:bCs w:val="1"/>
          <w:color w:val="auto"/>
        </w:rPr>
        <w:t>Target</w:t>
      </w:r>
      <w:r>
        <w:rPr>
          <w:rFonts w:ascii="Arial" w:cs="Arial" w:eastAsia="Arial" w:hAnsi="Arial"/>
          <w:sz w:val="19"/>
          <w:szCs w:val="19"/>
          <w:color w:val="auto"/>
        </w:rPr>
        <w:t>”), (ii) any reorganization, merger or 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43" w:lineRule="exact"/>
        <w:rPr>
          <w:sz w:val="20"/>
          <w:szCs w:val="20"/>
          <w:color w:val="auto"/>
        </w:rPr>
      </w:pPr>
    </w:p>
    <w:p>
      <w:pPr>
        <w:jc w:val="both"/>
        <w:ind w:firstLine="656"/>
        <w:spacing w:after="0" w:line="324" w:lineRule="auto"/>
        <w:tabs>
          <w:tab w:leader="none" w:pos="112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Liquidation Preference Amount</w:t>
      </w:r>
      <w:r>
        <w:rPr>
          <w:rFonts w:ascii="Arial" w:cs="Arial" w:eastAsia="Arial" w:hAnsi="Arial"/>
          <w:sz w:val="19"/>
          <w:szCs w:val="19"/>
          <w:color w:val="auto"/>
        </w:rPr>
        <w:t xml:space="preserve">” shall mean, as applicable,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A-1-A Preferred Unpaid Return and the Class A-1-A Preferred Capital Value applicable to a Class A-1-A Preferred Share (the “</w:t>
      </w:r>
      <w:r>
        <w:rPr>
          <w:rFonts w:ascii="Arial" w:cs="Arial" w:eastAsia="Arial" w:hAnsi="Arial"/>
          <w:sz w:val="19"/>
          <w:szCs w:val="19"/>
          <w:b w:val="1"/>
          <w:bCs w:val="1"/>
          <w:color w:val="auto"/>
        </w:rPr>
        <w:t>Class A-1-A</w:t>
      </w:r>
      <w:r>
        <w:rPr>
          <w:rFonts w:ascii="Arial" w:cs="Arial" w:eastAsia="Arial" w:hAnsi="Arial"/>
          <w:sz w:val="19"/>
          <w:szCs w:val="19"/>
          <w:color w:val="auto"/>
        </w:rPr>
        <w:t xml:space="preserve"> </w:t>
      </w:r>
      <w:r>
        <w:rPr>
          <w:rFonts w:ascii="Arial" w:cs="Arial" w:eastAsia="Arial" w:hAnsi="Arial"/>
          <w:sz w:val="19"/>
          <w:szCs w:val="19"/>
          <w:b w:val="1"/>
          <w:bCs w:val="1"/>
          <w:color w:val="auto"/>
        </w:rPr>
        <w:t>Liquidation Preference Amount</w:t>
      </w:r>
      <w:r>
        <w:rPr>
          <w:rFonts w:ascii="Arial" w:cs="Arial" w:eastAsia="Arial" w:hAnsi="Arial"/>
          <w:sz w:val="19"/>
          <w:szCs w:val="19"/>
          <w:color w:val="auto"/>
        </w:rPr>
        <w:t>”), and (ii) the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A-1-B Preferred Unpaid Return and the Class A-1-B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Capital Value applicable to a Class A-1-B Preferred Share (the “</w:t>
      </w:r>
      <w:r>
        <w:rPr>
          <w:rFonts w:ascii="Arial" w:cs="Arial" w:eastAsia="Arial" w:hAnsi="Arial"/>
          <w:sz w:val="19"/>
          <w:szCs w:val="19"/>
          <w:b w:val="1"/>
          <w:bCs w:val="1"/>
          <w:color w:val="auto"/>
        </w:rPr>
        <w:t>Class A-1-B Liquidation Preference Amount</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ind w:firstLine="656"/>
        <w:spacing w:after="0" w:line="295" w:lineRule="auto"/>
        <w:tabs>
          <w:tab w:leader="none" w:pos="1161"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70" w:lineRule="exact"/>
        <w:rPr>
          <w:rFonts w:ascii="Arial" w:cs="Arial" w:eastAsia="Arial" w:hAnsi="Arial"/>
          <w:sz w:val="22"/>
          <w:szCs w:val="22"/>
          <w:color w:val="auto"/>
        </w:rPr>
      </w:pPr>
    </w:p>
    <w:p>
      <w:pPr>
        <w:ind w:firstLine="656"/>
        <w:spacing w:after="0" w:line="295" w:lineRule="auto"/>
        <w:tabs>
          <w:tab w:leader="none" w:pos="123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147" w:lineRule="exact"/>
        <w:rPr>
          <w:rFonts w:ascii="Arial" w:cs="Arial" w:eastAsia="Arial" w:hAnsi="Arial"/>
          <w:sz w:val="22"/>
          <w:szCs w:val="22"/>
          <w:color w:val="auto"/>
        </w:rPr>
      </w:pPr>
    </w:p>
    <w:p>
      <w:pPr>
        <w:jc w:val="both"/>
        <w:ind w:firstLine="656"/>
        <w:spacing w:after="0" w:line="313" w:lineRule="auto"/>
        <w:tabs>
          <w:tab w:leader="none" w:pos="110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0" w:lineRule="exact"/>
        <w:rPr>
          <w:rFonts w:ascii="Arial" w:cs="Arial" w:eastAsia="Arial" w:hAnsi="Arial"/>
          <w:sz w:val="19"/>
          <w:szCs w:val="19"/>
          <w:color w:val="auto"/>
        </w:rPr>
      </w:pPr>
    </w:p>
    <w:p>
      <w:pPr>
        <w:ind w:firstLine="656"/>
        <w:spacing w:after="0" w:line="295" w:lineRule="auto"/>
        <w:tabs>
          <w:tab w:leader="none" w:pos="1161"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Unpaid Return</w:t>
      </w:r>
      <w:r>
        <w:rPr>
          <w:rFonts w:ascii="Arial" w:cs="Arial" w:eastAsia="Arial" w:hAnsi="Arial"/>
          <w:sz w:val="22"/>
          <w:szCs w:val="22"/>
          <w:color w:val="auto"/>
        </w:rPr>
        <w:t>” shall mean the Class A-1-A Preferred Unpaid Return and the Class A-1-B Preferred Unpaid Return (as applicable).</w:t>
      </w:r>
    </w:p>
    <w:p>
      <w:pPr>
        <w:spacing w:after="0" w:line="147" w:lineRule="exact"/>
        <w:rPr>
          <w:rFonts w:ascii="Arial" w:cs="Arial" w:eastAsia="Arial" w:hAnsi="Arial"/>
          <w:sz w:val="22"/>
          <w:szCs w:val="22"/>
          <w:color w:val="auto"/>
        </w:rPr>
      </w:pPr>
    </w:p>
    <w:p>
      <w:pPr>
        <w:jc w:val="both"/>
        <w:ind w:firstLine="656"/>
        <w:spacing w:after="0" w:line="338" w:lineRule="auto"/>
        <w:tabs>
          <w:tab w:leader="none" w:pos="110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A-1-A Preferred Capital Value</w:t>
      </w:r>
      <w:r>
        <w:rPr>
          <w:rFonts w:ascii="Arial" w:cs="Arial" w:eastAsia="Arial" w:hAnsi="Arial"/>
          <w:sz w:val="19"/>
          <w:szCs w:val="19"/>
          <w:color w:val="auto"/>
        </w:rPr>
        <w:t>” shall mean $10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I-3</w:t>
      </w:r>
    </w:p>
    <w:p>
      <w:pPr>
        <w:sectPr>
          <w:pgSz w:w="11900" w:h="16838" w:orient="portrait"/>
          <w:cols w:equalWidth="0" w:num="1">
            <w:col w:w="11420"/>
          </w:cols>
          <w:pgMar w:left="240" w:top="348" w:right="239" w:bottom="1440" w:gutter="0" w:footer="0" w:header="0"/>
        </w:sectPr>
      </w:pPr>
    </w:p>
    <w:bookmarkStart w:id="203" w:name="page204"/>
    <w:bookmarkEnd w:id="203"/>
    <w:p>
      <w:pPr>
        <w:ind w:firstLine="656"/>
        <w:spacing w:after="0" w:line="295" w:lineRule="auto"/>
        <w:tabs>
          <w:tab w:leader="none" w:pos="123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Member</w:t>
      </w:r>
      <w:r>
        <w:rPr>
          <w:rFonts w:ascii="Arial" w:cs="Arial" w:eastAsia="Arial" w:hAnsi="Arial"/>
          <w:sz w:val="22"/>
          <w:szCs w:val="22"/>
          <w:color w:val="auto"/>
        </w:rPr>
        <w:t>” shall mean each Person admitted to the Company as a Member and who holds Class A-1-A Preferred Shares.</w:t>
      </w:r>
    </w:p>
    <w:p>
      <w:pPr>
        <w:spacing w:after="0" w:line="147" w:lineRule="exact"/>
        <w:rPr>
          <w:rFonts w:ascii="Arial" w:cs="Arial" w:eastAsia="Arial" w:hAnsi="Arial"/>
          <w:sz w:val="22"/>
          <w:szCs w:val="22"/>
          <w:color w:val="auto"/>
        </w:rPr>
      </w:pPr>
    </w:p>
    <w:p>
      <w:pPr>
        <w:jc w:val="both"/>
        <w:ind w:firstLine="656"/>
        <w:spacing w:after="0" w:line="285" w:lineRule="auto"/>
        <w:tabs>
          <w:tab w:leader="none" w:pos="126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A-1-A Preferred Unpaid Return</w:t>
      </w:r>
      <w:r>
        <w:rPr>
          <w:rFonts w:ascii="Arial" w:cs="Arial" w:eastAsia="Arial" w:hAnsi="Arial"/>
          <w:sz w:val="21"/>
          <w:szCs w:val="21"/>
          <w:color w:val="auto"/>
        </w:rPr>
        <w:t>” shall mean, with respect to any Class A-1-A Preferred Share as of any determination date, an amount not less than zero equal to (i) the aggregate Class A-1 Preferred Return for all prior Quarterly periods on such Class A-1-A Preferred Share as of such date, less (ii) the aggregate amount of cash Distributions made in respect of such Class A-1-A Preferred Share pursuant to Section 3.01(b)(i) and Section 3.01(b)(iii).</w:t>
      </w:r>
    </w:p>
    <w:p>
      <w:pPr>
        <w:spacing w:after="0" w:line="162" w:lineRule="exact"/>
        <w:rPr>
          <w:rFonts w:ascii="Arial" w:cs="Arial" w:eastAsia="Arial" w:hAnsi="Arial"/>
          <w:sz w:val="21"/>
          <w:szCs w:val="21"/>
          <w:color w:val="auto"/>
        </w:rPr>
      </w:pPr>
    </w:p>
    <w:p>
      <w:pPr>
        <w:jc w:val="both"/>
        <w:ind w:firstLine="656"/>
        <w:spacing w:after="0" w:line="338" w:lineRule="auto"/>
        <w:tabs>
          <w:tab w:leader="none" w:pos="117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A-1-B Preferred Capital Value</w:t>
      </w:r>
      <w:r>
        <w:rPr>
          <w:rFonts w:ascii="Arial" w:cs="Arial" w:eastAsia="Arial" w:hAnsi="Arial"/>
          <w:sz w:val="19"/>
          <w:szCs w:val="19"/>
          <w:color w:val="auto"/>
        </w:rPr>
        <w:t>” shall mean $15.15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116" w:lineRule="exact"/>
        <w:rPr>
          <w:rFonts w:ascii="Arial" w:cs="Arial" w:eastAsia="Arial" w:hAnsi="Arial"/>
          <w:sz w:val="19"/>
          <w:szCs w:val="19"/>
          <w:color w:val="auto"/>
        </w:rPr>
      </w:pPr>
    </w:p>
    <w:p>
      <w:pPr>
        <w:ind w:right="20" w:firstLine="656"/>
        <w:spacing w:after="0" w:line="295" w:lineRule="auto"/>
        <w:tabs>
          <w:tab w:leader="none" w:pos="124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Member</w:t>
      </w:r>
      <w:r>
        <w:rPr>
          <w:rFonts w:ascii="Arial" w:cs="Arial" w:eastAsia="Arial" w:hAnsi="Arial"/>
          <w:sz w:val="22"/>
          <w:szCs w:val="22"/>
          <w:color w:val="auto"/>
        </w:rPr>
        <w:t>” shall mean each Person admitted to the Company as a Member and who holds Class A-1-B Preferred Shares.</w:t>
      </w:r>
    </w:p>
    <w:p>
      <w:pPr>
        <w:spacing w:after="0" w:line="147" w:lineRule="exact"/>
        <w:rPr>
          <w:rFonts w:ascii="Arial" w:cs="Arial" w:eastAsia="Arial" w:hAnsi="Arial"/>
          <w:sz w:val="22"/>
          <w:szCs w:val="22"/>
          <w:color w:val="auto"/>
        </w:rPr>
      </w:pPr>
    </w:p>
    <w:p>
      <w:pPr>
        <w:jc w:val="both"/>
        <w:ind w:firstLine="656"/>
        <w:spacing w:after="0" w:line="285" w:lineRule="auto"/>
        <w:tabs>
          <w:tab w:leader="none" w:pos="124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Unpaid Return</w:t>
      </w:r>
      <w:r>
        <w:rPr>
          <w:rFonts w:ascii="Arial" w:cs="Arial" w:eastAsia="Arial" w:hAnsi="Arial"/>
          <w:sz w:val="21"/>
          <w:szCs w:val="21"/>
          <w:color w:val="auto"/>
        </w:rPr>
        <w:t>”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162" w:lineRule="exact"/>
        <w:rPr>
          <w:rFonts w:ascii="Arial" w:cs="Arial" w:eastAsia="Arial" w:hAnsi="Arial"/>
          <w:sz w:val="21"/>
          <w:szCs w:val="21"/>
          <w:color w:val="auto"/>
        </w:rPr>
      </w:pPr>
    </w:p>
    <w:p>
      <w:pPr>
        <w:ind w:firstLine="656"/>
        <w:spacing w:after="0" w:line="295" w:lineRule="auto"/>
        <w:tabs>
          <w:tab w:leader="none" w:pos="11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Liquidation Preference Amount</w:t>
      </w:r>
      <w:r>
        <w:rPr>
          <w:rFonts w:ascii="Arial" w:cs="Arial" w:eastAsia="Arial" w:hAnsi="Arial"/>
          <w:sz w:val="22"/>
          <w:szCs w:val="22"/>
          <w:color w:val="auto"/>
        </w:rPr>
        <w:t>” shall mean the Class A-2 Preferred Capital Value applicable to such Class A-2 Preferred Share.</w:t>
      </w:r>
    </w:p>
    <w:p>
      <w:pPr>
        <w:spacing w:after="0" w:line="147" w:lineRule="exact"/>
        <w:rPr>
          <w:rFonts w:ascii="Arial" w:cs="Arial" w:eastAsia="Arial" w:hAnsi="Arial"/>
          <w:sz w:val="22"/>
          <w:szCs w:val="22"/>
          <w:color w:val="auto"/>
        </w:rPr>
      </w:pPr>
    </w:p>
    <w:p>
      <w:pPr>
        <w:jc w:val="both"/>
        <w:ind w:right="20" w:firstLine="656"/>
        <w:spacing w:after="0" w:line="294" w:lineRule="auto"/>
        <w:tabs>
          <w:tab w:leader="none" w:pos="122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Preferred Capital Value</w:t>
      </w:r>
      <w:r>
        <w:rPr>
          <w:rFonts w:ascii="Arial" w:cs="Arial" w:eastAsia="Arial" w:hAnsi="Arial"/>
          <w:sz w:val="21"/>
          <w:szCs w:val="21"/>
          <w:color w:val="auto"/>
        </w:rPr>
        <w:t>” shall mean $10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52" w:lineRule="exact"/>
        <w:rPr>
          <w:rFonts w:ascii="Arial" w:cs="Arial" w:eastAsia="Arial" w:hAnsi="Arial"/>
          <w:sz w:val="21"/>
          <w:szCs w:val="21"/>
          <w:color w:val="auto"/>
        </w:rPr>
      </w:pPr>
    </w:p>
    <w:p>
      <w:pPr>
        <w:ind w:right="20" w:firstLine="656"/>
        <w:spacing w:after="0" w:line="295" w:lineRule="auto"/>
        <w:tabs>
          <w:tab w:leader="none" w:pos="128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Preferred Member</w:t>
      </w:r>
      <w:r>
        <w:rPr>
          <w:rFonts w:ascii="Arial" w:cs="Arial" w:eastAsia="Arial" w:hAnsi="Arial"/>
          <w:sz w:val="22"/>
          <w:szCs w:val="22"/>
          <w:color w:val="auto"/>
        </w:rPr>
        <w:t>” shall mean each Person admitted to the Company as a Member and who holds Class A-2 Preferred Shares.</w:t>
      </w:r>
    </w:p>
    <w:p>
      <w:pPr>
        <w:spacing w:after="0" w:line="147" w:lineRule="exact"/>
        <w:rPr>
          <w:rFonts w:ascii="Arial" w:cs="Arial" w:eastAsia="Arial" w:hAnsi="Arial"/>
          <w:sz w:val="22"/>
          <w:szCs w:val="22"/>
          <w:color w:val="auto"/>
        </w:rPr>
      </w:pPr>
    </w:p>
    <w:p>
      <w:pPr>
        <w:ind w:firstLine="656"/>
        <w:spacing w:after="0" w:line="379" w:lineRule="auto"/>
        <w:tabs>
          <w:tab w:leader="none" w:pos="109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Floor Amount</w:t>
      </w:r>
      <w:r>
        <w:rPr>
          <w:rFonts w:ascii="Arial" w:cs="Arial" w:eastAsia="Arial" w:hAnsi="Arial"/>
          <w:sz w:val="19"/>
          <w:szCs w:val="19"/>
          <w:color w:val="auto"/>
        </w:rPr>
        <w:t>” means, with respect to any Class B Common Share, an aggregate amount determined by the Board of Directors in its sole discretion and set forth in the applicable Share Grant Agreement (which such amount may be zero).</w:t>
      </w:r>
    </w:p>
    <w:p>
      <w:pPr>
        <w:spacing w:after="0" w:line="79" w:lineRule="exact"/>
        <w:rPr>
          <w:rFonts w:ascii="Arial" w:cs="Arial" w:eastAsia="Arial" w:hAnsi="Arial"/>
          <w:sz w:val="19"/>
          <w:szCs w:val="19"/>
          <w:color w:val="auto"/>
        </w:rPr>
      </w:pPr>
    </w:p>
    <w:p>
      <w:pPr>
        <w:ind w:left="1120" w:hanging="464"/>
        <w:spacing w:after="0"/>
        <w:tabs>
          <w:tab w:leader="none" w:pos="11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Member</w:t>
      </w:r>
      <w:r>
        <w:rPr>
          <w:rFonts w:ascii="Arial" w:cs="Arial" w:eastAsia="Arial" w:hAnsi="Arial"/>
          <w:sz w:val="19"/>
          <w:szCs w:val="19"/>
          <w:color w:val="auto"/>
        </w:rPr>
        <w:t>” shall mean each Person admitted to the Company as a Member and who holds Class B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200" w:hanging="544"/>
        <w:spacing w:after="0"/>
        <w:tabs>
          <w:tab w:leader="none" w:pos="12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Member</w:t>
      </w:r>
      <w:r>
        <w:rPr>
          <w:rFonts w:ascii="Arial" w:cs="Arial" w:eastAsia="Arial" w:hAnsi="Arial"/>
          <w:sz w:val="19"/>
          <w:szCs w:val="19"/>
          <w:color w:val="auto"/>
        </w:rPr>
        <w:t>” shall mean each Person admitted to the Company as a Member and who holds Class C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I-4</w:t>
      </w:r>
    </w:p>
    <w:p>
      <w:pPr>
        <w:sectPr>
          <w:pgSz w:w="11900" w:h="16838" w:orient="portrait"/>
          <w:cols w:equalWidth="0" w:num="1">
            <w:col w:w="11420"/>
          </w:cols>
          <w:pgMar w:left="240" w:top="342" w:right="239" w:bottom="1440" w:gutter="0" w:footer="0" w:header="0"/>
        </w:sectPr>
      </w:pPr>
    </w:p>
    <w:bookmarkStart w:id="204" w:name="page205"/>
    <w:bookmarkEnd w:id="204"/>
    <w:p>
      <w:pPr>
        <w:ind w:left="660"/>
        <w:spacing w:after="0"/>
        <w:tabs>
          <w:tab w:leader="none" w:pos="1100" w:val="left"/>
        </w:tabs>
        <w:rPr>
          <w:sz w:val="20"/>
          <w:szCs w:val="20"/>
          <w:color w:val="auto"/>
        </w:rPr>
      </w:pPr>
      <w:r>
        <w:rPr>
          <w:rFonts w:ascii="Arial" w:cs="Arial" w:eastAsia="Arial" w:hAnsi="Arial"/>
          <w:sz w:val="22"/>
          <w:szCs w:val="22"/>
          <w:color w:val="auto"/>
        </w:rPr>
        <w:t>(ll)</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D Member</w:t>
      </w:r>
      <w:r>
        <w:rPr>
          <w:rFonts w:ascii="Arial" w:cs="Arial" w:eastAsia="Arial" w:hAnsi="Arial"/>
          <w:sz w:val="19"/>
          <w:szCs w:val="19"/>
          <w:color w:val="auto"/>
        </w:rPr>
        <w:t>” shall mean each Person admitted to the Company as a Member and who holds Class D Common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2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(mm)</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E Member</w:t>
      </w:r>
      <w:r>
        <w:rPr>
          <w:rFonts w:ascii="Arial" w:cs="Arial" w:eastAsia="Arial" w:hAnsi="Arial"/>
          <w:sz w:val="19"/>
          <w:szCs w:val="19"/>
          <w:color w:val="auto"/>
        </w:rPr>
        <w:t>” shall mean each Person admitted to the Company as a Member and who holds Class E Common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27" w:lineRule="exact"/>
        <w:rPr>
          <w:sz w:val="20"/>
          <w:szCs w:val="20"/>
          <w:color w:val="auto"/>
        </w:rPr>
      </w:pPr>
    </w:p>
    <w:p>
      <w:pPr>
        <w:jc w:val="both"/>
        <w:ind w:firstLine="656"/>
        <w:spacing w:after="0" w:line="269" w:lineRule="auto"/>
        <w:tabs>
          <w:tab w:leader="none" w:pos="120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Floor Amount</w:t>
      </w:r>
      <w:r>
        <w:rPr>
          <w:rFonts w:ascii="Arial" w:cs="Arial" w:eastAsia="Arial" w:hAnsi="Arial"/>
          <w:sz w:val="22"/>
          <w:szCs w:val="22"/>
          <w:color w:val="auto"/>
        </w:rPr>
        <w:t xml:space="preserve">” shall mean, for each Class F New Member, the number of Class F Preferred Shares shown against such Class F New Member’s name on </w:t>
      </w:r>
      <w:r>
        <w:rPr>
          <w:rFonts w:ascii="Arial" w:cs="Arial" w:eastAsia="Arial" w:hAnsi="Arial"/>
          <w:sz w:val="22"/>
          <w:szCs w:val="22"/>
          <w:b w:val="1"/>
          <w:bCs w:val="1"/>
          <w:color w:val="auto"/>
        </w:rPr>
        <w:t>Exhibit III</w:t>
      </w:r>
      <w:r>
        <w:rPr>
          <w:rFonts w:ascii="Arial" w:cs="Arial" w:eastAsia="Arial" w:hAnsi="Arial"/>
          <w:sz w:val="22"/>
          <w:szCs w:val="22"/>
          <w:color w:val="auto"/>
        </w:rPr>
        <w:t xml:space="preserve"> (as adjusted, as necessary, to reflect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22"/>
          <w:szCs w:val="22"/>
          <w:color w:val="auto"/>
        </w:rPr>
      </w:pPr>
    </w:p>
    <w:p>
      <w:pPr>
        <w:ind w:firstLine="656"/>
        <w:spacing w:after="0" w:line="295" w:lineRule="auto"/>
        <w:tabs>
          <w:tab w:leader="none" w:pos="118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Member</w:t>
      </w:r>
      <w:r>
        <w:rPr>
          <w:rFonts w:ascii="Arial" w:cs="Arial" w:eastAsia="Arial" w:hAnsi="Arial"/>
          <w:sz w:val="22"/>
          <w:szCs w:val="22"/>
          <w:color w:val="auto"/>
        </w:rPr>
        <w:t>” shall mean each Person admitted to the Company as a Member and who holds Class F Preferred Shares.</w:t>
      </w:r>
    </w:p>
    <w:p>
      <w:pPr>
        <w:spacing w:after="0" w:line="147" w:lineRule="exact"/>
        <w:rPr>
          <w:rFonts w:ascii="Arial" w:cs="Arial" w:eastAsia="Arial" w:hAnsi="Arial"/>
          <w:sz w:val="22"/>
          <w:szCs w:val="22"/>
          <w:color w:val="auto"/>
        </w:rPr>
      </w:pPr>
    </w:p>
    <w:p>
      <w:pPr>
        <w:jc w:val="both"/>
        <w:ind w:firstLine="656"/>
        <w:spacing w:after="0" w:line="274" w:lineRule="auto"/>
        <w:tabs>
          <w:tab w:leader="none" w:pos="1188"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F Preferred Member Restricted Person</w:t>
      </w:r>
      <w:r>
        <w:rPr>
          <w:rFonts w:ascii="Arial" w:cs="Arial" w:eastAsia="Arial" w:hAnsi="Arial"/>
          <w:sz w:val="21"/>
          <w:szCs w:val="21"/>
          <w:color w:val="auto"/>
        </w:rPr>
        <w:t xml:space="preserve">” shall mean any Person who, either directly or indirectly or through an Affiliate, is a competitor of either (i) the Company or any of its Subsidiaries as reasonably determined by the Board of Directors, or (ii) the GM Investor or any of its Affiliates as reasonably determined by the GM Investor in good faith;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Person who is not otherwise (either directly or indirectly or through an Affiliate) a competitor shall not be deemed a Class F Preferred Member Restricted Person solely as a result of owning, directly or indirectly, less than five percent (5%) of the outstanding capital stock of a publicly traded company that is a competitor of the Company, the GM Investor or any of their respective Affiliates. Class F Preferred Member Restricted Person shall include: (A) those Persons on the list provided to the Class F New Members and SoftBank prior to the execution of the Class F Purchase Agreement and (B) any Person that is developing or commercializing or selling autonomous vehicles for any use.</w:t>
      </w:r>
    </w:p>
    <w:p>
      <w:pPr>
        <w:spacing w:after="0" w:line="179" w:lineRule="exact"/>
        <w:rPr>
          <w:rFonts w:ascii="Arial" w:cs="Arial" w:eastAsia="Arial" w:hAnsi="Arial"/>
          <w:sz w:val="21"/>
          <w:szCs w:val="21"/>
          <w:color w:val="auto"/>
        </w:rPr>
      </w:pPr>
    </w:p>
    <w:p>
      <w:pPr>
        <w:ind w:right="20" w:firstLine="656"/>
        <w:spacing w:after="0" w:line="295" w:lineRule="auto"/>
        <w:tabs>
          <w:tab w:leader="none" w:pos="132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Liquidation Preference Amount</w:t>
      </w:r>
      <w:r>
        <w:rPr>
          <w:rFonts w:ascii="Arial" w:cs="Arial" w:eastAsia="Arial" w:hAnsi="Arial"/>
          <w:sz w:val="22"/>
          <w:szCs w:val="22"/>
          <w:color w:val="auto"/>
        </w:rPr>
        <w:t>” shall mean the Class F Preferred Capital Value applicable to such Class F Preferred Share.</w:t>
      </w:r>
    </w:p>
    <w:p>
      <w:pPr>
        <w:spacing w:after="0" w:line="147" w:lineRule="exact"/>
        <w:rPr>
          <w:rFonts w:ascii="Arial" w:cs="Arial" w:eastAsia="Arial" w:hAnsi="Arial"/>
          <w:sz w:val="22"/>
          <w:szCs w:val="22"/>
          <w:color w:val="auto"/>
        </w:rPr>
      </w:pPr>
    </w:p>
    <w:p>
      <w:pPr>
        <w:jc w:val="both"/>
        <w:ind w:firstLine="656"/>
        <w:spacing w:after="0" w:line="308" w:lineRule="auto"/>
        <w:tabs>
          <w:tab w:leader="none" w:pos="115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Preemptive Proportion</w:t>
      </w:r>
      <w:r>
        <w:rPr>
          <w:rFonts w:ascii="Arial" w:cs="Arial" w:eastAsia="Arial" w:hAnsi="Arial"/>
          <w:sz w:val="19"/>
          <w:szCs w:val="19"/>
          <w:color w:val="auto"/>
        </w:rPr>
        <w:t xml:space="preserve">” shall mean an amount, expressed as a decimal equal to (i) the number of Class F Preferred Shares held by such Member as if all such Class F Preferred Shares are deemed converted to Class D Common Shares at the Class F Preferred Share Conversion Ratio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number of issued and outstanding Shares of the Company calculated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(excluding, for the purpose of calculating the total number of issued and outstanding Shares of the Company, any Class B Common Share, including any Vested Class B Common Share).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I-5</w:t>
      </w:r>
    </w:p>
    <w:p>
      <w:pPr>
        <w:sectPr>
          <w:pgSz w:w="11900" w:h="16838" w:orient="portrait"/>
          <w:cols w:equalWidth="0" w:num="1">
            <w:col w:w="11420"/>
          </w:cols>
          <w:pgMar w:left="240" w:top="342" w:right="239" w:bottom="1440" w:gutter="0" w:footer="0" w:header="0"/>
        </w:sectPr>
      </w:pPr>
    </w:p>
    <w:bookmarkStart w:id="205" w:name="page206"/>
    <w:bookmarkEnd w:id="205"/>
    <w:p>
      <w:pPr>
        <w:jc w:val="both"/>
        <w:ind w:firstLine="656"/>
        <w:spacing w:after="0" w:line="269" w:lineRule="auto"/>
        <w:tabs>
          <w:tab w:leader="none" w:pos="120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Capital Value</w:t>
      </w:r>
      <w:r>
        <w:rPr>
          <w:rFonts w:ascii="Arial" w:cs="Arial" w:eastAsia="Arial" w:hAnsi="Arial"/>
          <w:sz w:val="22"/>
          <w:szCs w:val="22"/>
          <w:color w:val="auto"/>
        </w:rPr>
        <w:t>” shall mean $18.25 for each Class F Preferred Share issued with respect to the Class F Commitment (and any other Class F Preferred Shares issued pursuant to the Class F Purchase Agreement), subject to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22"/>
          <w:szCs w:val="22"/>
          <w:color w:val="auto"/>
        </w:rPr>
      </w:pPr>
    </w:p>
    <w:p>
      <w:pPr>
        <w:jc w:val="both"/>
        <w:ind w:firstLine="656"/>
        <w:spacing w:after="0" w:line="275" w:lineRule="auto"/>
        <w:tabs>
          <w:tab w:leader="none" w:pos="11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Share Conversion Ratio</w:t>
      </w:r>
      <w:r>
        <w:rPr>
          <w:rFonts w:ascii="Arial" w:cs="Arial" w:eastAsia="Arial" w:hAnsi="Arial"/>
          <w:sz w:val="22"/>
          <w:szCs w:val="22"/>
          <w:color w:val="auto"/>
        </w:rPr>
        <w:t>” shall mean 1:1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2"/>
          <w:szCs w:val="22"/>
          <w:color w:val="auto"/>
        </w:rPr>
      </w:pPr>
    </w:p>
    <w:p>
      <w:pPr>
        <w:jc w:val="both"/>
        <w:ind w:firstLine="656"/>
        <w:spacing w:after="0" w:line="305" w:lineRule="auto"/>
        <w:tabs>
          <w:tab w:leader="none" w:pos="128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Trigger Date</w:t>
      </w:r>
      <w:r>
        <w:rPr>
          <w:rFonts w:ascii="Arial" w:cs="Arial" w:eastAsia="Arial" w:hAnsi="Arial"/>
          <w:sz w:val="19"/>
          <w:szCs w:val="19"/>
          <w:color w:val="auto"/>
        </w:rPr>
        <w:t xml:space="preserve">” shall mean May 7, 2023;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Class F Member, solely in its capacity as a holder of Class F Preferred Shares, such date will be reduced to the Maximum Permitted Lockup Date if such Class F Member can provide evidence reasonably satisfactory to the Company that it is prohibited (across investments in U.S. private companies generally) from agreeing to Transfer restrictions with respect to its holding of shares in private companies that have a duration of at least four (4) years (the “</w:t>
      </w:r>
      <w:r>
        <w:rPr>
          <w:rFonts w:ascii="Arial" w:cs="Arial" w:eastAsia="Arial" w:hAnsi="Arial"/>
          <w:sz w:val="19"/>
          <w:szCs w:val="19"/>
          <w:u w:val="single" w:color="auto"/>
          <w:color w:val="auto"/>
        </w:rPr>
        <w:t>Lockup Evidence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reduction in the Class F Trigger Date for a Class F Member with respect to its Class F Preferred Shares will not be applicable to any other Class F Member with respect to its Class F Preferred Shares unless such other Class F Member provides Lockup Evidence. For the purpose of this definition, “</w:t>
      </w:r>
      <w:r>
        <w:rPr>
          <w:rFonts w:ascii="Arial" w:cs="Arial" w:eastAsia="Arial" w:hAnsi="Arial"/>
          <w:sz w:val="19"/>
          <w:szCs w:val="19"/>
          <w:b w:val="1"/>
          <w:bCs w:val="1"/>
          <w:color w:val="auto"/>
        </w:rPr>
        <w:t>Maximum Permitted Lockup Date</w:t>
      </w:r>
      <w:r>
        <w:rPr>
          <w:rFonts w:ascii="Arial" w:cs="Arial" w:eastAsia="Arial" w:hAnsi="Arial"/>
          <w:sz w:val="19"/>
          <w:szCs w:val="19"/>
          <w:color w:val="auto"/>
        </w:rPr>
        <w:t xml:space="preserve">” shall mean the longest period such Class F Member can be subject to the transfer restrictions in Section 9.01(a) taking into account restrictions applicable to its holding of shares in U.S. private companies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Maximum Permitted Lockup Date be sooner than May 7, 2021.</w:t>
      </w:r>
    </w:p>
    <w:p>
      <w:pPr>
        <w:spacing w:after="0" w:line="154" w:lineRule="exact"/>
        <w:rPr>
          <w:rFonts w:ascii="Arial" w:cs="Arial" w:eastAsia="Arial" w:hAnsi="Arial"/>
          <w:sz w:val="19"/>
          <w:szCs w:val="19"/>
          <w:color w:val="auto"/>
        </w:rPr>
      </w:pPr>
    </w:p>
    <w:p>
      <w:pPr>
        <w:ind w:left="1200" w:hanging="544"/>
        <w:spacing w:after="0"/>
        <w:tabs>
          <w:tab w:leader="none" w:pos="12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46" w:lineRule="exact"/>
        <w:rPr>
          <w:rFonts w:ascii="Arial" w:cs="Arial" w:eastAsia="Arial" w:hAnsi="Arial"/>
          <w:sz w:val="22"/>
          <w:szCs w:val="22"/>
          <w:color w:val="auto"/>
        </w:rPr>
      </w:pPr>
    </w:p>
    <w:p>
      <w:pPr>
        <w:ind w:left="1340" w:hanging="684"/>
        <w:spacing w:after="0"/>
        <w:tabs>
          <w:tab w:leader="none" w:pos="13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“Commercial Agreements” in the SoftBank Purchase</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27" w:lineRule="exact"/>
        <w:rPr>
          <w:rFonts w:ascii="Arial" w:cs="Arial" w:eastAsia="Arial" w:hAnsi="Arial"/>
          <w:sz w:val="19"/>
          <w:szCs w:val="19"/>
          <w:color w:val="auto"/>
        </w:rPr>
      </w:pPr>
    </w:p>
    <w:p>
      <w:pPr>
        <w:jc w:val="both"/>
        <w:ind w:firstLine="656"/>
        <w:spacing w:after="0" w:line="277" w:lineRule="auto"/>
        <w:tabs>
          <w:tab w:leader="none" w:pos="1391"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Commitments</w:t>
      </w:r>
      <w:r>
        <w:rPr>
          <w:rFonts w:ascii="Arial" w:cs="Arial" w:eastAsia="Arial" w:hAnsi="Arial"/>
          <w:sz w:val="21"/>
          <w:szCs w:val="21"/>
          <w:color w:val="auto"/>
        </w:rPr>
        <w:t>” shall mean, collectively, the GM Commitment, the SoftBank Commitment, the Subsequent SoftBank Commitment, the Honda Commitment, the Class F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SoftBank Purchase Agreement, Honda Purchase Agreement, the Class F Purchase Agreement or the applicable subscription agreement, as applicable).</w:t>
      </w:r>
    </w:p>
    <w:p>
      <w:pPr>
        <w:spacing w:after="0" w:line="169" w:lineRule="exact"/>
        <w:rPr>
          <w:rFonts w:ascii="Arial" w:cs="Arial" w:eastAsia="Arial" w:hAnsi="Arial"/>
          <w:sz w:val="21"/>
          <w:szCs w:val="21"/>
          <w:color w:val="auto"/>
        </w:rPr>
      </w:pPr>
    </w:p>
    <w:p>
      <w:pPr>
        <w:ind w:firstLine="656"/>
        <w:spacing w:after="0" w:line="295" w:lineRule="auto"/>
        <w:tabs>
          <w:tab w:leader="none" w:pos="135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shall mean, collectively, the Class B Common Shares, Class C Common Shares, Class D Common Shares and Class E Common Shares.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I-6</w:t>
      </w:r>
    </w:p>
    <w:p>
      <w:pPr>
        <w:sectPr>
          <w:pgSz w:w="11900" w:h="16838" w:orient="portrait"/>
          <w:cols w:equalWidth="0" w:num="1">
            <w:col w:w="11420"/>
          </w:cols>
          <w:pgMar w:left="240" w:top="342" w:right="239" w:bottom="1440" w:gutter="0" w:footer="0" w:header="0"/>
        </w:sectPr>
      </w:pPr>
    </w:p>
    <w:bookmarkStart w:id="206" w:name="page207"/>
    <w:bookmarkEnd w:id="206"/>
    <w:p>
      <w:pPr>
        <w:jc w:val="both"/>
        <w:ind w:firstLine="656"/>
        <w:spacing w:after="0" w:line="313" w:lineRule="auto"/>
        <w:tabs>
          <w:tab w:leader="none" w:pos="119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 Period</w:t>
      </w:r>
      <w:r>
        <w:rPr>
          <w:rFonts w:ascii="Arial" w:cs="Arial" w:eastAsia="Arial" w:hAnsi="Arial"/>
          <w:sz w:val="19"/>
          <w:szCs w:val="19"/>
          <w:color w:val="auto"/>
        </w:rPr>
        <w:t>” shall mean the period from the date of this Agreement until the earlier of (i) the consummation of an IPO, and (ii) the date on which the GM Investor holds less than fifty percent (50%) of the total number of Shares (on an as-converted basis as if all Non-A-1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w:t>
      </w:r>
    </w:p>
    <w:p>
      <w:pPr>
        <w:spacing w:after="0" w:line="141" w:lineRule="exact"/>
        <w:rPr>
          <w:sz w:val="20"/>
          <w:szCs w:val="20"/>
          <w:color w:val="auto"/>
        </w:rPr>
      </w:pPr>
    </w:p>
    <w:p>
      <w:pPr>
        <w:jc w:val="both"/>
        <w:ind w:firstLine="656"/>
        <w:spacing w:after="0" w:line="324" w:lineRule="auto"/>
        <w:tabs>
          <w:tab w:leader="none" w:pos="134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 shall mean a Person who is or was (i) a Member or a Director, Officer, director, shareholder, partner, member, trustee, investment adviser,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30" w:lineRule="exact"/>
        <w:rPr>
          <w:rFonts w:ascii="Arial" w:cs="Arial" w:eastAsia="Arial" w:hAnsi="Arial"/>
          <w:sz w:val="19"/>
          <w:szCs w:val="19"/>
          <w:color w:val="auto"/>
        </w:rPr>
      </w:pPr>
    </w:p>
    <w:p>
      <w:pPr>
        <w:jc w:val="both"/>
        <w:ind w:firstLine="656"/>
        <w:spacing w:after="0" w:line="275" w:lineRule="auto"/>
        <w:tabs>
          <w:tab w:leader="none" w:pos="1391"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70" w:lineRule="exact"/>
        <w:rPr>
          <w:rFonts w:ascii="Arial" w:cs="Arial" w:eastAsia="Arial" w:hAnsi="Arial"/>
          <w:sz w:val="22"/>
          <w:szCs w:val="22"/>
          <w:color w:val="auto"/>
        </w:rPr>
      </w:pPr>
    </w:p>
    <w:p>
      <w:pPr>
        <w:ind w:left="1260" w:hanging="604"/>
        <w:spacing w:after="0"/>
        <w:tabs>
          <w:tab w:leader="none" w:pos="12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Person designated to the Board of Directors pursuant to Section 6.03.</w:t>
      </w:r>
    </w:p>
    <w:p>
      <w:pPr>
        <w:spacing w:after="0" w:line="246" w:lineRule="exact"/>
        <w:rPr>
          <w:rFonts w:ascii="Arial" w:cs="Arial" w:eastAsia="Arial" w:hAnsi="Arial"/>
          <w:sz w:val="22"/>
          <w:szCs w:val="22"/>
          <w:color w:val="auto"/>
        </w:rPr>
      </w:pPr>
    </w:p>
    <w:p>
      <w:pPr>
        <w:jc w:val="both"/>
        <w:ind w:firstLine="656"/>
        <w:spacing w:after="0" w:line="313" w:lineRule="auto"/>
        <w:tabs>
          <w:tab w:leader="none" w:pos="138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 (ii) any recapitalization, exchange or conversion of Shares, and any subdivision (by share split or otherwise) or any combination (by reverse share split or otherwise) of any outstanding Shares.</w:t>
      </w:r>
    </w:p>
    <w:p>
      <w:pPr>
        <w:spacing w:after="0" w:line="140" w:lineRule="exact"/>
        <w:rPr>
          <w:rFonts w:ascii="Arial" w:cs="Arial" w:eastAsia="Arial" w:hAnsi="Arial"/>
          <w:sz w:val="19"/>
          <w:szCs w:val="19"/>
          <w:color w:val="auto"/>
        </w:rPr>
      </w:pPr>
    </w:p>
    <w:p>
      <w:pPr>
        <w:ind w:firstLine="656"/>
        <w:spacing w:after="0" w:line="295" w:lineRule="auto"/>
        <w:tabs>
          <w:tab w:leader="none" w:pos="123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EDSA</w:t>
      </w:r>
      <w:r>
        <w:rPr>
          <w:rFonts w:ascii="Arial" w:cs="Arial" w:eastAsia="Arial" w:hAnsi="Arial"/>
          <w:sz w:val="22"/>
          <w:szCs w:val="22"/>
          <w:color w:val="auto"/>
        </w:rPr>
        <w:t>” shall mean the Engineering and Design Services Agreement entered into between GM Global Technology Operations LLC and the Company dated as of June 28, 2018.</w:t>
      </w:r>
    </w:p>
    <w:p>
      <w:pPr>
        <w:spacing w:after="0" w:line="147" w:lineRule="exact"/>
        <w:rPr>
          <w:rFonts w:ascii="Arial" w:cs="Arial" w:eastAsia="Arial" w:hAnsi="Arial"/>
          <w:sz w:val="22"/>
          <w:szCs w:val="22"/>
          <w:color w:val="auto"/>
        </w:rPr>
      </w:pPr>
    </w:p>
    <w:p>
      <w:pPr>
        <w:jc w:val="both"/>
        <w:ind w:firstLine="656"/>
        <w:spacing w:after="0" w:line="338" w:lineRule="auto"/>
        <w:tabs>
          <w:tab w:leader="none" w:pos="132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Member</w:t>
      </w:r>
      <w:r>
        <w:rPr>
          <w:rFonts w:ascii="Arial" w:cs="Arial" w:eastAsia="Arial" w:hAnsi="Arial"/>
          <w:sz w:val="19"/>
          <w:szCs w:val="19"/>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I-7</w:t>
      </w:r>
    </w:p>
    <w:p>
      <w:pPr>
        <w:sectPr>
          <w:pgSz w:w="11900" w:h="16838" w:orient="portrait"/>
          <w:cols w:equalWidth="0" w:num="1">
            <w:col w:w="11420"/>
          </w:cols>
          <w:pgMar w:left="240" w:top="342" w:right="239" w:bottom="1440" w:gutter="0" w:footer="0" w:header="0"/>
        </w:sectPr>
      </w:pPr>
    </w:p>
    <w:bookmarkStart w:id="207" w:name="page208"/>
    <w:bookmarkEnd w:id="207"/>
    <w:p>
      <w:pPr>
        <w:jc w:val="both"/>
        <w:spacing w:after="0" w:line="259" w:lineRule="auto"/>
        <w:rPr>
          <w:sz w:val="20"/>
          <w:szCs w:val="20"/>
          <w:color w:val="auto"/>
        </w:rPr>
      </w:pPr>
      <w:r>
        <w:rPr>
          <w:rFonts w:ascii="Arial" w:cs="Arial" w:eastAsia="Arial" w:hAnsi="Arial"/>
          <w:sz w:val="22"/>
          <w:szCs w:val="22"/>
          <w:color w:val="auto"/>
        </w:rPr>
        <w:t>Subsidiaries. Any reference in this Agreement to an Employee Member shall mean, in the case of a Member who is wholly owned by or is a member of the Family Group of one or 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90" w:lineRule="exact"/>
        <w:rPr>
          <w:sz w:val="20"/>
          <w:szCs w:val="20"/>
          <w:color w:val="auto"/>
        </w:rPr>
      </w:pPr>
    </w:p>
    <w:p>
      <w:pPr>
        <w:jc w:val="both"/>
        <w:ind w:firstLine="656"/>
        <w:spacing w:after="0" w:line="324" w:lineRule="auto"/>
        <w:tabs>
          <w:tab w:leader="none" w:pos="136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0" w:lineRule="exact"/>
        <w:rPr>
          <w:rFonts w:ascii="Arial" w:cs="Arial" w:eastAsia="Arial" w:hAnsi="Arial"/>
          <w:sz w:val="19"/>
          <w:szCs w:val="19"/>
          <w:color w:val="auto"/>
        </w:rPr>
      </w:pPr>
    </w:p>
    <w:p>
      <w:pPr>
        <w:jc w:val="both"/>
        <w:ind w:firstLine="656"/>
        <w:spacing w:after="0" w:line="317" w:lineRule="auto"/>
        <w:tabs>
          <w:tab w:leader="none" w:pos="12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Section 9.01(a)(vi) as the terms set forth in the ROFR Sale Notice.</w:t>
      </w:r>
    </w:p>
    <w:p>
      <w:pPr>
        <w:spacing w:after="0" w:line="137" w:lineRule="exact"/>
        <w:rPr>
          <w:rFonts w:ascii="Arial" w:cs="Arial" w:eastAsia="Arial" w:hAnsi="Arial"/>
          <w:sz w:val="19"/>
          <w:szCs w:val="19"/>
          <w:color w:val="auto"/>
        </w:rPr>
      </w:pPr>
    </w:p>
    <w:p>
      <w:pPr>
        <w:ind w:firstLine="656"/>
        <w:spacing w:after="0" w:line="295" w:lineRule="auto"/>
        <w:tabs>
          <w:tab w:leader="none" w:pos="115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 agreed to by the then existing Members and the Company on the date of the SoftBank Purchase Agreement.</w:t>
      </w:r>
    </w:p>
    <w:p>
      <w:pPr>
        <w:spacing w:after="0" w:line="147" w:lineRule="exact"/>
        <w:rPr>
          <w:rFonts w:ascii="Arial" w:cs="Arial" w:eastAsia="Arial" w:hAnsi="Arial"/>
          <w:sz w:val="22"/>
          <w:szCs w:val="22"/>
          <w:color w:val="auto"/>
        </w:rPr>
      </w:pPr>
    </w:p>
    <w:p>
      <w:pPr>
        <w:jc w:val="both"/>
        <w:ind w:firstLine="656"/>
        <w:spacing w:after="0" w:line="266" w:lineRule="auto"/>
        <w:tabs>
          <w:tab w:leader="none" w:pos="136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78" w:lineRule="exact"/>
        <w:rPr>
          <w:rFonts w:ascii="Arial" w:cs="Arial" w:eastAsia="Arial" w:hAnsi="Arial"/>
          <w:sz w:val="22"/>
          <w:szCs w:val="22"/>
          <w:color w:val="auto"/>
        </w:rPr>
      </w:pPr>
    </w:p>
    <w:p>
      <w:pPr>
        <w:jc w:val="both"/>
        <w:ind w:firstLine="656"/>
        <w:spacing w:after="0" w:line="324" w:lineRule="auto"/>
        <w:tabs>
          <w:tab w:leader="none" w:pos="117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Group</w:t>
      </w:r>
      <w:r>
        <w:rPr>
          <w:rFonts w:ascii="Arial" w:cs="Arial" w:eastAsia="Arial" w:hAnsi="Arial"/>
          <w:sz w:val="19"/>
          <w:szCs w:val="19"/>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30" w:lineRule="exact"/>
        <w:rPr>
          <w:rFonts w:ascii="Arial" w:cs="Arial" w:eastAsia="Arial" w:hAnsi="Arial"/>
          <w:sz w:val="19"/>
          <w:szCs w:val="19"/>
          <w:color w:val="auto"/>
        </w:rPr>
      </w:pPr>
    </w:p>
    <w:p>
      <w:pPr>
        <w:ind w:left="1480" w:hanging="824"/>
        <w:spacing w:after="0"/>
        <w:tabs>
          <w:tab w:leader="none" w:pos="148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I-8</w:t>
      </w:r>
    </w:p>
    <w:p>
      <w:pPr>
        <w:sectPr>
          <w:pgSz w:w="11900" w:h="16838" w:orient="portrait"/>
          <w:cols w:equalWidth="0" w:num="1">
            <w:col w:w="11420"/>
          </w:cols>
          <w:pgMar w:left="240" w:top="348" w:right="239" w:bottom="1440" w:gutter="0" w:footer="0" w:header="0"/>
        </w:sectPr>
      </w:pPr>
    </w:p>
    <w:bookmarkStart w:id="208" w:name="page209"/>
    <w:bookmarkEnd w:id="208"/>
    <w:p>
      <w:pPr>
        <w:jc w:val="both"/>
        <w:ind w:firstLine="656"/>
        <w:spacing w:after="0" w:line="324" w:lineRule="auto"/>
        <w:tabs>
          <w:tab w:leader="none" w:pos="131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Fully Diluted Basis</w:t>
      </w:r>
      <w:r>
        <w:rPr>
          <w:rFonts w:ascii="Arial" w:cs="Arial" w:eastAsia="Arial" w:hAnsi="Arial"/>
          <w:sz w:val="19"/>
          <w:szCs w:val="19"/>
          <w:color w:val="auto"/>
        </w:rPr>
        <w:t>” shall mean the number of Shares which would be outstanding, as of the date of computation, if all convertible obligations, options, RSUs, warrants and like rights, and other instruments to acquire Shares had been converted or exercised (or, if not then granted and reserved for grant or issuance, all such obligations, options, RSUs, warrants and other instruments which are so reserved for grant or issuance, calculated in accordance with the treasury method).</w:t>
      </w:r>
    </w:p>
    <w:p>
      <w:pPr>
        <w:spacing w:after="0" w:line="130" w:lineRule="exact"/>
        <w:rPr>
          <w:rFonts w:ascii="Arial" w:cs="Arial" w:eastAsia="Arial" w:hAnsi="Arial"/>
          <w:sz w:val="19"/>
          <w:szCs w:val="19"/>
          <w:color w:val="auto"/>
        </w:rPr>
      </w:pPr>
    </w:p>
    <w:p>
      <w:pPr>
        <w:ind w:left="1300" w:hanging="644"/>
        <w:spacing w:after="0"/>
        <w:tabs>
          <w:tab w:leader="none" w:pos="13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46" w:lineRule="exact"/>
        <w:rPr>
          <w:rFonts w:ascii="Arial" w:cs="Arial" w:eastAsia="Arial" w:hAnsi="Arial"/>
          <w:sz w:val="22"/>
          <w:szCs w:val="22"/>
          <w:color w:val="auto"/>
        </w:rPr>
      </w:pPr>
    </w:p>
    <w:p>
      <w:pPr>
        <w:ind w:firstLine="656"/>
        <w:spacing w:after="0" w:line="295" w:lineRule="auto"/>
        <w:tabs>
          <w:tab w:leader="none" w:pos="135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means the affiliated group of corporations of which GM Parent is the “common parent,” within the meaning of Section 1504 of the Code.</w:t>
      </w:r>
    </w:p>
    <w:p>
      <w:pPr>
        <w:spacing w:after="0" w:line="147" w:lineRule="exact"/>
        <w:rPr>
          <w:rFonts w:ascii="Arial" w:cs="Arial" w:eastAsia="Arial" w:hAnsi="Arial"/>
          <w:sz w:val="22"/>
          <w:szCs w:val="22"/>
          <w:color w:val="auto"/>
        </w:rPr>
      </w:pPr>
    </w:p>
    <w:p>
      <w:pPr>
        <w:ind w:left="1300" w:hanging="644"/>
        <w:spacing w:after="0"/>
        <w:tabs>
          <w:tab w:leader="none" w:pos="13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ind w:right="20" w:firstLine="656"/>
        <w:spacing w:after="0" w:line="295" w:lineRule="auto"/>
        <w:tabs>
          <w:tab w:leader="none" w:pos="122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65"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Investor</w:t>
      </w:r>
      <w:r>
        <w:rPr>
          <w:rFonts w:ascii="Arial" w:cs="Arial" w:eastAsia="Arial" w:hAnsi="Arial"/>
          <w:sz w:val="22"/>
          <w:szCs w:val="22"/>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17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means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70" w:lineRule="exact"/>
        <w:rPr>
          <w:rFonts w:ascii="Arial" w:cs="Arial" w:eastAsia="Arial" w:hAnsi="Arial"/>
          <w:sz w:val="22"/>
          <w:szCs w:val="22"/>
          <w:color w:val="auto"/>
        </w:rPr>
      </w:pPr>
    </w:p>
    <w:p>
      <w:pPr>
        <w:ind w:right="20" w:firstLine="656"/>
        <w:spacing w:after="0" w:line="379" w:lineRule="auto"/>
        <w:tabs>
          <w:tab w:leader="none" w:pos="136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government or governmental or regulatory body thereof, or political subdivision thereof, whether foreign, federal, state, or local or any agency, instrumentality or authority thereof or any court.</w:t>
      </w:r>
    </w:p>
    <w:p>
      <w:pPr>
        <w:spacing w:after="0" w:line="79" w:lineRule="exact"/>
        <w:rPr>
          <w:rFonts w:ascii="Arial" w:cs="Arial" w:eastAsia="Arial" w:hAnsi="Arial"/>
          <w:sz w:val="19"/>
          <w:szCs w:val="19"/>
          <w:color w:val="auto"/>
        </w:rPr>
      </w:pPr>
    </w:p>
    <w:p>
      <w:pPr>
        <w:jc w:val="both"/>
        <w:ind w:firstLine="656"/>
        <w:spacing w:after="0" w:line="324" w:lineRule="auto"/>
        <w:tabs>
          <w:tab w:leader="none" w:pos="149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Call Trigger Date</w:t>
      </w:r>
      <w:r>
        <w:rPr>
          <w:rFonts w:ascii="Arial" w:cs="Arial" w:eastAsia="Arial" w:hAnsi="Arial"/>
          <w:sz w:val="19"/>
          <w:szCs w:val="19"/>
          <w:color w:val="auto"/>
        </w:rPr>
        <w:t>” means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130" w:lineRule="exact"/>
        <w:rPr>
          <w:rFonts w:ascii="Arial" w:cs="Arial" w:eastAsia="Arial" w:hAnsi="Arial"/>
          <w:sz w:val="19"/>
          <w:szCs w:val="19"/>
          <w:color w:val="auto"/>
        </w:rPr>
      </w:pPr>
    </w:p>
    <w:p>
      <w:pPr>
        <w:jc w:val="both"/>
        <w:ind w:firstLine="656"/>
        <w:spacing w:after="0" w:line="324" w:lineRule="auto"/>
        <w:tabs>
          <w:tab w:leader="none" w:pos="160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I-9</w:t>
      </w:r>
    </w:p>
    <w:p>
      <w:pPr>
        <w:sectPr>
          <w:pgSz w:w="11900" w:h="16838" w:orient="portrait"/>
          <w:cols w:equalWidth="0" w:num="1">
            <w:col w:w="11420"/>
          </w:cols>
          <w:pgMar w:left="240" w:top="342" w:right="239" w:bottom="1440" w:gutter="0" w:footer="0" w:header="0"/>
        </w:sectPr>
      </w:pPr>
    </w:p>
    <w:bookmarkStart w:id="209" w:name="page210"/>
    <w:bookmarkEnd w:id="209"/>
    <w:p>
      <w:pPr>
        <w:jc w:val="both"/>
        <w:spacing w:after="0" w:line="259" w:lineRule="auto"/>
        <w:rPr>
          <w:sz w:val="20"/>
          <w:szCs w:val="20"/>
          <w:color w:val="auto"/>
        </w:rPr>
      </w:pPr>
      <w:r>
        <w:rPr>
          <w:rFonts w:ascii="Arial" w:cs="Arial" w:eastAsia="Arial" w:hAnsi="Arial"/>
          <w:sz w:val="22"/>
          <w:szCs w:val="22"/>
          <w:color w:val="auto"/>
        </w:rPr>
        <w:t>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187" w:lineRule="exact"/>
        <w:rPr>
          <w:sz w:val="20"/>
          <w:szCs w:val="20"/>
          <w:color w:val="auto"/>
        </w:rPr>
      </w:pPr>
    </w:p>
    <w:p>
      <w:pPr>
        <w:jc w:val="both"/>
        <w:ind w:firstLine="656"/>
        <w:spacing w:after="0" w:line="281" w:lineRule="auto"/>
        <w:tabs>
          <w:tab w:leader="none" w:pos="133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Commercial Agreements</w:t>
      </w:r>
      <w:r>
        <w:rPr>
          <w:rFonts w:ascii="Arial" w:cs="Arial" w:eastAsia="Arial" w:hAnsi="Arial"/>
          <w:sz w:val="21"/>
          <w:szCs w:val="21"/>
          <w:color w:val="auto"/>
        </w:rPr>
        <w:t>” means, collectively, (i) that certain Shared Autonomous Vehicle Development Agreement, dated October 3, 2018, by and among the Company, GM, GM Global Technology Operations LLC, Honda and Honda R&amp;D Co, (ii) that certain ZEV Credit Agreement, dated October 3, 2018, by and between General Motors LLC and American Honda Motor Co., Inc., (iii) the Marketing and Network Access Fee Agreement and (iv) any other agreement that the Company and Honda agree will be a Honda Commercial Agreement.</w:t>
      </w:r>
    </w:p>
    <w:p>
      <w:pPr>
        <w:spacing w:after="0" w:line="166" w:lineRule="exact"/>
        <w:rPr>
          <w:rFonts w:ascii="Arial" w:cs="Arial" w:eastAsia="Arial" w:hAnsi="Arial"/>
          <w:sz w:val="21"/>
          <w:szCs w:val="21"/>
          <w:color w:val="auto"/>
        </w:rPr>
      </w:pPr>
    </w:p>
    <w:p>
      <w:pPr>
        <w:jc w:val="both"/>
        <w:ind w:firstLine="656"/>
        <w:spacing w:after="0" w:line="269" w:lineRule="auto"/>
        <w:tabs>
          <w:tab w:leader="none" w:pos="14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75" w:lineRule="exact"/>
        <w:rPr>
          <w:rFonts w:ascii="Arial" w:cs="Arial" w:eastAsia="Arial" w:hAnsi="Arial"/>
          <w:sz w:val="22"/>
          <w:szCs w:val="22"/>
          <w:color w:val="auto"/>
        </w:rPr>
      </w:pPr>
    </w:p>
    <w:p>
      <w:pPr>
        <w:jc w:val="both"/>
        <w:ind w:firstLine="656"/>
        <w:spacing w:after="0" w:line="275" w:lineRule="auto"/>
        <w:tabs>
          <w:tab w:leader="none" w:pos="138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Floor Amount</w:t>
      </w:r>
      <w:r>
        <w:rPr>
          <w:rFonts w:ascii="Arial" w:cs="Arial" w:eastAsia="Arial" w:hAnsi="Arial"/>
          <w:sz w:val="22"/>
          <w:szCs w:val="22"/>
          <w:color w:val="auto"/>
        </w:rPr>
        <w:t>” shall mean 49,500,000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sz w:val="20"/>
          <w:szCs w:val="20"/>
          <w:color w:val="auto"/>
        </w:rPr>
      </w:pPr>
    </w:p>
    <w:p>
      <w:pPr>
        <w:jc w:val="both"/>
        <w:ind w:firstLine="656"/>
        <w:spacing w:after="0" w:line="310" w:lineRule="auto"/>
        <w:tabs>
          <w:tab w:leader="none" w:pos="145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Honda Restricted Person solely as a result of owning, directly or indirectly, less than five percent (5%) of the outstanding capital stock of a publicly traded company that is a competitor of the Company or the GM Investor (or its Affiliates). Honda Restricted Person shall include: (A) those Persons on the list provided to Honda prior to the execution of the Honda Purchase Agreement and (B) any Person that is developing or commercializing or selling autonomous vehicles for any use.</w:t>
      </w:r>
    </w:p>
    <w:p>
      <w:pPr>
        <w:spacing w:after="0" w:line="144" w:lineRule="exact"/>
        <w:rPr>
          <w:rFonts w:ascii="Arial" w:cs="Arial" w:eastAsia="Arial" w:hAnsi="Arial"/>
          <w:sz w:val="19"/>
          <w:szCs w:val="19"/>
          <w:color w:val="auto"/>
        </w:rPr>
      </w:pPr>
    </w:p>
    <w:p>
      <w:pPr>
        <w:jc w:val="both"/>
        <w:ind w:firstLine="656"/>
        <w:spacing w:after="0" w:line="275" w:lineRule="auto"/>
        <w:tabs>
          <w:tab w:leader="none" w:pos="141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Trigger Date</w:t>
      </w:r>
      <w:r>
        <w:rPr>
          <w:rFonts w:ascii="Arial" w:cs="Arial" w:eastAsia="Arial" w:hAnsi="Arial"/>
          <w:sz w:val="22"/>
          <w:szCs w:val="22"/>
          <w:color w:val="auto"/>
        </w:rPr>
        <w:t xml:space="preserve">” shall mean the later of (i) October 3, 2025 and (ii) the termination (or expiration, pursuant to their terms) of all of the Honda Commercial Agreements to which the Company is a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Honda Commercial Agreement was terminated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I-10</w:t>
      </w:r>
    </w:p>
    <w:p>
      <w:pPr>
        <w:sectPr>
          <w:pgSz w:w="11900" w:h="16838" w:orient="portrait"/>
          <w:cols w:equalWidth="0" w:num="1">
            <w:col w:w="11420"/>
          </w:cols>
          <w:pgMar w:left="240" w:top="348" w:right="239" w:bottom="1440" w:gutter="0" w:footer="0" w:header="0"/>
        </w:sectPr>
      </w:pPr>
    </w:p>
    <w:bookmarkStart w:id="210" w:name="page211"/>
    <w:bookmarkEnd w:id="210"/>
    <w:p>
      <w:pPr>
        <w:spacing w:after="0" w:line="276" w:lineRule="auto"/>
        <w:rPr>
          <w:sz w:val="20"/>
          <w:szCs w:val="20"/>
          <w:color w:val="auto"/>
        </w:rPr>
      </w:pPr>
      <w:r>
        <w:rPr>
          <w:rFonts w:ascii="Arial" w:cs="Arial" w:eastAsia="Arial" w:hAnsi="Arial"/>
          <w:sz w:val="22"/>
          <w:szCs w:val="22"/>
          <w:color w:val="auto"/>
        </w:rPr>
        <w:t>by the Company or GM pursuant to the terms and conditions thereof due to breach by Honda of its obligations thereunder, the Honda Trigger Date will be October 3, 2025.</w:t>
      </w:r>
    </w:p>
    <w:p>
      <w:pPr>
        <w:spacing w:after="0" w:line="168" w:lineRule="exact"/>
        <w:rPr>
          <w:sz w:val="20"/>
          <w:szCs w:val="20"/>
          <w:color w:val="auto"/>
        </w:rPr>
      </w:pPr>
    </w:p>
    <w:p>
      <w:pPr>
        <w:ind w:firstLine="656"/>
        <w:spacing w:after="0" w:line="295" w:lineRule="auto"/>
        <w:tabs>
          <w:tab w:leader="none" w:pos="146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47" w:lineRule="exact"/>
        <w:rPr>
          <w:rFonts w:ascii="Arial" w:cs="Arial" w:eastAsia="Arial" w:hAnsi="Arial"/>
          <w:sz w:val="22"/>
          <w:szCs w:val="22"/>
          <w:color w:val="auto"/>
        </w:rPr>
      </w:pPr>
    </w:p>
    <w:p>
      <w:pPr>
        <w:ind w:firstLine="656"/>
        <w:spacing w:after="0" w:line="295" w:lineRule="auto"/>
        <w:tabs>
          <w:tab w:leader="none" w:pos="143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3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170" w:lineRule="exact"/>
        <w:rPr>
          <w:rFonts w:ascii="Arial" w:cs="Arial" w:eastAsia="Arial" w:hAnsi="Arial"/>
          <w:sz w:val="22"/>
          <w:szCs w:val="22"/>
          <w:color w:val="auto"/>
        </w:rPr>
      </w:pPr>
    </w:p>
    <w:p>
      <w:pPr>
        <w:jc w:val="both"/>
        <w:ind w:firstLine="656"/>
        <w:spacing w:after="0" w:line="294" w:lineRule="auto"/>
        <w:tabs>
          <w:tab w:leader="none" w:pos="124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52" w:lineRule="exact"/>
        <w:rPr>
          <w:rFonts w:ascii="Arial" w:cs="Arial" w:eastAsia="Arial" w:hAnsi="Arial"/>
          <w:sz w:val="21"/>
          <w:szCs w:val="21"/>
          <w:color w:val="auto"/>
        </w:rPr>
      </w:pPr>
    </w:p>
    <w:p>
      <w:pPr>
        <w:ind w:firstLine="656"/>
        <w:spacing w:after="0" w:line="295" w:lineRule="auto"/>
        <w:tabs>
          <w:tab w:leader="none" w:pos="152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shall mean, collectively, the GM Investor, SoftBank, Honda and any other Person that makes an Additional Commitment or acquires Shares in exchange for a Capital Contribution.</w:t>
      </w:r>
    </w:p>
    <w:p>
      <w:pPr>
        <w:spacing w:after="0" w:line="147" w:lineRule="exact"/>
        <w:rPr>
          <w:rFonts w:ascii="Arial" w:cs="Arial" w:eastAsia="Arial" w:hAnsi="Arial"/>
          <w:sz w:val="22"/>
          <w:szCs w:val="22"/>
          <w:color w:val="auto"/>
        </w:rPr>
      </w:pPr>
    </w:p>
    <w:p>
      <w:pPr>
        <w:ind w:left="1420" w:hanging="764"/>
        <w:spacing w:after="0"/>
        <w:tabs>
          <w:tab w:leader="none" w:pos="142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IPMA</w:t>
      </w:r>
      <w:r>
        <w:rPr>
          <w:rFonts w:ascii="Arial" w:cs="Arial" w:eastAsia="Arial" w:hAnsi="Arial"/>
          <w:sz w:val="19"/>
          <w:szCs w:val="19"/>
          <w:color w:val="auto"/>
        </w:rPr>
        <w:t>” shall mean the Intellectual Property Matters Agreement entered into between GM and the Company dated</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June 28, 2018.</w:t>
      </w:r>
    </w:p>
    <w:p>
      <w:pPr>
        <w:spacing w:after="0" w:line="227" w:lineRule="exact"/>
        <w:rPr>
          <w:rFonts w:ascii="Arial" w:cs="Arial" w:eastAsia="Arial" w:hAnsi="Arial"/>
          <w:sz w:val="19"/>
          <w:szCs w:val="19"/>
          <w:color w:val="auto"/>
        </w:rPr>
      </w:pPr>
    </w:p>
    <w:p>
      <w:pPr>
        <w:jc w:val="both"/>
        <w:ind w:firstLine="656"/>
        <w:spacing w:after="0" w:line="264" w:lineRule="auto"/>
        <w:tabs>
          <w:tab w:leader="none" w:pos="125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180" w:lineRule="exact"/>
        <w:rPr>
          <w:rFonts w:ascii="Arial" w:cs="Arial" w:eastAsia="Arial" w:hAnsi="Arial"/>
          <w:sz w:val="22"/>
          <w:szCs w:val="22"/>
          <w:color w:val="auto"/>
        </w:rPr>
      </w:pPr>
    </w:p>
    <w:p>
      <w:pPr>
        <w:ind w:firstLine="656"/>
        <w:spacing w:after="0" w:line="295" w:lineRule="auto"/>
        <w:tabs>
          <w:tab w:leader="none" w:pos="126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147" w:lineRule="exact"/>
        <w:rPr>
          <w:rFonts w:ascii="Arial" w:cs="Arial" w:eastAsia="Arial" w:hAnsi="Arial"/>
          <w:sz w:val="22"/>
          <w:szCs w:val="22"/>
          <w:color w:val="auto"/>
        </w:rPr>
      </w:pPr>
    </w:p>
    <w:p>
      <w:pPr>
        <w:ind w:firstLine="656"/>
        <w:spacing w:after="0" w:line="295" w:lineRule="auto"/>
        <w:tabs>
          <w:tab w:leader="none" w:pos="143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147" w:lineRule="exact"/>
        <w:rPr>
          <w:rFonts w:ascii="Arial" w:cs="Arial" w:eastAsia="Arial" w:hAnsi="Arial"/>
          <w:sz w:val="22"/>
          <w:szCs w:val="22"/>
          <w:color w:val="auto"/>
        </w:rPr>
      </w:pPr>
    </w:p>
    <w:p>
      <w:pPr>
        <w:ind w:right="20" w:firstLine="656"/>
        <w:spacing w:after="0" w:line="295" w:lineRule="auto"/>
        <w:tabs>
          <w:tab w:leader="none" w:pos="121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I-11</w:t>
      </w:r>
    </w:p>
    <w:p>
      <w:pPr>
        <w:sectPr>
          <w:pgSz w:w="11900" w:h="16838" w:orient="portrait"/>
          <w:cols w:equalWidth="0" w:num="1">
            <w:col w:w="11420"/>
          </w:cols>
          <w:pgMar w:left="240" w:top="348" w:right="239" w:bottom="1440" w:gutter="0" w:footer="0" w:header="0"/>
        </w:sectPr>
      </w:pPr>
    </w:p>
    <w:bookmarkStart w:id="211" w:name="page212"/>
    <w:bookmarkEnd w:id="211"/>
    <w:p>
      <w:pPr>
        <w:spacing w:after="0" w:line="276" w:lineRule="auto"/>
        <w:rPr>
          <w:sz w:val="20"/>
          <w:szCs w:val="20"/>
          <w:color w:val="auto"/>
        </w:rPr>
      </w:pPr>
      <w:r>
        <w:rPr>
          <w:rFonts w:ascii="Arial" w:cs="Arial" w:eastAsia="Arial" w:hAnsi="Arial"/>
          <w:sz w:val="22"/>
          <w:szCs w:val="22"/>
          <w:color w:val="auto"/>
        </w:rPr>
        <w:t>For clarity, a written consent, signed by Class A-1 Preferred Members holding a majority of the then outstanding Class A-1 Preferred Shares, shall constitute a Majority of the Class A-1 Preferred.</w:t>
      </w:r>
    </w:p>
    <w:p>
      <w:pPr>
        <w:spacing w:after="0" w:line="168" w:lineRule="exact"/>
        <w:rPr>
          <w:sz w:val="20"/>
          <w:szCs w:val="20"/>
          <w:color w:val="auto"/>
        </w:rPr>
      </w:pPr>
    </w:p>
    <w:p>
      <w:pPr>
        <w:jc w:val="both"/>
        <w:ind w:firstLine="656"/>
        <w:spacing w:after="0" w:line="269" w:lineRule="auto"/>
        <w:tabs>
          <w:tab w:leader="none" w:pos="172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A-2 Preferred</w:t>
      </w:r>
      <w:r>
        <w:rPr>
          <w:rFonts w:ascii="Arial" w:cs="Arial" w:eastAsia="Arial" w:hAnsi="Arial"/>
          <w:sz w:val="22"/>
          <w:szCs w:val="22"/>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175" w:lineRule="exact"/>
        <w:rPr>
          <w:rFonts w:ascii="Arial" w:cs="Arial" w:eastAsia="Arial" w:hAnsi="Arial"/>
          <w:sz w:val="22"/>
          <w:szCs w:val="22"/>
          <w:color w:val="auto"/>
        </w:rPr>
      </w:pPr>
    </w:p>
    <w:p>
      <w:pPr>
        <w:ind w:firstLine="656"/>
        <w:spacing w:after="0" w:line="295" w:lineRule="auto"/>
        <w:tabs>
          <w:tab w:leader="none" w:pos="140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C Common</w:t>
      </w:r>
      <w:r>
        <w:rPr>
          <w:rFonts w:ascii="Arial" w:cs="Arial" w:eastAsia="Arial" w:hAnsi="Arial"/>
          <w:sz w:val="22"/>
          <w:szCs w:val="22"/>
          <w:color w:val="auto"/>
        </w:rPr>
        <w:t>” shall mean, as of any given time, the Members holding a majority of the then outstanding Class C Common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51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F Preferred</w:t>
      </w:r>
      <w:r>
        <w:rPr>
          <w:rFonts w:ascii="Arial" w:cs="Arial" w:eastAsia="Arial" w:hAnsi="Arial"/>
          <w:sz w:val="22"/>
          <w:szCs w:val="22"/>
          <w:color w:val="auto"/>
        </w:rPr>
        <w:t>” shall mean, as of any given time, the Members (other than GM and its Affiliates) holding a majority of the then outstanding Class F Preferred Shares (excluding Class F Preferred Shares held by GM and its Affiliates).</w:t>
      </w:r>
    </w:p>
    <w:p>
      <w:pPr>
        <w:spacing w:after="0" w:line="170" w:lineRule="exact"/>
        <w:rPr>
          <w:rFonts w:ascii="Arial" w:cs="Arial" w:eastAsia="Arial" w:hAnsi="Arial"/>
          <w:sz w:val="22"/>
          <w:szCs w:val="22"/>
          <w:color w:val="auto"/>
        </w:rPr>
      </w:pPr>
    </w:p>
    <w:p>
      <w:pPr>
        <w:jc w:val="both"/>
        <w:ind w:firstLine="656"/>
        <w:spacing w:after="0" w:line="310" w:lineRule="auto"/>
        <w:tabs>
          <w:tab w:leader="none" w:pos="140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Common Shares</w:t>
      </w:r>
      <w:r>
        <w:rPr>
          <w:rFonts w:ascii="Arial" w:cs="Arial" w:eastAsia="Arial" w:hAnsi="Arial"/>
          <w:sz w:val="19"/>
          <w:szCs w:val="19"/>
          <w:color w:val="auto"/>
        </w:rPr>
        <w:t>” shall mean, as of any given time, the Members holding a majority of the votes of the then outstanding Class F Preferred Shares, Class E Common Shares, Class D Common Shares, Class C Common Shares and Class B Common Shares. For clarity, (i) a written consent, signed by Members holding a majority of the votes of the then outstanding Class F Preferred Shares, Class E Common Shares, Class D Common Shares, Class C Common Shares and Class B Common Shares, shall constitute a Majority of the Common Shares, and (ii) pursuant to Section 5.01, in determining the Majority of the Common Shares each Class B Common Share, each Class D Common Share, each Class E Common Share and each Class F Preferred Shares will carry one (1) vote per Share and each Class C Common Share will carry ten (10) votes per Share.</w:t>
      </w:r>
    </w:p>
    <w:p>
      <w:pPr>
        <w:spacing w:after="0" w:line="144" w:lineRule="exact"/>
        <w:rPr>
          <w:rFonts w:ascii="Arial" w:cs="Arial" w:eastAsia="Arial" w:hAnsi="Arial"/>
          <w:sz w:val="19"/>
          <w:szCs w:val="19"/>
          <w:color w:val="auto"/>
        </w:rPr>
      </w:pPr>
    </w:p>
    <w:p>
      <w:pPr>
        <w:ind w:firstLine="656"/>
        <w:spacing w:after="0" w:line="295" w:lineRule="auto"/>
        <w:tabs>
          <w:tab w:leader="none" w:pos="147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Members</w:t>
      </w:r>
      <w:r>
        <w:rPr>
          <w:rFonts w:ascii="Arial" w:cs="Arial" w:eastAsia="Arial" w:hAnsi="Arial"/>
          <w:sz w:val="22"/>
          <w:szCs w:val="22"/>
          <w:color w:val="auto"/>
        </w:rPr>
        <w:t>” shall mean, as of any given time, the Members holding the majority of the voting rights with respect to then outstanding Shares, as such voting rights are allocated pursuant to Section 5.01.</w:t>
      </w:r>
    </w:p>
    <w:p>
      <w:pPr>
        <w:spacing w:after="0" w:line="147" w:lineRule="exact"/>
        <w:rPr>
          <w:rFonts w:ascii="Arial" w:cs="Arial" w:eastAsia="Arial" w:hAnsi="Arial"/>
          <w:sz w:val="22"/>
          <w:szCs w:val="22"/>
          <w:color w:val="auto"/>
        </w:rPr>
      </w:pPr>
    </w:p>
    <w:p>
      <w:pPr>
        <w:ind w:firstLine="656"/>
        <w:spacing w:after="0" w:line="295" w:lineRule="auto"/>
        <w:tabs>
          <w:tab w:leader="none" w:pos="144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and Network Access Fee Agreement</w:t>
      </w:r>
      <w:r>
        <w:rPr>
          <w:rFonts w:ascii="Arial" w:cs="Arial" w:eastAsia="Arial" w:hAnsi="Arial"/>
          <w:sz w:val="22"/>
          <w:szCs w:val="22"/>
          <w:color w:val="auto"/>
        </w:rPr>
        <w:t>” means that certain Marketing and Network Access Fee Agreement, dated October 3, 2018, by and between the Company and Honda.</w:t>
      </w:r>
    </w:p>
    <w:p>
      <w:pPr>
        <w:spacing w:after="0" w:line="147" w:lineRule="exact"/>
        <w:rPr>
          <w:rFonts w:ascii="Arial" w:cs="Arial" w:eastAsia="Arial" w:hAnsi="Arial"/>
          <w:sz w:val="22"/>
          <w:szCs w:val="22"/>
          <w:color w:val="auto"/>
        </w:rPr>
      </w:pPr>
    </w:p>
    <w:p>
      <w:pPr>
        <w:ind w:firstLine="656"/>
        <w:spacing w:after="0" w:line="320" w:lineRule="auto"/>
        <w:tabs>
          <w:tab w:leader="none" w:pos="13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Non-Public Information</w:t>
      </w:r>
      <w:r>
        <w:rPr>
          <w:rFonts w:ascii="Arial" w:cs="Arial" w:eastAsia="Arial" w:hAnsi="Arial"/>
          <w:sz w:val="21"/>
          <w:szCs w:val="21"/>
          <w:color w:val="auto"/>
        </w:rPr>
        <w:t>” shall mean any material non-public information (as the same relates to GM Parent), as determined in the discretion of the Company or GM Parent (each acting reasonably and in good faith).</w:t>
      </w:r>
    </w:p>
    <w:p>
      <w:pPr>
        <w:spacing w:after="0" w:line="125" w:lineRule="exact"/>
        <w:rPr>
          <w:rFonts w:ascii="Arial" w:cs="Arial" w:eastAsia="Arial" w:hAnsi="Arial"/>
          <w:sz w:val="21"/>
          <w:szCs w:val="21"/>
          <w:color w:val="auto"/>
        </w:rPr>
      </w:pPr>
    </w:p>
    <w:p>
      <w:pPr>
        <w:jc w:val="both"/>
        <w:ind w:firstLine="656"/>
        <w:spacing w:after="0" w:line="269" w:lineRule="auto"/>
        <w:tabs>
          <w:tab w:leader="none" w:pos="129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mean the GM Investor, SoftBank, Honda,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I-12</w:t>
      </w:r>
    </w:p>
    <w:p>
      <w:pPr>
        <w:sectPr>
          <w:pgSz w:w="11900" w:h="16838" w:orient="portrait"/>
          <w:cols w:equalWidth="0" w:num="1">
            <w:col w:w="11420"/>
          </w:cols>
          <w:pgMar w:left="240" w:top="348" w:right="239" w:bottom="1440" w:gutter="0" w:footer="0" w:header="0"/>
        </w:sectPr>
      </w:pPr>
    </w:p>
    <w:bookmarkStart w:id="212" w:name="page213"/>
    <w:bookmarkEnd w:id="212"/>
    <w:p>
      <w:pPr>
        <w:jc w:val="both"/>
        <w:spacing w:after="0" w:line="273" w:lineRule="auto"/>
        <w:rPr>
          <w:sz w:val="20"/>
          <w:szCs w:val="20"/>
          <w:color w:val="auto"/>
        </w:rPr>
      </w:pPr>
      <w:r>
        <w:rPr>
          <w:rFonts w:ascii="Arial" w:cs="Arial" w:eastAsia="Arial" w:hAnsi="Arial"/>
          <w:sz w:val="21"/>
          <w:szCs w:val="21"/>
          <w:color w:val="auto"/>
        </w:rPr>
        <w:t>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173" w:lineRule="exact"/>
        <w:rPr>
          <w:sz w:val="20"/>
          <w:szCs w:val="20"/>
          <w:color w:val="auto"/>
        </w:rPr>
      </w:pPr>
    </w:p>
    <w:p>
      <w:pPr>
        <w:jc w:val="both"/>
        <w:ind w:firstLine="656"/>
        <w:spacing w:after="0" w:line="275" w:lineRule="auto"/>
        <w:tabs>
          <w:tab w:leader="none" w:pos="155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Interests</w:t>
      </w:r>
      <w:r>
        <w:rPr>
          <w:rFonts w:ascii="Arial" w:cs="Arial" w:eastAsia="Arial" w:hAnsi="Arial"/>
          <w:sz w:val="22"/>
          <w:szCs w:val="22"/>
          <w:color w:val="auto"/>
        </w:rPr>
        <w:t>” shall mean the Class A-2 Preferred Shares, the Class B Common Shares, the Class C Common Shares, the Class D Common Shares, the Class E Common Shares, the Class F Preferred Shares and any other Equity Securities designated as Non-A-1 Interests by the Board of Directors.</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43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Members</w:t>
      </w:r>
      <w:r>
        <w:rPr>
          <w:rFonts w:ascii="Arial" w:cs="Arial" w:eastAsia="Arial" w:hAnsi="Arial"/>
          <w:sz w:val="22"/>
          <w:szCs w:val="22"/>
          <w:color w:val="auto"/>
        </w:rPr>
        <w:t>” shall mean the Class A-2 Preferred Members, the Class B Members, the Class C Members, the Class D Members, the Class E Members and the Class F Preferred Members and any other Members designated as Non-A-1 Members by the Board of Directors.</w:t>
      </w:r>
    </w:p>
    <w:p>
      <w:pPr>
        <w:spacing w:after="0" w:line="170" w:lineRule="exact"/>
        <w:rPr>
          <w:rFonts w:ascii="Arial" w:cs="Arial" w:eastAsia="Arial" w:hAnsi="Arial"/>
          <w:sz w:val="22"/>
          <w:szCs w:val="22"/>
          <w:color w:val="auto"/>
        </w:rPr>
      </w:pPr>
    </w:p>
    <w:p>
      <w:pPr>
        <w:ind w:firstLine="656"/>
        <w:spacing w:after="0" w:line="295" w:lineRule="auto"/>
        <w:tabs>
          <w:tab w:leader="none" w:pos="165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NSA</w:t>
      </w:r>
      <w:r>
        <w:rPr>
          <w:rFonts w:ascii="Arial" w:cs="Arial" w:eastAsia="Arial" w:hAnsi="Arial"/>
          <w:sz w:val="22"/>
          <w:szCs w:val="22"/>
          <w:color w:val="auto"/>
        </w:rPr>
        <w:t>” shall mean the National Security Agreement entered into by and among GM, SoftBank, the Company, the U.S. Department of Defense, and the U.S. Department of Treasury, dated July 5, 2019.</w:t>
      </w:r>
    </w:p>
    <w:p>
      <w:pPr>
        <w:spacing w:after="0" w:line="147" w:lineRule="exact"/>
        <w:rPr>
          <w:rFonts w:ascii="Arial" w:cs="Arial" w:eastAsia="Arial" w:hAnsi="Arial"/>
          <w:sz w:val="22"/>
          <w:szCs w:val="22"/>
          <w:color w:val="auto"/>
        </w:rPr>
      </w:pPr>
    </w:p>
    <w:p>
      <w:pPr>
        <w:jc w:val="both"/>
        <w:ind w:firstLine="656"/>
        <w:spacing w:after="0" w:line="266" w:lineRule="auto"/>
        <w:tabs>
          <w:tab w:leader="none" w:pos="152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Acquisition</w:t>
      </w:r>
      <w:r>
        <w:rPr>
          <w:rFonts w:ascii="Arial" w:cs="Arial" w:eastAsia="Arial" w:hAnsi="Arial"/>
          <w:sz w:val="22"/>
          <w:szCs w:val="22"/>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78" w:lineRule="exact"/>
        <w:rPr>
          <w:rFonts w:ascii="Arial" w:cs="Arial" w:eastAsia="Arial" w:hAnsi="Arial"/>
          <w:sz w:val="22"/>
          <w:szCs w:val="22"/>
          <w:color w:val="auto"/>
        </w:rPr>
      </w:pPr>
    </w:p>
    <w:p>
      <w:pPr>
        <w:ind w:firstLine="656"/>
        <w:spacing w:after="0" w:line="295" w:lineRule="auto"/>
        <w:tabs>
          <w:tab w:leader="none" w:pos="141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Investment</w:t>
      </w:r>
      <w:r>
        <w:rPr>
          <w:rFonts w:ascii="Arial" w:cs="Arial" w:eastAsia="Arial" w:hAnsi="Arial"/>
          <w:sz w:val="22"/>
          <w:szCs w:val="22"/>
          <w:color w:val="auto"/>
        </w:rPr>
        <w:t>” shall mean the acquisition of a material percentage of the outstanding Shares of the Company by any automotive OEM.</w:t>
      </w:r>
    </w:p>
    <w:p>
      <w:pPr>
        <w:spacing w:after="0" w:line="147" w:lineRule="exact"/>
        <w:rPr>
          <w:rFonts w:ascii="Arial" w:cs="Arial" w:eastAsia="Arial" w:hAnsi="Arial"/>
          <w:sz w:val="22"/>
          <w:szCs w:val="22"/>
          <w:color w:val="auto"/>
        </w:rPr>
      </w:pPr>
    </w:p>
    <w:p>
      <w:pPr>
        <w:jc w:val="both"/>
        <w:ind w:firstLine="656"/>
        <w:spacing w:after="0" w:line="269" w:lineRule="auto"/>
        <w:tabs>
          <w:tab w:leader="none" w:pos="139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Restricted Investment</w:t>
      </w:r>
      <w:r>
        <w:rPr>
          <w:rFonts w:ascii="Arial" w:cs="Arial" w:eastAsia="Arial" w:hAnsi="Arial"/>
          <w:sz w:val="22"/>
          <w:szCs w:val="22"/>
          <w:color w:val="auto"/>
        </w:rPr>
        <w:t>” shall mean the acquisition of a number of Shares of the Company greater than or equal to the lesser of (i) Honda’s fully diluted ownership, 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I-13</w:t>
      </w:r>
    </w:p>
    <w:p>
      <w:pPr>
        <w:sectPr>
          <w:pgSz w:w="11900" w:h="16838" w:orient="portrait"/>
          <w:cols w:equalWidth="0" w:num="1">
            <w:col w:w="11420"/>
          </w:cols>
          <w:pgMar w:left="240" w:top="348" w:right="239" w:bottom="1440" w:gutter="0" w:footer="0" w:header="0"/>
        </w:sectPr>
      </w:pPr>
    </w:p>
    <w:bookmarkStart w:id="213" w:name="page214"/>
    <w:bookmarkEnd w:id="213"/>
    <w:p>
      <w:pPr>
        <w:ind w:firstLine="656"/>
        <w:spacing w:after="0" w:line="295" w:lineRule="auto"/>
        <w:tabs>
          <w:tab w:leader="none" w:pos="150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SoftBank Conversion Share Price</w:t>
      </w:r>
      <w:r>
        <w:rPr>
          <w:rFonts w:ascii="Arial" w:cs="Arial" w:eastAsia="Arial" w:hAnsi="Arial"/>
          <w:sz w:val="22"/>
          <w:szCs w:val="22"/>
          <w:color w:val="auto"/>
        </w:rPr>
        <w:t>” shall mean the value, per Class A-1 Preferred Share or Class D Common Share (as applicable), calculated as follows:</w:t>
      </w:r>
    </w:p>
    <w:p>
      <w:pPr>
        <w:spacing w:after="0" w:line="153" w:lineRule="exact"/>
        <w:rPr>
          <w:rFonts w:ascii="Arial" w:cs="Arial" w:eastAsia="Arial" w:hAnsi="Arial"/>
          <w:sz w:val="22"/>
          <w:szCs w:val="22"/>
          <w:color w:val="auto"/>
        </w:rPr>
      </w:pPr>
    </w:p>
    <w:p>
      <w:pPr>
        <w:jc w:val="both"/>
        <w:ind w:firstLine="1426"/>
        <w:spacing w:after="0" w:line="276" w:lineRule="auto"/>
        <w:tabs>
          <w:tab w:leader="none" w:pos="1829" w:val="left"/>
        </w:tabs>
        <w:numPr>
          <w:ilvl w:val="1"/>
          <w:numId w:val="184"/>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all Non-A-1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 (collectively the number of Class D Common Shares resulting from the deemed conversion, the “</w:t>
      </w:r>
      <w:r>
        <w:rPr>
          <w:rFonts w:ascii="Arial" w:cs="Arial" w:eastAsia="Arial" w:hAnsi="Arial"/>
          <w:sz w:val="21"/>
          <w:szCs w:val="21"/>
          <w:b w:val="1"/>
          <w:bCs w:val="1"/>
          <w:color w:val="auto"/>
        </w:rPr>
        <w:t>Total Optional Conversion Shares</w:t>
      </w:r>
      <w:r>
        <w:rPr>
          <w:rFonts w:ascii="Arial" w:cs="Arial" w:eastAsia="Arial" w:hAnsi="Arial"/>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176" w:lineRule="exact"/>
        <w:rPr>
          <w:rFonts w:ascii="Arial" w:cs="Arial" w:eastAsia="Arial" w:hAnsi="Arial"/>
          <w:sz w:val="21"/>
          <w:szCs w:val="21"/>
          <w:color w:val="010000"/>
        </w:rPr>
      </w:pPr>
    </w:p>
    <w:p>
      <w:pPr>
        <w:jc w:val="both"/>
        <w:ind w:firstLine="1426"/>
        <w:spacing w:after="0" w:line="305" w:lineRule="auto"/>
        <w:tabs>
          <w:tab w:leader="none" w:pos="1916" w:val="left"/>
        </w:tabs>
        <w:numPr>
          <w:ilvl w:val="1"/>
          <w:numId w:val="184"/>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 (B) for each Class A-1-B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48" w:lineRule="exact"/>
        <w:rPr>
          <w:rFonts w:ascii="Arial" w:cs="Arial" w:eastAsia="Arial" w:hAnsi="Arial"/>
          <w:sz w:val="19"/>
          <w:szCs w:val="19"/>
          <w:color w:val="010000"/>
        </w:rPr>
      </w:pPr>
    </w:p>
    <w:p>
      <w:pPr>
        <w:ind w:firstLine="656"/>
        <w:spacing w:after="0" w:line="295" w:lineRule="auto"/>
        <w:tabs>
          <w:tab w:leader="none" w:pos="156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Party</w:t>
      </w:r>
      <w:r>
        <w:rPr>
          <w:rFonts w:ascii="Arial" w:cs="Arial" w:eastAsia="Arial" w:hAnsi="Arial"/>
          <w:sz w:val="22"/>
          <w:szCs w:val="22"/>
          <w:color w:val="auto"/>
        </w:rPr>
        <w:t>” shall mean (i) with respect to the Company or any of its Subsidiaries, the GM Investor and (ii) with respect to the GM Investor, the Company.</w:t>
      </w:r>
    </w:p>
    <w:p>
      <w:pPr>
        <w:spacing w:after="0" w:line="147" w:lineRule="exact"/>
        <w:rPr>
          <w:rFonts w:ascii="Arial" w:cs="Arial" w:eastAsia="Arial" w:hAnsi="Arial"/>
          <w:sz w:val="22"/>
          <w:szCs w:val="22"/>
          <w:color w:val="auto"/>
        </w:rPr>
      </w:pPr>
    </w:p>
    <w:p>
      <w:pPr>
        <w:jc w:val="both"/>
        <w:ind w:firstLine="656"/>
        <w:spacing w:after="0" w:line="313" w:lineRule="auto"/>
        <w:tabs>
          <w:tab w:leader="none" w:pos="154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A-1 Preferred Share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0" w:lineRule="exact"/>
        <w:rPr>
          <w:rFonts w:ascii="Arial" w:cs="Arial" w:eastAsia="Arial" w:hAnsi="Arial"/>
          <w:sz w:val="19"/>
          <w:szCs w:val="19"/>
          <w:color w:val="auto"/>
        </w:rPr>
      </w:pPr>
    </w:p>
    <w:p>
      <w:pPr>
        <w:jc w:val="both"/>
        <w:ind w:firstLine="656"/>
        <w:spacing w:after="0" w:line="269" w:lineRule="auto"/>
        <w:tabs>
          <w:tab w:leader="none" w:pos="163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 Class E FMV</w:t>
      </w:r>
      <w:r>
        <w:rPr>
          <w:rFonts w:ascii="Arial" w:cs="Arial" w:eastAsia="Arial" w:hAnsi="Arial"/>
          <w:sz w:val="22"/>
          <w:szCs w:val="22"/>
          <w:color w:val="auto"/>
        </w:rPr>
        <w:t xml:space="preserve">” shall mean the Standardized FMV (as defined in, and determined in accordance with, Exhibit II)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total outstanding Shares as of the time of the determination of the Call Notice/Optional SoftBank Conversion Notice Fair Market Value as if each Share (on a Fully Diluted Basis) was converted into a Class D Common Share (with Non-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I-14</w:t>
      </w:r>
    </w:p>
    <w:p>
      <w:pPr>
        <w:sectPr>
          <w:pgSz w:w="11900" w:h="16838" w:orient="portrait"/>
          <w:cols w:equalWidth="0" w:num="1">
            <w:col w:w="11420"/>
          </w:cols>
          <w:pgMar w:left="240" w:top="342" w:right="239" w:bottom="1440" w:gutter="0" w:footer="0" w:header="0"/>
        </w:sectPr>
      </w:pPr>
    </w:p>
    <w:bookmarkStart w:id="214" w:name="page215"/>
    <w:bookmarkEnd w:id="214"/>
    <w:p>
      <w:pPr>
        <w:jc w:val="both"/>
        <w:spacing w:after="0" w:line="284" w:lineRule="auto"/>
        <w:rPr>
          <w:sz w:val="20"/>
          <w:szCs w:val="20"/>
          <w:color w:val="auto"/>
        </w:rPr>
      </w:pPr>
      <w:r>
        <w:rPr>
          <w:rFonts w:ascii="Arial" w:cs="Arial" w:eastAsia="Arial" w:hAnsi="Arial"/>
          <w:sz w:val="21"/>
          <w:szCs w:val="21"/>
          <w:color w:val="auto"/>
        </w:rPr>
        <w:t>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63" w:lineRule="exact"/>
        <w:rPr>
          <w:sz w:val="20"/>
          <w:szCs w:val="20"/>
          <w:color w:val="auto"/>
        </w:rPr>
      </w:pPr>
    </w:p>
    <w:p>
      <w:pPr>
        <w:jc w:val="both"/>
        <w:ind w:firstLine="656"/>
        <w:spacing w:after="0" w:line="269" w:lineRule="auto"/>
        <w:tabs>
          <w:tab w:leader="none" w:pos="145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 liability company or limited partnership, an association, a joint stock company, a trust, a joint 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175" w:lineRule="exact"/>
        <w:rPr>
          <w:rFonts w:ascii="Arial" w:cs="Arial" w:eastAsia="Arial" w:hAnsi="Arial"/>
          <w:sz w:val="22"/>
          <w:szCs w:val="22"/>
          <w:color w:val="auto"/>
        </w:rPr>
      </w:pPr>
    </w:p>
    <w:p>
      <w:pPr>
        <w:jc w:val="both"/>
        <w:ind w:firstLine="656"/>
        <w:spacing w:after="0" w:line="305" w:lineRule="auto"/>
        <w:tabs>
          <w:tab w:leader="none" w:pos="143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Proportion</w:t>
      </w:r>
      <w:r>
        <w:rPr>
          <w:rFonts w:ascii="Arial" w:cs="Arial" w:eastAsia="Arial" w:hAnsi="Arial"/>
          <w:sz w:val="19"/>
          <w:szCs w:val="19"/>
          <w:color w:val="auto"/>
        </w:rPr>
        <w:t xml:space="preserve">” shall mean, with respect to a holder of Preemptive Shares as of any given time, an amount, expressed as a decimal, equal to (i) the number of Class D Common Shares held by such Member as if all Non-A-1 Interests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2.10(b),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Conversion Shares (excluding, for the purpose of calculating the Total Conversion Shares, any Class B Common Share, including any Vested Class B Common Share);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Excess New Securities subject to a Supplemental Notice of Intention to Sell pursuant to Section 2.07(e)(ii), the Class F Preferred Shares will not be taken into account in the determination of Preemptive Proportion (including the Total Conversion Shares used therefor).</w:t>
      </w:r>
    </w:p>
    <w:p>
      <w:pPr>
        <w:spacing w:after="0" w:line="154" w:lineRule="exact"/>
        <w:rPr>
          <w:rFonts w:ascii="Arial" w:cs="Arial" w:eastAsia="Arial" w:hAnsi="Arial"/>
          <w:sz w:val="19"/>
          <w:szCs w:val="19"/>
          <w:color w:val="auto"/>
        </w:rPr>
      </w:pPr>
    </w:p>
    <w:p>
      <w:pPr>
        <w:jc w:val="both"/>
        <w:ind w:firstLine="656"/>
        <w:spacing w:after="0" w:line="275" w:lineRule="auto"/>
        <w:tabs>
          <w:tab w:leader="none" w:pos="15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xml:space="preserve">” shall mean each class of Shares other than the Class B Common Shares;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Excess New Securities subject to a Supplemental Notice of Intention to Sell pursuant to Section 2.07(e)(ii), the Class F Preferred Shares will not be Preemptive Shares.</w:t>
      </w:r>
    </w:p>
    <w:p>
      <w:pPr>
        <w:spacing w:after="0" w:line="170" w:lineRule="exact"/>
        <w:rPr>
          <w:rFonts w:ascii="Arial" w:cs="Arial" w:eastAsia="Arial" w:hAnsi="Arial"/>
          <w:sz w:val="22"/>
          <w:szCs w:val="22"/>
          <w:color w:val="auto"/>
        </w:rPr>
      </w:pPr>
    </w:p>
    <w:p>
      <w:pPr>
        <w:ind w:left="1520" w:hanging="864"/>
        <w:spacing w:after="0"/>
        <w:tabs>
          <w:tab w:leader="none" w:pos="152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shall mean the prime rate in effect at the time at the New York City offices of Citibank, N.A.</w:t>
      </w:r>
    </w:p>
    <w:p>
      <w:pPr>
        <w:spacing w:after="0" w:line="258" w:lineRule="exact"/>
        <w:rPr>
          <w:rFonts w:ascii="Arial" w:cs="Arial" w:eastAsia="Arial" w:hAnsi="Arial"/>
          <w:sz w:val="21"/>
          <w:szCs w:val="21"/>
          <w:color w:val="auto"/>
        </w:rPr>
      </w:pPr>
    </w:p>
    <w:p>
      <w:pPr>
        <w:jc w:val="both"/>
        <w:ind w:firstLine="656"/>
        <w:spacing w:after="0" w:line="266" w:lineRule="auto"/>
        <w:tabs>
          <w:tab w:leader="none" w:pos="129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Appraiser</w:t>
      </w:r>
      <w:r>
        <w:rPr>
          <w:rFonts w:ascii="Arial" w:cs="Arial" w:eastAsia="Arial" w:hAnsi="Arial"/>
          <w:sz w:val="22"/>
          <w:szCs w:val="22"/>
          <w:color w:val="auto"/>
        </w:rPr>
        <w:t xml:space="preserve">” shall mean a globally recognized investment banking firm;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such firm is the third “Qualified Appraiser” referred to in Exhibit II, then it shall not have (i) been engaged for any M&amp;A advisory or other similar services or (ii) served as a lead or co-lead “bookrunner” for a debt or equity issuance in excess of $500,000,000 by or for the GM Investor, SoftBank, SoftBank UK or any Affiliate of the foregoing during the three (3) year period preceding such firm’s appointment.</w:t>
      </w:r>
    </w:p>
    <w:p>
      <w:pPr>
        <w:spacing w:after="0" w:line="178" w:lineRule="exact"/>
        <w:rPr>
          <w:rFonts w:ascii="Arial" w:cs="Arial" w:eastAsia="Arial" w:hAnsi="Arial"/>
          <w:sz w:val="22"/>
          <w:szCs w:val="22"/>
          <w:color w:val="auto"/>
        </w:rPr>
      </w:pPr>
    </w:p>
    <w:p>
      <w:pPr>
        <w:ind w:left="1280" w:hanging="624"/>
        <w:spacing w:after="0"/>
        <w:tabs>
          <w:tab w:leader="none" w:pos="12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w:t>
      </w:r>
      <w:r>
        <w:rPr>
          <w:rFonts w:ascii="Arial" w:cs="Arial" w:eastAsia="Arial" w:hAnsi="Arial"/>
          <w:sz w:val="22"/>
          <w:szCs w:val="22"/>
          <w:color w:val="auto"/>
        </w:rPr>
        <w:t>” shall mean each calendar quarter.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I-15</w:t>
      </w:r>
    </w:p>
    <w:p>
      <w:pPr>
        <w:sectPr>
          <w:pgSz w:w="11900" w:h="16838" w:orient="portrait"/>
          <w:cols w:equalWidth="0" w:num="1">
            <w:col w:w="11420"/>
          </w:cols>
          <w:pgMar w:left="240" w:top="348" w:right="239" w:bottom="1440" w:gutter="0" w:footer="0" w:header="0"/>
        </w:sectPr>
      </w:pPr>
    </w:p>
    <w:bookmarkStart w:id="215" w:name="page216"/>
    <w:bookmarkEnd w:id="215"/>
    <w:p>
      <w:pPr>
        <w:jc w:val="both"/>
        <w:ind w:firstLine="656"/>
        <w:spacing w:after="0" w:line="310" w:lineRule="auto"/>
        <w:tabs>
          <w:tab w:leader="none" w:pos="151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Registrable Equity Securities</w:t>
      </w:r>
      <w:r>
        <w:rPr>
          <w:rFonts w:ascii="Arial" w:cs="Arial" w:eastAsia="Arial" w:hAnsi="Arial"/>
          <w:sz w:val="19"/>
          <w:szCs w:val="19"/>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 Equity Securities not bearing the legend required pursuant to this Agreement and such Equity Securities may be resold without subsequent registration under the Securities Act.</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Business</w:t>
      </w:r>
      <w:r>
        <w:rPr>
          <w:rFonts w:ascii="Arial" w:cs="Arial" w:eastAsia="Arial" w:hAnsi="Arial"/>
          <w:sz w:val="19"/>
          <w:szCs w:val="19"/>
          <w:color w:val="auto"/>
        </w:rPr>
        <w:t>” shall mean, (i) with respect to the Company or any of its Subsidiaries, the GM Business and</w:t>
      </w:r>
    </w:p>
    <w:p>
      <w:pPr>
        <w:spacing w:after="0" w:line="71" w:lineRule="exact"/>
        <w:rPr>
          <w:rFonts w:ascii="Arial" w:cs="Arial" w:eastAsia="Arial" w:hAnsi="Arial"/>
          <w:sz w:val="19"/>
          <w:szCs w:val="19"/>
          <w:color w:val="auto"/>
        </w:rPr>
      </w:pPr>
    </w:p>
    <w:p>
      <w:pPr>
        <w:ind w:left="320" w:hanging="312"/>
        <w:spacing w:after="0"/>
        <w:tabs>
          <w:tab w:leader="none" w:pos="3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with respect to the GM Investor or any of its Subsidiaries, the AVCo Business.</w:t>
      </w:r>
    </w:p>
    <w:p>
      <w:pPr>
        <w:spacing w:after="0" w:line="227" w:lineRule="exact"/>
        <w:rPr>
          <w:rFonts w:ascii="Arial" w:cs="Arial" w:eastAsia="Arial" w:hAnsi="Arial"/>
          <w:sz w:val="22"/>
          <w:szCs w:val="22"/>
          <w:color w:val="auto"/>
        </w:rPr>
      </w:pPr>
    </w:p>
    <w:p>
      <w:pPr>
        <w:jc w:val="both"/>
        <w:ind w:firstLine="656"/>
        <w:spacing w:after="0" w:line="313" w:lineRule="auto"/>
        <w:tabs>
          <w:tab w:leader="none" w:pos="1812" w:val="left"/>
        </w:tabs>
        <w:numPr>
          <w:ilvl w:val="1"/>
          <w:numId w:val="1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GM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40" w:lineRule="exact"/>
        <w:rPr>
          <w:rFonts w:ascii="Arial" w:cs="Arial" w:eastAsia="Arial" w:hAnsi="Arial"/>
          <w:sz w:val="19"/>
          <w:szCs w:val="19"/>
          <w:color w:val="auto"/>
        </w:rPr>
      </w:pPr>
    </w:p>
    <w:p>
      <w:pPr>
        <w:jc w:val="both"/>
        <w:ind w:firstLine="656"/>
        <w:spacing w:after="0" w:line="278" w:lineRule="auto"/>
        <w:tabs>
          <w:tab w:leader="none" w:pos="1580" w:val="left"/>
        </w:tabs>
        <w:numPr>
          <w:ilvl w:val="1"/>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of the Company</w:t>
      </w:r>
      <w:r>
        <w:rPr>
          <w:rFonts w:ascii="Arial" w:cs="Arial" w:eastAsia="Arial" w:hAnsi="Arial"/>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171" w:lineRule="exact"/>
        <w:rPr>
          <w:rFonts w:ascii="Arial" w:cs="Arial" w:eastAsia="Arial" w:hAnsi="Arial"/>
          <w:sz w:val="21"/>
          <w:szCs w:val="21"/>
          <w:color w:val="auto"/>
        </w:rPr>
      </w:pPr>
    </w:p>
    <w:p>
      <w:pPr>
        <w:jc w:val="both"/>
        <w:ind w:firstLine="656"/>
        <w:spacing w:after="0" w:line="310" w:lineRule="auto"/>
        <w:tabs>
          <w:tab w:leader="none" w:pos="152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(B) 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I-16</w:t>
      </w:r>
    </w:p>
    <w:p>
      <w:pPr>
        <w:sectPr>
          <w:pgSz w:w="11900" w:h="16838" w:orient="portrait"/>
          <w:cols w:equalWidth="0" w:num="1">
            <w:col w:w="11420"/>
          </w:cols>
          <w:pgMar w:left="240" w:top="342" w:right="239" w:bottom="1440" w:gutter="0" w:footer="0" w:header="0"/>
        </w:sectPr>
      </w:pPr>
    </w:p>
    <w:bookmarkStart w:id="216" w:name="page217"/>
    <w:bookmarkEnd w:id="216"/>
    <w:p>
      <w:pPr>
        <w:ind w:firstLine="656"/>
        <w:spacing w:after="0" w:line="379" w:lineRule="auto"/>
        <w:tabs>
          <w:tab w:leader="none" w:pos="152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Territory</w:t>
      </w:r>
      <w:r>
        <w:rPr>
          <w:rFonts w:ascii="Arial" w:cs="Arial" w:eastAsia="Arial" w:hAnsi="Arial"/>
          <w:sz w:val="19"/>
          <w:szCs w:val="19"/>
          <w:color w:val="auto"/>
        </w:rPr>
        <w:t>” shall mean, at any time, a country or geographic region that is itself the subject or target of any comprehensive Sanctions within the past five years, which includes: Crimea, Cuba, Iran, North Korea, Sudan, and Syria.</w:t>
      </w:r>
    </w:p>
    <w:p>
      <w:pPr>
        <w:spacing w:after="0" w:line="79" w:lineRule="exact"/>
        <w:rPr>
          <w:rFonts w:ascii="Arial" w:cs="Arial" w:eastAsia="Arial" w:hAnsi="Arial"/>
          <w:sz w:val="19"/>
          <w:szCs w:val="19"/>
          <w:color w:val="auto"/>
        </w:rPr>
      </w:pPr>
    </w:p>
    <w:p>
      <w:pPr>
        <w:jc w:val="both"/>
        <w:ind w:firstLine="656"/>
        <w:spacing w:after="0" w:line="264" w:lineRule="auto"/>
        <w:tabs>
          <w:tab w:leader="none" w:pos="16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180" w:lineRule="exact"/>
        <w:rPr>
          <w:rFonts w:ascii="Arial" w:cs="Arial" w:eastAsia="Arial" w:hAnsi="Arial"/>
          <w:sz w:val="22"/>
          <w:szCs w:val="22"/>
          <w:color w:val="auto"/>
        </w:rPr>
      </w:pPr>
    </w:p>
    <w:p>
      <w:pPr>
        <w:ind w:left="1340" w:hanging="684"/>
        <w:spacing w:after="0"/>
        <w:tabs>
          <w:tab w:leader="none" w:pos="1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United States Securities and Exchange Commission.</w:t>
      </w:r>
    </w:p>
    <w:p>
      <w:pPr>
        <w:spacing w:after="0" w:line="246" w:lineRule="exact"/>
        <w:rPr>
          <w:rFonts w:ascii="Arial" w:cs="Arial" w:eastAsia="Arial" w:hAnsi="Arial"/>
          <w:sz w:val="22"/>
          <w:szCs w:val="22"/>
          <w:color w:val="auto"/>
        </w:rPr>
      </w:pPr>
    </w:p>
    <w:p>
      <w:pPr>
        <w:jc w:val="both"/>
        <w:ind w:firstLine="656"/>
        <w:spacing w:after="0" w:line="324" w:lineRule="auto"/>
        <w:tabs>
          <w:tab w:leader="none" w:pos="14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Tranche Conditions</w:t>
      </w:r>
      <w:r>
        <w:rPr>
          <w:rFonts w:ascii="Arial" w:cs="Arial" w:eastAsia="Arial" w:hAnsi="Arial"/>
          <w:sz w:val="19"/>
          <w:szCs w:val="19"/>
          <w:color w:val="auto"/>
        </w:rPr>
        <w:t>” shall mean the following conditions: (i) the SoftBank CFIUS Condition, and (ii) there shall not, at the time of consummation of the transactions contemplated by Section 2.02(c)(i), be in effect and Law or Order (each as defined in the Purchase Agreement) enacted or entered by a Governmental Authority of competent jurisdiction restraining, enjoining or otherwise prohibiting the consummation of the transactions contemplated by Section 2.02(c)(i).</w:t>
      </w:r>
    </w:p>
    <w:p>
      <w:pPr>
        <w:spacing w:after="0" w:line="130" w:lineRule="exact"/>
        <w:rPr>
          <w:rFonts w:ascii="Arial" w:cs="Arial" w:eastAsia="Arial" w:hAnsi="Arial"/>
          <w:sz w:val="19"/>
          <w:szCs w:val="19"/>
          <w:color w:val="auto"/>
        </w:rPr>
      </w:pPr>
    </w:p>
    <w:p>
      <w:pPr>
        <w:ind w:left="1280" w:hanging="624"/>
        <w:spacing w:after="0"/>
        <w:tabs>
          <w:tab w:leader="none" w:pos="12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Director</w:t>
      </w:r>
      <w:r>
        <w:rPr>
          <w:rFonts w:ascii="Arial" w:cs="Arial" w:eastAsia="Arial" w:hAnsi="Arial"/>
          <w:sz w:val="22"/>
          <w:szCs w:val="22"/>
          <w:color w:val="auto"/>
        </w:rPr>
        <w:t>” shall have the meaning given to it in the NSA.</w:t>
      </w:r>
    </w:p>
    <w:p>
      <w:pPr>
        <w:spacing w:after="0" w:line="246" w:lineRule="exact"/>
        <w:rPr>
          <w:rFonts w:ascii="Arial" w:cs="Arial" w:eastAsia="Arial" w:hAnsi="Arial"/>
          <w:sz w:val="22"/>
          <w:szCs w:val="22"/>
          <w:color w:val="auto"/>
        </w:rPr>
      </w:pPr>
    </w:p>
    <w:p>
      <w:pPr>
        <w:ind w:left="1520" w:hanging="864"/>
        <w:spacing w:after="0"/>
        <w:tabs>
          <w:tab w:leader="none" w:pos="15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46" w:lineRule="exact"/>
        <w:rPr>
          <w:rFonts w:ascii="Arial" w:cs="Arial" w:eastAsia="Arial" w:hAnsi="Arial"/>
          <w:sz w:val="22"/>
          <w:szCs w:val="22"/>
          <w:color w:val="auto"/>
        </w:rPr>
      </w:pPr>
    </w:p>
    <w:p>
      <w:pPr>
        <w:ind w:firstLine="656"/>
        <w:spacing w:after="0" w:line="379" w:lineRule="auto"/>
        <w:tabs>
          <w:tab w:leader="none" w:pos="164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79" w:lineRule="exact"/>
        <w:rPr>
          <w:rFonts w:ascii="Arial" w:cs="Arial" w:eastAsia="Arial" w:hAnsi="Arial"/>
          <w:sz w:val="19"/>
          <w:szCs w:val="19"/>
          <w:color w:val="auto"/>
        </w:rPr>
      </w:pPr>
    </w:p>
    <w:p>
      <w:pPr>
        <w:jc w:val="both"/>
        <w:ind w:firstLine="656"/>
        <w:spacing w:after="0" w:line="305" w:lineRule="auto"/>
        <w:tabs>
          <w:tab w:leader="none" w:pos="180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I-17</w:t>
      </w:r>
    </w:p>
    <w:p>
      <w:pPr>
        <w:sectPr>
          <w:pgSz w:w="11900" w:h="16838" w:orient="portrait"/>
          <w:cols w:equalWidth="0" w:num="1">
            <w:col w:w="11420"/>
          </w:cols>
          <w:pgMar w:left="240" w:top="342" w:right="239" w:bottom="1440" w:gutter="0" w:footer="0" w:header="0"/>
        </w:sectPr>
      </w:pPr>
    </w:p>
    <w:bookmarkStart w:id="217" w:name="page218"/>
    <w:bookmarkEnd w:id="217"/>
    <w:p>
      <w:pPr>
        <w:spacing w:after="0"/>
        <w:rPr>
          <w:sz w:val="20"/>
          <w:szCs w:val="20"/>
          <w:color w:val="auto"/>
        </w:rPr>
      </w:pPr>
      <w:r>
        <w:rPr>
          <w:rFonts w:ascii="Arial" w:cs="Arial" w:eastAsia="Arial" w:hAnsi="Arial"/>
          <w:sz w:val="19"/>
          <w:szCs w:val="19"/>
          <w:color w:val="auto"/>
        </w:rPr>
        <w:t>hereunder for which CFIUS Approval is required, and (ii) the consummation of the transactions contemplated by Section 2.02(c)(i).</w:t>
      </w:r>
    </w:p>
    <w:p>
      <w:pPr>
        <w:spacing w:after="0" w:line="262" w:lineRule="exact"/>
        <w:rPr>
          <w:sz w:val="20"/>
          <w:szCs w:val="20"/>
          <w:color w:val="auto"/>
        </w:rPr>
      </w:pPr>
    </w:p>
    <w:p>
      <w:pPr>
        <w:jc w:val="both"/>
        <w:ind w:firstLine="656"/>
        <w:spacing w:after="0" w:line="275" w:lineRule="auto"/>
        <w:tabs>
          <w:tab w:leader="none" w:pos="163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Condition</w:t>
      </w:r>
      <w:r>
        <w:rPr>
          <w:rFonts w:ascii="Arial" w:cs="Arial" w:eastAsia="Arial" w:hAnsi="Arial"/>
          <w:sz w:val="22"/>
          <w:szCs w:val="22"/>
          <w:color w:val="auto"/>
        </w:rPr>
        <w:t>” shall mean: (i) SoftBank CFIUS Approval has been received and (ii) unless waived by SoftBank, CFIUS shall not have required or imposed any Burdensome Conditions (as defined in the SoftBank Purchase Agreement).</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5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SoftBank UK prior to the execution of the SoftBank Purchase Agreement (and subsequently acknowledged and agreed to by SoftBank)).</w:t>
      </w:r>
    </w:p>
    <w:p>
      <w:pPr>
        <w:spacing w:after="0" w:line="178" w:lineRule="exact"/>
        <w:rPr>
          <w:rFonts w:ascii="Arial" w:cs="Arial" w:eastAsia="Arial" w:hAnsi="Arial"/>
          <w:sz w:val="22"/>
          <w:szCs w:val="22"/>
          <w:color w:val="auto"/>
        </w:rPr>
      </w:pPr>
    </w:p>
    <w:p>
      <w:pPr>
        <w:jc w:val="both"/>
        <w:ind w:firstLine="656"/>
        <w:spacing w:after="0" w:line="262" w:lineRule="auto"/>
        <w:tabs>
          <w:tab w:leader="none" w:pos="151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w:t>
      </w:r>
      <w:r>
        <w:rPr>
          <w:rFonts w:ascii="Arial" w:cs="Arial" w:eastAsia="Arial" w:hAnsi="Arial"/>
          <w:sz w:val="22"/>
          <w:szCs w:val="22"/>
          <w:color w:val="auto"/>
        </w:rPr>
        <w:t xml:space="preserve"> F</w:t>
      </w:r>
      <w:r>
        <w:rPr>
          <w:rFonts w:ascii="Arial" w:cs="Arial" w:eastAsia="Arial" w:hAnsi="Arial"/>
          <w:sz w:val="22"/>
          <w:szCs w:val="22"/>
          <w:b w:val="1"/>
          <w:bCs w:val="1"/>
          <w:color w:val="auto"/>
        </w:rPr>
        <w:t>loor Amount</w:t>
      </w:r>
      <w:r>
        <w:rPr>
          <w:rFonts w:ascii="Arial" w:cs="Arial" w:eastAsia="Arial" w:hAnsi="Arial"/>
          <w:sz w:val="22"/>
          <w:szCs w:val="22"/>
          <w:color w:val="auto"/>
        </w:rPr>
        <w:t>” shall mean the lesser of (i) five percent (5%) of the total outstanding Shares in the Company as of the relevant date, and (ii) eighty percent (80%) of the total outstanding Shares in the Company held by SoftBank as at May 8, 2019 (as deemed adjusted for the Share Split), in each case of (i) and (ii) calculated as if each Share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w:t>
      </w:r>
    </w:p>
    <w:p>
      <w:pPr>
        <w:spacing w:after="0" w:line="187" w:lineRule="exact"/>
        <w:rPr>
          <w:sz w:val="20"/>
          <w:szCs w:val="20"/>
          <w:color w:val="auto"/>
        </w:rPr>
      </w:pPr>
    </w:p>
    <w:p>
      <w:pPr>
        <w:ind w:left="1560" w:hanging="904"/>
        <w:spacing w:after="0"/>
        <w:tabs>
          <w:tab w:leader="none" w:pos="156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Group Corp.</w:t>
      </w:r>
      <w:r>
        <w:rPr>
          <w:rFonts w:ascii="Arial" w:cs="Arial" w:eastAsia="Arial" w:hAnsi="Arial"/>
          <w:sz w:val="19"/>
          <w:szCs w:val="19"/>
          <w:color w:val="auto"/>
        </w:rPr>
        <w:t>” shall mean SoftBank Group Corp., a corporation incorporated under the laws of Japan.</w:t>
      </w:r>
    </w:p>
    <w:p>
      <w:pPr>
        <w:spacing w:after="0" w:line="281" w:lineRule="exact"/>
        <w:rPr>
          <w:rFonts w:ascii="Arial" w:cs="Arial" w:eastAsia="Arial" w:hAnsi="Arial"/>
          <w:sz w:val="19"/>
          <w:szCs w:val="19"/>
          <w:color w:val="auto"/>
        </w:rPr>
      </w:pPr>
    </w:p>
    <w:p>
      <w:pPr>
        <w:jc w:val="both"/>
        <w:ind w:firstLine="656"/>
        <w:spacing w:after="0" w:line="262" w:lineRule="auto"/>
        <w:tabs>
          <w:tab w:leader="none" w:pos="167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Party</w:t>
      </w:r>
      <w:r>
        <w:rPr>
          <w:rFonts w:ascii="Arial" w:cs="Arial" w:eastAsia="Arial" w:hAnsi="Arial"/>
          <w:sz w:val="22"/>
          <w:szCs w:val="22"/>
          <w:color w:val="auto"/>
        </w:rPr>
        <w:t>” shall mean (i) any investment fund, investment vehicle or other account that is, directly or indirectly, managed or advised by SB Investment Holdings (UK) Limited or any of its Affiliates, and shall include SoftBank Vision Fund (AIV M2) L.P., a Delaware limited partnership, and SoftBank Vision Fund (AIV S1) L.P., a Delaware limited partnership (each, a “</w:t>
      </w:r>
      <w:r>
        <w:rPr>
          <w:rFonts w:ascii="Arial" w:cs="Arial" w:eastAsia="Arial" w:hAnsi="Arial"/>
          <w:sz w:val="22"/>
          <w:szCs w:val="22"/>
          <w:b w:val="1"/>
          <w:bCs w:val="1"/>
          <w:color w:val="auto"/>
        </w:rPr>
        <w:t>SoftBank Fund</w:t>
      </w:r>
      <w:r>
        <w:rPr>
          <w:rFonts w:ascii="Arial" w:cs="Arial" w:eastAsia="Arial" w:hAnsi="Arial"/>
          <w:sz w:val="22"/>
          <w:szCs w:val="22"/>
          <w:color w:val="auto"/>
        </w:rPr>
        <w:t>”), (ii) each Affiliate of each SoftBank Fund, (iii) SoftBank Group Corp. and each Affiliate of SoftBank or SoftBank Group Corp., (iv) each portfolio company of any SoftBank Fund, SoftBank, SoftBank Group Corp. or any of their Affiliates and (v) any Person in which any SoftBank Fund, SoftBank, SoftBank Group Corp. or any of their Affiliates holds a non-controlling and minority position.</w:t>
      </w:r>
    </w:p>
    <w:p>
      <w:pPr>
        <w:spacing w:after="0" w:line="187" w:lineRule="exact"/>
        <w:rPr>
          <w:rFonts w:ascii="Arial" w:cs="Arial" w:eastAsia="Arial" w:hAnsi="Arial"/>
          <w:sz w:val="22"/>
          <w:szCs w:val="22"/>
          <w:color w:val="auto"/>
        </w:rPr>
      </w:pPr>
    </w:p>
    <w:p>
      <w:pPr>
        <w:ind w:firstLine="656"/>
        <w:spacing w:after="0" w:line="295" w:lineRule="auto"/>
        <w:tabs>
          <w:tab w:leader="none" w:pos="161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Purchase Agreement</w:t>
      </w:r>
      <w:r>
        <w:rPr>
          <w:rFonts w:ascii="Arial" w:cs="Arial" w:eastAsia="Arial" w:hAnsi="Arial"/>
          <w:sz w:val="22"/>
          <w:szCs w:val="22"/>
          <w:color w:val="auto"/>
        </w:rPr>
        <w:t>” shall mean that certain Purchase Agreement, dated as of May 31, 2018, by and among the Company, GM and SoftBank.</w:t>
      </w:r>
    </w:p>
    <w:p>
      <w:pPr>
        <w:spacing w:after="0" w:line="147" w:lineRule="exact"/>
        <w:rPr>
          <w:rFonts w:ascii="Arial" w:cs="Arial" w:eastAsia="Arial" w:hAnsi="Arial"/>
          <w:sz w:val="22"/>
          <w:szCs w:val="22"/>
          <w:color w:val="auto"/>
        </w:rPr>
      </w:pPr>
    </w:p>
    <w:p>
      <w:pPr>
        <w:jc w:val="both"/>
        <w:ind w:firstLine="656"/>
        <w:spacing w:after="0" w:line="338" w:lineRule="auto"/>
        <w:tabs>
          <w:tab w:leader="none" w:pos="1647"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I-18</w:t>
      </w:r>
    </w:p>
    <w:p>
      <w:pPr>
        <w:sectPr>
          <w:pgSz w:w="11900" w:h="16838" w:orient="portrait"/>
          <w:cols w:equalWidth="0" w:num="1">
            <w:col w:w="11420"/>
          </w:cols>
          <w:pgMar w:left="240" w:top="348" w:right="239" w:bottom="1440" w:gutter="0" w:footer="0" w:header="0"/>
        </w:sectPr>
      </w:pPr>
    </w:p>
    <w:bookmarkStart w:id="218" w:name="page219"/>
    <w:bookmarkEnd w:id="218"/>
    <w:p>
      <w:pPr>
        <w:jc w:val="both"/>
        <w:spacing w:after="0" w:line="317" w:lineRule="auto"/>
        <w:rPr>
          <w:sz w:val="20"/>
          <w:szCs w:val="20"/>
          <w:color w:val="auto"/>
        </w:rPr>
      </w:pPr>
      <w:r>
        <w:rPr>
          <w:rFonts w:ascii="Arial" w:cs="Arial" w:eastAsia="Arial" w:hAnsi="Arial"/>
          <w:sz w:val="19"/>
          <w:szCs w:val="19"/>
          <w:color w:val="auto"/>
        </w:rPr>
        <w:t>not be deemed a SoftBank Restricted Person solely as a result of owning, directly or indirectly, less than five percent (5%) of the outstanding capital stock of a publicly traded company that is a competitor of the Company or the GM Investor (or its Affiliates). SoftBank Restricted Person shall include: (A) those Persons on the list provided to SoftBank prior to the execution of the SoftBank Purchase Agreement and (B) any Person that is developing or commercializing or selling autonomous vehicles for any use.</w:t>
      </w:r>
    </w:p>
    <w:p>
      <w:pPr>
        <w:spacing w:after="0" w:line="136" w:lineRule="exact"/>
        <w:rPr>
          <w:sz w:val="20"/>
          <w:szCs w:val="20"/>
          <w:color w:val="auto"/>
        </w:rPr>
      </w:pPr>
    </w:p>
    <w:p>
      <w:pPr>
        <w:ind w:left="1560" w:hanging="904"/>
        <w:spacing w:after="0"/>
        <w:tabs>
          <w:tab w:leader="none" w:pos="15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Trigger Date</w:t>
      </w:r>
      <w:r>
        <w:rPr>
          <w:rFonts w:ascii="Arial" w:cs="Arial" w:eastAsia="Arial" w:hAnsi="Arial"/>
          <w:sz w:val="22"/>
          <w:szCs w:val="22"/>
          <w:color w:val="auto"/>
        </w:rPr>
        <w:t>” shall mean June 28, 2025.</w:t>
      </w:r>
    </w:p>
    <w:p>
      <w:pPr>
        <w:spacing w:after="0" w:line="246" w:lineRule="exact"/>
        <w:rPr>
          <w:rFonts w:ascii="Arial" w:cs="Arial" w:eastAsia="Arial" w:hAnsi="Arial"/>
          <w:sz w:val="22"/>
          <w:szCs w:val="22"/>
          <w:color w:val="auto"/>
        </w:rPr>
      </w:pPr>
    </w:p>
    <w:p>
      <w:pPr>
        <w:jc w:val="both"/>
        <w:ind w:firstLine="656"/>
        <w:spacing w:after="0" w:line="304" w:lineRule="auto"/>
        <w:tabs>
          <w:tab w:leader="none" w:pos="153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jc w:val="both"/>
        <w:ind w:firstLine="656"/>
        <w:spacing w:after="0" w:line="281" w:lineRule="auto"/>
        <w:tabs>
          <w:tab w:leader="none" w:pos="163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166" w:lineRule="exact"/>
        <w:rPr>
          <w:rFonts w:ascii="Arial" w:cs="Arial" w:eastAsia="Arial" w:hAnsi="Arial"/>
          <w:sz w:val="21"/>
          <w:szCs w:val="21"/>
          <w:color w:val="auto"/>
        </w:rPr>
      </w:pPr>
    </w:p>
    <w:p>
      <w:pPr>
        <w:ind w:right="20" w:firstLine="656"/>
        <w:spacing w:after="0" w:line="320" w:lineRule="auto"/>
        <w:tabs>
          <w:tab w:leader="none" w:pos="176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shall mean this Agreement, the SoftBank Purchase Agreement, the IPMA, the EDSA, the AGSA, the Indemnity Agreement and the Share Grant Agreements entered into in connection herewith.</w:t>
      </w:r>
    </w:p>
    <w:p>
      <w:pPr>
        <w:spacing w:after="0" w:line="126" w:lineRule="exact"/>
        <w:rPr>
          <w:sz w:val="20"/>
          <w:szCs w:val="20"/>
          <w:color w:val="auto"/>
        </w:rPr>
      </w:pPr>
    </w:p>
    <w:p>
      <w:pPr>
        <w:jc w:val="both"/>
        <w:ind w:firstLine="656"/>
        <w:spacing w:after="0" w:line="269" w:lineRule="auto"/>
        <w:tabs>
          <w:tab w:leader="none" w:pos="156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I-19</w:t>
      </w:r>
    </w:p>
    <w:p>
      <w:pPr>
        <w:sectPr>
          <w:pgSz w:w="11900" w:h="16838" w:orient="portrait"/>
          <w:cols w:equalWidth="0" w:num="1">
            <w:col w:w="11420"/>
          </w:cols>
          <w:pgMar w:left="240" w:top="348" w:right="239" w:bottom="1440" w:gutter="0" w:footer="0" w:header="0"/>
        </w:sectPr>
      </w:pPr>
    </w:p>
    <w:bookmarkStart w:id="219" w:name="page220"/>
    <w:bookmarkEnd w:id="219"/>
    <w:p>
      <w:pPr>
        <w:ind w:left="1360" w:hanging="704"/>
        <w:spacing w:after="0"/>
        <w:tabs>
          <w:tab w:leader="none" w:pos="13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shall mean the income tax regulations promulgated under the Code and effective as of the</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hereof.</w:t>
      </w:r>
    </w:p>
    <w:p>
      <w:pPr>
        <w:spacing w:after="0" w:line="227" w:lineRule="exact"/>
        <w:rPr>
          <w:rFonts w:ascii="Arial" w:cs="Arial" w:eastAsia="Arial" w:hAnsi="Arial"/>
          <w:sz w:val="19"/>
          <w:szCs w:val="19"/>
          <w:color w:val="auto"/>
        </w:rPr>
      </w:pPr>
    </w:p>
    <w:p>
      <w:pPr>
        <w:ind w:right="20" w:firstLine="656"/>
        <w:spacing w:after="0" w:line="379" w:lineRule="auto"/>
        <w:tabs>
          <w:tab w:leader="none" w:pos="163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Unvested Class B Common Share</w:t>
      </w:r>
      <w:r>
        <w:rPr>
          <w:rFonts w:ascii="Arial" w:cs="Arial" w:eastAsia="Arial" w:hAnsi="Arial"/>
          <w:sz w:val="19"/>
          <w:szCs w:val="19"/>
          <w:color w:val="auto"/>
        </w:rPr>
        <w:t>” shall mean any such Class B Common Share that, under the provisions of the Share Grant Agreement applicable to such Class B Common Share, is not a Vested Class B Common Share.</w:t>
      </w:r>
    </w:p>
    <w:p>
      <w:pPr>
        <w:spacing w:after="0" w:line="79" w:lineRule="exact"/>
        <w:rPr>
          <w:rFonts w:ascii="Arial" w:cs="Arial" w:eastAsia="Arial" w:hAnsi="Arial"/>
          <w:sz w:val="19"/>
          <w:szCs w:val="19"/>
          <w:color w:val="auto"/>
        </w:rPr>
      </w:pPr>
    </w:p>
    <w:p>
      <w:pPr>
        <w:ind w:right="20" w:firstLine="656"/>
        <w:spacing w:after="0" w:line="379" w:lineRule="auto"/>
        <w:tabs>
          <w:tab w:leader="none" w:pos="134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Class B Common Share</w:t>
      </w:r>
      <w:r>
        <w:rPr>
          <w:rFonts w:ascii="Arial" w:cs="Arial" w:eastAsia="Arial" w:hAnsi="Arial"/>
          <w:sz w:val="19"/>
          <w:szCs w:val="19"/>
          <w:color w:val="auto"/>
        </w:rPr>
        <w:t>” shall mean, as of any time of determination, any Class B Common Share that is vested pursuant to the terms of the Share Grant Agreement applicable to such Class B Common Share and this Agreement.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A-1-B Antitrust Approvals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A-2 Preferred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Acceptance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Accounting Firm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4.03(f)</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Acquired Person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11.02(b)(v)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Additional Member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Admission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Advance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Aggregate 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Amended Tag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Applicable FMV Parties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Assignee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Binding Transaction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Observers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of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Cash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CD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Certificated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2.08</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Chairman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A-1/D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A-2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B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App. I-20</w:t>
      </w:r>
    </w:p>
    <w:p>
      <w:pPr>
        <w:sectPr>
          <w:pgSz w:w="11900" w:h="16838" w:orient="portrait"/>
          <w:cols w:equalWidth="0" w:num="1">
            <w:col w:w="11440"/>
          </w:cols>
          <w:pgMar w:left="240" w:top="342" w:right="219" w:bottom="1440" w:gutter="0" w:footer="0" w:header="0"/>
        </w:sectPr>
      </w:pPr>
    </w:p>
    <w:bookmarkStart w:id="220" w:name="page221"/>
    <w:bookmarkEnd w:id="220"/>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C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D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Commercial Deployment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Common Director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 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Company’s Notice of Intention to Sell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Cure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Deconsolidation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Deemed Liquidation Event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3.02(b)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 Percentage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Sale Transaction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Dragees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Emergency Meeting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6.11</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Entity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Equity Awards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NOL Tax Increase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Excluded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Class F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Employee Member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Honda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SoftBank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FAW-GM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First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Fourth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Acquirer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Group</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Return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Cruise Holdings 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Holder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bl>
    <w:p>
      <w:pPr>
        <w:spacing w:after="0" w:line="200" w:lineRule="exact"/>
        <w:rPr>
          <w:sz w:val="20"/>
          <w:szCs w:val="20"/>
          <w:color w:val="auto"/>
        </w:rPr>
      </w:pPr>
    </w:p>
    <w:p>
      <w:pPr>
        <w:sectPr>
          <w:pgSz w:w="11900" w:h="16838" w:orient="portrait"/>
          <w:cols w:equalWidth="0" w:num="1">
            <w:col w:w="11440"/>
          </w:cols>
          <w:pgMar w:left="240" w:top="471" w:right="21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I-21</w:t>
      </w:r>
    </w:p>
    <w:p>
      <w:pPr>
        <w:sectPr>
          <w:pgSz w:w="11900" w:h="16838" w:orient="portrait"/>
          <w:cols w:equalWidth="0" w:num="1">
            <w:col w:w="11440"/>
          </w:cols>
          <w:pgMar w:left="240" w:top="471" w:right="219" w:bottom="1440" w:gutter="0" w:footer="0" w:header="0"/>
          <w:type w:val="continuous"/>
        </w:sectPr>
      </w:pPr>
    </w:p>
    <w:bookmarkStart w:id="221" w:name="page222"/>
    <w:bookmarkEnd w:id="221"/>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Board Observer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R&amp;D Co</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Hypothetical Deconsolidated Company NOL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Incremental GM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Upsized FMV</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Shortfall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Joinder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LLC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Low-Vote 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 Group Persons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Members Schedule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NOL Deficit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Non-Compete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Officers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Closing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Business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Participation Members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PATAC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Payment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Permitted Transferee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Proceeding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7.02(a)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R&amp;D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Offered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RSUs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Second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Benefit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Detriment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4.03(d)</w:t>
            </w:r>
          </w:p>
        </w:tc>
      </w:tr>
    </w:tbl>
    <w:p>
      <w:pPr>
        <w:spacing w:after="0" w:line="200" w:lineRule="exact"/>
        <w:rPr>
          <w:sz w:val="20"/>
          <w:szCs w:val="20"/>
          <w:color w:val="auto"/>
        </w:rPr>
      </w:pPr>
    </w:p>
    <w:p>
      <w:pPr>
        <w:sectPr>
          <w:pgSz w:w="11900" w:h="16838" w:orient="portrait"/>
          <w:cols w:equalWidth="0" w:num="1">
            <w:col w:w="11440"/>
          </w:cols>
          <w:pgMar w:left="240" w:top="471" w:right="21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I-22</w:t>
      </w:r>
    </w:p>
    <w:p>
      <w:pPr>
        <w:sectPr>
          <w:pgSz w:w="11900" w:h="16838" w:orient="portrait"/>
          <w:cols w:equalWidth="0" w:num="1">
            <w:col w:w="11440"/>
          </w:cols>
          <w:pgMar w:left="240" w:top="471" w:right="219" w:bottom="1440" w:gutter="0" w:footer="0" w:header="0"/>
          <w:type w:val="continuous"/>
        </w:sectPr>
      </w:pPr>
    </w:p>
    <w:bookmarkStart w:id="222" w:name="page223"/>
    <w:bookmarkEnd w:id="222"/>
    <w:tbl>
      <w:tblPr>
        <w:tblLayout w:type="fixed"/>
        <w:tblInd w:w="10" w:type="dxa"/>
        <w:tblCellMar>
          <w:top w:w="0" w:type="dxa"/>
          <w:left w:w="0" w:type="dxa"/>
          <w:bottom w:w="0" w:type="dxa"/>
          <w:right w:w="0" w:type="dxa"/>
        </w:tblCellMar>
      </w:tblPr>
      <w:tr>
        <w:trPr>
          <w:trHeight w:val="304"/>
        </w:trPr>
        <w:tc>
          <w:tcPr>
            <w:tcW w:w="4420" w:type="dxa"/>
            <w:vAlign w:val="bottom"/>
            <w:tcBorders>
              <w:top w:val="single" w:sz="8" w:color="00000A"/>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940" w:type="dxa"/>
            <w:vAlign w:val="bottom"/>
            <w:tcBorders>
              <w:top w:val="single" w:sz="8" w:color="00000A"/>
              <w:bottom w:val="single" w:sz="8" w:color="00000A"/>
              <w:right w:val="single" w:sz="8" w:color="00000A"/>
            </w:tcBorders>
          </w:tcPr>
          <w:p>
            <w:pPr>
              <w:spacing w:after="0"/>
              <w:rPr>
                <w:sz w:val="24"/>
                <w:szCs w:val="24"/>
                <w:color w:val="auto"/>
              </w:rPr>
            </w:pP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Senior Securities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2.02(d)(iv)</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SGM</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Share and/or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Share Awards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Board Observer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Call Notice</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Director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Fund</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Standardized FMV</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State Acts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Stock Election</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Substituted Member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Supplemental Notice of Intention to Sell</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 Notice</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Target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Materials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4.03(m)</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Period</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4.03(n)(xiv)</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Third A&amp;R Agreement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Optional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Transferor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Transferring Holder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739"/>
        </w:trPr>
        <w:tc>
          <w:tcPr>
            <w:tcW w:w="4420" w:type="dxa"/>
            <w:vAlign w:val="bottom"/>
          </w:tcPr>
          <w:p>
            <w:pPr>
              <w:spacing w:after="0"/>
              <w:rPr>
                <w:sz w:val="24"/>
                <w:szCs w:val="24"/>
                <w:color w:val="auto"/>
              </w:rPr>
            </w:pPr>
          </w:p>
        </w:tc>
        <w:tc>
          <w:tcPr>
            <w:tcW w:w="7020" w:type="dxa"/>
            <w:vAlign w:val="bottom"/>
            <w:gridSpan w:val="2"/>
          </w:tcPr>
          <w:p>
            <w:pPr>
              <w:ind w:left="880"/>
              <w:spacing w:after="0"/>
              <w:rPr>
                <w:sz w:val="20"/>
                <w:szCs w:val="20"/>
                <w:color w:val="auto"/>
              </w:rPr>
            </w:pPr>
            <w:r>
              <w:rPr>
                <w:rFonts w:ascii="Arial" w:cs="Arial" w:eastAsia="Arial" w:hAnsi="Arial"/>
                <w:sz w:val="22"/>
                <w:szCs w:val="22"/>
                <w:color w:val="auto"/>
              </w:rPr>
              <w:t>App. I-23</w:t>
            </w:r>
          </w:p>
        </w:tc>
      </w:tr>
    </w:tbl>
    <w:p>
      <w:pPr>
        <w:sectPr>
          <w:pgSz w:w="11900" w:h="16838" w:orient="portrait"/>
          <w:cols w:equalWidth="0" w:num="1">
            <w:col w:w="11440"/>
          </w:cols>
          <w:pgMar w:left="240" w:top="471" w:right="21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33"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JOINDER TO THE FIFTH AMENDED AND RESTATED LIMITED LIABILITY COMPANY AGREEMENT OF GM CRUISE HOLDINGS LLC</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JOINDER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Fifth Amended and Restated Limited Liability Company Agreement, dated as of December 18, 2019, by and among GM Cruise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certain Members of the Company (the “</w:t>
      </w:r>
      <w:r>
        <w:rPr>
          <w:rFonts w:ascii="Arial" w:cs="Arial" w:eastAsia="Arial" w:hAnsi="Arial"/>
          <w:sz w:val="22"/>
          <w:szCs w:val="22"/>
          <w:b w:val="1"/>
          <w:bCs w:val="1"/>
          <w:color w:val="auto"/>
        </w:rPr>
        <w:t>Limited Liability Company Agreement</w:t>
      </w:r>
      <w:r>
        <w:rPr>
          <w:rFonts w:ascii="Arial" w:cs="Arial" w:eastAsia="Arial" w:hAnsi="Arial"/>
          <w:sz w:val="22"/>
          <w:szCs w:val="22"/>
          <w:color w:val="auto"/>
        </w:rPr>
        <w:t>”), is made and entered into as of [●], by and between the Company and [●]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otherwise defined herein shall have the meanings set forth in the Limited Liability Company Agreement.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 Shares</w:t>
      </w:r>
      <w:r>
        <w:rPr>
          <w:rFonts w:ascii="Arial" w:cs="Arial" w:eastAsia="Arial" w:hAnsi="Arial"/>
          <w:sz w:val="22"/>
          <w:szCs w:val="22"/>
          <w:color w:val="auto"/>
        </w:rPr>
        <w:t>”) and Holder is required, as a holder of the Holder Shares, to become a party to the Limited Liability Company Agreement, and Holder agrees to do so in accordance with the terms hereof.</w:t>
      </w:r>
    </w:p>
    <w:p>
      <w:pPr>
        <w:spacing w:after="0" w:line="18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91" w:lineRule="exact"/>
        <w:rPr>
          <w:sz w:val="20"/>
          <w:szCs w:val="20"/>
          <w:color w:val="auto"/>
        </w:rPr>
      </w:pPr>
    </w:p>
    <w:p>
      <w:pPr>
        <w:jc w:val="both"/>
        <w:ind w:firstLine="656"/>
        <w:spacing w:after="0" w:line="228" w:lineRule="auto"/>
        <w:tabs>
          <w:tab w:leader="none" w:pos="1459"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Holder hereby agrees that upon execution of this Joinder, it shall become a party to the Limited Liability Company Agreement as a [</w:t>
      </w:r>
      <w:r>
        <w:rPr>
          <w:rFonts w:ascii="Arial" w:cs="Arial" w:eastAsia="Arial" w:hAnsi="Arial"/>
          <w:sz w:val="22"/>
          <w:szCs w:val="22"/>
          <w:i w:val="1"/>
          <w:iCs w:val="1"/>
          <w:color w:val="auto"/>
        </w:rPr>
        <w:t>class</w:t>
      </w:r>
      <w:r>
        <w:rPr>
          <w:rFonts w:ascii="Arial" w:cs="Arial" w:eastAsia="Arial" w:hAnsi="Arial"/>
          <w:sz w:val="22"/>
          <w:szCs w:val="22"/>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22"/>
          <w:szCs w:val="22"/>
          <w:i w:val="1"/>
          <w:iCs w:val="1"/>
          <w:color w:val="auto"/>
        </w:rPr>
        <w:t>class</w:t>
      </w:r>
      <w:r>
        <w:rPr>
          <w:rFonts w:ascii="Arial" w:cs="Arial" w:eastAsia="Arial" w:hAnsi="Arial"/>
          <w:sz w:val="22"/>
          <w:szCs w:val="22"/>
          <w:color w:val="auto"/>
        </w:rPr>
        <w:t>] and a Member for all purposes thereof.</w:t>
      </w:r>
    </w:p>
    <w:p>
      <w:pPr>
        <w:spacing w:after="0" w:line="186" w:lineRule="exact"/>
        <w:rPr>
          <w:rFonts w:ascii="Arial" w:cs="Arial" w:eastAsia="Arial" w:hAnsi="Arial"/>
          <w:sz w:val="22"/>
          <w:szCs w:val="22"/>
          <w:color w:val="auto"/>
        </w:rPr>
      </w:pPr>
    </w:p>
    <w:p>
      <w:pPr>
        <w:jc w:val="both"/>
        <w:ind w:right="20" w:firstLine="656"/>
        <w:spacing w:after="0" w:line="272" w:lineRule="auto"/>
        <w:tabs>
          <w:tab w:leader="none" w:pos="1017"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79" w:lineRule="exact"/>
        <w:rPr>
          <w:rFonts w:ascii="Arial" w:cs="Arial" w:eastAsia="Arial" w:hAnsi="Arial"/>
          <w:sz w:val="22"/>
          <w:szCs w:val="22"/>
          <w:color w:val="auto"/>
        </w:rPr>
      </w:pPr>
    </w:p>
    <w:p>
      <w:pPr>
        <w:ind w:right="20" w:firstLine="656"/>
        <w:spacing w:after="0" w:line="314" w:lineRule="auto"/>
        <w:tabs>
          <w:tab w:leader="none" w:pos="1017"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Joinder may be executed in any number of counterparts (including by facsimile or electronic copy), each of which shall be an original and all of which together shall constitute one and the same agreement.</w:t>
      </w:r>
    </w:p>
    <w:p>
      <w:pPr>
        <w:spacing w:after="0" w:line="137" w:lineRule="exact"/>
        <w:rPr>
          <w:rFonts w:ascii="Arial" w:cs="Arial" w:eastAsia="Arial" w:hAnsi="Arial"/>
          <w:sz w:val="21"/>
          <w:szCs w:val="21"/>
          <w:color w:val="auto"/>
        </w:rPr>
      </w:pPr>
    </w:p>
    <w:p>
      <w:pPr>
        <w:ind w:firstLine="656"/>
        <w:spacing w:after="0" w:line="314" w:lineRule="auto"/>
        <w:tabs>
          <w:tab w:leader="none" w:pos="1071"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137" w:lineRule="exact"/>
        <w:rPr>
          <w:rFonts w:ascii="Arial" w:cs="Arial" w:eastAsia="Arial" w:hAnsi="Arial"/>
          <w:sz w:val="21"/>
          <w:szCs w:val="21"/>
          <w:color w:val="auto"/>
        </w:rPr>
      </w:pPr>
    </w:p>
    <w:p>
      <w:pPr>
        <w:jc w:val="both"/>
        <w:ind w:firstLine="656"/>
        <w:spacing w:after="0" w:line="283" w:lineRule="auto"/>
        <w:tabs>
          <w:tab w:leader="none" w:pos="1058"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I-1</w:t>
      </w:r>
    </w:p>
    <w:p>
      <w:pPr>
        <w:sectPr>
          <w:pgSz w:w="11900" w:h="16838" w:orient="portrait"/>
          <w:cols w:equalWidth="0" w:num="1">
            <w:col w:w="11420"/>
          </w:cols>
          <w:pgMar w:left="240" w:top="342" w:right="239" w:bottom="1440" w:gutter="0" w:footer="0" w:header="0"/>
        </w:sectPr>
      </w:pPr>
    </w:p>
    <w:bookmarkStart w:id="224" w:name="page225"/>
    <w:bookmarkEnd w:id="224"/>
    <w:p>
      <w:pPr>
        <w:spacing w:after="0" w:line="276" w:lineRule="auto"/>
        <w:rPr>
          <w:sz w:val="20"/>
          <w:szCs w:val="20"/>
          <w:color w:val="auto"/>
        </w:rPr>
      </w:pPr>
      <w:r>
        <w:rPr>
          <w:rFonts w:ascii="Arial" w:cs="Arial" w:eastAsia="Arial" w:hAnsi="Arial"/>
          <w:sz w:val="22"/>
          <w:szCs w:val="22"/>
          <w:color w:val="auto"/>
        </w:rPr>
        <w:t>other than the State of Delaware. Any dispute relating hereto shall be heard in the state or federal courts of Delaware, and the parties agree to jurisdiction and venue therein.</w:t>
      </w:r>
    </w:p>
    <w:p>
      <w:pPr>
        <w:spacing w:after="0" w:line="174" w:lineRule="exact"/>
        <w:rPr>
          <w:sz w:val="20"/>
          <w:szCs w:val="20"/>
          <w:color w:val="auto"/>
        </w:rPr>
      </w:pPr>
    </w:p>
    <w:p>
      <w:pPr>
        <w:ind w:right="20" w:firstLine="656"/>
        <w:spacing w:after="0" w:line="289" w:lineRule="auto"/>
        <w:tabs>
          <w:tab w:leader="none" w:pos="99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I-2</w:t>
      </w:r>
    </w:p>
    <w:p>
      <w:pPr>
        <w:sectPr>
          <w:pgSz w:w="11900" w:h="16838" w:orient="portrait"/>
          <w:cols w:equalWidth="0" w:num="1">
            <w:col w:w="11420"/>
          </w:cols>
          <w:pgMar w:left="240" w:top="348"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u w:val="single" w:color="auto"/>
          <w:color w:val="auto"/>
        </w:rPr>
        <w:t>EXHIBIT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 Notice/Optional SoftBank Conversion Notice Fair Market Value of the Company</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33" w:lineRule="exact"/>
        <w:rPr>
          <w:sz w:val="20"/>
          <w:szCs w:val="20"/>
          <w:color w:val="auto"/>
        </w:rPr>
      </w:pPr>
    </w:p>
    <w:p>
      <w:pPr>
        <w:ind w:firstLine="1305"/>
        <w:spacing w:after="0" w:line="276" w:lineRule="auto"/>
        <w:tabs>
          <w:tab w:leader="none" w:pos="187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One Qualified Appraiser shall be selected by the GM Investor and the other Qualified Appraiser shall be selected by the Majority of the Class A-1 Preferred (such Members, the “</w:t>
      </w:r>
      <w:r>
        <w:rPr>
          <w:rFonts w:ascii="Arial" w:cs="Arial" w:eastAsia="Arial" w:hAnsi="Arial"/>
          <w:sz w:val="22"/>
          <w:szCs w:val="22"/>
          <w:b w:val="1"/>
          <w:bCs w:val="1"/>
          <w:color w:val="auto"/>
        </w:rPr>
        <w:t>Applicable FMV Parties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5"/>
        <w:spacing w:after="0" w:line="267" w:lineRule="auto"/>
        <w:tabs>
          <w:tab w:leader="none" w:pos="191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84" w:lineRule="exact"/>
        <w:rPr>
          <w:rFonts w:ascii="Arial" w:cs="Arial" w:eastAsia="Arial" w:hAnsi="Arial"/>
          <w:sz w:val="22"/>
          <w:szCs w:val="22"/>
          <w:color w:val="auto"/>
        </w:rPr>
      </w:pPr>
    </w:p>
    <w:p>
      <w:pPr>
        <w:jc w:val="both"/>
        <w:ind w:firstLine="1305"/>
        <w:spacing w:after="0" w:line="315" w:lineRule="auto"/>
        <w:tabs>
          <w:tab w:leader="none" w:pos="182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46" w:lineRule="exact"/>
        <w:rPr>
          <w:rFonts w:ascii="Arial" w:cs="Arial" w:eastAsia="Arial" w:hAnsi="Arial"/>
          <w:sz w:val="19"/>
          <w:szCs w:val="19"/>
          <w:color w:val="auto"/>
        </w:rPr>
      </w:pPr>
    </w:p>
    <w:p>
      <w:pPr>
        <w:jc w:val="both"/>
        <w:ind w:firstLine="1305"/>
        <w:spacing w:after="0" w:line="274" w:lineRule="auto"/>
        <w:tabs>
          <w:tab w:leader="none" w:pos="1756" w:val="left"/>
        </w:tabs>
        <w:numPr>
          <w:ilvl w:val="0"/>
          <w:numId w:val="196"/>
        </w:numPr>
        <w:rPr>
          <w:rFonts w:ascii="Arial" w:cs="Arial" w:eastAsia="Arial" w:hAnsi="Arial"/>
          <w:sz w:val="21"/>
          <w:szCs w:val="21"/>
          <w:color w:val="auto"/>
        </w:rPr>
      </w:pPr>
      <w:r>
        <w:rPr>
          <w:rFonts w:ascii="Arial" w:cs="Arial" w:eastAsia="Arial" w:hAnsi="Arial"/>
          <w:sz w:val="21"/>
          <w:szCs w:val="21"/>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II-1</w:t>
      </w:r>
    </w:p>
    <w:p>
      <w:pPr>
        <w:sectPr>
          <w:pgSz w:w="11900" w:h="16838" w:orient="portrait"/>
          <w:cols w:equalWidth="0" w:num="1">
            <w:col w:w="11420"/>
          </w:cols>
          <w:pgMar w:left="240" w:top="342" w:right="239" w:bottom="1440" w:gutter="0" w:footer="0" w:header="0"/>
        </w:sectPr>
      </w:pPr>
    </w:p>
    <w:bookmarkStart w:id="226" w:name="page227"/>
    <w:bookmarkEnd w:id="226"/>
    <w:p>
      <w:pPr>
        <w:jc w:val="both"/>
        <w:spacing w:after="0" w:line="303" w:lineRule="auto"/>
        <w:rPr>
          <w:sz w:val="20"/>
          <w:szCs w:val="20"/>
          <w:color w:val="auto"/>
        </w:rPr>
      </w:pPr>
      <w:r>
        <w:rPr>
          <w:rFonts w:ascii="Arial" w:cs="Arial" w:eastAsia="Arial" w:hAnsi="Arial"/>
          <w:sz w:val="19"/>
          <w:szCs w:val="19"/>
          <w:color w:val="auto"/>
        </w:rPr>
        <w:t>to agree upon the Call Notice/Optional SoftBank Conversion Notice Fair Market Value, any such agreement to be made by each Applicable FMV Party and to be set forth in writing signed by each of the Applicable FMV 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59" w:lineRule="exact"/>
        <w:rPr>
          <w:sz w:val="20"/>
          <w:szCs w:val="20"/>
          <w:color w:val="auto"/>
        </w:rPr>
      </w:pPr>
    </w:p>
    <w:p>
      <w:pPr>
        <w:jc w:val="both"/>
        <w:ind w:firstLine="1305"/>
        <w:spacing w:after="0" w:line="272" w:lineRule="auto"/>
        <w:tabs>
          <w:tab w:leader="none" w:pos="173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79" w:lineRule="exact"/>
        <w:rPr>
          <w:rFonts w:ascii="Arial" w:cs="Arial" w:eastAsia="Arial" w:hAnsi="Arial"/>
          <w:sz w:val="22"/>
          <w:szCs w:val="22"/>
          <w:color w:val="auto"/>
        </w:rPr>
      </w:pPr>
    </w:p>
    <w:p>
      <w:pPr>
        <w:jc w:val="both"/>
        <w:ind w:firstLine="1305"/>
        <w:spacing w:after="0" w:line="291" w:lineRule="auto"/>
        <w:tabs>
          <w:tab w:leader="none" w:pos="1706" w:val="left"/>
        </w:tabs>
        <w:numPr>
          <w:ilvl w:val="0"/>
          <w:numId w:val="197"/>
        </w:numPr>
        <w:rPr>
          <w:rFonts w:ascii="Arial" w:cs="Arial" w:eastAsia="Arial" w:hAnsi="Arial"/>
          <w:sz w:val="21"/>
          <w:szCs w:val="21"/>
          <w:color w:val="auto"/>
        </w:rPr>
      </w:pPr>
      <w:r>
        <w:rPr>
          <w:rFonts w:ascii="Arial" w:cs="Arial" w:eastAsia="Arial" w:hAnsi="Arial"/>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88" w:lineRule="exact"/>
        <w:rPr>
          <w:sz w:val="20"/>
          <w:szCs w:val="20"/>
          <w:color w:val="auto"/>
        </w:rPr>
      </w:pPr>
    </w:p>
    <w:p>
      <w:pPr>
        <w:jc w:val="both"/>
        <w:ind w:firstLine="1305"/>
        <w:spacing w:after="0" w:line="260" w:lineRule="auto"/>
        <w:tabs>
          <w:tab w:leader="none" w:pos="181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2" w:lineRule="exact"/>
        <w:rPr>
          <w:rFonts w:ascii="Arial" w:cs="Arial" w:eastAsia="Arial" w:hAnsi="Arial"/>
          <w:sz w:val="22"/>
          <w:szCs w:val="22"/>
          <w:color w:val="auto"/>
        </w:rPr>
      </w:pPr>
    </w:p>
    <w:p>
      <w:pPr>
        <w:jc w:val="both"/>
        <w:ind w:firstLine="1305"/>
        <w:spacing w:after="0" w:line="334" w:lineRule="auto"/>
        <w:tabs>
          <w:tab w:leader="none" w:pos="172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II-2</w:t>
      </w:r>
    </w:p>
    <w:p>
      <w:pPr>
        <w:sectPr>
          <w:pgSz w:w="11900" w:h="16838" w:orient="portrait"/>
          <w:cols w:equalWidth="0" w:num="1">
            <w:col w:w="11420"/>
          </w:cols>
          <w:pgMar w:left="240" w:top="348" w:right="239" w:bottom="1440" w:gutter="0" w:footer="0" w:header="0"/>
        </w:sectPr>
      </w:pPr>
    </w:p>
    <w:bookmarkStart w:id="227" w:name="page228"/>
    <w:bookmarkEnd w:id="227"/>
    <w:p>
      <w:pPr>
        <w:spacing w:after="0" w:line="299" w:lineRule="auto"/>
        <w:rPr>
          <w:sz w:val="20"/>
          <w:szCs w:val="20"/>
          <w:color w:val="auto"/>
        </w:rPr>
      </w:pPr>
      <w:r>
        <w:rPr>
          <w:rFonts w:ascii="Arial" w:cs="Arial" w:eastAsia="Arial" w:hAnsi="Arial"/>
          <w:sz w:val="19"/>
          <w:szCs w:val="19"/>
          <w:color w:val="auto"/>
        </w:rPr>
        <w:t>Company and its Subsidiaries provided to the Qualified Appraisers cover a period of ten (10) years or less, and the Qualified Appraisers so request, be extended (in the case of the projected financial and operating results) for reasonable period exceeding ten</w:t>
      </w:r>
    </w:p>
    <w:p>
      <w:pPr>
        <w:jc w:val="both"/>
        <w:ind w:firstLine="8"/>
        <w:spacing w:after="0" w:line="310" w:lineRule="auto"/>
        <w:tabs>
          <w:tab w:leader="none" w:pos="42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years, and (iii) take into account, consistent with the Company’s ordinary course forecasting and subject to the restrictions in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(except as otherwise expressly stated in this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in connection with the IP Upsizing), the scope of the intellectual property portfolio of the Company and its 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51" w:lineRule="exact"/>
        <w:rPr>
          <w:rFonts w:ascii="Arial" w:cs="Arial" w:eastAsia="Arial" w:hAnsi="Arial"/>
          <w:sz w:val="19"/>
          <w:szCs w:val="19"/>
          <w:color w:val="auto"/>
        </w:rPr>
      </w:pPr>
    </w:p>
    <w:p>
      <w:pPr>
        <w:jc w:val="both"/>
        <w:ind w:firstLine="1305"/>
        <w:spacing w:after="0" w:line="291" w:lineRule="auto"/>
        <w:tabs>
          <w:tab w:leader="none" w:pos="1743" w:val="left"/>
        </w:tabs>
        <w:numPr>
          <w:ilvl w:val="1"/>
          <w:numId w:val="199"/>
        </w:numPr>
        <w:rPr>
          <w:rFonts w:ascii="Arial" w:cs="Arial" w:eastAsia="Arial" w:hAnsi="Arial"/>
          <w:sz w:val="21"/>
          <w:szCs w:val="21"/>
          <w:color w:val="auto"/>
        </w:rPr>
      </w:pPr>
      <w:r>
        <w:rPr>
          <w:rFonts w:ascii="Arial" w:cs="Arial" w:eastAsia="Arial" w:hAnsi="Arial"/>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61" w:lineRule="exact"/>
        <w:rPr>
          <w:rFonts w:ascii="Arial" w:cs="Arial" w:eastAsia="Arial" w:hAnsi="Arial"/>
          <w:sz w:val="21"/>
          <w:szCs w:val="21"/>
          <w:color w:val="auto"/>
        </w:rPr>
      </w:pPr>
    </w:p>
    <w:p>
      <w:pPr>
        <w:ind w:left="1740" w:hanging="435"/>
        <w:spacing w:after="0"/>
        <w:tabs>
          <w:tab w:leader="none" w:pos="1740" w:val="left"/>
        </w:tabs>
        <w:numPr>
          <w:ilvl w:val="1"/>
          <w:numId w:val="199"/>
        </w:numPr>
        <w:rPr>
          <w:rFonts w:ascii="Arial" w:cs="Arial" w:eastAsia="Arial" w:hAnsi="Arial"/>
          <w:sz w:val="21"/>
          <w:szCs w:val="21"/>
          <w:color w:val="auto"/>
        </w:rPr>
      </w:pPr>
      <w:r>
        <w:rPr>
          <w:rFonts w:ascii="Arial" w:cs="Arial" w:eastAsia="Arial" w:hAnsi="Arial"/>
          <w:sz w:val="21"/>
          <w:szCs w:val="21"/>
          <w:color w:val="auto"/>
        </w:rPr>
        <w:t>The Qualified Appraisers shall assume an arms-length sale between a willing buyer and a willing seller;</w:t>
      </w:r>
    </w:p>
    <w:p>
      <w:pPr>
        <w:spacing w:after="0" w:line="258" w:lineRule="exact"/>
        <w:rPr>
          <w:rFonts w:ascii="Arial" w:cs="Arial" w:eastAsia="Arial" w:hAnsi="Arial"/>
          <w:sz w:val="21"/>
          <w:szCs w:val="21"/>
          <w:color w:val="auto"/>
        </w:rPr>
      </w:pPr>
    </w:p>
    <w:p>
      <w:pPr>
        <w:jc w:val="both"/>
        <w:ind w:firstLine="1305"/>
        <w:spacing w:after="0" w:line="267" w:lineRule="auto"/>
        <w:tabs>
          <w:tab w:leader="none" w:pos="1892" w:val="left"/>
        </w:tabs>
        <w:numPr>
          <w:ilvl w:val="1"/>
          <w:numId w:val="199"/>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184" w:lineRule="exact"/>
        <w:rPr>
          <w:rFonts w:ascii="Arial" w:cs="Arial" w:eastAsia="Arial" w:hAnsi="Arial"/>
          <w:sz w:val="22"/>
          <w:szCs w:val="22"/>
          <w:color w:val="auto"/>
        </w:rPr>
      </w:pPr>
    </w:p>
    <w:p>
      <w:pPr>
        <w:ind w:firstLine="1305"/>
        <w:spacing w:after="0" w:line="289" w:lineRule="auto"/>
        <w:tabs>
          <w:tab w:leader="none" w:pos="1773" w:val="left"/>
        </w:tabs>
        <w:numPr>
          <w:ilvl w:val="1"/>
          <w:numId w:val="199"/>
        </w:numPr>
        <w:rPr>
          <w:rFonts w:ascii="Arial" w:cs="Arial" w:eastAsia="Arial" w:hAnsi="Arial"/>
          <w:sz w:val="22"/>
          <w:szCs w:val="22"/>
          <w:color w:val="auto"/>
        </w:rPr>
      </w:pPr>
      <w:r>
        <w:rPr>
          <w:rFonts w:ascii="Arial" w:cs="Arial" w:eastAsia="Arial" w:hAnsi="Arial"/>
          <w:sz w:val="22"/>
          <w:szCs w:val="22"/>
          <w:color w:val="auto"/>
        </w:rPr>
        <w:t>The Qualified Appraisers shall value the Company as at the date of delivery of the Call Notice or Optional SoftBank Conversion Notice (as applicable); and</w:t>
      </w:r>
    </w:p>
    <w:p>
      <w:pPr>
        <w:spacing w:after="0" w:line="160" w:lineRule="exact"/>
        <w:rPr>
          <w:rFonts w:ascii="Arial" w:cs="Arial" w:eastAsia="Arial" w:hAnsi="Arial"/>
          <w:sz w:val="22"/>
          <w:szCs w:val="22"/>
          <w:color w:val="auto"/>
        </w:rPr>
      </w:pPr>
    </w:p>
    <w:p>
      <w:pPr>
        <w:ind w:firstLine="1305"/>
        <w:spacing w:after="0" w:line="289" w:lineRule="auto"/>
        <w:tabs>
          <w:tab w:leader="none" w:pos="1837" w:val="left"/>
        </w:tabs>
        <w:numPr>
          <w:ilvl w:val="1"/>
          <w:numId w:val="199"/>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 depreciation and amortization as would be allowable to the Company in respect of the Company’s assets immediately prior to such deemed sale.</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The Qualified Appraisers shall contemporaneously calculate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valuations: (A) a valuation based on the Commercial Agreements as in force at the time (the “</w:t>
      </w:r>
      <w:r>
        <w:rPr>
          <w:rFonts w:ascii="Arial" w:cs="Arial" w:eastAsia="Arial" w:hAnsi="Arial"/>
          <w:sz w:val="22"/>
          <w:szCs w:val="22"/>
          <w:b w:val="1"/>
          <w:bCs w:val="1"/>
          <w:color w:val="auto"/>
        </w:rPr>
        <w:t>Standardized FMV</w:t>
      </w:r>
      <w:r>
        <w:rPr>
          <w:rFonts w:ascii="Arial" w:cs="Arial" w:eastAsia="Arial" w:hAnsi="Arial"/>
          <w:sz w:val="22"/>
          <w:szCs w:val="22"/>
          <w:color w:val="auto"/>
        </w:rPr>
        <w:t>”), and (B) a valuation (the “</w:t>
      </w:r>
      <w:r>
        <w:rPr>
          <w:rFonts w:ascii="Arial" w:cs="Arial" w:eastAsia="Arial" w:hAnsi="Arial"/>
          <w:sz w:val="22"/>
          <w:szCs w:val="22"/>
          <w:b w:val="1"/>
          <w:bCs w:val="1"/>
          <w:color w:val="auto"/>
        </w:rPr>
        <w:t>IP Upsized FMV</w:t>
      </w:r>
      <w:r>
        <w:rPr>
          <w:rFonts w:ascii="Arial" w:cs="Arial" w:eastAsia="Arial" w:hAnsi="Arial"/>
          <w:sz w:val="22"/>
          <w:szCs w:val="22"/>
          <w:color w:val="auto"/>
        </w:rPr>
        <w:t xml:space="preserve">”) as if the Transferred Assets (as defined in the IPMA) had been assigned, transferred, conveyed, and delivered to the Company (pursuant to Section 2.2 of the IPMA) immediately prior to the calculation of Call Notice/Optional SoftBank Conversion Notice Fair Market Value and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does not apply (the “</w:t>
      </w:r>
      <w:r>
        <w:rPr>
          <w:rFonts w:ascii="Arial" w:cs="Arial" w:eastAsia="Arial" w:hAnsi="Arial"/>
          <w:sz w:val="22"/>
          <w:szCs w:val="22"/>
          <w:b w:val="1"/>
          <w:bCs w:val="1"/>
          <w:color w:val="auto"/>
        </w:rPr>
        <w:t>IP Upsizing</w:t>
      </w:r>
      <w:r>
        <w:rPr>
          <w:rFonts w:ascii="Arial" w:cs="Arial" w:eastAsia="Arial" w:hAnsi="Arial"/>
          <w:sz w:val="22"/>
          <w:szCs w:val="22"/>
          <w:color w:val="auto"/>
        </w:rPr>
        <w:t>”). The Standardized FMV and the IP Upsized FMV shall be identical other than the value attributable to the IP Upsizing.</w:t>
      </w:r>
    </w:p>
    <w:p>
      <w:pPr>
        <w:spacing w:after="0" w:line="192"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application of the IP Upsized FMV, in no event will, with respect to each Class A-1-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II-3</w:t>
      </w:r>
    </w:p>
    <w:p>
      <w:pPr>
        <w:sectPr>
          <w:pgSz w:w="11900" w:h="16838" w:orient="portrait"/>
          <w:cols w:equalWidth="0" w:num="1">
            <w:col w:w="11420"/>
          </w:cols>
          <w:pgMar w:left="240" w:top="348" w:right="239" w:bottom="1440" w:gutter="0" w:footer="0" w:header="0"/>
        </w:sectPr>
      </w:pPr>
    </w:p>
    <w:bookmarkStart w:id="228" w:name="page229"/>
    <w:bookmarkEnd w:id="228"/>
    <w:p>
      <w:pPr>
        <w:spacing w:after="0" w:line="276" w:lineRule="auto"/>
        <w:rPr>
          <w:sz w:val="20"/>
          <w:szCs w:val="20"/>
          <w:color w:val="auto"/>
        </w:rPr>
      </w:pPr>
      <w:r>
        <w:rPr>
          <w:rFonts w:ascii="Arial" w:cs="Arial" w:eastAsia="Arial" w:hAnsi="Arial"/>
          <w:sz w:val="22"/>
          <w:szCs w:val="22"/>
          <w:color w:val="auto"/>
        </w:rPr>
        <w:t>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II-4</w:t>
      </w:r>
    </w:p>
    <w:p>
      <w:pPr>
        <w:sectPr>
          <w:pgSz w:w="11900" w:h="16838" w:orient="portrait"/>
          <w:cols w:equalWidth="0" w:num="1">
            <w:col w:w="11420"/>
          </w:cols>
          <w:pgMar w:left="240" w:top="348"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2019</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Adam Opel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Consumer Loan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Banco GMAC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Deutschland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Fundacion Chevrolet</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GCAR Titling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Advisory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Belgique Automobile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bl>
    <w:p>
      <w:pPr>
        <w:sectPr>
          <w:pgSz w:w="11900" w:h="16838" w:orient="portrait"/>
          <w:cols w:equalWidth="0" w:num="1">
            <w:col w:w="11380"/>
          </w:cols>
          <w:pgMar w:left="280" w:top="121" w:right="239" w:bottom="1440" w:gutter="0" w:footer="0" w:header="0"/>
        </w:sectPr>
      </w:pPr>
    </w:p>
    <w:bookmarkStart w:id="230" w:name="page231"/>
    <w:bookmarkEnd w:id="230"/>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2019</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IT Services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231" w:name="page232"/>
    <w:bookmarkEnd w:id="231"/>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2019</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GigaPower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Asia Pacific Regional Headquarters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Defense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Colombia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Colombia S.A. Compania de Financiamiento</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del Peru S.A.C</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Propulsion Systems -Torino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Treasury Centre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Holden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Mobility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Technical Center Korea,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Prestadora de Servicios de Mao de 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GMACI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2019</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LLP</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Connected Services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Egypt Limited,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Prestadora de Servicios GMF Colombia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20" w:type="dxa"/>
            <w:vAlign w:val="bottom"/>
            <w:gridSpan w:val="4"/>
          </w:tcPr>
          <w:p>
            <w:pPr>
              <w:jc w:val="center"/>
              <w:ind w:right="2400"/>
              <w:spacing w:after="0"/>
              <w:rPr>
                <w:sz w:val="20"/>
                <w:szCs w:val="20"/>
                <w:color w:val="auto"/>
              </w:rPr>
            </w:pPr>
            <w:r>
              <w:rPr>
                <w:rFonts w:ascii="Arial" w:cs="Arial" w:eastAsia="Arial" w:hAnsi="Arial"/>
                <w:sz w:val="18"/>
                <w:szCs w:val="18"/>
                <w:b w:val="1"/>
                <w:bCs w:val="1"/>
                <w:color w:val="auto"/>
              </w:rPr>
              <w:t>GENERAL MOTORS COMPANY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2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82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5"/>
              </w:rPr>
              <w:t>AS OF DECEMBER 31, 2019</w:t>
            </w: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960" w:type="dxa"/>
            <w:vAlign w:val="bottom"/>
            <w:vMerge w:val="restart"/>
          </w:tcPr>
          <w:p>
            <w:pPr>
              <w:spacing w:after="0"/>
              <w:rPr>
                <w:sz w:val="24"/>
                <w:szCs w:val="24"/>
                <w:color w:val="auto"/>
              </w:rPr>
            </w:pPr>
          </w:p>
        </w:tc>
        <w:tc>
          <w:tcPr>
            <w:tcW w:w="606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3"/>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6060" w:type="dxa"/>
            <w:vAlign w:val="bottom"/>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SAIC-GMF Leasing Co. Ltd.</w:t>
            </w:r>
          </w:p>
        </w:tc>
        <w:tc>
          <w:tcPr>
            <w:tcW w:w="6060" w:type="dxa"/>
            <w:vAlign w:val="bottom"/>
          </w:tcPr>
          <w:p>
            <w:pPr>
              <w:spacing w:after="0"/>
              <w:rPr>
                <w:sz w:val="22"/>
                <w:szCs w:val="22"/>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Shanghai OnStar Telematics Co. Ltd.</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Strobe, Inc.</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0"/>
              </w:rPr>
              <w:t>Delaware and California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Vehicle Asset Universal Leasing Trust</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2"/>
              </w:rPr>
              <w:t>Zona Franca Industrial Colmotores SAS</w:t>
            </w:r>
          </w:p>
        </w:tc>
        <w:tc>
          <w:tcPr>
            <w:tcW w:w="606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3000" w:type="dxa"/>
            <w:vAlign w:val="bottom"/>
            <w:gridSpan w:val="3"/>
          </w:tcPr>
          <w:p>
            <w:pPr>
              <w:spacing w:after="0"/>
              <w:rPr>
                <w:sz w:val="20"/>
                <w:szCs w:val="20"/>
                <w:color w:val="auto"/>
              </w:rPr>
            </w:pPr>
            <w:r>
              <w:rPr>
                <w:rFonts w:ascii="Arial" w:cs="Arial" w:eastAsia="Arial" w:hAnsi="Arial"/>
                <w:sz w:val="18"/>
                <w:szCs w:val="18"/>
                <w:color w:val="auto"/>
              </w:rPr>
              <w:t>Total - 175</w:t>
            </w:r>
          </w:p>
        </w:tc>
        <w:tc>
          <w:tcPr>
            <w:tcW w:w="6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2019. Additionally 96 subsidiaries of General Motors Financial Company, Inc. have been omitted that operate in the U.S. in the same line of business as General Motors Financial Company, Inc. at December 31, 2019.</w:t>
      </w:r>
    </w:p>
    <w:p>
      <w:pPr>
        <w:sectPr>
          <w:pgSz w:w="11900" w:h="16838" w:orient="portrait"/>
          <w:cols w:equalWidth="0" w:num="1">
            <w:col w:w="11040"/>
          </w:cols>
          <w:pgMar w:left="240" w:top="121" w:right="6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General Motors Company:</w:t>
      </w:r>
    </w:p>
    <w:p>
      <w:pPr>
        <w:spacing w:after="0" w:line="144"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Registration Statement (Form S-3 No. 333-215924),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Registration Statement (Form S-8 No. 333-218793) pertaining to the General Motors Company 2017 Long-Term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Registration Statement (Form S-8 No. 333-211344) pertaining to the General Motors Company 2016 Equity Incentive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Registration Statement (Form S-8 No. 333-196812) pertaining to the General Motors Company 2014 Long-Term Incentive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5, 2020, with respect to the consolidated financial statements of General Motors Company and subsidiaries and the effectiveness of internal control over financial reporting of General Motors Company and subsidiaries included in this Annual Report (Form 10-K) for the year ended December 31, 2019.</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ectPr>
          <w:pgSz w:w="11900" w:h="16838" w:orient="portrait"/>
          <w:cols w:equalWidth="0" w:num="1">
            <w:col w:w="11420"/>
          </w:cols>
          <w:pgMar w:left="240" w:top="121"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333-218793, 333-211344, and 333-196812 on Form S-8, and Registration Statement No. 333-215924 on Form S-3 of our report dated February 6, 2018 (July 25, 2018 as to Note 25, Segment Reporting), relating to the consolidated financial statements of General Motors Company, appearing in this Annual Report on Form 10-K of General Motors Company for the year ended December 31, 2019.</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Deloitte &amp; Touche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ectPr>
          <w:pgSz w:w="11900" w:h="16838" w:orient="portrait"/>
          <w:cols w:equalWidth="0" w:num="1">
            <w:col w:w="11420"/>
          </w:cols>
          <w:pgMar w:left="240" w:top="121"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Jane L. Mendillo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21"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Wesley G. Bush</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69"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Judith A. Miscik</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69"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Devin N. Wenig</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70"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6073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5, 2020</w:t>
      </w:r>
    </w:p>
    <w:p>
      <w:pPr>
        <w:sectPr>
          <w:pgSz w:w="11900" w:h="16838" w:orient="portrait"/>
          <w:cols w:equalWidth="0" w:num="1">
            <w:col w:w="11420"/>
          </w:cols>
          <w:pgMar w:left="240" w:top="337"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5, 2020</w:t>
      </w:r>
    </w:p>
    <w:p>
      <w:pPr>
        <w:sectPr>
          <w:pgSz w:w="11900" w:h="16838" w:orient="portrait"/>
          <w:cols w:equalWidth="0" w:num="1">
            <w:col w:w="11420"/>
          </w:cols>
          <w:pgMar w:left="240" w:top="338"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2019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5, 2020</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1)"/>
      <w:numFmt w:val="lowerLetter"/>
      <w:start w:val="1"/>
    </w:lvl>
  </w:abstractNum>
  <w:abstractNum w:abstractNumId="3">
    <w:nsid w:val="14FCE74E"/>
    <w:multiLevelType w:val="hybridMultilevel"/>
    <w:lvl w:ilvl="0">
      <w:lvlJc w:val="left"/>
      <w:lvlText w:val="(%1)"/>
      <w:numFmt w:val="lowerLetter"/>
      <w:start w:val="1"/>
    </w:lvl>
    <w:lvl w:ilvl="1">
      <w:lvlJc w:val="left"/>
      <w:lvlText w:val="*"/>
      <w:numFmt w:val="bullet"/>
      <w:start w:val="1"/>
    </w:lvl>
  </w:abstractNum>
  <w:abstractNum w:abstractNumId="4">
    <w:nsid w:val="6A3DD3E8"/>
    <w:multiLevelType w:val="hybridMultilevel"/>
    <w:lvl w:ilvl="0">
      <w:lvlJc w:val="left"/>
      <w:lvlText w:val="(%1)"/>
      <w:numFmt w:val="lowerLetter"/>
      <w:start w:val="1"/>
    </w:lvl>
    <w:lvl w:ilvl="1">
      <w:lvlJc w:val="left"/>
      <w:lvlText w:val="*"/>
      <w:numFmt w:val="bullet"/>
      <w:start w:val="1"/>
    </w:lvl>
  </w:abstractNum>
  <w:abstractNum w:abstractNumId="5">
    <w:nsid w:val="71C91298"/>
    <w:multiLevelType w:val="hybridMultilevel"/>
    <w:lvl w:ilvl="0">
      <w:lvlJc w:val="left"/>
      <w:lvlText w:val="(%1)"/>
      <w:numFmt w:val="lowerLetter"/>
      <w:start w:val="1"/>
    </w:lvl>
  </w:abstractNum>
  <w:abstractNum w:abstractNumId="6">
    <w:nsid w:val="9DAF632"/>
    <w:multiLevelType w:val="hybridMultilevel"/>
    <w:lvl w:ilvl="0">
      <w:lvlJc w:val="left"/>
      <w:lvlText w:val="(%1)"/>
      <w:numFmt w:val="lowerLetter"/>
      <w:start w:val="1"/>
    </w:lvl>
  </w:abstractNum>
  <w:abstractNum w:abstractNumId="7">
    <w:nsid w:val="53299938"/>
    <w:multiLevelType w:val="hybridMultilevel"/>
    <w:lvl w:ilvl="0">
      <w:lvlJc w:val="left"/>
      <w:lvlText w:val="(%1)"/>
      <w:numFmt w:val="lowerLetter"/>
      <w:start w:val="1"/>
    </w:lvl>
  </w:abstractNum>
  <w:abstractNum w:abstractNumId="8">
    <w:nsid w:val="1FBFE8E0"/>
    <w:multiLevelType w:val="hybridMultilevel"/>
    <w:lvl w:ilvl="0">
      <w:lvlJc w:val="left"/>
      <w:lvlText w:val="(%1)"/>
      <w:numFmt w:val="lowerLetter"/>
      <w:start w:val="1"/>
    </w:lvl>
  </w:abstractNum>
  <w:abstractNum w:abstractNumId="9">
    <w:nsid w:val="5092CA79"/>
    <w:multiLevelType w:val="hybridMultilevel"/>
    <w:lvl w:ilvl="0">
      <w:lvlJc w:val="left"/>
      <w:lvlText w:val="(%1)"/>
      <w:numFmt w:val="lowerLetter"/>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1)"/>
      <w:numFmt w:val="decimal"/>
      <w:start w:val="3"/>
    </w:lvl>
  </w:abstractNum>
  <w:abstractNum w:abstractNumId="12">
    <w:nsid w:val="288F1A34"/>
    <w:multiLevelType w:val="hybridMultilevel"/>
    <w:lvl w:ilvl="0">
      <w:lvlJc w:val="left"/>
      <w:lvlText w:val="(%1)"/>
      <w:numFmt w:val="lowerLetter"/>
      <w:start w:val="1"/>
    </w:lvl>
  </w:abstractNum>
  <w:abstractNum w:abstractNumId="13">
    <w:nsid w:val="2A155DBC"/>
    <w:multiLevelType w:val="hybridMultilevel"/>
    <w:lvl w:ilvl="0">
      <w:lvlJc w:val="left"/>
      <w:lvlText w:val="(%1)"/>
      <w:numFmt w:val="lowerLetter"/>
      <w:start w:val="1"/>
    </w:lvl>
  </w:abstractNum>
  <w:abstractNum w:abstractNumId="14">
    <w:nsid w:val="1D9F6E5F"/>
    <w:multiLevelType w:val="hybridMultilevel"/>
    <w:lvl w:ilvl="0">
      <w:lvlJc w:val="left"/>
      <w:lvlText w:val="(%1)"/>
      <w:numFmt w:val="lowerLetter"/>
      <w:start w:val="1"/>
    </w:lvl>
  </w:abstractNum>
  <w:abstractNum w:abstractNumId="15">
    <w:nsid w:val="97E1B4E"/>
    <w:multiLevelType w:val="hybridMultilevel"/>
    <w:lvl w:ilvl="0">
      <w:lvlJc w:val="left"/>
      <w:lvlText w:val="(%1)"/>
      <w:numFmt w:val="lowerLetter"/>
      <w:start w:val="1"/>
    </w:lvl>
  </w:abstractNum>
  <w:abstractNum w:abstractNumId="16">
    <w:nsid w:val="51088277"/>
    <w:multiLevelType w:val="hybridMultilevel"/>
    <w:lvl w:ilvl="0">
      <w:lvlJc w:val="left"/>
      <w:lvlText w:val="(%1)"/>
      <w:numFmt w:val="decimal"/>
      <w:start w:val="18"/>
    </w:lvl>
  </w:abstractNum>
  <w:abstractNum w:abstractNumId="17">
    <w:nsid w:val="1CA0C5FA"/>
    <w:multiLevelType w:val="hybridMultilevel"/>
    <w:lvl w:ilvl="0">
      <w:lvlJc w:val="left"/>
      <w:lvlText w:val="(%1)"/>
      <w:numFmt w:val="lowerLetter"/>
      <w:start w:val="1"/>
    </w:lvl>
  </w:abstractNum>
  <w:abstractNum w:abstractNumId="18">
    <w:nsid w:val="53584BCB"/>
    <w:multiLevelType w:val="hybridMultilevel"/>
    <w:lvl w:ilvl="0">
      <w:lvlJc w:val="left"/>
      <w:lvlText w:val="%1."/>
      <w:numFmt w:val="decimal"/>
      <w:start w:val="2"/>
    </w:lvl>
  </w:abstractNum>
  <w:abstractNum w:abstractNumId="19">
    <w:nsid w:val="415E286C"/>
    <w:multiLevelType w:val="hybridMultilevel"/>
    <w:lvl w:ilvl="0">
      <w:lvlJc w:val="left"/>
      <w:lvlText w:val="(%1)"/>
      <w:numFmt w:val="lowerLetter"/>
      <w:start w:val="1"/>
    </w:lvl>
  </w:abstractNum>
  <w:abstractNum w:abstractNumId="20">
    <w:nsid w:val="7C58FD05"/>
    <w:multiLevelType w:val="hybridMultilevel"/>
    <w:lvl w:ilvl="0">
      <w:lvlJc w:val="left"/>
      <w:lvlText w:val="(%1)"/>
      <w:numFmt w:val="lowerLetter"/>
      <w:start w:val="1"/>
    </w:lvl>
  </w:abstractNum>
  <w:abstractNum w:abstractNumId="21">
    <w:nsid w:val="23D86AAC"/>
    <w:multiLevelType w:val="hybridMultilevel"/>
    <w:lvl w:ilvl="0">
      <w:lvlJc w:val="left"/>
      <w:lvlText w:val="(%1)"/>
      <w:numFmt w:val="lowerLetter"/>
      <w:start w:val="1"/>
    </w:lvl>
  </w:abstractNum>
  <w:abstractNum w:abstractNumId="22">
    <w:nsid w:val="45E6D486"/>
    <w:multiLevelType w:val="hybridMultilevel"/>
    <w:lvl w:ilvl="0">
      <w:lvlJc w:val="left"/>
      <w:lvlText w:val="(%1)"/>
      <w:numFmt w:val="lowerLetter"/>
      <w:start w:val="1"/>
    </w:lvl>
  </w:abstractNum>
  <w:abstractNum w:abstractNumId="23">
    <w:nsid w:val="5C10FE21"/>
    <w:multiLevelType w:val="hybridMultilevel"/>
    <w:lvl w:ilvl="0">
      <w:lvlJc w:val="left"/>
      <w:lvlText w:val="(%1)"/>
      <w:numFmt w:val="lowerLetter"/>
      <w:start w:val="1"/>
    </w:lvl>
  </w:abstractNum>
  <w:abstractNum w:abstractNumId="24">
    <w:nsid w:val="E7FFA2B"/>
    <w:multiLevelType w:val="hybridMultilevel"/>
    <w:lvl w:ilvl="0">
      <w:lvlJc w:val="left"/>
      <w:lvlText w:val="(%1)"/>
      <w:numFmt w:val="lowerLetter"/>
      <w:start w:val="1"/>
    </w:lvl>
  </w:abstractNum>
  <w:abstractNum w:abstractNumId="25">
    <w:nsid w:val="3C5991AA"/>
    <w:multiLevelType w:val="hybridMultilevel"/>
    <w:lvl w:ilvl="0">
      <w:lvlJc w:val="left"/>
      <w:lvlText w:val="(%1)"/>
      <w:numFmt w:val="lowerLetter"/>
      <w:start w:val="1"/>
    </w:lvl>
  </w:abstractNum>
  <w:abstractNum w:abstractNumId="26">
    <w:nsid w:val="4BD8591A"/>
    <w:multiLevelType w:val="hybridMultilevel"/>
    <w:lvl w:ilvl="0">
      <w:lvlJc w:val="left"/>
      <w:lvlText w:val="(%1)"/>
      <w:numFmt w:val="lowerLetter"/>
      <w:start w:val="1"/>
    </w:lvl>
  </w:abstractNum>
  <w:abstractNum w:abstractNumId="27">
    <w:nsid w:val="78DF6A55"/>
    <w:multiLevelType w:val="hybridMultilevel"/>
    <w:lvl w:ilvl="0">
      <w:lvlJc w:val="left"/>
      <w:lvlText w:val="(%1)"/>
      <w:numFmt w:val="lowerLetter"/>
      <w:start w:val="1"/>
    </w:lvl>
  </w:abstractNum>
  <w:abstractNum w:abstractNumId="28">
    <w:nsid w:val="39B7AAA2"/>
    <w:multiLevelType w:val="hybridMultilevel"/>
    <w:lvl w:ilvl="0">
      <w:lvlJc w:val="left"/>
      <w:lvlText w:val="(%1)"/>
      <w:numFmt w:val="lowerLetter"/>
      <w:start w:val="1"/>
    </w:lvl>
  </w:abstractNum>
  <w:abstractNum w:abstractNumId="29">
    <w:nsid w:val="2B0D8DBE"/>
    <w:multiLevelType w:val="hybridMultilevel"/>
    <w:lvl w:ilvl="0">
      <w:lvlJc w:val="left"/>
      <w:lvlText w:val="(%1)"/>
      <w:numFmt w:val="lowerLetter"/>
      <w:start w:val="1"/>
    </w:lvl>
  </w:abstractNum>
  <w:abstractNum w:abstractNumId="30">
    <w:nsid w:val="6C80EC70"/>
    <w:multiLevelType w:val="hybridMultilevel"/>
    <w:lvl w:ilvl="0">
      <w:lvlJc w:val="left"/>
      <w:lvlText w:val="(%1)"/>
      <w:numFmt w:val="lowerLetter"/>
      <w:start w:val="1"/>
    </w:lvl>
  </w:abstractNum>
  <w:abstractNum w:abstractNumId="31">
    <w:nsid w:val="379E21B5"/>
    <w:multiLevelType w:val="hybridMultilevel"/>
    <w:lvl w:ilvl="0">
      <w:lvlJc w:val="left"/>
      <w:lvlText w:val="(%1)"/>
      <w:numFmt w:val="lowerLetter"/>
      <w:start w:val="1"/>
    </w:lvl>
  </w:abstractNum>
  <w:abstractNum w:abstractNumId="32">
    <w:nsid w:val="69E373"/>
    <w:multiLevelType w:val="hybridMultilevel"/>
    <w:lvl w:ilvl="0">
      <w:lvlJc w:val="left"/>
      <w:lvlText w:val="(%1)"/>
      <w:numFmt w:val="lowerLetter"/>
      <w:start w:val="1"/>
    </w:lvl>
  </w:abstractNum>
  <w:abstractNum w:abstractNumId="33">
    <w:nsid w:val="2C27173B"/>
    <w:multiLevelType w:val="hybridMultilevel"/>
    <w:lvl w:ilvl="0">
      <w:lvlJc w:val="left"/>
      <w:lvlText w:val="(%1)"/>
      <w:numFmt w:val="lowerLetter"/>
      <w:start w:val="1"/>
    </w:lvl>
  </w:abstractNum>
  <w:abstractNum w:abstractNumId="34">
    <w:nsid w:val="4C9B0904"/>
    <w:multiLevelType w:val="hybridMultilevel"/>
    <w:lvl w:ilvl="0">
      <w:lvlJc w:val="left"/>
      <w:lvlText w:val="(%1)"/>
      <w:numFmt w:val="lowerLetter"/>
      <w:start w:val="1"/>
    </w:lvl>
  </w:abstractNum>
  <w:abstractNum w:abstractNumId="35">
    <w:nsid w:val="6AA7B75C"/>
    <w:multiLevelType w:val="hybridMultilevel"/>
    <w:lvl w:ilvl="0">
      <w:lvlJc w:val="left"/>
      <w:lvlText w:val="(%1)"/>
      <w:numFmt w:val="lowerLetter"/>
      <w:start w:val="1"/>
    </w:lvl>
  </w:abstractNum>
  <w:abstractNum w:abstractNumId="36">
    <w:nsid w:val="1DF029D3"/>
    <w:multiLevelType w:val="hybridMultilevel"/>
    <w:lvl w:ilvl="0">
      <w:lvlJc w:val="left"/>
      <w:lvlText w:val="(%1)"/>
      <w:numFmt w:val="lowerLetter"/>
      <w:start w:val="1"/>
    </w:lvl>
  </w:abstractNum>
  <w:abstractNum w:abstractNumId="37">
    <w:nsid w:val="5675FF36"/>
    <w:multiLevelType w:val="hybridMultilevel"/>
    <w:lvl w:ilvl="0">
      <w:lvlJc w:val="left"/>
      <w:lvlText w:val="(%1)"/>
      <w:numFmt w:val="lowerLetter"/>
      <w:start w:val="1"/>
    </w:lvl>
    <w:lvl w:ilvl="1">
      <w:lvlJc w:val="left"/>
      <w:lvlText w:val="%2."/>
      <w:numFmt w:val="decimal"/>
      <w:start w:val="2"/>
    </w:lvl>
  </w:abstractNum>
  <w:abstractNum w:abstractNumId="38">
    <w:nsid w:val="3DD15094"/>
    <w:multiLevelType w:val="hybridMultilevel"/>
    <w:lvl w:ilvl="0">
      <w:lvlJc w:val="left"/>
      <w:lvlText w:val="%1"/>
      <w:numFmt w:val="decimal"/>
      <w:start w:val="21"/>
    </w:lvl>
  </w:abstractNum>
  <w:abstractNum w:abstractNumId="39">
    <w:nsid w:val="3DB012B3"/>
    <w:multiLevelType w:val="hybridMultilevel"/>
    <w:lvl w:ilvl="0">
      <w:lvlJc w:val="left"/>
      <w:lvlText w:val="%1"/>
      <w:numFmt w:val="decimal"/>
      <w:start w:val="24"/>
    </w:lvl>
  </w:abstractNum>
  <w:abstractNum w:abstractNumId="40">
    <w:nsid w:val="2708C9AF"/>
    <w:multiLevelType w:val="hybridMultilevel"/>
    <w:lvl w:ilvl="0">
      <w:lvlJc w:val="left"/>
      <w:lvlText w:val="%1"/>
      <w:numFmt w:val="decimal"/>
      <w:start w:val="101"/>
    </w:lvl>
  </w:abstractNum>
  <w:abstractNum w:abstractNumId="41">
    <w:nsid w:val="5B25ACE2"/>
    <w:multiLevelType w:val="hybridMultilevel"/>
    <w:lvl w:ilvl="0">
      <w:lvlJc w:val="left"/>
      <w:lvlText w:val="%1"/>
      <w:numFmt w:val="decimal"/>
      <w:start w:val="104"/>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1)"/>
      <w:numFmt w:val="lowerLetter"/>
      <w:start w:val="1"/>
    </w:lvl>
  </w:abstractNum>
  <w:abstractNum w:abstractNumId="47">
    <w:nsid w:val="56438D15"/>
    <w:multiLevelType w:val="hybridMultilevel"/>
    <w:lvl w:ilvl="0">
      <w:lvlJc w:val="left"/>
      <w:lvlText w:val="%1."/>
      <w:numFmt w:val="upperLetter"/>
      <w:start w:val="1"/>
    </w:lvl>
  </w:abstractNum>
  <w:abstractNum w:abstractNumId="48">
    <w:nsid w:val="519E3149"/>
    <w:multiLevelType w:val="hybridMultilevel"/>
    <w:lvl w:ilvl="0">
      <w:lvlJc w:val="left"/>
      <w:lvlText w:val="%1."/>
      <w:numFmt w:val="upperLetter"/>
      <w:start w:val="6"/>
    </w:lvl>
  </w:abstractNum>
  <w:abstractNum w:abstractNumId="49">
    <w:nsid w:val="2C6E4AFD"/>
    <w:multiLevelType w:val="hybridMultilevel"/>
    <w:lvl w:ilvl="0">
      <w:lvlJc w:val="left"/>
      <w:lvlText w:val="%1."/>
      <w:numFmt w:val="upperLetter"/>
      <w:start w:val="14"/>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lowerLetter"/>
      <w:start w:val="1"/>
    </w:lvl>
  </w:abstractNum>
  <w:abstractNum w:abstractNumId="52">
    <w:nsid w:val="5046B5A9"/>
    <w:multiLevelType w:val="hybridMultilevel"/>
    <w:lvl w:ilvl="0">
      <w:lvlJc w:val="left"/>
      <w:lvlText w:val="(%1)"/>
      <w:numFmt w:val="lowerLetter"/>
      <w:start w:val="2"/>
    </w:lvl>
  </w:abstractNum>
  <w:abstractNum w:abstractNumId="53">
    <w:nsid w:val="5D888A08"/>
    <w:multiLevelType w:val="hybridMultilevel"/>
    <w:lvl w:ilvl="0">
      <w:lvlJc w:val="left"/>
      <w:lvlText w:val="(%1)"/>
      <w:numFmt w:val="lowerLetter"/>
      <w:start w:val="1"/>
    </w:lvl>
  </w:abstractNum>
  <w:abstractNum w:abstractNumId="54">
    <w:nsid w:val="2A082C70"/>
    <w:multiLevelType w:val="hybridMultilevel"/>
    <w:lvl w:ilvl="0">
      <w:lvlJc w:val="left"/>
      <w:lvlText w:val="(%1)"/>
      <w:numFmt w:val="lowerRoman"/>
      <w:start w:val="1"/>
    </w:lvl>
  </w:abstractNum>
  <w:abstractNum w:abstractNumId="55">
    <w:nsid w:val="5EC6AFD4"/>
    <w:multiLevelType w:val="hybridMultilevel"/>
    <w:lvl w:ilvl="0">
      <w:lvlJc w:val="left"/>
      <w:lvlText w:val="(%1)"/>
      <w:numFmt w:val="lowerRoman"/>
      <w:start w:val="1"/>
    </w:lvl>
  </w:abstractNum>
  <w:abstractNum w:abstractNumId="56">
    <w:nsid w:val="19E21BB2"/>
    <w:multiLevelType w:val="hybridMultilevel"/>
    <w:lvl w:ilvl="0">
      <w:lvlJc w:val="left"/>
      <w:lvlText w:val="(%1)"/>
      <w:numFmt w:val="lowerRoman"/>
      <w:start w:val="2"/>
    </w:lvl>
  </w:abstractNum>
  <w:abstractNum w:abstractNumId="57">
    <w:nsid w:val="75E0858A"/>
    <w:multiLevelType w:val="hybridMultilevel"/>
    <w:lvl w:ilvl="0">
      <w:lvlJc w:val="left"/>
      <w:lvlText w:val="(%1)"/>
      <w:numFmt w:val="lowerLetter"/>
      <w:start w:val="4"/>
    </w:lvl>
    <w:lvl w:ilvl="1">
      <w:lvlJc w:val="left"/>
      <w:lvlText w:val="(%2)"/>
      <w:numFmt w:val="lowerRoman"/>
      <w:start w:val="1"/>
    </w:lvl>
  </w:abstractNum>
  <w:abstractNum w:abstractNumId="58">
    <w:nsid w:val="57A61A29"/>
    <w:multiLevelType w:val="hybridMultilevel"/>
    <w:lvl w:ilvl="0">
      <w:lvlJc w:val="left"/>
      <w:lvlText w:val="(%1)"/>
      <w:numFmt w:val="lowerLetter"/>
      <w:start w:val="5"/>
    </w:lvl>
  </w:abstractNum>
  <w:abstractNum w:abstractNumId="59">
    <w:nsid w:val="5399C654"/>
    <w:multiLevelType w:val="hybridMultilevel"/>
    <w:lvl w:ilvl="0">
      <w:lvlJc w:val="left"/>
      <w:lvlText w:val="(%1)"/>
      <w:numFmt w:val="lowerLetter"/>
      <w:start w:val="6"/>
    </w:lvl>
  </w:abstractNum>
  <w:abstractNum w:abstractNumId="60">
    <w:nsid w:val="20EE1348"/>
    <w:multiLevelType w:val="hybridMultilevel"/>
    <w:lvl w:ilvl="0">
      <w:lvlJc w:val="left"/>
      <w:lvlText w:val="(%1)"/>
      <w:numFmt w:val="lowerLetter"/>
      <w:start w:val="1"/>
    </w:lvl>
    <w:lvl w:ilvl="1">
      <w:lvlJc w:val="left"/>
      <w:lvlText w:val="(%2)"/>
      <w:numFmt w:val="lowerLetter"/>
      <w:start w:val="9"/>
    </w:lvl>
  </w:abstractNum>
  <w:abstractNum w:abstractNumId="61">
    <w:nsid w:val="4427069A"/>
    <w:multiLevelType w:val="hybridMultilevel"/>
    <w:lvl w:ilvl="0">
      <w:lvlJc w:val="left"/>
      <w:lvlText w:val="(%1)"/>
      <w:numFmt w:val="lowerRoman"/>
      <w:start w:val="2"/>
    </w:lvl>
  </w:abstractNum>
  <w:abstractNum w:abstractNumId="62">
    <w:nsid w:val="B37E80A"/>
    <w:multiLevelType w:val="hybridMultilevel"/>
    <w:lvl w:ilvl="0">
      <w:lvlJc w:val="left"/>
      <w:lvlText w:val="(%1)"/>
      <w:numFmt w:val="lowerLetter"/>
      <w:start w:val="1"/>
    </w:lvl>
  </w:abstractNum>
  <w:abstractNum w:abstractNumId="63">
    <w:nsid w:val="2157F6BC"/>
    <w:multiLevelType w:val="hybridMultilevel"/>
    <w:lvl w:ilvl="0">
      <w:lvlJc w:val="left"/>
      <w:lvlText w:val="(%1)"/>
      <w:numFmt w:val="lowerLetter"/>
      <w:start w:val="1"/>
    </w:lvl>
    <w:lvl w:ilvl="1">
      <w:lvlJc w:val="left"/>
      <w:lvlText w:val="(%2)"/>
      <w:numFmt w:val="lowerRoman"/>
      <w:start w:val="1"/>
    </w:lvl>
  </w:abstractNum>
  <w:abstractNum w:abstractNumId="64">
    <w:nsid w:val="704E1DD5"/>
    <w:multiLevelType w:val="hybridMultilevel"/>
    <w:lvl w:ilvl="0">
      <w:lvlJc w:val="left"/>
      <w:lvlText w:val="(%1)"/>
      <w:numFmt w:val="lowerLetter"/>
      <w:start w:val="2"/>
    </w:lvl>
  </w:abstractNum>
  <w:abstractNum w:abstractNumId="65">
    <w:nsid w:val="57D2F10E"/>
    <w:multiLevelType w:val="hybridMultilevel"/>
    <w:lvl w:ilvl="0">
      <w:lvlJc w:val="left"/>
      <w:lvlText w:val="(%1)"/>
      <w:numFmt w:val="lowerLetter"/>
      <w:start w:val="6"/>
    </w:lvl>
    <w:lvl w:ilvl="1">
      <w:lvlJc w:val="left"/>
      <w:lvlText w:val="(%2)"/>
      <w:numFmt w:val="lowerRoman"/>
      <w:start w:val="1"/>
    </w:lvl>
  </w:abstractNum>
  <w:abstractNum w:abstractNumId="66">
    <w:nsid w:val="BFFAE18"/>
    <w:multiLevelType w:val="hybridMultilevel"/>
    <w:lvl w:ilvl="0">
      <w:lvlJc w:val="left"/>
      <w:lvlText w:val="(%1)"/>
      <w:numFmt w:val="lowerLetter"/>
      <w:start w:val="1"/>
    </w:lvl>
  </w:abstractNum>
  <w:abstractNum w:abstractNumId="67">
    <w:nsid w:val="E3E47A8"/>
    <w:multiLevelType w:val="hybridMultilevel"/>
    <w:lvl w:ilvl="0">
      <w:lvlJc w:val="left"/>
      <w:lvlText w:val="(%1)"/>
      <w:numFmt w:val="lowerLetter"/>
      <w:start w:val="2"/>
    </w:lvl>
  </w:abstractNum>
  <w:abstractNum w:abstractNumId="68">
    <w:nsid w:val="2E48F044"/>
    <w:multiLevelType w:val="hybridMultilevel"/>
    <w:lvl w:ilvl="0">
      <w:lvlJc w:val="left"/>
      <w:lvlText w:val="(%1)"/>
      <w:numFmt w:val="lowerLetter"/>
      <w:start w:val="1"/>
    </w:lvl>
  </w:abstractNum>
  <w:abstractNum w:abstractNumId="69">
    <w:nsid w:val="49D0FEAC"/>
    <w:multiLevelType w:val="hybridMultilevel"/>
    <w:lvl w:ilvl="0">
      <w:lvlJc w:val="left"/>
      <w:lvlText w:val="(%1)"/>
      <w:numFmt w:val="lowerLetter"/>
      <w:start w:val="1"/>
    </w:lvl>
  </w:abstractNum>
  <w:abstractNum w:abstractNumId="70">
    <w:nsid w:val="4BEE5A5B"/>
    <w:multiLevelType w:val="hybridMultilevel"/>
    <w:lvl w:ilvl="0">
      <w:lvlJc w:val="left"/>
      <w:lvlText w:val="%1"/>
      <w:numFmt w:val="lowerLetter"/>
      <w:start w:val="1"/>
    </w:lvl>
    <w:lvl w:ilvl="1">
      <w:lvlJc w:val="left"/>
      <w:lvlText w:val="(%2)"/>
      <w:numFmt w:val="lowerRoman"/>
      <w:start w:val="1"/>
    </w:lvl>
  </w:abstractNum>
  <w:abstractNum w:abstractNumId="71">
    <w:nsid w:val="5551B9F3"/>
    <w:multiLevelType w:val="hybridMultilevel"/>
    <w:lvl w:ilvl="0">
      <w:lvlJc w:val="left"/>
      <w:lvlText w:val="(%1)"/>
      <w:numFmt w:val="lowerLetter"/>
      <w:start w:val="3"/>
    </w:lvl>
    <w:lvl w:ilvl="1">
      <w:lvlJc w:val="left"/>
      <w:lvlText w:val="%2"/>
      <w:numFmt w:val="lowerRoman"/>
      <w:start w:val="1"/>
    </w:lvl>
  </w:abstractNum>
  <w:abstractNum w:abstractNumId="72">
    <w:nsid w:val="24F6AB8E"/>
    <w:multiLevelType w:val="hybridMultilevel"/>
    <w:lvl w:ilvl="0">
      <w:lvlJc w:val="left"/>
      <w:lvlText w:val="(%1)"/>
      <w:numFmt w:val="lowerLetter"/>
      <w:start w:val="4"/>
    </w:lvl>
  </w:abstractNum>
  <w:abstractNum w:abstractNumId="73">
    <w:nsid w:val="634C574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4">
    <w:nsid w:val="24E99DD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5">
    <w:nsid w:val="2A31B62D"/>
    <w:multiLevelType w:val="hybridMultilevel"/>
    <w:lvl w:ilvl="0">
      <w:lvlJc w:val="left"/>
      <w:lvlText w:val="%1"/>
      <w:numFmt w:val="upperLetter"/>
      <w:start w:val="1"/>
    </w:lvl>
    <w:lvl w:ilvl="1">
      <w:lvlJc w:val="left"/>
      <w:lvlText w:val="(%2)"/>
      <w:numFmt w:val="lowerRoman"/>
      <w:start w:val="2"/>
    </w:lvl>
  </w:abstractNum>
  <w:abstractNum w:abstractNumId="76">
    <w:nsid w:val="1849C29B"/>
    <w:multiLevelType w:val="hybridMultilevel"/>
    <w:lvl w:ilvl="0">
      <w:lvlJc w:val="left"/>
      <w:lvlText w:val="(%1)"/>
      <w:numFmt w:val="upperLetter"/>
      <w:start w:val="1"/>
    </w:lvl>
    <w:lvl w:ilvl="1">
      <w:lvlJc w:val="left"/>
      <w:lvlText w:val="(%2)"/>
      <w:numFmt w:val="lowerRoman"/>
      <w:start w:val="3"/>
    </w:lvl>
  </w:abstractNum>
  <w:abstractNum w:abstractNumId="77">
    <w:nsid w:val="7DFF9D09"/>
    <w:multiLevelType w:val="hybridMultilevel"/>
    <w:lvl w:ilvl="0">
      <w:lvlJc w:val="left"/>
      <w:lvlText w:val="(%1)"/>
      <w:numFmt w:val="lowerLetter"/>
      <w:start w:val="2"/>
    </w:lvl>
  </w:abstractNum>
  <w:abstractNum w:abstractNumId="78">
    <w:nsid w:val="754342"/>
    <w:multiLevelType w:val="hybridMultilevel"/>
    <w:lvl w:ilvl="0">
      <w:lvlJc w:val="left"/>
      <w:lvlText w:val="(%1)"/>
      <w:numFmt w:val="lowerLetter"/>
      <w:start w:val="1"/>
    </w:lvl>
  </w:abstractNum>
  <w:abstractNum w:abstractNumId="79">
    <w:nsid w:val="69E7F3E5"/>
    <w:multiLevelType w:val="hybridMultilevel"/>
    <w:lvl w:ilvl="0">
      <w:lvlJc w:val="left"/>
      <w:lvlText w:val="(%1)"/>
      <w:numFmt w:val="lowerLetter"/>
      <w:start w:val="2"/>
    </w:lvl>
    <w:lvl w:ilvl="1">
      <w:lvlJc w:val="left"/>
      <w:lvlText w:val="(%2)"/>
      <w:numFmt w:val="lowerRoman"/>
      <w:start w:val="1"/>
    </w:lvl>
  </w:abstractNum>
  <w:abstractNum w:abstractNumId="80">
    <w:nsid w:val="2A6DE806"/>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81">
    <w:nsid w:val="1816F8C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
    <w:nsid w:val="37DF2233"/>
    <w:multiLevelType w:val="hybridMultilevel"/>
    <w:lvl w:ilvl="0">
      <w:lvlJc w:val="left"/>
      <w:lvlText w:val="(%1)"/>
      <w:numFmt w:val="upperLetter"/>
      <w:start w:val="2"/>
    </w:lvl>
    <w:lvl w:ilvl="1">
      <w:lvlJc w:val="left"/>
      <w:lvlText w:val="(%2)"/>
      <w:numFmt w:val="lowerRoman"/>
      <w:start w:val="2"/>
    </w:lvl>
  </w:abstractNum>
  <w:abstractNum w:abstractNumId="83">
    <w:nsid w:val="7AB49DAF"/>
    <w:multiLevelType w:val="hybridMultilevel"/>
    <w:lvl w:ilvl="0">
      <w:lvlJc w:val="left"/>
      <w:lvlText w:val="(%1)"/>
      <w:numFmt w:val="upperLetter"/>
      <w:start w:val="1"/>
    </w:lvl>
    <w:lvl w:ilvl="1">
      <w:lvlJc w:val="left"/>
      <w:lvlText w:val="%2"/>
      <w:numFmt w:val="lowerRoman"/>
      <w:start w:val="1"/>
    </w:lvl>
  </w:abstractNum>
  <w:abstractNum w:abstractNumId="84">
    <w:nsid w:val="759F82CD"/>
    <w:multiLevelType w:val="hybridMultilevel"/>
    <w:lvl w:ilvl="0">
      <w:lvlJc w:val="left"/>
      <w:lvlText w:val="(%1)"/>
      <w:numFmt w:val="lowerLetter"/>
      <w:start w:val="5"/>
    </w:lvl>
  </w:abstractNum>
  <w:abstractNum w:abstractNumId="85">
    <w:nsid w:val="61E74EA3"/>
    <w:multiLevelType w:val="hybridMultilevel"/>
    <w:lvl w:ilvl="0">
      <w:lvlJc w:val="left"/>
      <w:lvlText w:val="(%1)"/>
      <w:numFmt w:val="lowerLetter"/>
      <w:start w:val="7"/>
    </w:lvl>
    <w:lvl w:ilvl="1">
      <w:lvlJc w:val="left"/>
      <w:lvlText w:val="(%2)"/>
      <w:numFmt w:val="lowerLetter"/>
      <w:start w:val="9"/>
    </w:lvl>
  </w:abstractNum>
  <w:abstractNum w:abstractNumId="86">
    <w:nsid w:val="597B4D84"/>
    <w:multiLevelType w:val="hybridMultilevel"/>
    <w:lvl w:ilvl="0">
      <w:lvlJc w:val="left"/>
      <w:lvlText w:val="%1"/>
      <w:numFmt w:val="lowerLetter"/>
      <w:start w:val="1"/>
    </w:lvl>
    <w:lvl w:ilvl="1">
      <w:lvlJc w:val="left"/>
      <w:lvlText w:val="(%2)"/>
      <w:numFmt w:val="lowerLetter"/>
      <w:start w:val="35"/>
    </w:lvl>
  </w:abstractNum>
  <w:abstractNum w:abstractNumId="87">
    <w:nsid w:val="F819E7F"/>
    <w:multiLevelType w:val="hybridMultilevel"/>
    <w:lvl w:ilvl="0">
      <w:lvlJc w:val="left"/>
      <w:lvlText w:val="(%1)"/>
      <w:numFmt w:val="lowerLetter"/>
      <w:start w:val="12"/>
    </w:lvl>
    <w:lvl w:ilvl="1">
      <w:lvlJc w:val="left"/>
      <w:lvlText w:val="(%2)"/>
      <w:numFmt w:val="lowerLetter"/>
      <w:start w:val="9"/>
    </w:lvl>
  </w:abstractNum>
  <w:abstractNum w:abstractNumId="88">
    <w:nsid w:val="57C7D42D"/>
    <w:multiLevelType w:val="hybridMultilevel"/>
    <w:lvl w:ilvl="0">
      <w:lvlJc w:val="left"/>
      <w:lvlText w:val="(%1)"/>
      <w:numFmt w:val="lowerRoman"/>
      <w:start w:val="2"/>
    </w:lvl>
  </w:abstractNum>
  <w:abstractNum w:abstractNumId="89">
    <w:nsid w:val="312167AD"/>
    <w:multiLevelType w:val="hybridMultilevel"/>
    <w:lvl w:ilvl="0">
      <w:lvlJc w:val="left"/>
      <w:lvlText w:val="(%1)"/>
      <w:numFmt w:val="lowerRoman"/>
      <w:start w:val="5"/>
    </w:lvl>
  </w:abstractNum>
  <w:abstractNum w:abstractNumId="90">
    <w:nsid w:val="631B64D4"/>
    <w:multiLevelType w:val="hybridMultilevel"/>
    <w:lvl w:ilvl="0">
      <w:lvlJc w:val="left"/>
      <w:lvlText w:val="(%1)"/>
      <w:numFmt w:val="lowerRoman"/>
      <w:start w:val="13"/>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lowerLetter"/>
      <w:start w:val="2"/>
    </w:lvl>
  </w:abstractNum>
  <w:abstractNum w:abstractNumId="93">
    <w:nsid w:val="6E534CDE"/>
    <w:multiLevelType w:val="hybridMultilevel"/>
    <w:lvl w:ilvl="0">
      <w:lvlJc w:val="left"/>
      <w:lvlText w:val="(%1)"/>
      <w:numFmt w:val="lowerLetter"/>
      <w:start w:val="1"/>
    </w:lvl>
  </w:abstractNum>
  <w:abstractNum w:abstractNumId="94">
    <w:nsid w:val="1A0DDE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5">
    <w:nsid w:val="65968C1C"/>
    <w:multiLevelType w:val="hybridMultilevel"/>
    <w:lvl w:ilvl="0">
      <w:lvlJc w:val="left"/>
      <w:lvlText w:val="%1"/>
      <w:numFmt w:val="lowerLetter"/>
      <w:start w:val="1"/>
    </w:lvl>
    <w:lvl w:ilvl="1">
      <w:lvlJc w:val="left"/>
      <w:lvlText w:val="(%2)"/>
      <w:numFmt w:val="lowerRoman"/>
      <w:start w:val="2"/>
    </w:lvl>
  </w:abstractNum>
  <w:abstractNum w:abstractNumId="96">
    <w:nsid w:val="46263DEC"/>
    <w:multiLevelType w:val="hybridMultilevel"/>
    <w:lvl w:ilvl="0">
      <w:lvlJc w:val="left"/>
      <w:lvlText w:val="(%1)"/>
      <w:numFmt w:val="lowerLetter"/>
      <w:start w:val="3"/>
    </w:lvl>
    <w:lvl w:ilvl="1">
      <w:lvlJc w:val="left"/>
      <w:lvlText w:val="%2"/>
      <w:numFmt w:val="lowerRoman"/>
      <w:start w:val="1"/>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lowerLetter"/>
      <w:start w:val="1"/>
    </w:lvl>
  </w:abstractNum>
  <w:abstractNum w:abstractNumId="99">
    <w:nsid w:val="746F2E30"/>
    <w:multiLevelType w:val="hybridMultilevel"/>
    <w:lvl w:ilvl="0">
      <w:lvlJc w:val="left"/>
      <w:lvlText w:val="(%1)"/>
      <w:numFmt w:val="lowerLetter"/>
      <w:start w:val="2"/>
    </w:lvl>
  </w:abstractNum>
  <w:abstractNum w:abstractNumId="100">
    <w:nsid w:val="6FDE8AF6"/>
    <w:multiLevelType w:val="hybridMultilevel"/>
    <w:lvl w:ilvl="0">
      <w:lvlJc w:val="left"/>
      <w:lvlText w:val="(%1)"/>
      <w:numFmt w:val="lowerRoman"/>
      <w:start w:val="1"/>
    </w:lvl>
  </w:abstractNum>
  <w:abstractNum w:abstractNumId="101">
    <w:nsid w:val="3FC32E20"/>
    <w:multiLevelType w:val="hybridMultilevel"/>
    <w:lvl w:ilvl="0">
      <w:lvlJc w:val="left"/>
      <w:lvlText w:val="(%1)"/>
      <w:numFmt w:val="lowerLetter"/>
      <w:start w:val="1"/>
    </w:lvl>
  </w:abstractNum>
  <w:abstractNum w:abstractNumId="102">
    <w:nsid w:val="49C0E823"/>
    <w:multiLevelType w:val="hybridMultilevel"/>
    <w:lvl w:ilvl="0">
      <w:lvlJc w:val="left"/>
      <w:lvlText w:val="(%1)"/>
      <w:numFmt w:val="lowerLetter"/>
      <w:start w:val="8"/>
    </w:lvl>
  </w:abstractNum>
  <w:abstractNum w:abstractNumId="103">
    <w:nsid w:val="14D53685"/>
    <w:multiLevelType w:val="hybridMultilevel"/>
    <w:lvl w:ilvl="0">
      <w:lvlJc w:val="left"/>
      <w:lvlText w:val="(%1)"/>
      <w:numFmt w:val="lowerLetter"/>
      <w:start w:val="1"/>
    </w:lvl>
  </w:abstractNum>
  <w:abstractNum w:abstractNumId="104">
    <w:nsid w:val="230F856C"/>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05">
    <w:nsid w:val="6EAA85FB"/>
    <w:multiLevelType w:val="hybridMultilevel"/>
    <w:lvl w:ilvl="0">
      <w:lvlJc w:val="left"/>
      <w:lvlText w:val="(%1)"/>
      <w:numFmt w:val="lowerLetter"/>
      <w:start w:val="1"/>
    </w:lvl>
  </w:abstractNum>
  <w:abstractNum w:abstractNumId="106">
    <w:nsid w:val="3F06ECB2"/>
    <w:multiLevelType w:val="hybridMultilevel"/>
    <w:lvl w:ilvl="0">
      <w:lvlJc w:val="left"/>
      <w:lvlText w:val="(%1)"/>
      <w:numFmt w:val="lowerLetter"/>
      <w:start w:val="2"/>
    </w:lvl>
  </w:abstractNum>
  <w:abstractNum w:abstractNumId="107">
    <w:nsid w:val="3B594807"/>
    <w:multiLevelType w:val="hybridMultilevel"/>
    <w:lvl w:ilvl="0">
      <w:lvlJc w:val="left"/>
      <w:lvlText w:val="(%1)"/>
      <w:numFmt w:val="lowerLetter"/>
      <w:start w:val="1"/>
    </w:lvl>
  </w:abstractNum>
  <w:abstractNum w:abstractNumId="108">
    <w:nsid w:val="6CAA2304"/>
    <w:multiLevelType w:val="hybridMultilevel"/>
    <w:lvl w:ilvl="0">
      <w:lvlJc w:val="left"/>
      <w:lvlText w:val="(%1)"/>
      <w:numFmt w:val="lowerLetter"/>
      <w:start w:val="2"/>
    </w:lvl>
  </w:abstractNum>
  <w:abstractNum w:abstractNumId="109">
    <w:nsid w:val="3F7C2FF4"/>
    <w:multiLevelType w:val="hybridMultilevel"/>
    <w:lvl w:ilvl="0">
      <w:lvlJc w:val="left"/>
      <w:lvlText w:val="(%1)"/>
      <w:numFmt w:val="lowerLetter"/>
      <w:start w:val="7"/>
    </w:lvl>
  </w:abstractNum>
  <w:abstractNum w:abstractNumId="110">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1">
    <w:nsid w:val="17180B0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12">
    <w:nsid w:val="579328B9"/>
    <w:multiLevelType w:val="hybridMultilevel"/>
    <w:lvl w:ilvl="0">
      <w:lvlJc w:val="left"/>
      <w:lvlText w:val="(%1)"/>
      <w:numFmt w:val="lowerRoman"/>
      <w:start w:val="3"/>
    </w:lvl>
  </w:abstractNum>
  <w:abstractNum w:abstractNumId="113">
    <w:nsid w:val="5D205E20"/>
    <w:multiLevelType w:val="hybridMultilevel"/>
    <w:lvl w:ilvl="0">
      <w:lvlJc w:val="left"/>
      <w:lvlText w:val="(%1)"/>
      <w:numFmt w:val="lowerLetter"/>
      <w:start w:val="1"/>
    </w:lvl>
  </w:abstractNum>
  <w:abstractNum w:abstractNumId="114">
    <w:nsid w:val="11CCA8BA"/>
    <w:multiLevelType w:val="hybridMultilevel"/>
    <w:lvl w:ilvl="0">
      <w:lvlJc w:val="left"/>
      <w:lvlText w:val="(%1)"/>
      <w:numFmt w:val="lowerLetter"/>
      <w:start w:val="2"/>
    </w:lvl>
  </w:abstractNum>
  <w:abstractNum w:abstractNumId="115">
    <w:nsid w:val="4D32AB86"/>
    <w:multiLevelType w:val="hybridMultilevel"/>
    <w:lvl w:ilvl="0">
      <w:lvlJc w:val="left"/>
      <w:lvlText w:val="(%1)"/>
      <w:numFmt w:val="lowerRoman"/>
      <w:start w:val="1"/>
    </w:lvl>
  </w:abstractNum>
  <w:abstractNum w:abstractNumId="116">
    <w:nsid w:val="3F07ACC3"/>
    <w:multiLevelType w:val="hybridMultilevel"/>
    <w:lvl w:ilvl="0">
      <w:lvlJc w:val="left"/>
      <w:lvlText w:val="(%1)"/>
      <w:numFmt w:val="lowerRoman"/>
      <w:start w:val="6"/>
    </w:lvl>
  </w:abstractNum>
  <w:abstractNum w:abstractNumId="117">
    <w:nsid w:val="6B47F63E"/>
    <w:multiLevelType w:val="hybridMultilevel"/>
    <w:lvl w:ilvl="0">
      <w:lvlJc w:val="left"/>
      <w:lvlText w:val="(%1)"/>
      <w:numFmt w:val="lowerLetter"/>
      <w:start w:val="2"/>
    </w:lvl>
  </w:abstractNum>
  <w:abstractNum w:abstractNumId="118">
    <w:nsid w:val="5CB44A05"/>
    <w:multiLevelType w:val="hybridMultilevel"/>
    <w:lvl w:ilvl="0">
      <w:lvlJc w:val="left"/>
      <w:lvlText w:val="%1"/>
      <w:numFmt w:val="lowerRoman"/>
      <w:start w:val="1"/>
    </w:lvl>
    <w:lvl w:ilvl="1">
      <w:lvlJc w:val="left"/>
      <w:lvlText w:val="(%2)"/>
      <w:numFmt w:val="lowerLetter"/>
      <w:start w:val="3"/>
    </w:lvl>
  </w:abstractNum>
  <w:abstractNum w:abstractNumId="119">
    <w:nsid w:val="16CF80F1"/>
    <w:multiLevelType w:val="hybridMultilevel"/>
    <w:lvl w:ilvl="0">
      <w:lvlJc w:val="left"/>
      <w:lvlText w:val="(%1)"/>
      <w:numFmt w:val="lowerRoman"/>
      <w:start w:val="6"/>
    </w:lvl>
    <w:lvl w:ilvl="1">
      <w:lvlJc w:val="left"/>
      <w:lvlText w:val="(%2)"/>
      <w:numFmt w:val="lowerLetter"/>
      <w:start w:val="4"/>
    </w:lvl>
  </w:abstractNum>
  <w:abstractNum w:abstractNumId="120">
    <w:nsid w:val="1C695DEC"/>
    <w:multiLevelType w:val="hybridMultilevel"/>
    <w:lvl w:ilvl="0">
      <w:lvlJc w:val="left"/>
      <w:lvlText w:val="(%1)"/>
      <w:numFmt w:val="lowerLetter"/>
      <w:start w:val="1"/>
    </w:lvl>
  </w:abstractNum>
  <w:abstractNum w:abstractNumId="121">
    <w:nsid w:val="3FCFAED9"/>
    <w:multiLevelType w:val="hybridMultilevel"/>
    <w:lvl w:ilvl="0">
      <w:lvlJc w:val="left"/>
      <w:lvlText w:val="(%1)"/>
      <w:numFmt w:val="lowerLetter"/>
      <w:start w:val="2"/>
    </w:lvl>
  </w:abstractNum>
  <w:abstractNum w:abstractNumId="122">
    <w:nsid w:val="F856867"/>
    <w:multiLevelType w:val="hybridMultilevel"/>
    <w:lvl w:ilvl="0">
      <w:lvlJc w:val="left"/>
      <w:lvlText w:val="(%1)"/>
      <w:numFmt w:val="lowerLetter"/>
      <w:start w:val="1"/>
    </w:lvl>
  </w:abstractNum>
  <w:abstractNum w:abstractNumId="123">
    <w:nsid w:val="11B1CC33"/>
    <w:multiLevelType w:val="hybridMultilevel"/>
    <w:lvl w:ilvl="0">
      <w:lvlJc w:val="left"/>
      <w:lvlText w:val="(%1)"/>
      <w:numFmt w:val="lowerLetter"/>
      <w:start w:val="1"/>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lowerRoman"/>
      <w:start w:val="1"/>
    </w:lvl>
    <w:lvl w:ilvl="1">
      <w:lvlJc w:val="left"/>
      <w:lvlText w:val="(%2)"/>
      <w:numFmt w:val="upperLetter"/>
      <w:start w:val="1"/>
    </w:lvl>
  </w:abstractNum>
  <w:abstractNum w:abstractNumId="126">
    <w:nsid w:val="77485850"/>
    <w:multiLevelType w:val="hybridMultilevel"/>
    <w:lvl w:ilvl="0">
      <w:lvlJc w:val="left"/>
      <w:lvlText w:val="%1"/>
      <w:numFmt w:val="lowerLetter"/>
      <w:start w:val="1"/>
    </w:lvl>
    <w:lvl w:ilvl="1">
      <w:lvlJc w:val="left"/>
      <w:lvlText w:val="(%2)"/>
      <w:numFmt w:val="upperLetter"/>
      <w:start w:val="2"/>
    </w:lvl>
  </w:abstractNum>
  <w:abstractNum w:abstractNumId="127">
    <w:nsid w:val="744939A3"/>
    <w:multiLevelType w:val="hybridMultilevel"/>
    <w:lvl w:ilvl="0">
      <w:lvlJc w:val="left"/>
      <w:lvlText w:val="(%1)"/>
      <w:numFmt w:val="lowerLetter"/>
      <w:start w:val="2"/>
    </w:lvl>
    <w:lvl w:ilvl="1">
      <w:lvlJc w:val="left"/>
      <w:lvlText w:val="%2"/>
      <w:numFmt w:val="upperLetter"/>
      <w:start w:val="1"/>
    </w:lvl>
  </w:abstractNum>
  <w:abstractNum w:abstractNumId="128">
    <w:nsid w:val="4FA0D2E3"/>
    <w:multiLevelType w:val="hybridMultilevel"/>
    <w:lvl w:ilvl="0">
      <w:lvlJc w:val="left"/>
      <w:lvlText w:val="(%1)"/>
      <w:numFmt w:val="lowerLetter"/>
      <w:start w:val="4"/>
    </w:lvl>
  </w:abstractNum>
  <w:abstractNum w:abstractNumId="129">
    <w:nsid w:val="6B1D2C14"/>
    <w:multiLevelType w:val="hybridMultilevel"/>
    <w:lvl w:ilvl="0">
      <w:lvlJc w:val="left"/>
      <w:lvlText w:val="(%1)"/>
      <w:numFmt w:val="lowerLetter"/>
      <w:start w:val="1"/>
    </w:lvl>
  </w:abstractNum>
  <w:abstractNum w:abstractNumId="130">
    <w:nsid w:val="68B867D3"/>
    <w:multiLevelType w:val="hybridMultilevel"/>
    <w:lvl w:ilvl="0">
      <w:lvlJc w:val="left"/>
      <w:lvlText w:val="(%1)"/>
      <w:numFmt w:val="lowerLetter"/>
      <w:start w:val="2"/>
    </w:lvl>
  </w:abstractNum>
  <w:abstractNum w:abstractNumId="131">
    <w:nsid w:val="3F7F5DD9"/>
    <w:multiLevelType w:val="hybridMultilevel"/>
    <w:lvl w:ilvl="0">
      <w:lvlJc w:val="left"/>
      <w:lvlText w:val="%1"/>
      <w:numFmt w:val="upperLetter"/>
      <w:start w:val="1"/>
    </w:lvl>
    <w:lvl w:ilvl="1">
      <w:lvlJc w:val="left"/>
      <w:lvlText w:val="(%2)"/>
      <w:numFmt w:val="lowerLetter"/>
      <w:start w:val="4"/>
    </w:lvl>
  </w:abstractNum>
  <w:abstractNum w:abstractNumId="132">
    <w:nsid w:val="2AE05A34"/>
    <w:multiLevelType w:val="hybridMultilevel"/>
    <w:lvl w:ilvl="0">
      <w:lvlJc w:val="left"/>
      <w:lvlText w:val="(%1)"/>
      <w:numFmt w:val="upperLetter"/>
      <w:start w:val="1"/>
    </w:lvl>
    <w:lvl w:ilvl="1">
      <w:lvlJc w:val="left"/>
      <w:lvlText w:val="(%2)"/>
      <w:numFmt w:val="lowerLetter"/>
      <w:start w:val="5"/>
    </w:lvl>
  </w:abstractNum>
  <w:abstractNum w:abstractNumId="133">
    <w:nsid w:val="32794FF7"/>
    <w:multiLevelType w:val="hybridMultilevel"/>
    <w:lvl w:ilvl="0">
      <w:lvlJc w:val="left"/>
      <w:lvlText w:val="(%1)"/>
      <w:numFmt w:val="lowerLetter"/>
      <w:start w:val="7"/>
    </w:lvl>
  </w:abstractNum>
  <w:abstractNum w:abstractNumId="134">
    <w:nsid w:val="5454945E"/>
    <w:multiLevelType w:val="hybridMultilevel"/>
    <w:lvl w:ilvl="0">
      <w:lvlJc w:val="left"/>
      <w:lvlText w:val="(%1)"/>
      <w:numFmt w:val="lowerLetter"/>
      <w:start w:val="1"/>
    </w:lvl>
  </w:abstractNum>
  <w:abstractNum w:abstractNumId="135">
    <w:nsid w:val="4DEFDFA0"/>
    <w:multiLevelType w:val="hybridMultilevel"/>
    <w:lvl w:ilvl="0">
      <w:lvlJc w:val="left"/>
      <w:lvlText w:val="%1"/>
      <w:numFmt w:val="lowerLetter"/>
      <w:start w:val="1"/>
    </w:lvl>
    <w:lvl w:ilvl="1">
      <w:lvlJc w:val="left"/>
      <w:lvlText w:val="(%2)"/>
      <w:numFmt w:val="lowerLetter"/>
      <w:start w:val="2"/>
    </w:lvl>
  </w:abstractNum>
  <w:abstractNum w:abstractNumId="136">
    <w:nsid w:val="2123D5F2"/>
    <w:multiLevelType w:val="hybridMultilevel"/>
    <w:lvl w:ilvl="0">
      <w:lvlJc w:val="left"/>
      <w:lvlText w:val="(%1)"/>
      <w:numFmt w:val="lowerLetter"/>
      <w:start w:val="9"/>
    </w:lvl>
    <w:lvl w:ilvl="1">
      <w:lvlJc w:val="left"/>
      <w:lvlText w:val="(%2)"/>
      <w:numFmt w:val="lowerLetter"/>
      <w:start w:val="3"/>
    </w:lvl>
  </w:abstractNum>
  <w:abstractNum w:abstractNumId="137">
    <w:nsid w:val="135B8110"/>
    <w:multiLevelType w:val="hybridMultilevel"/>
    <w:lvl w:ilvl="0">
      <w:lvlJc w:val="left"/>
      <w:lvlText w:val="(%1)"/>
      <w:numFmt w:val="lowerLetter"/>
      <w:start w:val="5"/>
    </w:lvl>
  </w:abstractNum>
  <w:abstractNum w:abstractNumId="138">
    <w:nsid w:val="94927A8"/>
    <w:multiLevelType w:val="hybridMultilevel"/>
    <w:lvl w:ilvl="0">
      <w:lvlJc w:val="left"/>
      <w:lvlText w:val="(%1)"/>
      <w:numFmt w:val="lowerLetter"/>
      <w:start w:val="1"/>
    </w:lvl>
  </w:abstractNum>
  <w:abstractNum w:abstractNumId="139">
    <w:nsid w:val="DCDF8F6"/>
    <w:multiLevelType w:val="hybridMultilevel"/>
    <w:lvl w:ilvl="0">
      <w:lvlJc w:val="left"/>
      <w:lvlText w:val="(%1)"/>
      <w:numFmt w:val="lowerLetter"/>
      <w:start w:val="3"/>
    </w:lvl>
  </w:abstractNum>
  <w:abstractNum w:abstractNumId="140">
    <w:nsid w:val="52D7B105"/>
    <w:multiLevelType w:val="hybridMultilevel"/>
    <w:lvl w:ilvl="0">
      <w:lvlJc w:val="left"/>
      <w:lvlText w:val="%1"/>
      <w:numFmt w:val="upperLetter"/>
      <w:start w:val="1"/>
    </w:lvl>
    <w:lvl w:ilvl="1">
      <w:lvlJc w:val="left"/>
      <w:lvlText w:val="(%2)"/>
      <w:numFmt w:val="lowerLetter"/>
      <w:start w:val="1"/>
    </w:lvl>
  </w:abstractNum>
  <w:abstractNum w:abstractNumId="141">
    <w:nsid w:val="2E8A6394"/>
    <w:multiLevelType w:val="hybridMultilevel"/>
    <w:lvl w:ilvl="0">
      <w:lvlJc w:val="left"/>
      <w:lvlText w:val="(%1)"/>
      <w:numFmt w:val="upperLetter"/>
      <w:start w:val="2"/>
    </w:lvl>
    <w:lvl w:ilvl="1">
      <w:lvlJc w:val="left"/>
      <w:lvlText w:val="%2"/>
      <w:numFmt w:val="lowerLetter"/>
      <w:start w:val="1"/>
    </w:lvl>
  </w:abstractNum>
  <w:abstractNum w:abstractNumId="142">
    <w:nsid w:val="24E60401"/>
    <w:multiLevelType w:val="hybridMultilevel"/>
    <w:lvl w:ilvl="0">
      <w:lvlJc w:val="left"/>
      <w:lvlText w:val="%1"/>
      <w:numFmt w:val="decimal"/>
      <w:start w:val="1"/>
    </w:lvl>
    <w:lvl w:ilvl="1">
      <w:lvlJc w:val="left"/>
      <w:lvlText w:val="(%2)"/>
      <w:numFmt w:val="lowerLetter"/>
      <w:start w:val="2"/>
    </w:lvl>
  </w:abstractNum>
  <w:abstractNum w:abstractNumId="143">
    <w:nsid w:val="2A6AD9BE"/>
    <w:multiLevelType w:val="hybridMultilevel"/>
    <w:lvl w:ilvl="0">
      <w:lvlJc w:val="left"/>
      <w:lvlText w:val="(%1)"/>
      <w:numFmt w:val="decimal"/>
      <w:start w:val="180"/>
    </w:lvl>
    <w:lvl w:ilvl="1">
      <w:lvlJc w:val="left"/>
      <w:lvlText w:val="(%2)"/>
      <w:numFmt w:val="lowerLetter"/>
      <w:start w:val="3"/>
    </w:lvl>
  </w:abstractNum>
  <w:abstractNum w:abstractNumId="144">
    <w:nsid w:val="BAAC1B4"/>
    <w:multiLevelType w:val="hybridMultilevel"/>
    <w:lvl w:ilvl="0">
      <w:lvlJc w:val="left"/>
      <w:lvlText w:val="(%1)"/>
      <w:numFmt w:val="lowerLetter"/>
      <w:start w:val="4"/>
    </w:lvl>
  </w:abstractNum>
  <w:abstractNum w:abstractNumId="145">
    <w:nsid w:val="36B2ACBC"/>
    <w:multiLevelType w:val="hybridMultilevel"/>
    <w:lvl w:ilvl="0">
      <w:lvlJc w:val="left"/>
      <w:lvlText w:val="(%1)"/>
      <w:numFmt w:val="lowerLetter"/>
      <w:start w:val="1"/>
    </w:lvl>
  </w:abstractNum>
  <w:abstractNum w:abstractNumId="146">
    <w:nsid w:val="779D8544"/>
    <w:multiLevelType w:val="hybridMultilevel"/>
    <w:lvl w:ilvl="0">
      <w:lvlJc w:val="left"/>
      <w:lvlText w:val="(%1)"/>
      <w:numFmt w:val="lowerLetter"/>
      <w:start w:val="2"/>
    </w:lvl>
  </w:abstractNum>
  <w:abstractNum w:abstractNumId="147">
    <w:nsid w:val="4AB26E78"/>
    <w:multiLevelType w:val="hybridMultilevel"/>
    <w:lvl w:ilvl="0">
      <w:lvlJc w:val="left"/>
      <w:lvlText w:val="%1"/>
      <w:numFmt w:val="decimal"/>
      <w:start w:val="1"/>
    </w:lvl>
    <w:lvl w:ilvl="1">
      <w:lvlJc w:val="left"/>
      <w:lvlText w:val="(%2)"/>
      <w:numFmt w:val="lowerLetter"/>
      <w:start w:val="3"/>
    </w:lvl>
  </w:abstractNum>
  <w:abstractNum w:abstractNumId="148">
    <w:nsid w:val="21FAA2FA"/>
    <w:multiLevelType w:val="hybridMultilevel"/>
    <w:lvl w:ilvl="0">
      <w:lvlJc w:val="left"/>
      <w:lvlText w:val="(%1)"/>
      <w:numFmt w:val="decimal"/>
      <w:start w:val="30"/>
    </w:lvl>
    <w:lvl w:ilvl="1">
      <w:lvlJc w:val="left"/>
      <w:lvlText w:val="(%2)"/>
      <w:numFmt w:val="lowerLetter"/>
      <w:start w:val="4"/>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2"/>
    </w:lvl>
  </w:abstractNum>
  <w:abstractNum w:abstractNumId="151">
    <w:nsid w:val="3E6400E6"/>
    <w:multiLevelType w:val="hybridMultilevel"/>
    <w:lvl w:ilvl="0">
      <w:lvlJc w:val="left"/>
      <w:lvlText w:val="(%1)"/>
      <w:numFmt w:val="lowerLetter"/>
      <w:start w:val="4"/>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Letter"/>
      <w:start w:val="2"/>
    </w:lvl>
  </w:abstractNum>
  <w:abstractNum w:abstractNumId="154">
    <w:nsid w:val="5015CD1A"/>
    <w:multiLevelType w:val="hybridMultilevel"/>
    <w:lvl w:ilvl="0">
      <w:lvlJc w:val="left"/>
      <w:lvlText w:val="(%1)"/>
      <w:numFmt w:val="lowerLetter"/>
      <w:start w:val="1"/>
    </w:lvl>
  </w:abstractNum>
  <w:abstractNum w:abstractNumId="155">
    <w:nsid w:val="424479DA"/>
    <w:multiLevelType w:val="hybridMultilevel"/>
    <w:lvl w:ilvl="0">
      <w:lvlJc w:val="left"/>
      <w:lvlText w:val="(%1)"/>
      <w:numFmt w:val="lowerLetter"/>
      <w:start w:val="8"/>
    </w:lvl>
  </w:abstractNum>
  <w:abstractNum w:abstractNumId="156">
    <w:nsid w:val="1A9A9E69"/>
    <w:multiLevelType w:val="hybridMultilevel"/>
    <w:lvl w:ilvl="0">
      <w:lvlJc w:val="left"/>
      <w:lvlText w:val="(%1)"/>
      <w:numFmt w:val="lowerLetter"/>
      <w:start w:val="1"/>
    </w:lvl>
  </w:abstractNum>
  <w:abstractNum w:abstractNumId="157">
    <w:nsid w:val="475E256A"/>
    <w:multiLevelType w:val="hybridMultilevel"/>
    <w:lvl w:ilvl="0">
      <w:lvlJc w:val="left"/>
      <w:lvlText w:val="(%1)"/>
      <w:numFmt w:val="lowerLetter"/>
      <w:start w:val="1"/>
    </w:lvl>
    <w:lvl w:ilvl="1">
      <w:lvlJc w:val="left"/>
      <w:lvlText w:val="(%2)"/>
      <w:numFmt w:val="lowerRoman"/>
      <w:start w:val="1"/>
    </w:lvl>
  </w:abstractNum>
  <w:abstractNum w:abstractNumId="158">
    <w:nsid w:val="368DB37E"/>
    <w:multiLevelType w:val="hybridMultilevel"/>
    <w:lvl w:ilvl="0">
      <w:lvlJc w:val="left"/>
      <w:lvlText w:val="%1"/>
      <w:numFmt w:val="lowerLetter"/>
      <w:start w:val="1"/>
    </w:lvl>
    <w:lvl w:ilvl="1">
      <w:lvlJc w:val="left"/>
      <w:lvlText w:val="(%2)"/>
      <w:numFmt w:val="lowerRoman"/>
      <w:start w:val="6"/>
    </w:lvl>
  </w:abstractNum>
  <w:abstractNum w:abstractNumId="159">
    <w:nsid w:val="6A3B714C"/>
    <w:multiLevelType w:val="hybridMultilevel"/>
    <w:lvl w:ilvl="0">
      <w:lvlJc w:val="left"/>
      <w:lvlText w:val="(%1)"/>
      <w:numFmt w:val="lowerLetter"/>
      <w:start w:val="3"/>
    </w:lvl>
    <w:lvl w:ilvl="1">
      <w:lvlJc w:val="left"/>
      <w:lvlText w:val="%2"/>
      <w:numFmt w:val="lowerRoman"/>
      <w:start w:val="1"/>
    </w:lvl>
  </w:abstractNum>
  <w:abstractNum w:abstractNumId="160">
    <w:nsid w:val="327B517E"/>
    <w:multiLevelType w:val="hybridMultilevel"/>
    <w:lvl w:ilvl="0">
      <w:lvlJc w:val="left"/>
      <w:lvlText w:val="(%1)"/>
      <w:numFmt w:val="lowerLetter"/>
      <w:start w:val="1"/>
    </w:lvl>
  </w:abstractNum>
  <w:abstractNum w:abstractNumId="161">
    <w:nsid w:val="1F461B51"/>
    <w:multiLevelType w:val="hybridMultilevel"/>
    <w:lvl w:ilvl="0">
      <w:lvlJc w:val="left"/>
      <w:lvlText w:val="(%1)"/>
      <w:numFmt w:val="lowerLetter"/>
      <w:start w:val="2"/>
    </w:lvl>
  </w:abstractNum>
  <w:abstractNum w:abstractNumId="162">
    <w:nsid w:val="29BACF25"/>
    <w:multiLevelType w:val="hybridMultilevel"/>
    <w:lvl w:ilvl="0">
      <w:lvlJc w:val="left"/>
      <w:lvlText w:val="(%1)"/>
      <w:numFmt w:val="lowerLetter"/>
      <w:start w:val="1"/>
    </w:lvl>
  </w:abstractNum>
  <w:abstractNum w:abstractNumId="163">
    <w:nsid w:val="5D5BABB3"/>
    <w:multiLevelType w:val="hybridMultilevel"/>
    <w:lvl w:ilvl="0">
      <w:lvlJc w:val="left"/>
      <w:lvlText w:val="(%1)"/>
      <w:numFmt w:val="lowerLetter"/>
      <w:start w:val="2"/>
    </w:lvl>
  </w:abstractNum>
  <w:abstractNum w:abstractNumId="164">
    <w:nsid w:val="51BF6B48"/>
    <w:multiLevelType w:val="hybridMultilevel"/>
    <w:lvl w:ilvl="0">
      <w:lvlJc w:val="left"/>
      <w:lvlText w:val="(%1)"/>
      <w:numFmt w:val="lowerRoman"/>
      <w:start w:val="2"/>
    </w:lvl>
  </w:abstractNum>
  <w:abstractNum w:abstractNumId="165">
    <w:nsid w:val="7E0F6384"/>
    <w:multiLevelType w:val="hybridMultilevel"/>
    <w:lvl w:ilvl="0">
      <w:lvlJc w:val="left"/>
      <w:lvlText w:val="(%1)"/>
      <w:numFmt w:val="lowerLetter"/>
      <w:start w:val="1"/>
    </w:lvl>
  </w:abstractNum>
  <w:abstractNum w:abstractNumId="166">
    <w:nsid w:val="2B4B8B53"/>
    <w:multiLevelType w:val="hybridMultilevel"/>
    <w:lvl w:ilvl="0">
      <w:lvlJc w:val="left"/>
      <w:lvlText w:val="(%1)"/>
      <w:numFmt w:val="lowerLetter"/>
      <w:start w:val="3"/>
    </w:lvl>
  </w:abstractNum>
  <w:abstractNum w:abstractNumId="167">
    <w:nsid w:val="72E3413A"/>
    <w:multiLevelType w:val="hybridMultilevel"/>
    <w:lvl w:ilvl="0">
      <w:lvlJc w:val="left"/>
      <w:lvlText w:val="(%1)"/>
      <w:numFmt w:val="lowerLetter"/>
      <w:start w:val="8"/>
    </w:lvl>
  </w:abstractNum>
  <w:abstractNum w:abstractNumId="168">
    <w:nsid w:val="116AE494"/>
    <w:multiLevelType w:val="hybridMultilevel"/>
    <w:lvl w:ilvl="0">
      <w:lvlJc w:val="left"/>
      <w:lvlText w:val="(%1)"/>
      <w:numFmt w:val="lowerLetter"/>
      <w:start w:val="1"/>
    </w:lvl>
  </w:abstractNum>
  <w:abstractNum w:abstractNumId="169">
    <w:nsid w:val="3494B2FB"/>
    <w:multiLevelType w:val="hybridMultilevel"/>
    <w:lvl w:ilvl="0">
      <w:lvlJc w:val="left"/>
      <w:lvlText w:val="(%1)"/>
      <w:numFmt w:val="lowerLetter"/>
      <w:start w:val="8"/>
    </w:lvl>
  </w:abstractNum>
  <w:abstractNum w:abstractNumId="170">
    <w:nsid w:val="B13A31"/>
    <w:multiLevelType w:val="hybridMultilevel"/>
    <w:lvl w:ilvl="0">
      <w:lvlJc w:val="left"/>
      <w:lvlText w:val="(%1)"/>
      <w:numFmt w:val="lowerLetter"/>
      <w:start w:val="20"/>
    </w:lvl>
  </w:abstractNum>
  <w:abstractNum w:abstractNumId="171">
    <w:nsid w:val="64429599"/>
    <w:multiLevelType w:val="hybridMultilevel"/>
    <w:lvl w:ilvl="0">
      <w:lvlJc w:val="left"/>
      <w:lvlText w:val="(%1)"/>
      <w:numFmt w:val="lowerLetter"/>
      <w:start w:val="27"/>
    </w:lvl>
  </w:abstractNum>
  <w:abstractNum w:abstractNumId="172">
    <w:nsid w:val="631F1690"/>
    <w:multiLevelType w:val="hybridMultilevel"/>
    <w:lvl w:ilvl="0">
      <w:lvlJc w:val="left"/>
      <w:lvlText w:val="(%1)"/>
      <w:numFmt w:val="lowerLetter"/>
      <w:start w:val="40"/>
    </w:lvl>
  </w:abstractNum>
  <w:abstractNum w:abstractNumId="173">
    <w:nsid w:val="25973E32"/>
    <w:multiLevelType w:val="hybridMultilevel"/>
    <w:lvl w:ilvl="0">
      <w:lvlJc w:val="left"/>
      <w:lvlText w:val="(%1)"/>
      <w:numFmt w:val="lowerLetter"/>
      <w:start w:val="45"/>
    </w:lvl>
  </w:abstractNum>
  <w:abstractNum w:abstractNumId="174">
    <w:nsid w:val="EAD6F57"/>
    <w:multiLevelType w:val="hybridMultilevel"/>
    <w:lvl w:ilvl="0">
      <w:lvlJc w:val="left"/>
      <w:lvlText w:val="(%1)"/>
      <w:numFmt w:val="lowerLetter"/>
      <w:start w:val="52"/>
    </w:lvl>
  </w:abstractNum>
  <w:abstractNum w:abstractNumId="175">
    <w:nsid w:val="6EC9D844"/>
    <w:multiLevelType w:val="hybridMultilevel"/>
    <w:lvl w:ilvl="0">
      <w:lvlJc w:val="left"/>
      <w:lvlText w:val="(%1)"/>
      <w:numFmt w:val="lowerLetter"/>
      <w:start w:val="53"/>
    </w:lvl>
  </w:abstractNum>
  <w:abstractNum w:abstractNumId="176">
    <w:nsid w:val="5C49EAEE"/>
    <w:multiLevelType w:val="hybridMultilevel"/>
    <w:lvl w:ilvl="0">
      <w:lvlJc w:val="left"/>
      <w:lvlText w:val="(%1)"/>
      <w:numFmt w:val="lowerLetter"/>
      <w:start w:val="60"/>
    </w:lvl>
  </w:abstractNum>
  <w:abstractNum w:abstractNumId="177">
    <w:nsid w:val="64AF49B"/>
    <w:multiLevelType w:val="hybridMultilevel"/>
    <w:lvl w:ilvl="0">
      <w:lvlJc w:val="left"/>
      <w:lvlText w:val="(%1)"/>
      <w:numFmt w:val="lowerLetter"/>
      <w:start w:val="66"/>
    </w:lvl>
  </w:abstractNum>
  <w:abstractNum w:abstractNumId="178">
    <w:nsid w:val="397C46BC"/>
    <w:multiLevelType w:val="hybridMultilevel"/>
    <w:lvl w:ilvl="0">
      <w:lvlJc w:val="left"/>
      <w:lvlText w:val="(%1)"/>
      <w:numFmt w:val="lowerLetter"/>
      <w:start w:val="76"/>
    </w:lvl>
  </w:abstractNum>
  <w:abstractNum w:abstractNumId="179">
    <w:nsid w:val="7E448DE9"/>
    <w:multiLevelType w:val="hybridMultilevel"/>
    <w:lvl w:ilvl="0">
      <w:lvlJc w:val="left"/>
      <w:lvlText w:val="(%1)"/>
      <w:numFmt w:val="lowerLetter"/>
      <w:start w:val="79"/>
    </w:lvl>
  </w:abstractNum>
  <w:abstractNum w:abstractNumId="180">
    <w:nsid w:val="5A9CC3E5"/>
    <w:multiLevelType w:val="hybridMultilevel"/>
    <w:lvl w:ilvl="0">
      <w:lvlJc w:val="left"/>
      <w:lvlText w:val="(%1)"/>
      <w:numFmt w:val="lowerLetter"/>
      <w:start w:val="81"/>
    </w:lvl>
  </w:abstractNum>
  <w:abstractNum w:abstractNumId="181">
    <w:nsid w:val="1AFE3625"/>
    <w:multiLevelType w:val="hybridMultilevel"/>
    <w:lvl w:ilvl="0">
      <w:lvlJc w:val="left"/>
      <w:lvlText w:val="(%1)"/>
      <w:numFmt w:val="lowerLetter"/>
      <w:start w:val="91"/>
    </w:lvl>
  </w:abstractNum>
  <w:abstractNum w:abstractNumId="182">
    <w:nsid w:val="3CA88ECF"/>
    <w:multiLevelType w:val="hybridMultilevel"/>
    <w:lvl w:ilvl="0">
      <w:lvlJc w:val="left"/>
      <w:lvlText w:val="(%1)"/>
      <w:numFmt w:val="lowerLetter"/>
      <w:start w:val="99"/>
    </w:lvl>
  </w:abstractNum>
  <w:abstractNum w:abstractNumId="183">
    <w:nsid w:val="6EBE4208"/>
    <w:multiLevelType w:val="hybridMultilevel"/>
    <w:lvl w:ilvl="0">
      <w:lvlJc w:val="left"/>
      <w:lvlText w:val="(%1)"/>
      <w:numFmt w:val="lowerLetter"/>
      <w:start w:val="105"/>
    </w:lvl>
    <w:lvl w:ilvl="1">
      <w:lvlJc w:val="left"/>
      <w:lvlText w:val="(%2)"/>
      <w:numFmt w:val="lowerRoman"/>
      <w:start w:val="1"/>
    </w:lvl>
  </w:abstractNum>
  <w:abstractNum w:abstractNumId="184">
    <w:nsid w:val="C058DF5"/>
    <w:multiLevelType w:val="hybridMultilevel"/>
    <w:lvl w:ilvl="0">
      <w:lvlJc w:val="left"/>
      <w:lvlText w:val="(%1)"/>
      <w:numFmt w:val="lowerLetter"/>
      <w:start w:val="109"/>
    </w:lvl>
  </w:abstractNum>
  <w:abstractNum w:abstractNumId="185">
    <w:nsid w:val="CBE5BE9"/>
    <w:multiLevelType w:val="hybridMultilevel"/>
    <w:lvl w:ilvl="0">
      <w:lvlJc w:val="left"/>
      <w:lvlText w:val="%1"/>
      <w:numFmt w:val="lowerLetter"/>
      <w:start w:val="1"/>
    </w:lvl>
    <w:lvl w:ilvl="1">
      <w:lvlJc w:val="left"/>
      <w:lvlText w:val="(%2)"/>
      <w:numFmt w:val="lowerLetter"/>
      <w:start w:val="115"/>
    </w:lvl>
  </w:abstractNum>
  <w:abstractNum w:abstractNumId="186">
    <w:nsid w:val="3102BBE2"/>
    <w:multiLevelType w:val="hybridMultilevel"/>
    <w:lvl w:ilvl="0">
      <w:lvlJc w:val="left"/>
      <w:lvlText w:val="(%1)"/>
      <w:numFmt w:val="lowerLetter"/>
      <w:start w:val="35"/>
    </w:lvl>
    <w:lvl w:ilvl="1">
      <w:lvlJc w:val="left"/>
      <w:lvlText w:val="(%2)"/>
      <w:numFmt w:val="lowerLetter"/>
      <w:start w:val="117"/>
    </w:lvl>
  </w:abstractNum>
  <w:abstractNum w:abstractNumId="187">
    <w:nsid w:val="26A02C5E"/>
    <w:multiLevelType w:val="hybridMultilevel"/>
    <w:lvl w:ilvl="0">
      <w:lvlJc w:val="left"/>
      <w:lvlText w:val="(%1)"/>
      <w:numFmt w:val="lowerLetter"/>
      <w:start w:val="120"/>
    </w:lvl>
  </w:abstractNum>
  <w:abstractNum w:abstractNumId="188">
    <w:nsid w:val="541C8153"/>
    <w:multiLevelType w:val="hybridMultilevel"/>
    <w:lvl w:ilvl="0">
      <w:lvlJc w:val="left"/>
      <w:lvlText w:val="(%1)"/>
      <w:numFmt w:val="lowerLetter"/>
      <w:start w:val="128"/>
    </w:lvl>
  </w:abstractNum>
  <w:abstractNum w:abstractNumId="189">
    <w:nsid w:val="67906F60"/>
    <w:multiLevelType w:val="hybridMultilevel"/>
    <w:lvl w:ilvl="0">
      <w:lvlJc w:val="left"/>
      <w:lvlText w:val="(%1)"/>
      <w:numFmt w:val="lowerLetter"/>
      <w:start w:val="131"/>
    </w:lvl>
  </w:abstractNum>
  <w:abstractNum w:abstractNumId="190">
    <w:nsid w:val="10DB9DAA"/>
    <w:multiLevelType w:val="hybridMultilevel"/>
    <w:lvl w:ilvl="0">
      <w:lvlJc w:val="left"/>
      <w:lvlText w:val="(%1)"/>
      <w:numFmt w:val="lowerLetter"/>
      <w:start w:val="135"/>
    </w:lvl>
  </w:abstractNum>
  <w:abstractNum w:abstractNumId="191">
    <w:nsid w:val="697D2D2"/>
    <w:multiLevelType w:val="hybridMultilevel"/>
    <w:lvl w:ilvl="0">
      <w:lvlJc w:val="left"/>
      <w:lvlText w:val="(%1)"/>
      <w:numFmt w:val="lowerLetter"/>
      <w:start w:val="165"/>
    </w:lvl>
  </w:abstractNum>
  <w:abstractNum w:abstractNumId="192">
    <w:nsid w:val="6D68AB2"/>
    <w:multiLevelType w:val="hybridMultilevel"/>
    <w:lvl w:ilvl="0">
      <w:lvlJc w:val="left"/>
      <w:lvlText w:val="(%1)"/>
      <w:numFmt w:val="lowerLetter"/>
      <w:start w:val="140"/>
    </w:lvl>
  </w:abstractNum>
  <w:abstractNum w:abstractNumId="193">
    <w:nsid w:val="3A966CD0"/>
    <w:multiLevelType w:val="hybridMultilevel"/>
    <w:lvl w:ilvl="0">
      <w:lvlJc w:val="left"/>
      <w:lvlText w:val="%1."/>
      <w:numFmt w:val="decimal"/>
      <w:start w:val="1"/>
    </w:lvl>
  </w:abstractNum>
  <w:abstractNum w:abstractNumId="194">
    <w:nsid w:val="63F37E85"/>
    <w:multiLevelType w:val="hybridMultilevel"/>
    <w:lvl w:ilvl="0">
      <w:lvlJc w:val="left"/>
      <w:lvlText w:val="%1."/>
      <w:numFmt w:val="decimal"/>
      <w:start w:val="6"/>
    </w:lvl>
  </w:abstractNum>
  <w:abstractNum w:abstractNumId="195">
    <w:nsid w:val="5895F5FA"/>
    <w:multiLevelType w:val="hybridMultilevel"/>
    <w:lvl w:ilvl="0">
      <w:lvlJc w:val="left"/>
      <w:lvlText w:val="(%1)"/>
      <w:numFmt w:val="lowerLetter"/>
      <w:start w:val="1"/>
    </w:lvl>
  </w:abstractNum>
  <w:abstractNum w:abstractNumId="196">
    <w:nsid w:val="38A5D054"/>
    <w:multiLevelType w:val="hybridMultilevel"/>
    <w:lvl w:ilvl="0">
      <w:lvlJc w:val="left"/>
      <w:lvlText w:val="(%1)"/>
      <w:numFmt w:val="lowerLetter"/>
      <w:start w:val="5"/>
    </w:lvl>
  </w:abstractNum>
  <w:abstractNum w:abstractNumId="197">
    <w:nsid w:val="F3F09D8"/>
    <w:multiLevelType w:val="hybridMultilevel"/>
    <w:lvl w:ilvl="0">
      <w:lvlJc w:val="left"/>
      <w:lvlText w:val="(%1)"/>
      <w:numFmt w:val="lowerLetter"/>
      <w:start w:val="1"/>
    </w:lvl>
  </w:abstractNum>
  <w:abstractNum w:abstractNumId="198">
    <w:nsid w:val="4B793735"/>
    <w:multiLevelType w:val="hybridMultilevel"/>
    <w:lvl w:ilvl="0">
      <w:lvlJc w:val="left"/>
      <w:lvlText w:val="(%1)"/>
      <w:numFmt w:val="decimal"/>
      <w:start w:val="10"/>
    </w:lvl>
    <w:lvl w:ilvl="1">
      <w:lvlJc w:val="left"/>
      <w:lvlText w:val="(%2)"/>
      <w:numFmt w:val="lowerLetter"/>
      <w:start w:val="3"/>
    </w:lvl>
  </w:abstractNum>
  <w:abstractNum w:abstractNumId="199">
    <w:nsid w:val="4A10B4E8"/>
    <w:multiLevelType w:val="hybridMultilevel"/>
    <w:lvl w:ilvl="0">
      <w:lvlJc w:val="left"/>
      <w:lvlText w:val="(%1)"/>
      <w:numFmt w:val="decimal"/>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lvl w:ilvl="1">
      <w:lvlJc w:val="left"/>
      <w:lvlText w:val="%2)"/>
      <w:numFmt w:val="lowerLetter"/>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png"/><Relationship Id="rId6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74" Type="http://schemas.openxmlformats.org/officeDocument/2006/relationships/image" Target="media/image27.png"/><Relationship Id="rId75" Type="http://schemas.openxmlformats.org/officeDocument/2006/relationships/image" Target="media/image28.png"/><Relationship Id="rId76" Type="http://schemas.openxmlformats.org/officeDocument/2006/relationships/image" Target="media/image29.png"/><Relationship Id="rId77" Type="http://schemas.openxmlformats.org/officeDocument/2006/relationships/image" Target="media/image30.png"/><Relationship Id="rId78" Type="http://schemas.openxmlformats.org/officeDocument/2006/relationships/image" Target="media/image31.png"/><Relationship Id="rId79" Type="http://schemas.openxmlformats.org/officeDocument/2006/relationships/image" Target="media/image32.png"/><Relationship Id="rId80" Type="http://schemas.openxmlformats.org/officeDocument/2006/relationships/image" Target="media/image33.png"/><Relationship Id="rId81" Type="http://schemas.openxmlformats.org/officeDocument/2006/relationships/image" Target="media/image34.png"/><Relationship Id="rId82" Type="http://schemas.openxmlformats.org/officeDocument/2006/relationships/image" Target="media/image35.png"/><Relationship Id="rId83" Type="http://schemas.openxmlformats.org/officeDocument/2006/relationships/image" Target="media/image36.png"/><Relationship Id="rId84" Type="http://schemas.openxmlformats.org/officeDocument/2006/relationships/image" Target="media/image37.png"/><Relationship Id="rId85" Type="http://schemas.openxmlformats.org/officeDocument/2006/relationships/image" Target="media/image38.png"/><Relationship Id="rId86" Type="http://schemas.openxmlformats.org/officeDocument/2006/relationships/image" Target="media/image39.png"/><Relationship Id="rId87"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 Type="http://schemas.openxmlformats.org/officeDocument/2006/relationships/hyperlink" Target="https://www.sec.gov/Archives/edgar/data/1467858/000146785819000033/gm201810k.htm" TargetMode="External"/><Relationship Id="rId23" Type="http://schemas.openxmlformats.org/officeDocument/2006/relationships/hyperlink" Target="http://www.sec.gov/Archives/edgar/data/1467858/000146785817000070/ex-21x03312017.htm" TargetMode="External"/><Relationship Id="rId24" Type="http://schemas.openxmlformats.org/officeDocument/2006/relationships/hyperlink" Target="http://www.sec.gov/Archives/edgar/data/1467858/000146785818000089/ex215312018purchaseagreeme.htm" TargetMode="External"/><Relationship Id="rId25" Type="http://schemas.openxmlformats.org/officeDocument/2006/relationships/hyperlink" Target="https://www.sec.gov/Archives/edgar/data/1467858/000146785819000033/ex-23purchaseagreementgmcr.htm" TargetMode="External"/><Relationship Id="rId26" Type="http://schemas.openxmlformats.org/officeDocument/2006/relationships/hyperlink" Target="http://www.sec.gov/Archives/edgar/data/1467858/000119312510279214/dex32.htm" TargetMode="External"/><Relationship Id="rId27" Type="http://schemas.openxmlformats.org/officeDocument/2006/relationships/hyperlink" Target="http://www.sec.gov/Archives/edgar/data/1467858/000119312518252892/d595623dex31.htm" TargetMode="External"/><Relationship Id="rId28" Type="http://schemas.openxmlformats.org/officeDocument/2006/relationships/hyperlink" Target="http://www.sec.gov/Archives/edgar/data/1467858/000146785814000133/ex42043014indenture.htm" TargetMode="External"/><Relationship Id="rId29" Type="http://schemas.openxmlformats.org/officeDocument/2006/relationships/hyperlink" Target="http://www.sec.gov/Archives/edgar/data/1467858/000146785814000149/ex43gmsupplementalindenture.htm" TargetMode="External"/><Relationship Id="rId30" Type="http://schemas.openxmlformats.org/officeDocument/2006/relationships/hyperlink" Target="http://www.sec.gov/Archives/edgar/data/1467858/000146785814000251/ex-44secondsupplementalind.htm" TargetMode="External"/><Relationship Id="rId31" Type="http://schemas.openxmlformats.org/officeDocument/2006/relationships/hyperlink" Target="http://www.sec.gov/Archives/edgar/data/1467858/000119312516473749/d52897dex41.htm" TargetMode="External"/><Relationship Id="rId32" Type="http://schemas.openxmlformats.org/officeDocument/2006/relationships/hyperlink" Target="http://www.sec.gov/Archives/edgar/data/1467858/000119312517251403/d429540dex41.htm" TargetMode="External"/><Relationship Id="rId33" Type="http://schemas.openxmlformats.org/officeDocument/2006/relationships/hyperlink" Target="http://www.sec.gov/Archives/edgar/data/1467858/000119312518270117/d616437dex42.htm" TargetMode="External"/><Relationship Id="rId34" Type="http://schemas.openxmlformats.org/officeDocument/2006/relationships/hyperlink" Target="http://www.sec.gov/Archives/edgar/data/1467858/000119312517251403/d429540dex42.htm" TargetMode="External"/><Relationship Id="rId35" Type="http://schemas.openxmlformats.org/officeDocument/2006/relationships/hyperlink" Target="http://www.sec.gov/Archives/edgar/data/1467858/000119312518270117/d616437dex43.htm" TargetMode="External"/><Relationship Id="rId36" Type="http://schemas.openxmlformats.org/officeDocument/2006/relationships/hyperlink" Target="http://www.sec.gov/Archives/edgar/data/1467858/000119312509235641/dex108.htm" TargetMode="External"/><Relationship Id="rId37" Type="http://schemas.openxmlformats.org/officeDocument/2006/relationships/hyperlink" Target="http://www.sec.gov/Archives/edgar/data/40730/000090951809000714/mm10-2109_8ke101.htm" TargetMode="External"/><Relationship Id="rId38" Type="http://schemas.openxmlformats.org/officeDocument/2006/relationships/hyperlink" Target="http://www.sec.gov/Archives/edgar/data/1467858/000119312510246019/dex1043.htm" TargetMode="External"/><Relationship Id="rId39" Type="http://schemas.openxmlformats.org/officeDocument/2006/relationships/hyperlink" Target="http://www.sec.gov/Archives/edgar/data/1467858/000119312510078119/dex1014.htm" TargetMode="External"/><Relationship Id="rId40" Type="http://schemas.openxmlformats.org/officeDocument/2006/relationships/hyperlink" Target="http://www.sec.gov/Archives/edgar/data/1467858/000146785813000025/ex-1012x12312012.htm" TargetMode="External"/><Relationship Id="rId41" Type="http://schemas.openxmlformats.org/officeDocument/2006/relationships/hyperlink" Target="http://www.sec.gov/Archives/edgar/data/1467858/000119312516449435/d124387dex102.htm" TargetMode="External"/><Relationship Id="rId42" Type="http://schemas.openxmlformats.org/officeDocument/2006/relationships/hyperlink" Target="http://www.sec.gov/Archives/edgar/data/1467858/000146785814000164/ex101-2014longxtermincenti.htm" TargetMode="External"/><Relationship Id="rId43" Type="http://schemas.openxmlformats.org/officeDocument/2006/relationships/hyperlink" Target="http://www.sec.gov/Archives/edgar/data/1467858/000146785815000178/formofawardagreement.htm" TargetMode="External"/><Relationship Id="rId44" Type="http://schemas.openxmlformats.org/officeDocument/2006/relationships/hyperlink" Target="http://www.sec.gov/Archives/edgar/data/1467858/000146785817000070/ex-101x03312017.htm" TargetMode="External"/><Relationship Id="rId45" Type="http://schemas.openxmlformats.org/officeDocument/2006/relationships/hyperlink" Target="http://www.sec.gov/Archives/edgar/data/1467858/000119312516589990/d169701dex991.htm" TargetMode="External"/><Relationship Id="rId46" Type="http://schemas.openxmlformats.org/officeDocument/2006/relationships/hyperlink" Target="http://www.sec.gov/Archives/edgar/data/40730/000095012406001534/k03376exv10wxgy.htm" TargetMode="External"/><Relationship Id="rId47" Type="http://schemas.openxmlformats.org/officeDocument/2006/relationships/hyperlink" Target="http://www.sec.gov/Archives/edgar/data/1467858/000146785816000317/ex-106xindemnificationagre.htm" TargetMode="External"/><Relationship Id="rId48" Type="http://schemas.openxmlformats.org/officeDocument/2006/relationships/hyperlink" Target="http://www.sec.gov/Archives/edgar/data/1467858/000146785818000022/ex1025-2017stip.htm" TargetMode="External"/><Relationship Id="rId49" Type="http://schemas.openxmlformats.org/officeDocument/2006/relationships/hyperlink" Target="http://www.sec.gov/Archives/edgar/data/1467858/000119312517205999/d405034dex41.htm" TargetMode="External"/><Relationship Id="rId50" Type="http://schemas.openxmlformats.org/officeDocument/2006/relationships/hyperlink" Target="http://www.sec.gov/Archives/edgar/data/1467858/000146785818000068/ex-101x03312018.htm" TargetMode="External"/><Relationship Id="rId51" Type="http://schemas.openxmlformats.org/officeDocument/2006/relationships/hyperlink" Target="http://www.sec.gov/Archives/edgar/data/1467858/000146785818000068/ex-102x03312018.htm" TargetMode="External"/><Relationship Id="rId52" Type="http://schemas.openxmlformats.org/officeDocument/2006/relationships/hyperlink" Target="https://www.sec.gov/Archives/edgar/data/1467858/000146785819000033/ex-1023amendedgmexecutives.htm" TargetMode="External"/><Relationship Id="rId53" Type="http://schemas.openxmlformats.org/officeDocument/2006/relationships/hyperlink" Target="https://www.sec.gov/Archives/edgar/data/1467858/000146785819000121/ex-102xformoftimesharing.htm" TargetMode="External"/><Relationship Id="rId54" Type="http://schemas.openxmlformats.org/officeDocument/2006/relationships/hyperlink" Target="http://www.sec.gov/Archives/edgar/data/1467858/000146785814000043/ex-1024x12312013psa.htm" TargetMode="External"/><Relationship Id="rId55" Type="http://schemas.openxmlformats.org/officeDocument/2006/relationships/hyperlink" Target="http://www.sec.gov/Archives/edgar/data/1467858/000146785817000103/ex-104x20170502_amendmentt.htm" TargetMode="External"/><Relationship Id="rId56" Type="http://schemas.openxmlformats.org/officeDocument/2006/relationships/hyperlink" Target="http://www.sec.gov/Archives/edgar/data/1467858/000146785817000133/ex-101x07302017_amendmentt.htm" TargetMode="External"/><Relationship Id="rId57" Type="http://schemas.openxmlformats.org/officeDocument/2006/relationships/hyperlink" Target="http://www.sec.gov/Archives/edgar/data/1467858/000146785818000022/ex1031-10302017_amendmentt.htm" TargetMode="External"/><Relationship Id="rId58" Type="http://schemas.openxmlformats.org/officeDocument/2006/relationships/hyperlink" Target="http://www.sec.gov/Archives/edgar/data/1467858/000119312518122841/d489106dex101.htm" TargetMode="External"/><Relationship Id="rId59" Type="http://schemas.openxmlformats.org/officeDocument/2006/relationships/hyperlink" Target="http://www.sec.gov/Archives/edgar/data/1467858/000119312518122841/d489106dex102.htm" TargetMode="External"/><Relationship Id="rId60" Type="http://schemas.openxmlformats.org/officeDocument/2006/relationships/hyperlink" Target="https://www.sec.gov/Archives/edgar/data/1467858/000119312519008995/d503039dex101.htm" TargetMode="External"/><Relationship Id="rId61" Type="http://schemas.openxmlformats.org/officeDocument/2006/relationships/hyperlink" Target="https://www.sec.gov/Archives/edgar/data/1467858/000119312519107913/d7346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2020-02-05T15:09:51Z</dcterms:created>
  <dcterms:modified xsi:type="dcterms:W3CDTF">2020-02-05T15:09:51Z</dcterms:modified>
</cp:coreProperties>
</file>