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130810</wp:posOffset>
            </wp:positionH>
            <wp:positionV relativeFrom="page">
              <wp:posOffset>418465</wp:posOffset>
            </wp:positionV>
            <wp:extent cx="729996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960" cy="39370"/>
                    </a:xfrm>
                    <a:prstGeom prst="rect">
                      <a:avLst/>
                    </a:prstGeom>
                    <a:noFill/>
                  </pic:spPr>
                </pic:pic>
              </a:graphicData>
            </a:graphic>
          </wp:anchor>
        </w:drawing>
        <w:t>UNITED STATES</w:t>
      </w:r>
    </w:p>
    <w:p>
      <w:pPr>
        <w:spacing w:after="0" w:line="3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Washington, DC 20549-1004</w:t>
      </w:r>
    </w:p>
    <w:p>
      <w:pPr>
        <w:spacing w:after="0" w:line="1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4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3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April 30, 2019</w:t>
      </w:r>
    </w:p>
    <w:p>
      <w:pPr>
        <w:spacing w:after="0" w:line="2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4"/>
          <w:szCs w:val="34"/>
          <w:b w:val="1"/>
          <w:bCs w:val="1"/>
          <w:color w:val="auto"/>
        </w:rPr>
        <w:t>GENERAL MOTORS COMPANY</w:t>
      </w:r>
    </w:p>
    <w:p>
      <w:pPr>
        <w:spacing w:after="0" w:line="1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23" w:lineRule="exact"/>
        <w:rPr>
          <w:sz w:val="24"/>
          <w:szCs w:val="24"/>
          <w:color w:val="auto"/>
        </w:rPr>
      </w:pPr>
    </w:p>
    <w:tbl>
      <w:tblPr>
        <w:tblLayout w:type="fixed"/>
        <w:tblInd w:w="1580" w:type="dxa"/>
        <w:tblCellMar>
          <w:top w:w="0" w:type="dxa"/>
          <w:left w:w="0" w:type="dxa"/>
          <w:bottom w:w="0" w:type="dxa"/>
          <w:right w:w="0" w:type="dxa"/>
        </w:tblCellMar>
      </w:tblPr>
      <w:tr>
        <w:trPr>
          <w:trHeight w:val="174"/>
        </w:trPr>
        <w:tc>
          <w:tcPr>
            <w:tcW w:w="3180" w:type="dxa"/>
            <w:vAlign w:val="bottom"/>
          </w:tcPr>
          <w:p>
            <w:pPr>
              <w:jc w:val="center"/>
              <w:ind w:right="1448"/>
              <w:spacing w:after="0"/>
              <w:rPr>
                <w:sz w:val="20"/>
                <w:szCs w:val="20"/>
                <w:color w:val="auto"/>
              </w:rPr>
            </w:pPr>
            <w:r>
              <w:rPr>
                <w:rFonts w:ascii="Times New Roman" w:cs="Times New Roman" w:eastAsia="Times New Roman" w:hAnsi="Times New Roman"/>
                <w:sz w:val="14"/>
                <w:szCs w:val="14"/>
                <w:b w:val="1"/>
                <w:bCs w:val="1"/>
                <w:color w:val="auto"/>
                <w:w w:val="99"/>
              </w:rPr>
              <w:t>DELAWARE</w:t>
            </w:r>
          </w:p>
        </w:tc>
        <w:tc>
          <w:tcPr>
            <w:tcW w:w="2800" w:type="dxa"/>
            <w:vAlign w:val="bottom"/>
            <w:vMerge w:val="restart"/>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001-34960</w:t>
            </w:r>
          </w:p>
        </w:tc>
        <w:tc>
          <w:tcPr>
            <w:tcW w:w="204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27-0756180</w:t>
            </w:r>
          </w:p>
        </w:tc>
        <w:tc>
          <w:tcPr>
            <w:tcW w:w="0" w:type="dxa"/>
            <w:vAlign w:val="bottom"/>
          </w:tcPr>
          <w:p>
            <w:pPr>
              <w:spacing w:after="0"/>
              <w:rPr>
                <w:sz w:val="1"/>
                <w:szCs w:val="1"/>
                <w:color w:val="auto"/>
              </w:rPr>
            </w:pPr>
          </w:p>
        </w:tc>
      </w:tr>
      <w:tr>
        <w:trPr>
          <w:trHeight w:val="172"/>
        </w:trPr>
        <w:tc>
          <w:tcPr>
            <w:tcW w:w="3180" w:type="dxa"/>
            <w:vAlign w:val="bottom"/>
          </w:tcPr>
          <w:p>
            <w:pPr>
              <w:jc w:val="center"/>
              <w:ind w:right="14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800" w:type="dxa"/>
            <w:vAlign w:val="bottom"/>
            <w:vMerge w:val="continue"/>
          </w:tcPr>
          <w:p>
            <w:pPr>
              <w:spacing w:after="0"/>
              <w:rPr>
                <w:sz w:val="14"/>
                <w:szCs w:val="14"/>
                <w:color w:val="auto"/>
              </w:rPr>
            </w:pPr>
          </w:p>
        </w:tc>
        <w:tc>
          <w:tcPr>
            <w:tcW w:w="204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6"/>
        </w:trPr>
        <w:tc>
          <w:tcPr>
            <w:tcW w:w="3180" w:type="dxa"/>
            <w:vAlign w:val="bottom"/>
          </w:tcPr>
          <w:p>
            <w:pPr>
              <w:jc w:val="center"/>
              <w:ind w:right="1448"/>
              <w:spacing w:after="0"/>
              <w:rPr>
                <w:sz w:val="20"/>
                <w:szCs w:val="20"/>
                <w:color w:val="auto"/>
              </w:rPr>
            </w:pPr>
            <w:r>
              <w:rPr>
                <w:rFonts w:ascii="Times New Roman" w:cs="Times New Roman" w:eastAsia="Times New Roman" w:hAnsi="Times New Roman"/>
                <w:sz w:val="14"/>
                <w:szCs w:val="14"/>
                <w:color w:val="auto"/>
              </w:rPr>
              <w:t>incorporation)</w:t>
            </w:r>
          </w:p>
        </w:tc>
        <w:tc>
          <w:tcPr>
            <w:tcW w:w="2800" w:type="dxa"/>
            <w:vAlign w:val="bottom"/>
          </w:tcPr>
          <w:p>
            <w:pPr>
              <w:jc w:val="center"/>
              <w:ind w:right="768"/>
              <w:spacing w:after="0"/>
              <w:rPr>
                <w:sz w:val="20"/>
                <w:szCs w:val="20"/>
                <w:color w:val="auto"/>
              </w:rPr>
            </w:pPr>
            <w:r>
              <w:rPr>
                <w:rFonts w:ascii="Times New Roman" w:cs="Times New Roman" w:eastAsia="Times New Roman" w:hAnsi="Times New Roman"/>
                <w:sz w:val="14"/>
                <w:szCs w:val="14"/>
                <w:color w:val="auto"/>
              </w:rPr>
              <w:t>(Commission File Number)</w:t>
            </w:r>
          </w:p>
        </w:tc>
        <w:tc>
          <w:tcPr>
            <w:tcW w:w="204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74"/>
        </w:trPr>
        <w:tc>
          <w:tcPr>
            <w:tcW w:w="31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300 Renaissance Center, Detroit, Michigan</w:t>
            </w:r>
          </w:p>
        </w:tc>
        <w:tc>
          <w:tcPr>
            <w:tcW w:w="2800" w:type="dxa"/>
            <w:vAlign w:val="bottom"/>
          </w:tcPr>
          <w:p>
            <w:pPr>
              <w:spacing w:after="0"/>
              <w:rPr>
                <w:sz w:val="24"/>
                <w:szCs w:val="24"/>
                <w:color w:val="auto"/>
              </w:rPr>
            </w:pPr>
          </w:p>
        </w:tc>
        <w:tc>
          <w:tcPr>
            <w:tcW w:w="2040" w:type="dxa"/>
            <w:vAlign w:val="bottom"/>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48265-3000</w:t>
            </w:r>
          </w:p>
        </w:tc>
        <w:tc>
          <w:tcPr>
            <w:tcW w:w="0" w:type="dxa"/>
            <w:vAlign w:val="bottom"/>
          </w:tcPr>
          <w:p>
            <w:pPr>
              <w:spacing w:after="0"/>
              <w:rPr>
                <w:sz w:val="1"/>
                <w:szCs w:val="1"/>
                <w:color w:val="auto"/>
              </w:rPr>
            </w:pPr>
          </w:p>
        </w:tc>
      </w:tr>
      <w:tr>
        <w:trPr>
          <w:trHeight w:val="186"/>
        </w:trPr>
        <w:tc>
          <w:tcPr>
            <w:tcW w:w="31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00" w:type="dxa"/>
            <w:vAlign w:val="bottom"/>
          </w:tcPr>
          <w:p>
            <w:pPr>
              <w:spacing w:after="0"/>
              <w:rPr>
                <w:sz w:val="16"/>
                <w:szCs w:val="16"/>
                <w:color w:val="auto"/>
              </w:rPr>
            </w:pPr>
          </w:p>
        </w:tc>
        <w:tc>
          <w:tcPr>
            <w:tcW w:w="2040" w:type="dxa"/>
            <w:vAlign w:val="bottom"/>
          </w:tcPr>
          <w:p>
            <w:pPr>
              <w:jc w:val="center"/>
              <w:ind w:right="64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53"/>
        </w:trPr>
        <w:tc>
          <w:tcPr>
            <w:tcW w:w="3180" w:type="dxa"/>
            <w:vAlign w:val="bottom"/>
          </w:tcPr>
          <w:p>
            <w:pPr>
              <w:spacing w:after="0"/>
              <w:rPr>
                <w:sz w:val="24"/>
                <w:szCs w:val="24"/>
                <w:color w:val="auto"/>
              </w:rPr>
            </w:pPr>
          </w:p>
        </w:tc>
        <w:tc>
          <w:tcPr>
            <w:tcW w:w="2800" w:type="dxa"/>
            <w:vAlign w:val="bottom"/>
          </w:tcPr>
          <w:p>
            <w:pPr>
              <w:jc w:val="center"/>
              <w:ind w:right="78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313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667-1500</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80" w:type="dxa"/>
            <w:vAlign w:val="bottom"/>
            <w:gridSpan w:val="2"/>
          </w:tcPr>
          <w:p>
            <w:pPr>
              <w:jc w:val="center"/>
              <w:ind w:left="22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357" w:lineRule="exact"/>
        <w:rPr>
          <w:sz w:val="24"/>
          <w:szCs w:val="2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281" w:lineRule="exact"/>
        <w:rPr>
          <w:rFonts w:ascii="MS PGothic" w:cs="MS PGothic" w:eastAsia="MS PGothic" w:hAnsi="MS PGothic"/>
          <w:sz w:val="14"/>
          <w:szCs w:val="14"/>
          <w:color w:val="auto"/>
        </w:rPr>
      </w:pPr>
    </w:p>
    <w:p>
      <w:pPr>
        <w:ind w:left="600" w:hanging="572"/>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206" w:lineRule="exact"/>
        <w:rPr>
          <w:sz w:val="24"/>
          <w:szCs w:val="24"/>
          <w:color w:val="auto"/>
        </w:rPr>
      </w:pPr>
    </w:p>
    <w:p>
      <w:pPr>
        <w:ind w:right="5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139700</wp:posOffset>
            </wp:positionV>
            <wp:extent cx="729996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220"/>
          </w:cols>
          <w:pgMar w:left="220" w:top="937"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86" w:lineRule="exact"/>
        <w:rPr>
          <w:sz w:val="20"/>
          <w:szCs w:val="20"/>
          <w:color w:val="auto"/>
        </w:rPr>
      </w:pPr>
    </w:p>
    <w:p>
      <w:pPr>
        <w:ind w:firstLine="129"/>
        <w:spacing w:after="0" w:line="294" w:lineRule="auto"/>
        <w:rPr>
          <w:sz w:val="20"/>
          <w:szCs w:val="20"/>
          <w:color w:val="auto"/>
        </w:rPr>
      </w:pPr>
      <w:r>
        <w:rPr>
          <w:rFonts w:ascii="Times New Roman" w:cs="Times New Roman" w:eastAsia="Times New Roman" w:hAnsi="Times New Roman"/>
          <w:sz w:val="14"/>
          <w:szCs w:val="14"/>
          <w:color w:val="auto"/>
        </w:rPr>
        <w:t>On April 30, 2019 General Motors Company (GM) issued a news release and supplemental materials on the subject of its 2019 first quarter earnings. The news release and supplemental materials are attached as Exhibit 99.1 and Exhibit 99.2.</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Charts furnished to securities analysts in connection with GM's 2019 first quarter earnings release are available on GM's website at www.gm.com/investors/earnings-releases.html.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2440" w:type="dxa"/>
            <w:vAlign w:val="bottom"/>
          </w:tcPr>
          <w:p>
            <w:pPr>
              <w:spacing w:after="0"/>
              <w:rPr>
                <w:sz w:val="13"/>
                <w:szCs w:val="13"/>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4"/>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99.1</w:t>
            </w:r>
          </w:p>
        </w:tc>
        <w:tc>
          <w:tcPr>
            <w:tcW w:w="2420" w:type="dxa"/>
            <w:vAlign w:val="bottom"/>
            <w:gridSpan w:val="3"/>
          </w:tcPr>
          <w:p>
            <w:pPr>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News Release Dated April 30, 2019</w:t>
              </w:r>
            </w:hyperlink>
          </w:p>
        </w:tc>
      </w:tr>
      <w:tr>
        <w:trPr>
          <w:trHeight w:val="20"/>
        </w:trPr>
        <w:tc>
          <w:tcPr>
            <w:tcW w:w="288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99.2</w:t>
            </w:r>
          </w:p>
        </w:tc>
        <w:tc>
          <w:tcPr>
            <w:tcW w:w="242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w:anchor="page8">
              <w:r>
                <w:rPr>
                  <w:rFonts w:ascii="Times New Roman" w:cs="Times New Roman" w:eastAsia="Times New Roman" w:hAnsi="Times New Roman"/>
                  <w:sz w:val="14"/>
                  <w:szCs w:val="14"/>
                  <w:color w:val="0000FF"/>
                </w:rPr>
                <w:t>Financial Highlights Dated April 30, 2019</w:t>
              </w:r>
            </w:hyperlink>
          </w:p>
        </w:tc>
      </w:tr>
    </w:tbl>
    <w:p>
      <w:pPr>
        <w:sectPr>
          <w:pgSz w:w="11900" w:h="16838" w:orient="portrait"/>
          <w:cols w:equalWidth="0" w:num="1">
            <w:col w:w="11460"/>
          </w:cols>
          <w:pgMar w:left="220" w:top="489"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MOTORS COMPANY (Registrant)</w:t>
            </w:r>
          </w:p>
        </w:tc>
        <w:tc>
          <w:tcPr>
            <w:tcW w:w="0" w:type="dxa"/>
            <w:vAlign w:val="bottom"/>
          </w:tcPr>
          <w:p>
            <w:pPr>
              <w:spacing w:after="0"/>
              <w:rPr>
                <w:sz w:val="1"/>
                <w:szCs w:val="1"/>
                <w:color w:val="auto"/>
              </w:rPr>
            </w:pPr>
          </w:p>
        </w:tc>
      </w:tr>
      <w:tr>
        <w:trPr>
          <w:trHeight w:val="560"/>
        </w:trPr>
        <w:tc>
          <w:tcPr>
            <w:tcW w:w="618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CHRISTOPHER T. HATTO</w:t>
            </w:r>
          </w:p>
        </w:tc>
        <w:tc>
          <w:tcPr>
            <w:tcW w:w="0" w:type="dxa"/>
            <w:vAlign w:val="bottom"/>
          </w:tcPr>
          <w:p>
            <w:pPr>
              <w:spacing w:after="0"/>
              <w:rPr>
                <w:sz w:val="1"/>
                <w:szCs w:val="1"/>
                <w:color w:val="auto"/>
              </w:rPr>
            </w:pPr>
          </w:p>
        </w:tc>
      </w:tr>
      <w:tr>
        <w:trPr>
          <w:trHeight w:val="23"/>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April 30, 2019</w:t>
            </w:r>
          </w:p>
        </w:tc>
        <w:tc>
          <w:tcPr>
            <w:tcW w:w="5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180" w:type="dxa"/>
            <w:vAlign w:val="bottom"/>
            <w:vMerge w:val="continue"/>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T. Hatto, 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40"/>
          </w:cols>
          <w:pgMar w:left="240" w:top="662"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9" w:lineRule="exact"/>
        <w:rPr>
          <w:sz w:val="20"/>
          <w:szCs w:val="20"/>
          <w:color w:val="auto"/>
        </w:rPr>
      </w:pPr>
    </w:p>
    <w:p>
      <w:pPr>
        <w:jc w:val="both"/>
        <w:ind w:firstLine="129"/>
        <w:spacing w:after="0" w:line="251" w:lineRule="auto"/>
        <w:rPr>
          <w:sz w:val="20"/>
          <w:szCs w:val="20"/>
          <w:color w:val="auto"/>
        </w:rPr>
      </w:pPr>
      <w:r>
        <w:rPr>
          <w:rFonts w:ascii="Arial" w:cs="Arial" w:eastAsia="Arial" w:hAnsi="Arial"/>
          <w:sz w:val="13"/>
          <w:szCs w:val="13"/>
          <w:color w:val="auto"/>
        </w:rPr>
        <w:t>Unless otherwise indicated, General Motors Company's (GM) non-GAAP measures are related to our continuing operations and not our discontinued operations. GM's non-GAAP measures include: earnings before interest and taxes (EBIT)-adjusted, presented net of noncontrolling interests; earnings before taxes (EBT)-adjusted for our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24" w:lineRule="exact"/>
        <w:rPr>
          <w:sz w:val="20"/>
          <w:szCs w:val="20"/>
          <w:color w:val="auto"/>
        </w:rPr>
      </w:pPr>
    </w:p>
    <w:p>
      <w:pPr>
        <w:jc w:val="both"/>
        <w:ind w:firstLine="129"/>
        <w:spacing w:after="0" w:line="24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26" w:lineRule="exact"/>
        <w:rPr>
          <w:sz w:val="20"/>
          <w:szCs w:val="20"/>
          <w:color w:val="auto"/>
        </w:rPr>
      </w:pPr>
    </w:p>
    <w:p>
      <w:pPr>
        <w:jc w:val="both"/>
        <w:ind w:firstLine="129"/>
        <w:spacing w:after="0" w:line="249"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w:t>
      </w:r>
    </w:p>
    <w:p>
      <w:pPr>
        <w:spacing w:after="0" w:line="126" w:lineRule="exact"/>
        <w:rPr>
          <w:sz w:val="20"/>
          <w:szCs w:val="20"/>
          <w:color w:val="auto"/>
        </w:rPr>
      </w:pPr>
    </w:p>
    <w:p>
      <w:pPr>
        <w:jc w:val="both"/>
        <w:ind w:firstLine="129"/>
        <w:spacing w:after="0" w:line="254"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22" w:lineRule="exact"/>
        <w:rPr>
          <w:sz w:val="20"/>
          <w:szCs w:val="20"/>
          <w:color w:val="auto"/>
        </w:rPr>
      </w:pPr>
    </w:p>
    <w:p>
      <w:pPr>
        <w:jc w:val="both"/>
        <w:ind w:firstLine="129"/>
        <w:spacing w:after="0" w:line="261"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w:t>
      </w:r>
    </w:p>
    <w:p>
      <w:pPr>
        <w:spacing w:after="0" w:line="116" w:lineRule="exact"/>
        <w:rPr>
          <w:sz w:val="20"/>
          <w:szCs w:val="20"/>
          <w:color w:val="auto"/>
        </w:rPr>
      </w:pPr>
    </w:p>
    <w:p>
      <w:pPr>
        <w:jc w:val="both"/>
        <w:ind w:firstLine="129"/>
        <w:spacing w:after="0" w:line="254"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capital leases; average net pension and other postretirement benefits (OPEB) liabilities; and average automotive net income tax assets during the same period. Adjustments to the average equity balances exclude assets and liabilities classified as either assets held for sale or liabilities held for sale.</w:t>
      </w:r>
    </w:p>
    <w:p>
      <w:pPr>
        <w:spacing w:after="0" w:line="122" w:lineRule="exact"/>
        <w:rPr>
          <w:sz w:val="20"/>
          <w:szCs w:val="20"/>
          <w:color w:val="auto"/>
        </w:rPr>
      </w:pPr>
    </w:p>
    <w:p>
      <w:pPr>
        <w:jc w:val="both"/>
        <w:ind w:firstLine="129"/>
        <w:spacing w:after="0" w:line="254"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60"/>
          </w:cols>
          <w:pgMar w:left="220" w:top="115"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segment profit (loss) to Net income attributable to stockholders under U.S. GAAP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2019</w:t>
            </w:r>
          </w:p>
        </w:tc>
        <w:tc>
          <w:tcPr>
            <w:tcW w:w="220" w:type="dxa"/>
            <w:vAlign w:val="bottom"/>
          </w:tcPr>
          <w:p>
            <w:pPr>
              <w:spacing w:after="0"/>
              <w:rPr>
                <w:sz w:val="17"/>
                <w:szCs w:val="17"/>
                <w:color w:val="auto"/>
              </w:rPr>
            </w:pPr>
          </w:p>
        </w:tc>
        <w:tc>
          <w:tcPr>
            <w:tcW w:w="1140" w:type="dxa"/>
            <w:vAlign w:val="bottom"/>
          </w:tcPr>
          <w:p>
            <w:pPr>
              <w:jc w:val="right"/>
              <w:ind w:right="256"/>
              <w:spacing w:after="0"/>
              <w:rPr>
                <w:sz w:val="20"/>
                <w:szCs w:val="20"/>
                <w:color w:val="auto"/>
              </w:rPr>
            </w:pPr>
            <w:r>
              <w:rPr>
                <w:rFonts w:ascii="Arial" w:cs="Arial" w:eastAsia="Arial" w:hAnsi="Arial"/>
                <w:sz w:val="10"/>
                <w:szCs w:val="10"/>
                <w:b w:val="1"/>
                <w:bCs w:val="1"/>
                <w:color w:val="auto"/>
              </w:rPr>
              <w:t>March 31, 2018</w:t>
            </w:r>
          </w:p>
        </w:tc>
        <w:tc>
          <w:tcPr>
            <w:tcW w:w="0" w:type="dxa"/>
            <w:vAlign w:val="bottom"/>
          </w:tcPr>
          <w:p>
            <w:pPr>
              <w:spacing w:after="0"/>
              <w:rPr>
                <w:sz w:val="1"/>
                <w:szCs w:val="1"/>
                <w:color w:val="auto"/>
              </w:rPr>
            </w:pPr>
          </w:p>
        </w:tc>
      </w:tr>
      <w:tr>
        <w:trPr>
          <w:trHeight w:val="206"/>
        </w:trPr>
        <w:tc>
          <w:tcPr>
            <w:tcW w:w="8600" w:type="dxa"/>
            <w:vAlign w:val="bottom"/>
          </w:tcPr>
          <w:p>
            <w:pPr>
              <w:ind w:left="20"/>
              <w:spacing w:after="0"/>
              <w:rPr>
                <w:sz w:val="20"/>
                <w:szCs w:val="20"/>
                <w:color w:val="auto"/>
              </w:rPr>
            </w:pPr>
            <w:r>
              <w:rPr>
                <w:rFonts w:ascii="Arial" w:cs="Arial" w:eastAsia="Arial" w:hAnsi="Arial"/>
                <w:sz w:val="13"/>
                <w:szCs w:val="13"/>
                <w:color w:val="auto"/>
              </w:rPr>
              <w:t>Operating segments</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North America (GMNA)</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2,233</w:t>
            </w:r>
          </w:p>
        </w:tc>
        <w:tc>
          <w:tcPr>
            <w:tcW w:w="0" w:type="dxa"/>
            <w:vAlign w:val="bottom"/>
          </w:tcPr>
          <w:p>
            <w:pPr>
              <w:spacing w:after="0"/>
              <w:rPr>
                <w:sz w:val="1"/>
                <w:szCs w:val="1"/>
                <w:color w:val="auto"/>
              </w:rPr>
            </w:pPr>
          </w:p>
        </w:tc>
      </w:tr>
      <w:tr>
        <w:trPr>
          <w:trHeight w:val="209"/>
        </w:trPr>
        <w:tc>
          <w:tcPr>
            <w:tcW w:w="8600" w:type="dxa"/>
            <w:vAlign w:val="bottom"/>
          </w:tcPr>
          <w:p>
            <w:pPr>
              <w:ind w:left="140"/>
              <w:spacing w:after="0"/>
              <w:rPr>
                <w:sz w:val="20"/>
                <w:szCs w:val="20"/>
                <w:color w:val="auto"/>
              </w:rPr>
            </w:pPr>
            <w:r>
              <w:rPr>
                <w:rFonts w:ascii="Arial" w:cs="Arial" w:eastAsia="Arial" w:hAnsi="Arial"/>
                <w:sz w:val="13"/>
                <w:szCs w:val="13"/>
                <w:color w:val="auto"/>
              </w:rPr>
              <w:t>GM International (GMI)</w:t>
            </w:r>
          </w:p>
        </w:tc>
        <w:tc>
          <w:tcPr>
            <w:tcW w:w="220" w:type="dxa"/>
            <w:vAlign w:val="bottom"/>
          </w:tcPr>
          <w:p>
            <w:pPr>
              <w:spacing w:after="0"/>
              <w:rPr>
                <w:sz w:val="18"/>
                <w:szCs w:val="18"/>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Cruise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09"/>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General Motors Financial Company, Inc. (GM Financial)(a)</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2,699</w:t>
            </w:r>
          </w:p>
        </w:tc>
        <w:tc>
          <w:tcPr>
            <w:tcW w:w="0" w:type="dxa"/>
            <w:vAlign w:val="bottom"/>
          </w:tcPr>
          <w:p>
            <w:pPr>
              <w:spacing w:after="0"/>
              <w:rPr>
                <w:sz w:val="1"/>
                <w:szCs w:val="1"/>
                <w:color w:val="auto"/>
              </w:rPr>
            </w:pPr>
          </w:p>
        </w:tc>
      </w:tr>
      <w:tr>
        <w:trPr>
          <w:trHeight w:val="20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eliminations(b)</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2,610</w:t>
            </w:r>
          </w:p>
        </w:tc>
        <w:tc>
          <w:tcPr>
            <w:tcW w:w="0" w:type="dxa"/>
            <w:vAlign w:val="bottom"/>
          </w:tcPr>
          <w:p>
            <w:pPr>
              <w:spacing w:after="0"/>
              <w:rPr>
                <w:sz w:val="1"/>
                <w:szCs w:val="1"/>
                <w:color w:val="auto"/>
              </w:rPr>
            </w:pPr>
          </w:p>
        </w:tc>
      </w:tr>
      <w:tr>
        <w:trPr>
          <w:trHeight w:val="209"/>
        </w:trPr>
        <w:tc>
          <w:tcPr>
            <w:tcW w:w="860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Transformation activities(c)</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2"/>
        </w:trPr>
        <w:tc>
          <w:tcPr>
            <w:tcW w:w="8600" w:type="dxa"/>
            <w:vAlign w:val="bottom"/>
          </w:tcPr>
          <w:p>
            <w:pPr>
              <w:ind w:left="140"/>
              <w:spacing w:after="0"/>
              <w:rPr>
                <w:sz w:val="20"/>
                <w:szCs w:val="20"/>
                <w:color w:val="auto"/>
              </w:rPr>
            </w:pPr>
            <w:r>
              <w:rPr>
                <w:rFonts w:ascii="Arial" w:cs="Arial" w:eastAsia="Arial" w:hAnsi="Arial"/>
                <w:sz w:val="13"/>
                <w:szCs w:val="13"/>
                <w:color w:val="auto"/>
              </w:rPr>
              <w:t>GM Brazil indirect tax recoveries(d)</w:t>
            </w:r>
          </w:p>
        </w:tc>
        <w:tc>
          <w:tcPr>
            <w:tcW w:w="220" w:type="dxa"/>
            <w:vAlign w:val="bottom"/>
          </w:tcPr>
          <w:p>
            <w:pPr>
              <w:spacing w:after="0"/>
              <w:rPr>
                <w:sz w:val="18"/>
                <w:szCs w:val="18"/>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GMI restructuring(e)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(942)</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9"/>
        </w:trPr>
        <w:tc>
          <w:tcPr>
            <w:tcW w:w="860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22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3"/>
                <w:szCs w:val="13"/>
                <w:color w:val="auto"/>
              </w:rPr>
              <w:t>Income from continuing operations(f)</w:t>
            </w:r>
          </w:p>
        </w:tc>
        <w:tc>
          <w:tcPr>
            <w:tcW w:w="220" w:type="dxa"/>
            <w:vAlign w:val="bottom"/>
          </w:tcPr>
          <w:p>
            <w:pPr>
              <w:spacing w:after="0"/>
              <w:rPr>
                <w:sz w:val="17"/>
                <w:szCs w:val="17"/>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2,157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discontinued operations, net of tax(g)</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89"/>
        </w:trPr>
        <w:tc>
          <w:tcPr>
            <w:tcW w:w="8600" w:type="dxa"/>
            <w:vAlign w:val="bottom"/>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2,157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1"/>
                <w:szCs w:val="11"/>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earnings before income taxes-adjusted.</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operations' interest income and interest expense, Maven, legacy costs from the Opel and Vauxhall businesses and certain other assets in Europe (the Opel/Vauxhall Business), which are primarily pension costs, corporate expenditures and certain nonsegment-specific revenues and expenses are recorded centrally in Corporate.</w:t>
      </w: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accelerate our transformation for the future to strengthen our core business, capitalize on the future of personal mobility and drive significant cost efficiencies. The adjustment primarily consists of accelerated depreciation.</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 associated with a decision rendered by the Superior Judicial Court of Brazil resulting in retrospective recoveries of indirect taxes.</w:t>
      </w:r>
    </w:p>
    <w:p>
      <w:pPr>
        <w:spacing w:after="0" w:line="2" w:lineRule="exact"/>
        <w:rPr>
          <w:rFonts w:ascii="Arial" w:cs="Arial" w:eastAsia="Arial" w:hAnsi="Arial"/>
          <w:sz w:val="11"/>
          <w:szCs w:val="11"/>
          <w:color w:val="auto"/>
        </w:rPr>
      </w:pPr>
    </w:p>
    <w:p>
      <w:pPr>
        <w:ind w:left="260" w:hanging="254"/>
        <w:spacing w:after="0" w:line="245" w:lineRule="auto"/>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and employee separation costs in Korea.</w:t>
      </w: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Represents the results of the Opel/Vauxhall Business and our European financing subsidiaries and branches (the Fincos, and together with the Opel/Vauxhall Business, the European Business).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468"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EBIT-adjusted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17"/>
                <w:szCs w:val="17"/>
                <w:color w:val="auto"/>
              </w:rPr>
            </w:pPr>
          </w:p>
        </w:tc>
        <w:tc>
          <w:tcPr>
            <w:tcW w:w="1400" w:type="dxa"/>
            <w:vAlign w:val="bottom"/>
            <w:gridSpan w:val="5"/>
          </w:tcPr>
          <w:p>
            <w:pPr>
              <w:ind w:left="240"/>
              <w:spacing w:after="0"/>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stockholders</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2,157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1,046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2,044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(5,151)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2,534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(2,981)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2,390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1,660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tcPr>
          <w:p>
            <w:pPr>
              <w:ind w:left="20"/>
              <w:spacing w:after="0"/>
              <w:rPr>
                <w:sz w:val="20"/>
                <w:szCs w:val="20"/>
                <w:color w:val="auto"/>
              </w:rPr>
            </w:pPr>
            <w:r>
              <w:rPr>
                <w:rFonts w:ascii="Arial" w:cs="Arial" w:eastAsia="Arial" w:hAnsi="Arial"/>
                <w:sz w:val="11"/>
                <w:szCs w:val="11"/>
                <w:color w:val="auto"/>
              </w:rPr>
              <w:t>Loss from discontinued operations, net of tax</w:t>
            </w: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4"/>
              <w:spacing w:after="0"/>
              <w:rPr>
                <w:sz w:val="20"/>
                <w:szCs w:val="20"/>
                <w:color w:val="auto"/>
              </w:rPr>
            </w:pPr>
            <w:r>
              <w:rPr>
                <w:rFonts w:ascii="Arial" w:cs="Arial" w:eastAsia="Arial" w:hAnsi="Arial"/>
                <w:sz w:val="11"/>
                <w:szCs w:val="11"/>
                <w:color w:val="auto"/>
              </w:rPr>
              <w:t>277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3,096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770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7,896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2,316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tcPr>
          <w:p>
            <w:pPr>
              <w:ind w:left="20"/>
              <w:spacing w:after="0"/>
              <w:rPr>
                <w:sz w:val="20"/>
                <w:szCs w:val="20"/>
                <w:color w:val="auto"/>
              </w:rPr>
            </w:pPr>
            <w:r>
              <w:rPr>
                <w:rFonts w:ascii="Arial" w:cs="Arial" w:eastAsia="Arial" w:hAnsi="Arial"/>
                <w:sz w:val="11"/>
                <w:szCs w:val="11"/>
                <w:color w:val="auto"/>
              </w:rPr>
              <w:t>Automotive interest expense</w:t>
            </w:r>
          </w:p>
        </w:tc>
        <w:tc>
          <w:tcPr>
            <w:tcW w:w="160" w:type="dxa"/>
            <w:vAlign w:val="bottom"/>
          </w:tcPr>
          <w:p>
            <w:pPr>
              <w:spacing w:after="0"/>
              <w:rPr>
                <w:sz w:val="14"/>
                <w:szCs w:val="14"/>
                <w:color w:val="auto"/>
              </w:rPr>
            </w:pP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64"/>
              <w:spacing w:after="0"/>
              <w:rPr>
                <w:sz w:val="20"/>
                <w:szCs w:val="20"/>
                <w:color w:val="auto"/>
              </w:rPr>
            </w:pPr>
            <w:r>
              <w:rPr>
                <w:rFonts w:ascii="Arial" w:cs="Arial" w:eastAsia="Arial" w:hAnsi="Arial"/>
                <w:sz w:val="11"/>
                <w:szCs w:val="11"/>
                <w:color w:val="auto"/>
              </w:rPr>
              <w:t>145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44"/>
              <w:spacing w:after="0"/>
              <w:rPr>
                <w:sz w:val="20"/>
                <w:szCs w:val="20"/>
                <w:color w:val="auto"/>
              </w:rPr>
            </w:pPr>
            <w:r>
              <w:rPr>
                <w:rFonts w:ascii="Arial" w:cs="Arial" w:eastAsia="Arial" w:hAnsi="Arial"/>
                <w:sz w:val="11"/>
                <w:szCs w:val="11"/>
                <w:color w:val="auto"/>
              </w:rPr>
              <w:t>161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151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Automotive interest income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(98)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Transformation activities(a)</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tcPr>
          <w:p>
            <w:pPr>
              <w:ind w:left="160"/>
              <w:spacing w:after="0"/>
              <w:rPr>
                <w:sz w:val="20"/>
                <w:szCs w:val="20"/>
                <w:color w:val="auto"/>
              </w:rPr>
            </w:pPr>
            <w:r>
              <w:rPr>
                <w:rFonts w:ascii="Arial" w:cs="Arial" w:eastAsia="Arial" w:hAnsi="Arial"/>
                <w:sz w:val="11"/>
                <w:szCs w:val="11"/>
                <w:color w:val="auto"/>
              </w:rPr>
              <w:t>GM Brazil indirect tax recoveries(b)</w:t>
            </w:r>
          </w:p>
        </w:tc>
        <w:tc>
          <w:tcPr>
            <w:tcW w:w="160" w:type="dxa"/>
            <w:vAlign w:val="bottom"/>
          </w:tcPr>
          <w:p>
            <w:pPr>
              <w:spacing w:after="0"/>
              <w:rPr>
                <w:sz w:val="14"/>
                <w:szCs w:val="14"/>
                <w:color w:val="auto"/>
              </w:rPr>
            </w:pPr>
          </w:p>
        </w:tc>
        <w:tc>
          <w:tcPr>
            <w:tcW w:w="540" w:type="dxa"/>
            <w:vAlign w:val="bottom"/>
          </w:tcPr>
          <w:p>
            <w:pPr>
              <w:jc w:val="right"/>
              <w:ind w:right="24"/>
              <w:spacing w:after="0"/>
              <w:rPr>
                <w:sz w:val="20"/>
                <w:szCs w:val="20"/>
                <w:color w:val="auto"/>
              </w:rPr>
            </w:pPr>
            <w:r>
              <w:rPr>
                <w:rFonts w:ascii="Arial" w:cs="Arial" w:eastAsia="Arial" w:hAnsi="Arial"/>
                <w:sz w:val="11"/>
                <w:szCs w:val="11"/>
                <w:color w:val="auto"/>
              </w:rPr>
              <w:t>(857)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5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GMI restructuring(c)</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Ignition switch recall and related legal matters(d)</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440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adjustments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654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ind w:left="20"/>
              <w:spacing w:after="0"/>
              <w:rPr>
                <w:sz w:val="20"/>
                <w:szCs w:val="20"/>
                <w:color w:val="auto"/>
              </w:rPr>
            </w:pPr>
            <w:r>
              <w:rPr>
                <w:rFonts w:ascii="Arial" w:cs="Arial" w:eastAsia="Arial" w:hAnsi="Arial"/>
                <w:sz w:val="11"/>
                <w:szCs w:val="11"/>
                <w:color w:val="auto"/>
              </w:rPr>
              <w:t>EBIT-adjusted</w:t>
            </w: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2,310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2,610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2,828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3,085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3,153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2,523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3,192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3,682</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jc w:val="right"/>
              <w:ind w:right="4603"/>
              <w:spacing w:after="0"/>
              <w:rPr>
                <w:sz w:val="20"/>
                <w:szCs w:val="20"/>
                <w:color w:val="auto"/>
              </w:rPr>
            </w:pPr>
            <w:r>
              <w:rPr>
                <w:rFonts w:ascii="Arial" w:cs="Arial" w:eastAsia="Arial" w:hAnsi="Arial"/>
                <w:sz w:val="11"/>
                <w:szCs w:val="11"/>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both"/>
        <w:ind w:left="260" w:hanging="254"/>
        <w:spacing w:after="0" w:line="250"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in the three months ended March 31, 2019 and employee separation charges and accelerated depreciation in the three months ended December 31, 2018.</w:t>
      </w:r>
    </w:p>
    <w:p>
      <w:pPr>
        <w:spacing w:after="0" w:line="124" w:lineRule="exact"/>
        <w:rPr>
          <w:rFonts w:ascii="Arial" w:cs="Arial" w:eastAsia="Arial" w:hAnsi="Arial"/>
          <w:sz w:val="11"/>
          <w:szCs w:val="11"/>
          <w:color w:val="auto"/>
        </w:rPr>
      </w:pPr>
    </w:p>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 associated with a decision rendered by the Superior Judicial Court of Brazil resulting in retrospective recoveries of indirect taxes.</w:t>
      </w:r>
    </w:p>
    <w:p>
      <w:pPr>
        <w:spacing w:after="0" w:line="2" w:lineRule="exact"/>
        <w:rPr>
          <w:rFonts w:ascii="Arial" w:cs="Arial" w:eastAsia="Arial" w:hAnsi="Arial"/>
          <w:sz w:val="11"/>
          <w:szCs w:val="11"/>
          <w:color w:val="auto"/>
        </w:rPr>
      </w:pPr>
    </w:p>
    <w:p>
      <w:pPr>
        <w:jc w:val="both"/>
        <w:ind w:left="260" w:hanging="254"/>
        <w:spacing w:after="0" w:line="245"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in the three months ended March 31, 2018 and June 30, 2018 primarily consist of asset impairments and employee separation costs in Korea. The adjustment in the three months ended June 30, 2017 primarily consists of asset impairments and other restructuring actions in India, South Africa and Venezuela.</w:t>
      </w:r>
    </w:p>
    <w:p>
      <w:pPr>
        <w:ind w:left="260" w:hanging="254"/>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the ignition switch recall, which included various investigations, inquiries and complaints from constituents.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ind w:left="20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rPr>
              <w:t>March 31, 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0"/>
                <w:szCs w:val="10"/>
                <w:b w:val="1"/>
                <w:bCs w:val="1"/>
                <w:color w:val="auto"/>
              </w:rPr>
              <w:t>March 31, 2018</w:t>
            </w:r>
          </w:p>
        </w:tc>
        <w:tc>
          <w:tcPr>
            <w:tcW w:w="0" w:type="dxa"/>
            <w:vAlign w:val="bottom"/>
          </w:tcPr>
          <w:p>
            <w:pPr>
              <w:spacing w:after="0"/>
              <w:rPr>
                <w:sz w:val="1"/>
                <w:szCs w:val="1"/>
                <w:color w:val="auto"/>
              </w:rPr>
            </w:pPr>
          </w:p>
        </w:tc>
      </w:tr>
      <w:tr>
        <w:trPr>
          <w:trHeight w:val="194"/>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Per Share</w:t>
            </w:r>
          </w:p>
        </w:tc>
        <w:tc>
          <w:tcPr>
            <w:tcW w:w="16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16"/>
                <w:szCs w:val="16"/>
                <w:color w:val="auto"/>
              </w:rPr>
            </w:pPr>
          </w:p>
        </w:tc>
        <w:tc>
          <w:tcPr>
            <w:tcW w:w="640" w:type="dxa"/>
            <w:vAlign w:val="bottom"/>
          </w:tcPr>
          <w:p>
            <w:pPr>
              <w:jc w:val="right"/>
              <w:ind w:right="139"/>
              <w:spacing w:after="0"/>
              <w:rPr>
                <w:sz w:val="20"/>
                <w:szCs w:val="20"/>
                <w:color w:val="auto"/>
              </w:rPr>
            </w:pPr>
            <w:r>
              <w:rPr>
                <w:rFonts w:ascii="Arial" w:cs="Arial" w:eastAsia="Arial" w:hAnsi="Arial"/>
                <w:sz w:val="9"/>
                <w:szCs w:val="9"/>
                <w:b w:val="1"/>
                <w:bCs w:val="1"/>
                <w:color w:val="auto"/>
                <w:w w:val="99"/>
              </w:rPr>
              <w:t>Per Share</w:t>
            </w:r>
          </w:p>
        </w:tc>
        <w:tc>
          <w:tcPr>
            <w:tcW w:w="0" w:type="dxa"/>
            <w:vAlign w:val="bottom"/>
          </w:tcPr>
          <w:p>
            <w:pPr>
              <w:spacing w:after="0"/>
              <w:rPr>
                <w:sz w:val="1"/>
                <w:szCs w:val="1"/>
                <w:color w:val="auto"/>
              </w:rPr>
            </w:pPr>
          </w:p>
        </w:tc>
      </w:tr>
      <w:tr>
        <w:trPr>
          <w:trHeight w:val="201"/>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2,119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1.48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1,032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0.72</w:t>
            </w:r>
          </w:p>
        </w:tc>
        <w:tc>
          <w:tcPr>
            <w:tcW w:w="0" w:type="dxa"/>
            <w:vAlign w:val="bottom"/>
          </w:tcPr>
          <w:p>
            <w:pPr>
              <w:spacing w:after="0"/>
              <w:rPr>
                <w:sz w:val="1"/>
                <w:szCs w:val="1"/>
                <w:color w:val="auto"/>
              </w:rPr>
            </w:pPr>
          </w:p>
        </w:tc>
      </w:tr>
      <w:tr>
        <w:trPr>
          <w:trHeight w:val="209"/>
        </w:trPr>
        <w:tc>
          <w:tcPr>
            <w:tcW w:w="7920" w:type="dxa"/>
            <w:vAlign w:val="bottom"/>
          </w:tcPr>
          <w:p>
            <w:pPr>
              <w:ind w:left="20"/>
              <w:spacing w:after="0"/>
              <w:rPr>
                <w:sz w:val="20"/>
                <w:szCs w:val="20"/>
                <w:color w:val="auto"/>
              </w:rPr>
            </w:pPr>
            <w:r>
              <w:rPr>
                <w:rFonts w:ascii="Arial" w:cs="Arial" w:eastAsia="Arial" w:hAnsi="Arial"/>
                <w:sz w:val="13"/>
                <w:szCs w:val="13"/>
                <w:color w:val="auto"/>
              </w:rPr>
              <w:t>Diluted loss per common share – discontinued operations</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222"/>
        </w:trPr>
        <w:tc>
          <w:tcPr>
            <w:tcW w:w="7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209"/>
        </w:trPr>
        <w:tc>
          <w:tcPr>
            <w:tcW w:w="7920" w:type="dxa"/>
            <w:vAlign w:val="bottom"/>
          </w:tcPr>
          <w:p>
            <w:pPr>
              <w:ind w:left="20"/>
              <w:spacing w:after="0"/>
              <w:rPr>
                <w:sz w:val="20"/>
                <w:szCs w:val="20"/>
                <w:color w:val="auto"/>
              </w:rPr>
            </w:pPr>
            <w:r>
              <w:rPr>
                <w:rFonts w:ascii="Arial" w:cs="Arial" w:eastAsia="Arial" w:hAnsi="Arial"/>
                <w:sz w:val="13"/>
                <w:szCs w:val="13"/>
                <w:color w:val="auto"/>
              </w:rPr>
              <w:t>Tax effect on adjustment(b)</w:t>
            </w:r>
          </w:p>
        </w:tc>
        <w:tc>
          <w:tcPr>
            <w:tcW w:w="16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2,020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2,044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1"/>
                <w:szCs w:val="11"/>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0"/>
          </w:cols>
          <w:pgMar w:left="220" w:top="468"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ind w:left="46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w w:val="98"/>
              </w:rPr>
              <w:t>March 31, 2019</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w w:val="98"/>
              </w:rPr>
              <w:t>March 31, 2018</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ind w:left="20"/>
              <w:spacing w:after="0" w:line="98" w:lineRule="exact"/>
              <w:rPr>
                <w:sz w:val="20"/>
                <w:szCs w:val="20"/>
                <w:color w:val="auto"/>
              </w:rPr>
            </w:pPr>
            <w:r>
              <w:rPr>
                <w:rFonts w:ascii="Arial" w:cs="Arial" w:eastAsia="Arial" w:hAnsi="Arial"/>
                <w:sz w:val="9"/>
                <w:szCs w:val="9"/>
                <w:b w:val="1"/>
                <w:bCs w:val="1"/>
                <w:color w:val="auto"/>
              </w:rPr>
              <w:t>Income before income</w:t>
            </w:r>
          </w:p>
        </w:tc>
        <w:tc>
          <w:tcPr>
            <w:tcW w:w="100" w:type="dxa"/>
            <w:vAlign w:val="bottom"/>
          </w:tcPr>
          <w:p>
            <w:pPr>
              <w:spacing w:after="0"/>
              <w:rPr>
                <w:sz w:val="8"/>
                <w:szCs w:val="8"/>
                <w:color w:val="auto"/>
              </w:rPr>
            </w:pPr>
          </w:p>
        </w:tc>
        <w:tc>
          <w:tcPr>
            <w:tcW w:w="1060" w:type="dxa"/>
            <w:vAlign w:val="bottom"/>
            <w:vMerge w:val="restart"/>
          </w:tcPr>
          <w:p>
            <w:pPr>
              <w:jc w:val="right"/>
              <w:ind w:right="127"/>
              <w:spacing w:after="0"/>
              <w:rPr>
                <w:sz w:val="20"/>
                <w:szCs w:val="20"/>
                <w:color w:val="auto"/>
              </w:rPr>
            </w:pPr>
            <w:r>
              <w:rPr>
                <w:rFonts w:ascii="Arial" w:cs="Arial" w:eastAsia="Arial" w:hAnsi="Arial"/>
                <w:sz w:val="9"/>
                <w:szCs w:val="9"/>
                <w:b w:val="1"/>
                <w:bCs w:val="1"/>
                <w:color w:val="auto"/>
              </w:rPr>
              <w:t>Income tax expense</w:t>
            </w:r>
          </w:p>
        </w:tc>
        <w:tc>
          <w:tcPr>
            <w:tcW w:w="100" w:type="dxa"/>
            <w:vAlign w:val="bottom"/>
          </w:tcPr>
          <w:p>
            <w:pPr>
              <w:spacing w:after="0"/>
              <w:rPr>
                <w:sz w:val="8"/>
                <w:szCs w:val="8"/>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9"/>
                <w:szCs w:val="9"/>
                <w:b w:val="1"/>
                <w:bCs w:val="1"/>
                <w:color w:val="auto"/>
              </w:rPr>
              <w:t>Effective tax rate</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spacing w:after="0" w:line="98" w:lineRule="exact"/>
              <w:rPr>
                <w:sz w:val="20"/>
                <w:szCs w:val="20"/>
                <w:color w:val="auto"/>
              </w:rPr>
            </w:pPr>
            <w:r>
              <w:rPr>
                <w:rFonts w:ascii="Arial" w:cs="Arial" w:eastAsia="Arial" w:hAnsi="Arial"/>
                <w:sz w:val="9"/>
                <w:szCs w:val="9"/>
                <w:b w:val="1"/>
                <w:bCs w:val="1"/>
                <w:color w:val="auto"/>
              </w:rPr>
              <w:t>Income before income</w:t>
            </w:r>
          </w:p>
        </w:tc>
        <w:tc>
          <w:tcPr>
            <w:tcW w:w="100" w:type="dxa"/>
            <w:vAlign w:val="bottom"/>
          </w:tcPr>
          <w:p>
            <w:pPr>
              <w:spacing w:after="0"/>
              <w:rPr>
                <w:sz w:val="8"/>
                <w:szCs w:val="8"/>
                <w:color w:val="auto"/>
              </w:rPr>
            </w:pPr>
          </w:p>
        </w:tc>
        <w:tc>
          <w:tcPr>
            <w:tcW w:w="1020" w:type="dxa"/>
            <w:vAlign w:val="bottom"/>
            <w:vMerge w:val="restart"/>
          </w:tcPr>
          <w:p>
            <w:pPr>
              <w:jc w:val="right"/>
              <w:ind w:right="87"/>
              <w:spacing w:after="0"/>
              <w:rPr>
                <w:sz w:val="20"/>
                <w:szCs w:val="20"/>
                <w:color w:val="auto"/>
              </w:rPr>
            </w:pPr>
            <w:r>
              <w:rPr>
                <w:rFonts w:ascii="Arial" w:cs="Arial" w:eastAsia="Arial" w:hAnsi="Arial"/>
                <w:sz w:val="9"/>
                <w:szCs w:val="9"/>
                <w:b w:val="1"/>
                <w:bCs w:val="1"/>
                <w:color w:val="auto"/>
              </w:rPr>
              <w:t>Income tax expense</w:t>
            </w:r>
          </w:p>
        </w:tc>
        <w:tc>
          <w:tcPr>
            <w:tcW w:w="120" w:type="dxa"/>
            <w:vAlign w:val="bottom"/>
          </w:tcPr>
          <w:p>
            <w:pPr>
              <w:spacing w:after="0"/>
              <w:rPr>
                <w:sz w:val="8"/>
                <w:szCs w:val="8"/>
                <w:color w:val="auto"/>
              </w:rPr>
            </w:pPr>
          </w:p>
        </w:tc>
        <w:tc>
          <w:tcPr>
            <w:tcW w:w="920" w:type="dxa"/>
            <w:vAlign w:val="bottom"/>
            <w:vMerge w:val="restart"/>
          </w:tcPr>
          <w:p>
            <w:pPr>
              <w:jc w:val="right"/>
              <w:ind w:right="77"/>
              <w:spacing w:after="0"/>
              <w:rPr>
                <w:sz w:val="20"/>
                <w:szCs w:val="20"/>
                <w:color w:val="auto"/>
              </w:rPr>
            </w:pPr>
            <w:r>
              <w:rPr>
                <w:rFonts w:ascii="Arial" w:cs="Arial" w:eastAsia="Arial" w:hAnsi="Arial"/>
                <w:sz w:val="9"/>
                <w:szCs w:val="9"/>
                <w:b w:val="1"/>
                <w:bCs w:val="1"/>
                <w:color w:val="auto"/>
              </w:rPr>
              <w:t>Effective tax rate</w:t>
            </w:r>
          </w:p>
        </w:tc>
        <w:tc>
          <w:tcPr>
            <w:tcW w:w="0" w:type="dxa"/>
            <w:vAlign w:val="bottom"/>
          </w:tcPr>
          <w:p>
            <w:pPr>
              <w:spacing w:after="0"/>
              <w:rPr>
                <w:sz w:val="1"/>
                <w:szCs w:val="1"/>
                <w:color w:val="auto"/>
              </w:rPr>
            </w:pPr>
          </w:p>
        </w:tc>
      </w:tr>
      <w:tr>
        <w:trPr>
          <w:trHeight w:val="128"/>
        </w:trPr>
        <w:tc>
          <w:tcPr>
            <w:tcW w:w="44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9"/>
                <w:szCs w:val="9"/>
                <w:b w:val="1"/>
                <w:bCs w:val="1"/>
                <w:color w:val="auto"/>
              </w:rPr>
              <w:t>taxes</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9"/>
                <w:szCs w:val="9"/>
                <w:b w:val="1"/>
                <w:bCs w:val="1"/>
                <w:color w:val="auto"/>
              </w:rPr>
              <w:t>taxes</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2,282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1,576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466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0" w:type="dxa"/>
            <w:vAlign w:val="bottom"/>
          </w:tcPr>
          <w:p>
            <w:pPr>
              <w:spacing w:after="0"/>
              <w:rPr>
                <w:sz w:val="1"/>
                <w:szCs w:val="1"/>
                <w:color w:val="auto"/>
              </w:rPr>
            </w:pPr>
          </w:p>
        </w:tc>
      </w:tr>
      <w:tr>
        <w:trPr>
          <w:trHeight w:val="212"/>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Adjustments(a)(b)</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color w:val="auto"/>
              </w:rPr>
              <w:t>942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ETR-adjusted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2,215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169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2,518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466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0" w:type="dxa"/>
            <w:vAlign w:val="bottom"/>
          </w:tcPr>
          <w:p>
            <w:pPr>
              <w:spacing w:after="0"/>
              <w:rPr>
                <w:sz w:val="1"/>
                <w:szCs w:val="1"/>
                <w:color w:val="auto"/>
              </w:rPr>
            </w:pPr>
          </w:p>
        </w:tc>
      </w:tr>
      <w:tr>
        <w:trPr>
          <w:trHeight w:val="20"/>
        </w:trPr>
        <w:tc>
          <w:tcPr>
            <w:tcW w:w="4480" w:type="dxa"/>
            <w:vAlign w:val="bottom"/>
            <w:vMerge w:val="restart"/>
          </w:tcPr>
          <w:p>
            <w:pPr>
              <w:jc w:val="right"/>
              <w:ind w:right="3897"/>
              <w:spacing w:after="0"/>
              <w:rPr>
                <w:sz w:val="20"/>
                <w:szCs w:val="20"/>
                <w:color w:val="auto"/>
              </w:rPr>
            </w:pPr>
            <w:r>
              <w:rPr>
                <w:rFonts w:ascii="Arial" w:cs="Arial" w:eastAsia="Arial" w:hAnsi="Arial"/>
                <w:sz w:val="11"/>
                <w:szCs w:val="11"/>
                <w:color w:val="auto"/>
              </w:rPr>
              <w:t>________</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attributable to stockholders under U.S. GAAP for adjustment details.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114" w:lineRule="exact"/>
        <w:rPr>
          <w:sz w:val="20"/>
          <w:szCs w:val="20"/>
          <w:color w:val="auto"/>
        </w:rPr>
      </w:pPr>
    </w:p>
    <w:p>
      <w:pPr>
        <w:ind w:firstLine="129"/>
        <w:spacing w:after="0" w:line="280"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0"/>
                <w:szCs w:val="10"/>
                <w:b w:val="1"/>
                <w:bCs w:val="1"/>
                <w:color w:val="auto"/>
                <w:w w:val="99"/>
              </w:rPr>
              <w:t>Four Quarters Ended</w:t>
            </w:r>
          </w:p>
        </w:tc>
      </w:tr>
      <w:tr>
        <w:trPr>
          <w:trHeight w:val="206"/>
        </w:trPr>
        <w:tc>
          <w:tcPr>
            <w:tcW w:w="20" w:type="dxa"/>
            <w:vAlign w:val="bottom"/>
          </w:tcPr>
          <w:p>
            <w:pPr>
              <w:spacing w:after="0"/>
              <w:rPr>
                <w:sz w:val="17"/>
                <w:szCs w:val="17"/>
                <w:color w:val="auto"/>
              </w:rPr>
            </w:pPr>
          </w:p>
        </w:tc>
        <w:tc>
          <w:tcPr>
            <w:tcW w:w="80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March 31, 2018</w:t>
            </w:r>
          </w:p>
        </w:tc>
      </w:tr>
      <w:tr>
        <w:trPr>
          <w:trHeight w:val="199"/>
        </w:trPr>
        <w:tc>
          <w:tcPr>
            <w:tcW w:w="20" w:type="dxa"/>
            <w:vAlign w:val="bottom"/>
          </w:tcPr>
          <w:p>
            <w:pPr>
              <w:spacing w:after="0"/>
              <w:rPr>
                <w:sz w:val="17"/>
                <w:szCs w:val="17"/>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180" w:type="dxa"/>
            <w:vAlign w:val="bottom"/>
            <w:shd w:val="clear" w:color="auto" w:fill="CCEEFF"/>
          </w:tcPr>
          <w:p>
            <w:pPr>
              <w:jc w:val="right"/>
              <w:ind w:right="10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(5.4)</w:t>
            </w:r>
          </w:p>
        </w:tc>
      </w:tr>
      <w:tr>
        <w:trPr>
          <w:trHeight w:val="209"/>
        </w:trPr>
        <w:tc>
          <w:tcPr>
            <w:tcW w:w="20" w:type="dxa"/>
            <w:vAlign w:val="bottom"/>
          </w:tcPr>
          <w:p>
            <w:pPr>
              <w:spacing w:after="0"/>
              <w:rPr>
                <w:sz w:val="18"/>
                <w:szCs w:val="18"/>
                <w:color w:val="auto"/>
              </w:rPr>
            </w:pPr>
          </w:p>
        </w:tc>
        <w:tc>
          <w:tcPr>
            <w:tcW w:w="804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180" w:type="dxa"/>
            <w:vAlign w:val="bottom"/>
          </w:tcPr>
          <w:p>
            <w:pPr>
              <w:jc w:val="right"/>
              <w:ind w:right="102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79"/>
              <w:spacing w:after="0"/>
              <w:rPr>
                <w:sz w:val="20"/>
                <w:szCs w:val="20"/>
                <w:color w:val="auto"/>
              </w:rPr>
            </w:pPr>
            <w:r>
              <w:rPr>
                <w:rFonts w:ascii="Arial" w:cs="Arial" w:eastAsia="Arial" w:hAnsi="Arial"/>
                <w:sz w:val="13"/>
                <w:szCs w:val="13"/>
                <w:color w:val="auto"/>
              </w:rPr>
              <w:t>39.3</w:t>
            </w:r>
          </w:p>
        </w:tc>
        <w:tc>
          <w:tcPr>
            <w:tcW w:w="120" w:type="dxa"/>
            <w:vAlign w:val="bottom"/>
          </w:tcPr>
          <w:p>
            <w:pPr>
              <w:spacing w:after="0"/>
              <w:rPr>
                <w:sz w:val="18"/>
                <w:szCs w:val="18"/>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139"/>
              <w:spacing w:after="0"/>
              <w:rPr>
                <w:sz w:val="20"/>
                <w:szCs w:val="20"/>
                <w:color w:val="auto"/>
              </w:rPr>
            </w:pPr>
            <w:r>
              <w:rPr>
                <w:rFonts w:ascii="Arial" w:cs="Arial" w:eastAsia="Arial" w:hAnsi="Arial"/>
                <w:sz w:val="13"/>
                <w:szCs w:val="13"/>
                <w:color w:val="auto"/>
              </w:rPr>
              <w:t>39.3</w:t>
            </w:r>
          </w:p>
        </w:tc>
      </w:tr>
      <w:tr>
        <w:trPr>
          <w:trHeight w:val="222"/>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33"/>
        </w:trPr>
        <w:tc>
          <w:tcPr>
            <w:tcW w:w="20" w:type="dxa"/>
            <w:vAlign w:val="bottom"/>
          </w:tcPr>
          <w:p>
            <w:pPr>
              <w:spacing w:after="0"/>
              <w:rPr>
                <w:sz w:val="11"/>
                <w:szCs w:val="11"/>
                <w:color w:val="auto"/>
              </w:rPr>
            </w:pPr>
          </w:p>
        </w:tc>
        <w:tc>
          <w:tcPr>
            <w:tcW w:w="8040" w:type="dxa"/>
            <w:vAlign w:val="bottom"/>
          </w:tcPr>
          <w:p>
            <w:pPr>
              <w:jc w:val="right"/>
              <w:ind w:right="7477"/>
              <w:spacing w:after="0"/>
              <w:rPr>
                <w:sz w:val="20"/>
                <w:szCs w:val="20"/>
                <w:color w:val="auto"/>
              </w:rPr>
            </w:pPr>
            <w:r>
              <w:rPr>
                <w:rFonts w:ascii="Arial" w:cs="Arial" w:eastAsia="Arial" w:hAnsi="Arial"/>
                <w:sz w:val="11"/>
                <w:szCs w:val="11"/>
                <w:color w:val="auto"/>
                <w:w w:val="97"/>
              </w:rPr>
              <w:t>________</w:t>
            </w: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r>
    </w:tbl>
    <w:p>
      <w:pPr>
        <w:ind w:left="260" w:hanging="254"/>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Net income (loss) attributable to stockholders.</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1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0"/>
                <w:szCs w:val="10"/>
                <w:b w:val="1"/>
                <w:bCs w:val="1"/>
                <w:color w:val="auto"/>
                <w:w w:val="97"/>
              </w:rPr>
              <w:t>Four Quarters Ended</w:t>
            </w:r>
          </w:p>
        </w:tc>
        <w:tc>
          <w:tcPr>
            <w:tcW w:w="440" w:type="dxa"/>
            <w:vAlign w:val="bottom"/>
            <w:tcBorders>
              <w:bottom w:val="single" w:sz="8" w:color="auto"/>
            </w:tcBorders>
          </w:tcPr>
          <w:p>
            <w:pPr>
              <w:spacing w:after="0"/>
              <w:rPr>
                <w:sz w:val="12"/>
                <w:szCs w:val="12"/>
                <w:color w:val="auto"/>
              </w:rPr>
            </w:pPr>
          </w:p>
        </w:tc>
      </w:tr>
      <w:tr>
        <w:trPr>
          <w:trHeight w:val="206"/>
        </w:trPr>
        <w:tc>
          <w:tcPr>
            <w:tcW w:w="8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2019</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2018</w:t>
            </w:r>
          </w:p>
        </w:tc>
        <w:tc>
          <w:tcPr>
            <w:tcW w:w="440" w:type="dxa"/>
            <w:vAlign w:val="bottom"/>
            <w:tcBorders>
              <w:bottom w:val="single" w:sz="8" w:color="auto"/>
            </w:tcBorders>
          </w:tcPr>
          <w:p>
            <w:pPr>
              <w:spacing w:after="0"/>
              <w:rPr>
                <w:sz w:val="17"/>
                <w:szCs w:val="17"/>
                <w:color w:val="auto"/>
              </w:rPr>
            </w:pPr>
          </w:p>
        </w:tc>
      </w:tr>
      <w:tr>
        <w:trPr>
          <w:trHeight w:val="188"/>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EBIT-adjusted(a)</w:t>
            </w:r>
          </w:p>
        </w:tc>
        <w:tc>
          <w:tcPr>
            <w:tcW w:w="1180" w:type="dxa"/>
            <w:vAlign w:val="bottom"/>
            <w:shd w:val="clear" w:color="auto" w:fill="CCEEFF"/>
          </w:tcPr>
          <w:p>
            <w:pPr>
              <w:jc w:val="right"/>
              <w:ind w:right="101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1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11.9</w:t>
            </w:r>
          </w:p>
        </w:tc>
      </w:tr>
      <w:tr>
        <w:trPr>
          <w:trHeight w:val="187"/>
        </w:trPr>
        <w:tc>
          <w:tcPr>
            <w:tcW w:w="81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180" w:type="dxa"/>
            <w:vAlign w:val="bottom"/>
          </w:tcPr>
          <w:p>
            <w:pPr>
              <w:jc w:val="right"/>
              <w:ind w:right="1019"/>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16"/>
                <w:szCs w:val="16"/>
                <w:color w:val="auto"/>
              </w:rPr>
            </w:pPr>
          </w:p>
        </w:tc>
        <w:tc>
          <w:tcPr>
            <w:tcW w:w="1180" w:type="dxa"/>
            <w:vAlign w:val="bottom"/>
          </w:tcPr>
          <w:p>
            <w:pPr>
              <w:jc w:val="right"/>
              <w:ind w:right="1019"/>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75"/>
              <w:spacing w:after="0"/>
              <w:rPr>
                <w:sz w:val="20"/>
                <w:szCs w:val="20"/>
                <w:color w:val="auto"/>
              </w:rPr>
            </w:pPr>
            <w:r>
              <w:rPr>
                <w:rFonts w:ascii="Arial" w:cs="Arial" w:eastAsia="Arial" w:hAnsi="Arial"/>
                <w:sz w:val="13"/>
                <w:szCs w:val="13"/>
                <w:color w:val="auto"/>
              </w:rPr>
              <w:t>39.3</w:t>
            </w:r>
          </w:p>
        </w:tc>
      </w:tr>
      <w:tr>
        <w:trPr>
          <w:trHeight w:val="201"/>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capital leases)</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12.7</w:t>
            </w:r>
          </w:p>
        </w:tc>
      </w:tr>
      <w:tr>
        <w:trPr>
          <w:trHeight w:val="187"/>
        </w:trPr>
        <w:tc>
          <w:tcPr>
            <w:tcW w:w="81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180" w:type="dxa"/>
            <w:vAlign w:val="bottom"/>
          </w:tcPr>
          <w:p>
            <w:pPr>
              <w:spacing w:after="0"/>
              <w:rPr>
                <w:sz w:val="16"/>
                <w:szCs w:val="16"/>
                <w:color w:val="auto"/>
              </w:rPr>
            </w:pPr>
          </w:p>
        </w:tc>
        <w:tc>
          <w:tcPr>
            <w:tcW w:w="440" w:type="dxa"/>
            <w:vAlign w:val="bottom"/>
          </w:tcPr>
          <w:p>
            <w:pPr>
              <w:jc w:val="right"/>
              <w:ind w:right="77"/>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jc w:val="right"/>
              <w:ind w:right="75"/>
              <w:spacing w:after="0"/>
              <w:rPr>
                <w:sz w:val="20"/>
                <w:szCs w:val="20"/>
                <w:color w:val="auto"/>
              </w:rPr>
            </w:pPr>
            <w:r>
              <w:rPr>
                <w:rFonts w:ascii="Arial" w:cs="Arial" w:eastAsia="Arial" w:hAnsi="Arial"/>
                <w:sz w:val="13"/>
                <w:szCs w:val="13"/>
                <w:color w:val="auto"/>
              </w:rPr>
              <w:t>20.6</w:t>
            </w:r>
          </w:p>
        </w:tc>
      </w:tr>
      <w:tr>
        <w:trPr>
          <w:trHeight w:val="194"/>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1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4"/>
              </w:rPr>
              <w:t>(22.9)</w:t>
            </w: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94"/>
              </w:rPr>
              <w:t>(26.9)</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ROIC-adjusted average net assets</w:t>
            </w:r>
          </w:p>
        </w:tc>
        <w:tc>
          <w:tcPr>
            <w:tcW w:w="1180" w:type="dxa"/>
            <w:vAlign w:val="bottom"/>
            <w:tcBorders>
              <w:bottom w:val="single" w:sz="8" w:color="auto"/>
            </w:tcBorders>
          </w:tcPr>
          <w:p>
            <w:pPr>
              <w:jc w:val="right"/>
              <w:ind w:right="101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48.3</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01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45.7</w:t>
            </w:r>
          </w:p>
        </w:tc>
      </w:tr>
      <w:tr>
        <w:trPr>
          <w:trHeight w:val="168"/>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11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r>
      <w:tr>
        <w:trPr>
          <w:trHeight w:val="133"/>
        </w:trPr>
        <w:tc>
          <w:tcPr>
            <w:tcW w:w="8120" w:type="dxa"/>
            <w:vAlign w:val="bottom"/>
          </w:tcPr>
          <w:p>
            <w:pPr>
              <w:spacing w:after="0"/>
              <w:rPr>
                <w:sz w:val="20"/>
                <w:szCs w:val="20"/>
                <w:color w:val="auto"/>
              </w:rPr>
            </w:pPr>
            <w:r>
              <w:rPr>
                <w:rFonts w:ascii="Arial" w:cs="Arial" w:eastAsia="Arial" w:hAnsi="Arial"/>
                <w:sz w:val="11"/>
                <w:szCs w:val="11"/>
                <w:color w:val="auto"/>
              </w:rPr>
              <w:t>________</w:t>
            </w: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r>
    </w:tbl>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EBIT-adjusted.</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468"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used in operating activities from continuing operations under U.S. GAAP to adjusted automotive free cash flow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4"/>
          </w:tcPr>
          <w:p>
            <w:pPr>
              <w:ind w:left="340"/>
              <w:spacing w:after="0"/>
              <w:rPr>
                <w:sz w:val="20"/>
                <w:szCs w:val="20"/>
                <w:color w:val="auto"/>
              </w:rPr>
            </w:pPr>
            <w:r>
              <w:rPr>
                <w:rFonts w:ascii="Arial" w:cs="Arial" w:eastAsia="Arial" w:hAnsi="Arial"/>
                <w:sz w:val="10"/>
                <w:szCs w:val="10"/>
                <w:b w:val="1"/>
                <w:bCs w:val="1"/>
                <w:color w:val="auto"/>
              </w:rPr>
              <w:t>March 31, 2019</w:t>
            </w:r>
          </w:p>
        </w:tc>
        <w:tc>
          <w:tcPr>
            <w:tcW w:w="1360" w:type="dxa"/>
            <w:vAlign w:val="bottom"/>
            <w:gridSpan w:val="4"/>
          </w:tcPr>
          <w:p>
            <w:pPr>
              <w:jc w:val="right"/>
              <w:ind w:right="266"/>
              <w:spacing w:after="0"/>
              <w:rPr>
                <w:sz w:val="20"/>
                <w:szCs w:val="20"/>
                <w:color w:val="auto"/>
              </w:rPr>
            </w:pPr>
            <w:r>
              <w:rPr>
                <w:rFonts w:ascii="Arial" w:cs="Arial" w:eastAsia="Arial" w:hAnsi="Arial"/>
                <w:sz w:val="10"/>
                <w:szCs w:val="10"/>
                <w:b w:val="1"/>
                <w:bCs w:val="1"/>
                <w:color w:val="auto"/>
              </w:rPr>
              <w:t>March 31, 2018</w:t>
            </w:r>
          </w:p>
        </w:tc>
        <w:tc>
          <w:tcPr>
            <w:tcW w:w="0" w:type="dxa"/>
            <w:vAlign w:val="bottom"/>
          </w:tcPr>
          <w:p>
            <w:pPr>
              <w:spacing w:after="0"/>
              <w:rPr>
                <w:sz w:val="1"/>
                <w:szCs w:val="1"/>
                <w:color w:val="auto"/>
              </w:rPr>
            </w:pPr>
          </w:p>
        </w:tc>
      </w:tr>
      <w:tr>
        <w:trPr>
          <w:trHeight w:val="199"/>
        </w:trPr>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9"/>
              </w:rPr>
              <w:t>Net automotive cash used in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3"/>
                <w:szCs w:val="13"/>
                <w:color w:val="auto"/>
              </w:rPr>
              <w:t>(2,207)</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(1,063)</w:t>
            </w:r>
          </w:p>
        </w:tc>
        <w:tc>
          <w:tcPr>
            <w:tcW w:w="0" w:type="dxa"/>
            <w:vAlign w:val="bottom"/>
          </w:tcPr>
          <w:p>
            <w:pPr>
              <w:spacing w:after="0"/>
              <w:rPr>
                <w:sz w:val="1"/>
                <w:szCs w:val="1"/>
                <w:color w:val="auto"/>
              </w:rPr>
            </w:pPr>
          </w:p>
        </w:tc>
      </w:tr>
      <w:tr>
        <w:trPr>
          <w:trHeight w:val="209"/>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Less: Capital expenditures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27"/>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6"/>
              <w:spacing w:after="0"/>
              <w:rPr>
                <w:sz w:val="20"/>
                <w:szCs w:val="20"/>
                <w:color w:val="auto"/>
              </w:rPr>
            </w:pPr>
            <w:r>
              <w:rPr>
                <w:rFonts w:ascii="Arial" w:cs="Arial" w:eastAsia="Arial" w:hAnsi="Arial"/>
                <w:sz w:val="13"/>
                <w:szCs w:val="13"/>
                <w:color w:val="auto"/>
              </w:rPr>
              <w:t>(2,240)</w:t>
            </w:r>
          </w:p>
        </w:tc>
        <w:tc>
          <w:tcPr>
            <w:tcW w:w="0" w:type="dxa"/>
            <w:vAlign w:val="bottom"/>
          </w:tcPr>
          <w:p>
            <w:pPr>
              <w:spacing w:after="0"/>
              <w:rPr>
                <w:sz w:val="1"/>
                <w:szCs w:val="1"/>
                <w:color w:val="auto"/>
              </w:rPr>
            </w:pPr>
          </w:p>
        </w:tc>
      </w:tr>
      <w:tr>
        <w:trPr>
          <w:trHeight w:val="22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Add: Transformation activities</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7"/>
              <w:spacing w:after="0"/>
              <w:rPr>
                <w:sz w:val="20"/>
                <w:szCs w:val="20"/>
                <w:color w:val="auto"/>
              </w:rPr>
            </w:pPr>
            <w:r>
              <w:rPr>
                <w:rFonts w:ascii="Arial" w:cs="Arial" w:eastAsia="Arial" w:hAnsi="Arial"/>
                <w:sz w:val="13"/>
                <w:szCs w:val="13"/>
                <w:color w:val="auto"/>
              </w:rPr>
              <w:t>315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Add: GMI restructuring</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Adjusted automotive free cash flow</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3"/>
                <w:szCs w:val="13"/>
                <w:color w:val="auto"/>
              </w:rPr>
              <w:t>(3,876)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(3,303)</w:t>
            </w:r>
          </w:p>
        </w:tc>
        <w:tc>
          <w:tcPr>
            <w:tcW w:w="0" w:type="dxa"/>
            <w:vAlign w:val="bottom"/>
          </w:tcPr>
          <w:p>
            <w:pPr>
              <w:spacing w:after="0"/>
              <w:rPr>
                <w:sz w:val="1"/>
                <w:szCs w:val="1"/>
                <w:color w:val="auto"/>
              </w:rPr>
            </w:pPr>
          </w:p>
        </w:tc>
      </w:tr>
      <w:tr>
        <w:trPr>
          <w:trHeight w:val="20"/>
        </w:trPr>
        <w:tc>
          <w:tcPr>
            <w:tcW w:w="5580" w:type="dxa"/>
            <w:vAlign w:val="bottom"/>
            <w:gridSpan w:val="11"/>
            <w:vMerge w:val="restart"/>
          </w:tcPr>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580" w:type="dxa"/>
            <w:vAlign w:val="bottom"/>
            <w:gridSpan w:val="11"/>
            <w:vMerge w:val="continue"/>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ind w:right="231"/>
              <w:spacing w:after="0"/>
              <w:rPr>
                <w:sz w:val="20"/>
                <w:szCs w:val="20"/>
                <w:color w:val="auto"/>
              </w:rPr>
            </w:pPr>
            <w:r>
              <w:rPr>
                <w:rFonts w:ascii="Arial" w:cs="Arial" w:eastAsia="Arial" w:hAnsi="Arial"/>
                <w:sz w:val="9"/>
                <w:szCs w:val="9"/>
                <w:b w:val="1"/>
                <w:bCs w:val="1"/>
                <w:color w:val="auto"/>
              </w:rPr>
              <w:t>GMNA</w:t>
            </w:r>
          </w:p>
        </w:tc>
        <w:tc>
          <w:tcPr>
            <w:tcW w:w="1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restart"/>
          </w:tcPr>
          <w:p>
            <w:pPr>
              <w:jc w:val="right"/>
              <w:ind w:right="271"/>
              <w:spacing w:after="0"/>
              <w:rPr>
                <w:sz w:val="20"/>
                <w:szCs w:val="20"/>
                <w:color w:val="auto"/>
              </w:rPr>
            </w:pPr>
            <w:r>
              <w:rPr>
                <w:rFonts w:ascii="Arial" w:cs="Arial" w:eastAsia="Arial" w:hAnsi="Arial"/>
                <w:sz w:val="9"/>
                <w:szCs w:val="9"/>
                <w:b w:val="1"/>
                <w:bCs w:val="1"/>
                <w:color w:val="auto"/>
              </w:rPr>
              <w:t>GMI</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ind w:right="151"/>
              <w:spacing w:after="0"/>
              <w:rPr>
                <w:sz w:val="20"/>
                <w:szCs w:val="20"/>
                <w:color w:val="auto"/>
              </w:rPr>
            </w:pPr>
            <w:r>
              <w:rPr>
                <w:rFonts w:ascii="Arial" w:cs="Arial" w:eastAsia="Arial" w:hAnsi="Arial"/>
                <w:sz w:val="9"/>
                <w:szCs w:val="9"/>
                <w:b w:val="1"/>
                <w:bCs w:val="1"/>
                <w:color w:val="auto"/>
              </w:rPr>
              <w:t>Corporate</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Arial" w:cs="Arial" w:eastAsia="Arial" w:hAnsi="Arial"/>
                <w:sz w:val="9"/>
                <w:szCs w:val="9"/>
                <w:b w:val="1"/>
                <w:bCs w:val="1"/>
                <w:color w:val="auto"/>
              </w:rPr>
              <w:t>Eliminations</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17"/>
                <w:szCs w:val="17"/>
                <w:color w:val="auto"/>
              </w:rPr>
            </w:pPr>
          </w:p>
        </w:tc>
        <w:tc>
          <w:tcPr>
            <w:tcW w:w="580" w:type="dxa"/>
            <w:vAlign w:val="bottom"/>
            <w:vMerge w:val="restart"/>
          </w:tcPr>
          <w:p>
            <w:pPr>
              <w:jc w:val="right"/>
              <w:ind w:right="71"/>
              <w:spacing w:after="0"/>
              <w:rPr>
                <w:sz w:val="20"/>
                <w:szCs w:val="20"/>
                <w:color w:val="auto"/>
              </w:rPr>
            </w:pPr>
            <w:r>
              <w:rPr>
                <w:rFonts w:ascii="Arial" w:cs="Arial" w:eastAsia="Arial" w:hAnsi="Arial"/>
                <w:sz w:val="9"/>
                <w:szCs w:val="9"/>
                <w:b w:val="1"/>
                <w:bCs w:val="1"/>
                <w:color w:val="auto"/>
                <w:w w:val="97"/>
              </w:rPr>
              <w:t>GM Cruise</w:t>
            </w:r>
          </w:p>
        </w:tc>
        <w:tc>
          <w:tcPr>
            <w:tcW w:w="10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6"/>
              </w:rPr>
              <w:t>GM</w:t>
            </w:r>
          </w:p>
        </w:tc>
        <w:tc>
          <w:tcPr>
            <w:tcW w:w="126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w w:val="94"/>
              </w:rPr>
              <w:t>Reclassifications/Eliminations</w:t>
            </w:r>
          </w:p>
        </w:tc>
        <w:tc>
          <w:tcPr>
            <w:tcW w:w="1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restart"/>
          </w:tcPr>
          <w:p>
            <w:pPr>
              <w:jc w:val="right"/>
              <w:ind w:right="246"/>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92"/>
              <w:spacing w:after="0"/>
              <w:rPr>
                <w:sz w:val="20"/>
                <w:szCs w:val="20"/>
                <w:color w:val="auto"/>
              </w:rPr>
            </w:pPr>
            <w:r>
              <w:rPr>
                <w:rFonts w:ascii="Arial" w:cs="Arial" w:eastAsia="Arial" w:hAnsi="Arial"/>
                <w:sz w:val="9"/>
                <w:szCs w:val="9"/>
                <w:b w:val="1"/>
                <w:bCs w:val="1"/>
                <w:color w:val="auto"/>
                <w:w w:val="92"/>
              </w:rPr>
              <w:t>Automotive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50"/>
              <w:spacing w:after="0"/>
              <w:rPr>
                <w:sz w:val="20"/>
                <w:szCs w:val="20"/>
                <w:color w:val="auto"/>
              </w:rPr>
            </w:pPr>
            <w:r>
              <w:rPr>
                <w:rFonts w:ascii="Arial" w:cs="Arial" w:eastAsia="Arial" w:hAnsi="Arial"/>
                <w:sz w:val="9"/>
                <w:szCs w:val="9"/>
                <w:b w:val="1"/>
                <w:bCs w:val="1"/>
                <w:color w:val="auto"/>
                <w:w w:val="97"/>
              </w:rPr>
              <w:t>Financial</w:t>
            </w:r>
          </w:p>
        </w:tc>
        <w:tc>
          <w:tcPr>
            <w:tcW w:w="120" w:type="dxa"/>
            <w:vAlign w:val="bottom"/>
          </w:tcPr>
          <w:p>
            <w:pPr>
              <w:spacing w:after="0"/>
              <w:rPr>
                <w:sz w:val="11"/>
                <w:szCs w:val="11"/>
                <w:color w:val="auto"/>
              </w:rPr>
            </w:pPr>
          </w:p>
        </w:tc>
        <w:tc>
          <w:tcPr>
            <w:tcW w:w="1260" w:type="dxa"/>
            <w:vAlign w:val="bottom"/>
            <w:tcBorders>
              <w:bottom w:val="single" w:sz="8" w:color="auto"/>
            </w:tcBorders>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ind w:left="20"/>
              <w:spacing w:after="0"/>
              <w:rPr>
                <w:sz w:val="20"/>
                <w:szCs w:val="20"/>
                <w:color w:val="auto"/>
              </w:rPr>
            </w:pPr>
            <w:r>
              <w:rPr>
                <w:rFonts w:ascii="Arial" w:cs="Arial" w:eastAsia="Arial" w:hAnsi="Arial"/>
                <w:sz w:val="9"/>
                <w:szCs w:val="9"/>
                <w:b w:val="1"/>
                <w:bCs w:val="1"/>
                <w:color w:val="auto"/>
              </w:rPr>
              <w:t>Three Months Ended March 31, 2019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27,365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31,261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3,620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rPr>
              <w:t>34,878</w:t>
            </w:r>
          </w:p>
        </w:tc>
        <w:tc>
          <w:tcPr>
            <w:tcW w:w="0" w:type="dxa"/>
            <w:vAlign w:val="bottom"/>
          </w:tcPr>
          <w:p>
            <w:pPr>
              <w:spacing w:after="0"/>
              <w:rPr>
                <w:sz w:val="1"/>
                <w:szCs w:val="1"/>
                <w:color w:val="auto"/>
              </w:rPr>
            </w:pPr>
          </w:p>
        </w:tc>
      </w:tr>
      <w:tr>
        <w:trPr>
          <w:trHeight w:val="167"/>
        </w:trPr>
        <w:tc>
          <w:tcPr>
            <w:tcW w:w="2780" w:type="dxa"/>
            <w:vAlign w:val="bottom"/>
            <w:gridSpan w:val="2"/>
          </w:tcPr>
          <w:p>
            <w:pPr>
              <w:ind w:left="20"/>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1,701</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292</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1,993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17</w:t>
            </w:r>
          </w:p>
        </w:tc>
        <w:tc>
          <w:tcPr>
            <w:tcW w:w="1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46"/>
              <w:spacing w:after="0"/>
              <w:rPr>
                <w:sz w:val="20"/>
                <w:szCs w:val="20"/>
                <w:color w:val="auto"/>
              </w:rPr>
            </w:pPr>
            <w:r>
              <w:rPr>
                <w:rFonts w:ascii="Arial" w:cs="Arial" w:eastAsia="Arial" w:hAnsi="Arial"/>
                <w:sz w:val="10"/>
                <w:szCs w:val="10"/>
                <w:color w:val="auto"/>
              </w:rPr>
              <w:t>2,014</w:t>
            </w:r>
          </w:p>
        </w:tc>
        <w:tc>
          <w:tcPr>
            <w:tcW w:w="0" w:type="dxa"/>
            <w:vAlign w:val="bottom"/>
          </w:tcPr>
          <w:p>
            <w:pPr>
              <w:spacing w:after="0"/>
              <w:rPr>
                <w:sz w:val="1"/>
                <w:szCs w:val="1"/>
                <w:color w:val="auto"/>
              </w:rPr>
            </w:pPr>
          </w:p>
        </w:tc>
      </w:tr>
      <w:tr>
        <w:trPr>
          <w:trHeight w:val="17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2,069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2,208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1,899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rPr>
              <w:t>4,109</w:t>
            </w:r>
          </w:p>
        </w:tc>
        <w:tc>
          <w:tcPr>
            <w:tcW w:w="0" w:type="dxa"/>
            <w:vAlign w:val="bottom"/>
          </w:tcPr>
          <w:p>
            <w:pPr>
              <w:spacing w:after="0"/>
              <w:rPr>
                <w:sz w:val="1"/>
                <w:szCs w:val="1"/>
                <w:color w:val="auto"/>
              </w:rPr>
            </w:pPr>
          </w:p>
        </w:tc>
      </w:tr>
      <w:tr>
        <w:trPr>
          <w:trHeight w:val="167"/>
        </w:trPr>
        <w:tc>
          <w:tcPr>
            <w:tcW w:w="2780" w:type="dxa"/>
            <w:vAlign w:val="bottom"/>
            <w:gridSpan w:val="2"/>
          </w:tcPr>
          <w:p>
            <w:pPr>
              <w:ind w:left="20"/>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7</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Pr>
          <w:p>
            <w:pPr>
              <w:ind w:lef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46"/>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7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374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rPr>
              <w:t>414</w:t>
            </w:r>
          </w:p>
        </w:tc>
        <w:tc>
          <w:tcPr>
            <w:tcW w:w="0" w:type="dxa"/>
            <w:vAlign w:val="bottom"/>
          </w:tcPr>
          <w:p>
            <w:pPr>
              <w:spacing w:after="0"/>
              <w:rPr>
                <w:sz w:val="1"/>
                <w:szCs w:val="1"/>
                <w:color w:val="auto"/>
              </w:rPr>
            </w:pPr>
          </w:p>
        </w:tc>
      </w:tr>
      <w:tr>
        <w:trPr>
          <w:trHeight w:val="363"/>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restart"/>
          </w:tcPr>
          <w:p>
            <w:pPr>
              <w:jc w:val="right"/>
              <w:ind w:right="231"/>
              <w:spacing w:after="0"/>
              <w:rPr>
                <w:sz w:val="20"/>
                <w:szCs w:val="20"/>
                <w:color w:val="auto"/>
              </w:rPr>
            </w:pPr>
            <w:r>
              <w:rPr>
                <w:rFonts w:ascii="Arial" w:cs="Arial" w:eastAsia="Arial" w:hAnsi="Arial"/>
                <w:sz w:val="9"/>
                <w:szCs w:val="9"/>
                <w:b w:val="1"/>
                <w:bCs w:val="1"/>
                <w:color w:val="auto"/>
              </w:rPr>
              <w:t>GMNA</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vMerge w:val="restart"/>
          </w:tcPr>
          <w:p>
            <w:pPr>
              <w:jc w:val="right"/>
              <w:ind w:right="271"/>
              <w:spacing w:after="0"/>
              <w:rPr>
                <w:sz w:val="20"/>
                <w:szCs w:val="20"/>
                <w:color w:val="auto"/>
              </w:rPr>
            </w:pPr>
            <w:r>
              <w:rPr>
                <w:rFonts w:ascii="Arial" w:cs="Arial" w:eastAsia="Arial" w:hAnsi="Arial"/>
                <w:sz w:val="9"/>
                <w:szCs w:val="9"/>
                <w:b w:val="1"/>
                <w:bCs w:val="1"/>
                <w:color w:val="auto"/>
              </w:rPr>
              <w:t>GMI</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restart"/>
          </w:tcPr>
          <w:p>
            <w:pPr>
              <w:jc w:val="right"/>
              <w:ind w:right="151"/>
              <w:spacing w:after="0"/>
              <w:rPr>
                <w:sz w:val="20"/>
                <w:szCs w:val="20"/>
                <w:color w:val="auto"/>
              </w:rPr>
            </w:pPr>
            <w:r>
              <w:rPr>
                <w:rFonts w:ascii="Arial" w:cs="Arial" w:eastAsia="Arial" w:hAnsi="Arial"/>
                <w:sz w:val="9"/>
                <w:szCs w:val="9"/>
                <w:b w:val="1"/>
                <w:bCs w:val="1"/>
                <w:color w:val="auto"/>
              </w:rPr>
              <w:t>Corporate</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ind w:left="60"/>
              <w:spacing w:after="0"/>
              <w:rPr>
                <w:sz w:val="20"/>
                <w:szCs w:val="20"/>
                <w:color w:val="auto"/>
              </w:rPr>
            </w:pPr>
            <w:r>
              <w:rPr>
                <w:rFonts w:ascii="Arial" w:cs="Arial" w:eastAsia="Arial" w:hAnsi="Arial"/>
                <w:sz w:val="9"/>
                <w:szCs w:val="9"/>
                <w:b w:val="1"/>
                <w:bCs w:val="1"/>
                <w:color w:val="auto"/>
              </w:rPr>
              <w:t>Eliminations</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24"/>
                <w:szCs w:val="24"/>
                <w:color w:val="auto"/>
              </w:rPr>
            </w:pPr>
          </w:p>
        </w:tc>
        <w:tc>
          <w:tcPr>
            <w:tcW w:w="580" w:type="dxa"/>
            <w:vAlign w:val="bottom"/>
            <w:vMerge w:val="restart"/>
          </w:tcPr>
          <w:p>
            <w:pPr>
              <w:jc w:val="right"/>
              <w:ind w:right="71"/>
              <w:spacing w:after="0"/>
              <w:rPr>
                <w:sz w:val="20"/>
                <w:szCs w:val="20"/>
                <w:color w:val="auto"/>
              </w:rPr>
            </w:pPr>
            <w:r>
              <w:rPr>
                <w:rFonts w:ascii="Arial" w:cs="Arial" w:eastAsia="Arial" w:hAnsi="Arial"/>
                <w:sz w:val="9"/>
                <w:szCs w:val="9"/>
                <w:b w:val="1"/>
                <w:bCs w:val="1"/>
                <w:color w:val="auto"/>
                <w:w w:val="97"/>
              </w:rPr>
              <w:t>GM Cruise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6"/>
              </w:rPr>
              <w:t>GM</w:t>
            </w:r>
          </w:p>
        </w:tc>
        <w:tc>
          <w:tcPr>
            <w:tcW w:w="1260" w:type="dxa"/>
            <w:vAlign w:val="bottom"/>
            <w:gridSpan w:val="3"/>
            <w:vMerge w:val="restart"/>
          </w:tcPr>
          <w:p>
            <w:pPr>
              <w:jc w:val="right"/>
              <w:ind w:right="328"/>
              <w:spacing w:after="0"/>
              <w:rPr>
                <w:sz w:val="20"/>
                <w:szCs w:val="20"/>
                <w:color w:val="auto"/>
              </w:rPr>
            </w:pPr>
            <w:r>
              <w:rPr>
                <w:rFonts w:ascii="Arial" w:cs="Arial" w:eastAsia="Arial" w:hAnsi="Arial"/>
                <w:sz w:val="9"/>
                <w:szCs w:val="9"/>
                <w:b w:val="1"/>
                <w:bCs w:val="1"/>
                <w:color w:val="auto"/>
              </w:rPr>
              <w:t>Eliminations</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vMerge w:val="restart"/>
          </w:tcPr>
          <w:p>
            <w:pPr>
              <w:jc w:val="right"/>
              <w:ind w:right="246"/>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92"/>
              <w:spacing w:after="0"/>
              <w:rPr>
                <w:sz w:val="20"/>
                <w:szCs w:val="20"/>
                <w:color w:val="auto"/>
              </w:rPr>
            </w:pPr>
            <w:r>
              <w:rPr>
                <w:rFonts w:ascii="Arial" w:cs="Arial" w:eastAsia="Arial" w:hAnsi="Arial"/>
                <w:sz w:val="9"/>
                <w:szCs w:val="9"/>
                <w:b w:val="1"/>
                <w:bCs w:val="1"/>
                <w:color w:val="auto"/>
                <w:w w:val="92"/>
              </w:rPr>
              <w:t>Automotive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50"/>
              <w:spacing w:after="0"/>
              <w:rPr>
                <w:sz w:val="20"/>
                <w:szCs w:val="20"/>
                <w:color w:val="auto"/>
              </w:rPr>
            </w:pPr>
            <w:r>
              <w:rPr>
                <w:rFonts w:ascii="Arial" w:cs="Arial" w:eastAsia="Arial" w:hAnsi="Arial"/>
                <w:sz w:val="9"/>
                <w:szCs w:val="9"/>
                <w:b w:val="1"/>
                <w:bCs w:val="1"/>
                <w:color w:val="auto"/>
                <w:w w:val="97"/>
              </w:rPr>
              <w:t>Financial</w:t>
            </w:r>
          </w:p>
        </w:tc>
        <w:tc>
          <w:tcPr>
            <w:tcW w:w="120" w:type="dxa"/>
            <w:vAlign w:val="bottom"/>
          </w:tcPr>
          <w:p>
            <w:pPr>
              <w:spacing w:after="0"/>
              <w:rPr>
                <w:sz w:val="11"/>
                <w:szCs w:val="11"/>
                <w:color w:val="auto"/>
              </w:rPr>
            </w:pPr>
          </w:p>
        </w:tc>
        <w:tc>
          <w:tcPr>
            <w:tcW w:w="1260" w:type="dxa"/>
            <w:vAlign w:val="bottom"/>
            <w:tcBorders>
              <w:bottom w:val="single" w:sz="8" w:color="auto"/>
            </w:tcBorders>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ind w:left="20"/>
              <w:spacing w:after="0"/>
              <w:rPr>
                <w:sz w:val="20"/>
                <w:szCs w:val="20"/>
                <w:color w:val="auto"/>
              </w:rPr>
            </w:pPr>
            <w:r>
              <w:rPr>
                <w:rFonts w:ascii="Arial" w:cs="Arial" w:eastAsia="Arial" w:hAnsi="Arial"/>
                <w:sz w:val="9"/>
                <w:szCs w:val="9"/>
                <w:b w:val="1"/>
                <w:bCs w:val="1"/>
                <w:color w:val="auto"/>
              </w:rPr>
              <w:t>Three Months Ended March 31, 2018</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27,818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4,848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32,715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3,411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rPr>
              <w:t>36,099</w:t>
            </w:r>
          </w:p>
        </w:tc>
        <w:tc>
          <w:tcPr>
            <w:tcW w:w="0" w:type="dxa"/>
            <w:vAlign w:val="bottom"/>
          </w:tcPr>
          <w:p>
            <w:pPr>
              <w:spacing w:after="0"/>
              <w:rPr>
                <w:sz w:val="1"/>
                <w:szCs w:val="1"/>
                <w:color w:val="auto"/>
              </w:rPr>
            </w:pPr>
          </w:p>
        </w:tc>
      </w:tr>
      <w:tr>
        <w:trPr>
          <w:trHeight w:val="167"/>
        </w:trPr>
        <w:tc>
          <w:tcPr>
            <w:tcW w:w="2780" w:type="dxa"/>
            <w:vAlign w:val="bottom"/>
            <w:gridSpan w:val="2"/>
          </w:tcPr>
          <w:p>
            <w:pPr>
              <w:ind w:left="20"/>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2,064</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162</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2,240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1"/>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46"/>
              <w:spacing w:after="0"/>
              <w:rPr>
                <w:sz w:val="20"/>
                <w:szCs w:val="20"/>
                <w:color w:val="auto"/>
              </w:rPr>
            </w:pPr>
            <w:r>
              <w:rPr>
                <w:rFonts w:ascii="Arial" w:cs="Arial" w:eastAsia="Arial" w:hAnsi="Arial"/>
                <w:sz w:val="10"/>
                <w:szCs w:val="10"/>
                <w:color w:val="auto"/>
              </w:rPr>
              <w:t>2,272</w:t>
            </w:r>
          </w:p>
        </w:tc>
        <w:tc>
          <w:tcPr>
            <w:tcW w:w="0" w:type="dxa"/>
            <w:vAlign w:val="bottom"/>
          </w:tcPr>
          <w:p>
            <w:pPr>
              <w:spacing w:after="0"/>
              <w:rPr>
                <w:sz w:val="1"/>
                <w:szCs w:val="1"/>
                <w:color w:val="auto"/>
              </w:rPr>
            </w:pPr>
          </w:p>
        </w:tc>
      </w:tr>
      <w:tr>
        <w:trPr>
          <w:trHeight w:val="178"/>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1,109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1,823</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rPr>
              <w:t>3,097</w:t>
            </w:r>
          </w:p>
        </w:tc>
        <w:tc>
          <w:tcPr>
            <w:tcW w:w="0" w:type="dxa"/>
            <w:vAlign w:val="bottom"/>
          </w:tcPr>
          <w:p>
            <w:pPr>
              <w:spacing w:after="0"/>
              <w:rPr>
                <w:sz w:val="1"/>
                <w:szCs w:val="1"/>
                <w:color w:val="auto"/>
              </w:rPr>
            </w:pPr>
          </w:p>
        </w:tc>
      </w:tr>
      <w:tr>
        <w:trPr>
          <w:trHeight w:val="167"/>
        </w:trPr>
        <w:tc>
          <w:tcPr>
            <w:tcW w:w="2780" w:type="dxa"/>
            <w:vAlign w:val="bottom"/>
            <w:gridSpan w:val="2"/>
          </w:tcPr>
          <w:p>
            <w:pPr>
              <w:ind w:left="20"/>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71"/>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4"/>
                <w:szCs w:val="1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1"/>
              <w:spacing w:after="0"/>
              <w:rPr>
                <w:sz w:val="20"/>
                <w:szCs w:val="20"/>
                <w:color w:val="auto"/>
              </w:rPr>
            </w:pPr>
            <w:r>
              <w:rPr>
                <w:rFonts w:ascii="Arial" w:cs="Arial" w:eastAsia="Arial" w:hAnsi="Arial"/>
                <w:sz w:val="10"/>
                <w:szCs w:val="10"/>
                <w:color w:val="auto"/>
              </w:rPr>
              <w:t>459</w:t>
            </w:r>
          </w:p>
        </w:tc>
        <w:tc>
          <w:tcPr>
            <w:tcW w:w="120" w:type="dxa"/>
            <w:vAlign w:val="bottom"/>
          </w:tcPr>
          <w:p>
            <w:pPr>
              <w:spacing w:after="0"/>
              <w:rPr>
                <w:sz w:val="14"/>
                <w:szCs w:val="1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484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Pr>
          <w:p>
            <w:pPr>
              <w:ind w:lef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46"/>
              <w:spacing w:after="0"/>
              <w:rPr>
                <w:sz w:val="20"/>
                <w:szCs w:val="20"/>
                <w:color w:val="auto"/>
              </w:rPr>
            </w:pPr>
            <w:r>
              <w:rPr>
                <w:rFonts w:ascii="Arial" w:cs="Arial" w:eastAsia="Arial" w:hAnsi="Arial"/>
                <w:sz w:val="10"/>
                <w:szCs w:val="10"/>
                <w:color w:val="auto"/>
              </w:rPr>
              <w:t>484</w:t>
            </w:r>
          </w:p>
        </w:tc>
        <w:tc>
          <w:tcPr>
            <w:tcW w:w="0" w:type="dxa"/>
            <w:vAlign w:val="bottom"/>
          </w:tcPr>
          <w:p>
            <w:pPr>
              <w:spacing w:after="0"/>
              <w:rPr>
                <w:sz w:val="1"/>
                <w:szCs w:val="1"/>
                <w:color w:val="auto"/>
              </w:rPr>
            </w:pPr>
          </w:p>
        </w:tc>
      </w:tr>
      <w:tr>
        <w:trPr>
          <w:trHeight w:val="221"/>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rPr>
              <w:t>648</w:t>
            </w:r>
          </w:p>
        </w:tc>
        <w:tc>
          <w:tcPr>
            <w:tcW w:w="0" w:type="dxa"/>
            <w:vAlign w:val="bottom"/>
          </w:tcPr>
          <w:p>
            <w:pPr>
              <w:spacing w:after="0"/>
              <w:rPr>
                <w:sz w:val="1"/>
                <w:szCs w:val="1"/>
                <w:color w:val="auto"/>
              </w:rPr>
            </w:pPr>
          </w:p>
        </w:tc>
      </w:tr>
      <w:tr>
        <w:trPr>
          <w:trHeight w:val="125"/>
        </w:trPr>
        <w:tc>
          <w:tcPr>
            <w:tcW w:w="2760" w:type="dxa"/>
            <w:vAlign w:val="bottom"/>
          </w:tcPr>
          <w:p>
            <w:pPr>
              <w:spacing w:after="0" w:line="125" w:lineRule="exact"/>
              <w:rPr>
                <w:sz w:val="20"/>
                <w:szCs w:val="20"/>
                <w:color w:val="auto"/>
              </w:rPr>
            </w:pPr>
            <w:r>
              <w:rPr>
                <w:rFonts w:ascii="Arial" w:cs="Arial" w:eastAsia="Arial" w:hAnsi="Arial"/>
                <w:sz w:val="11"/>
                <w:szCs w:val="11"/>
                <w:color w:val="auto"/>
              </w:rPr>
              <w:t>________</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60" w:hanging="254"/>
        <w:spacing w:after="0"/>
        <w:tabs>
          <w:tab w:leader="none" w:pos="26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Includes Automotive China equity income of $376 million and $597 million in the three months ended March 31, 2019 and 2018.</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60"/>
          </w:cols>
          <w:pgMar w:left="220" w:top="468"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54" w:lineRule="exact"/>
        <w:rPr>
          <w:sz w:val="20"/>
          <w:szCs w:val="20"/>
          <w:color w:val="auto"/>
        </w:rPr>
      </w:pPr>
    </w:p>
    <w:p>
      <w:pPr>
        <w:jc w:val="both"/>
        <w:ind w:firstLine="129"/>
        <w:spacing w:after="0" w:line="280"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04" w:lineRule="exact"/>
        <w:rPr>
          <w:sz w:val="20"/>
          <w:szCs w:val="20"/>
          <w:color w:val="auto"/>
        </w:rPr>
      </w:pPr>
    </w:p>
    <w:p>
      <w:pPr>
        <w:jc w:val="both"/>
        <w:ind w:firstLine="129"/>
        <w:spacing w:after="0" w:line="26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three months ended March 31, 2019, 34.0% of our wholesale vehicle sales volume was generated outside the U.S. The following table summarizes wholesale vehicle sales by automotive segment (vehicles in thousands):</w:t>
      </w:r>
    </w:p>
    <w:p>
      <w:pPr>
        <w:spacing w:after="0" w:line="155" w:lineRule="exact"/>
        <w:rPr>
          <w:sz w:val="20"/>
          <w:szCs w:val="20"/>
          <w:color w:val="auto"/>
        </w:rPr>
      </w:pPr>
    </w:p>
    <w:p>
      <w:pPr>
        <w:ind w:left="9320"/>
        <w:spacing w:after="0"/>
        <w:rPr>
          <w:sz w:val="20"/>
          <w:szCs w:val="20"/>
          <w:color w:val="auto"/>
        </w:rPr>
      </w:pPr>
      <w:r>
        <w:rPr>
          <w:rFonts w:ascii="Arial" w:cs="Arial" w:eastAsia="Arial" w:hAnsi="Arial"/>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20955</wp:posOffset>
            </wp:positionV>
            <wp:extent cx="21075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7565" cy="698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14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w w:val="98"/>
              </w:rPr>
              <w:t>March 31, 2019</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March 31, 2018</w:t>
            </w:r>
          </w:p>
        </w:tc>
      </w:tr>
      <w:tr>
        <w:trPr>
          <w:trHeight w:val="188"/>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859</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893</w:t>
            </w:r>
          </w:p>
        </w:tc>
      </w:tr>
      <w:tr>
        <w:trPr>
          <w:trHeight w:val="18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236</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266</w:t>
            </w:r>
          </w:p>
        </w:tc>
      </w:tr>
      <w:tr>
        <w:trPr>
          <w:trHeight w:val="190"/>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1,095</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1,159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468"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79" w:lineRule="exact"/>
        <w:rPr>
          <w:sz w:val="20"/>
          <w:szCs w:val="20"/>
          <w:color w:val="auto"/>
        </w:rPr>
      </w:pPr>
    </w:p>
    <w:p>
      <w:pPr>
        <w:jc w:val="both"/>
        <w:ind w:firstLine="129"/>
        <w:spacing w:after="0" w:line="274"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91" w:lineRule="exact"/>
        <w:rPr>
          <w:sz w:val="20"/>
          <w:szCs w:val="20"/>
          <w:color w:val="auto"/>
        </w:rPr>
      </w:pPr>
    </w:p>
    <w:p>
      <w:pPr>
        <w:ind w:left="9320"/>
        <w:spacing w:after="0"/>
        <w:rPr>
          <w:sz w:val="20"/>
          <w:szCs w:val="20"/>
          <w:color w:val="auto"/>
        </w:rPr>
      </w:pPr>
      <w:r>
        <w:rPr>
          <w:rFonts w:ascii="Arial" w:cs="Arial" w:eastAsia="Arial" w:hAnsi="Arial"/>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20955</wp:posOffset>
            </wp:positionV>
            <wp:extent cx="21075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7565" cy="698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140" w:type="dxa"/>
            <w:vAlign w:val="bottom"/>
          </w:tcPr>
          <w:p>
            <w:pPr>
              <w:spacing w:after="0"/>
              <w:rPr>
                <w:sz w:val="12"/>
                <w:szCs w:val="12"/>
                <w:color w:val="auto"/>
              </w:rPr>
            </w:pP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w w:val="98"/>
              </w:rPr>
              <w:t>March 31, 2019</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bottom w:val="single" w:sz="8" w:color="auto"/>
            </w:tcBorders>
          </w:tcPr>
          <w:p>
            <w:pPr>
              <w:jc w:val="right"/>
              <w:ind w:right="376"/>
              <w:spacing w:after="0"/>
              <w:rPr>
                <w:sz w:val="20"/>
                <w:szCs w:val="20"/>
                <w:color w:val="auto"/>
              </w:rPr>
            </w:pPr>
            <w:r>
              <w:rPr>
                <w:rFonts w:ascii="Arial" w:cs="Arial" w:eastAsia="Arial" w:hAnsi="Arial"/>
                <w:sz w:val="10"/>
                <w:szCs w:val="10"/>
                <w:b w:val="1"/>
                <w:bCs w:val="1"/>
                <w:color w:val="auto"/>
              </w:rPr>
              <w:t>March 31, 2018</w:t>
            </w:r>
          </w:p>
        </w:tc>
        <w:tc>
          <w:tcPr>
            <w:tcW w:w="0" w:type="dxa"/>
            <w:vAlign w:val="bottom"/>
          </w:tcPr>
          <w:p>
            <w:pPr>
              <w:spacing w:after="0"/>
              <w:rPr>
                <w:sz w:val="1"/>
                <w:szCs w:val="1"/>
                <w:color w:val="auto"/>
              </w:rPr>
            </w:pPr>
          </w:p>
        </w:tc>
      </w:tr>
      <w:tr>
        <w:trPr>
          <w:trHeight w:val="203"/>
        </w:trPr>
        <w:tc>
          <w:tcPr>
            <w:tcW w:w="932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Chevrolet – Cars</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09"/>
        </w:trPr>
        <w:tc>
          <w:tcPr>
            <w:tcW w:w="9320" w:type="dxa"/>
            <w:vAlign w:val="bottom"/>
            <w:gridSpan w:val="2"/>
          </w:tcPr>
          <w:p>
            <w:pPr>
              <w:ind w:left="220"/>
              <w:spacing w:after="0"/>
              <w:rPr>
                <w:sz w:val="20"/>
                <w:szCs w:val="20"/>
                <w:color w:val="auto"/>
              </w:rPr>
            </w:pPr>
            <w:r>
              <w:rPr>
                <w:rFonts w:ascii="Arial" w:cs="Arial" w:eastAsia="Arial" w:hAnsi="Arial"/>
                <w:sz w:val="13"/>
                <w:szCs w:val="13"/>
                <w:color w:val="auto"/>
              </w:rPr>
              <w:t>Chevrolet – Trucks</w:t>
            </w: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222"/>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Chevrolet – Crossovers</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209"/>
        </w:trPr>
        <w:tc>
          <w:tcPr>
            <w:tcW w:w="9320" w:type="dxa"/>
            <w:vAlign w:val="bottom"/>
            <w:gridSpan w:val="2"/>
          </w:tcPr>
          <w:p>
            <w:pPr>
              <w:ind w:left="220"/>
              <w:spacing w:after="0"/>
              <w:rPr>
                <w:sz w:val="20"/>
                <w:szCs w:val="20"/>
                <w:color w:val="auto"/>
              </w:rPr>
            </w:pPr>
            <w:r>
              <w:rPr>
                <w:rFonts w:ascii="Arial" w:cs="Arial" w:eastAsia="Arial" w:hAnsi="Arial"/>
                <w:sz w:val="13"/>
                <w:szCs w:val="13"/>
                <w:color w:val="auto"/>
              </w:rPr>
              <w:t>Cadillac</w:t>
            </w: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22"/>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GMC</w:t>
            </w: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126</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92"/>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United States</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666</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8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85"/>
        </w:trPr>
        <w:tc>
          <w:tcPr>
            <w:tcW w:w="8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North America</w:t>
            </w:r>
          </w:p>
        </w:tc>
        <w:tc>
          <w:tcPr>
            <w:tcW w:w="11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827</w:t>
            </w:r>
          </w:p>
        </w:tc>
        <w:tc>
          <w:tcPr>
            <w:tcW w:w="0" w:type="dxa"/>
            <w:vAlign w:val="bottom"/>
          </w:tcPr>
          <w:p>
            <w:pPr>
              <w:spacing w:after="0"/>
              <w:rPr>
                <w:sz w:val="1"/>
                <w:szCs w:val="1"/>
                <w:color w:val="auto"/>
              </w:rPr>
            </w:pPr>
          </w:p>
        </w:tc>
      </w:tr>
      <w:tr>
        <w:trPr>
          <w:trHeight w:val="206"/>
        </w:trPr>
        <w:tc>
          <w:tcPr>
            <w:tcW w:w="9320" w:type="dxa"/>
            <w:vAlign w:val="bottom"/>
            <w:gridSpan w:val="2"/>
          </w:tcPr>
          <w:p>
            <w:pPr>
              <w:ind w:left="20"/>
              <w:spacing w:after="0"/>
              <w:rPr>
                <w:sz w:val="20"/>
                <w:szCs w:val="20"/>
                <w:color w:val="auto"/>
              </w:rPr>
            </w:pPr>
            <w:r>
              <w:rPr>
                <w:rFonts w:ascii="Arial" w:cs="Arial" w:eastAsia="Arial" w:hAnsi="Arial"/>
                <w:sz w:val="13"/>
                <w:szCs w:val="13"/>
                <w:color w:val="auto"/>
              </w:rPr>
              <w:t>Asia/Pacific, Middle East and Africa</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Chevrolet</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09"/>
        </w:trPr>
        <w:tc>
          <w:tcPr>
            <w:tcW w:w="9320" w:type="dxa"/>
            <w:vAlign w:val="bottom"/>
            <w:gridSpan w:val="2"/>
          </w:tcPr>
          <w:p>
            <w:pPr>
              <w:ind w:left="220"/>
              <w:spacing w:after="0"/>
              <w:rPr>
                <w:sz w:val="20"/>
                <w:szCs w:val="20"/>
                <w:color w:val="auto"/>
              </w:rPr>
            </w:pPr>
            <w:r>
              <w:rPr>
                <w:rFonts w:ascii="Arial" w:cs="Arial" w:eastAsia="Arial" w:hAnsi="Arial"/>
                <w:sz w:val="13"/>
                <w:szCs w:val="13"/>
                <w:color w:val="auto"/>
              </w:rPr>
              <w:t>Wuling</w:t>
            </w: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222"/>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Buick</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209"/>
        </w:trPr>
        <w:tc>
          <w:tcPr>
            <w:tcW w:w="9320" w:type="dxa"/>
            <w:vAlign w:val="bottom"/>
            <w:gridSpan w:val="2"/>
          </w:tcPr>
          <w:p>
            <w:pPr>
              <w:ind w:left="220"/>
              <w:spacing w:after="0"/>
              <w:rPr>
                <w:sz w:val="20"/>
                <w:szCs w:val="20"/>
                <w:color w:val="auto"/>
              </w:rPr>
            </w:pPr>
            <w:r>
              <w:rPr>
                <w:rFonts w:ascii="Arial" w:cs="Arial" w:eastAsia="Arial" w:hAnsi="Arial"/>
                <w:sz w:val="13"/>
                <w:szCs w:val="13"/>
                <w:color w:val="auto"/>
              </w:rPr>
              <w:t>Baojun</w:t>
            </w: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222"/>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Cadillac</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w:t>
            </w: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92"/>
        </w:trPr>
        <w:tc>
          <w:tcPr>
            <w:tcW w:w="9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Asia/Pacific, Middle East and Africa</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947</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1,101</w:t>
            </w:r>
          </w:p>
        </w:tc>
        <w:tc>
          <w:tcPr>
            <w:tcW w:w="0" w:type="dxa"/>
            <w:vAlign w:val="bottom"/>
          </w:tcPr>
          <w:p>
            <w:pPr>
              <w:spacing w:after="0"/>
              <w:rPr>
                <w:sz w:val="1"/>
                <w:szCs w:val="1"/>
                <w:color w:val="auto"/>
              </w:rPr>
            </w:pPr>
          </w:p>
        </w:tc>
      </w:tr>
      <w:tr>
        <w:trPr>
          <w:trHeight w:val="18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156</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92"/>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1,878</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2,096</w:t>
            </w:r>
          </w:p>
        </w:tc>
        <w:tc>
          <w:tcPr>
            <w:tcW w:w="0" w:type="dxa"/>
            <w:vAlign w:val="bottom"/>
          </w:tcPr>
          <w:p>
            <w:pPr>
              <w:spacing w:after="0"/>
              <w:rPr>
                <w:sz w:val="1"/>
                <w:szCs w:val="1"/>
                <w:color w:val="auto"/>
              </w:rPr>
            </w:pPr>
          </w:p>
        </w:tc>
      </w:tr>
      <w:tr>
        <w:trPr>
          <w:trHeight w:val="18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0"/>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4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1,879</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2,097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1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9320" w:type="dxa"/>
            <w:vAlign w:val="bottom"/>
            <w:gridSpan w:val="2"/>
          </w:tcPr>
          <w:p>
            <w:pPr>
              <w:spacing w:after="0"/>
              <w:rPr>
                <w:sz w:val="20"/>
                <w:szCs w:val="20"/>
                <w:color w:val="auto"/>
              </w:rPr>
            </w:pPr>
            <w:r>
              <w:rPr>
                <w:rFonts w:ascii="Arial" w:cs="Arial" w:eastAsia="Arial" w:hAnsi="Arial"/>
                <w:sz w:val="11"/>
                <w:szCs w:val="11"/>
                <w:color w:val="auto"/>
              </w:rPr>
              <w:t>(a)  Primarily Chevrolet.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8140" w:type="dxa"/>
            <w:vAlign w:val="bottom"/>
          </w:tcPr>
          <w:p>
            <w:pPr>
              <w:ind w:left="5700"/>
              <w:spacing w:after="0"/>
              <w:rPr>
                <w:sz w:val="20"/>
                <w:szCs w:val="20"/>
                <w:color w:val="auto"/>
              </w:rPr>
            </w:pPr>
            <w:r>
              <w:rPr>
                <w:rFonts w:ascii="Arial" w:cs="Arial" w:eastAsia="Arial" w:hAnsi="Arial"/>
                <w:sz w:val="13"/>
                <w:szCs w:val="13"/>
                <w:color w:val="auto"/>
              </w:rPr>
              <w:t>7</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68"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5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tcBorders>
              <w:bottom w:val="single" w:sz="8" w:color="auto"/>
            </w:tcBorders>
            <w:gridSpan w:val="5"/>
          </w:tcPr>
          <w:p>
            <w:pPr>
              <w:jc w:val="right"/>
              <w:ind w:right="857"/>
              <w:spacing w:after="0"/>
              <w:rPr>
                <w:sz w:val="20"/>
                <w:szCs w:val="20"/>
                <w:color w:val="auto"/>
              </w:rPr>
            </w:pPr>
            <w:r>
              <w:rPr>
                <w:rFonts w:ascii="Arial" w:cs="Arial" w:eastAsia="Arial" w:hAnsi="Arial"/>
                <w:sz w:val="10"/>
                <w:szCs w:val="10"/>
                <w:b w:val="1"/>
                <w:bCs w:val="1"/>
                <w:color w:val="auto"/>
              </w:rPr>
              <w:t>Three Months Ended</w:t>
            </w:r>
          </w:p>
        </w:tc>
      </w:tr>
      <w:tr>
        <w:trPr>
          <w:trHeight w:val="206"/>
        </w:trPr>
        <w:tc>
          <w:tcPr>
            <w:tcW w:w="8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4"/>
          </w:tcPr>
          <w:p>
            <w:pPr>
              <w:ind w:left="340"/>
              <w:spacing w:after="0"/>
              <w:rPr>
                <w:sz w:val="20"/>
                <w:szCs w:val="20"/>
                <w:color w:val="auto"/>
              </w:rPr>
            </w:pPr>
            <w:r>
              <w:rPr>
                <w:rFonts w:ascii="Arial" w:cs="Arial" w:eastAsia="Arial" w:hAnsi="Arial"/>
                <w:sz w:val="10"/>
                <w:szCs w:val="10"/>
                <w:b w:val="1"/>
                <w:bCs w:val="1"/>
                <w:color w:val="auto"/>
              </w:rPr>
              <w:t>March 31, 2019</w:t>
            </w:r>
          </w:p>
        </w:tc>
        <w:tc>
          <w:tcPr>
            <w:tcW w:w="1360" w:type="dxa"/>
            <w:vAlign w:val="bottom"/>
          </w:tcPr>
          <w:p>
            <w:pPr>
              <w:jc w:val="right"/>
              <w:ind w:right="257"/>
              <w:spacing w:after="0"/>
              <w:rPr>
                <w:sz w:val="20"/>
                <w:szCs w:val="20"/>
                <w:color w:val="auto"/>
              </w:rPr>
            </w:pPr>
            <w:r>
              <w:rPr>
                <w:rFonts w:ascii="Arial" w:cs="Arial" w:eastAsia="Arial" w:hAnsi="Arial"/>
                <w:sz w:val="10"/>
                <w:szCs w:val="10"/>
                <w:b w:val="1"/>
                <w:bCs w:val="1"/>
                <w:color w:val="auto"/>
              </w:rPr>
              <w:t>March 31, 2018</w:t>
            </w:r>
          </w:p>
        </w:tc>
      </w:tr>
      <w:tr>
        <w:trPr>
          <w:trHeight w:val="188"/>
        </w:trPr>
        <w:tc>
          <w:tcPr>
            <w:tcW w:w="8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382</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457</w:t>
            </w:r>
          </w:p>
        </w:tc>
      </w:tr>
      <w:tr>
        <w:trPr>
          <w:trHeight w:val="180"/>
        </w:trPr>
        <w:tc>
          <w:tcPr>
            <w:tcW w:w="860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 and FAW-GM Light Duty Commercial Vehicle Co., Ltd.</w:t>
            </w:r>
          </w:p>
        </w:tc>
        <w:tc>
          <w:tcPr>
            <w:tcW w:w="1360" w:type="dxa"/>
            <w:vAlign w:val="bottom"/>
          </w:tcPr>
          <w:p>
            <w:pPr>
              <w:jc w:val="right"/>
              <w:ind w:right="39"/>
              <w:spacing w:after="0"/>
              <w:rPr>
                <w:sz w:val="20"/>
                <w:szCs w:val="20"/>
                <w:color w:val="auto"/>
              </w:rPr>
            </w:pPr>
            <w:r>
              <w:rPr>
                <w:rFonts w:ascii="Arial" w:cs="Arial" w:eastAsia="Arial" w:hAnsi="Arial"/>
                <w:sz w:val="13"/>
                <w:szCs w:val="13"/>
                <w:color w:val="auto"/>
              </w:rPr>
              <w:t>432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529</w:t>
            </w:r>
          </w:p>
        </w:tc>
      </w:tr>
      <w:tr>
        <w:trPr>
          <w:trHeight w:val="506"/>
        </w:trPr>
        <w:tc>
          <w:tcPr>
            <w:tcW w:w="8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877"/>
              <w:spacing w:after="0"/>
              <w:rPr>
                <w:sz w:val="20"/>
                <w:szCs w:val="20"/>
                <w:color w:val="auto"/>
              </w:rPr>
            </w:pPr>
            <w:r>
              <w:rPr>
                <w:rFonts w:ascii="Arial" w:cs="Arial" w:eastAsia="Arial" w:hAnsi="Arial"/>
                <w:sz w:val="10"/>
                <w:szCs w:val="10"/>
                <w:b w:val="1"/>
                <w:bCs w:val="1"/>
                <w:color w:val="auto"/>
              </w:rPr>
              <w:t>Three Months Ended</w:t>
            </w:r>
          </w:p>
        </w:tc>
      </w:tr>
      <w:tr>
        <w:trPr>
          <w:trHeight w:val="206"/>
        </w:trPr>
        <w:tc>
          <w:tcPr>
            <w:tcW w:w="85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March 31, 2019</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March 31, 2018</w:t>
            </w:r>
          </w:p>
        </w:tc>
      </w:tr>
      <w:tr>
        <w:trPr>
          <w:trHeight w:val="203"/>
        </w:trPr>
        <w:tc>
          <w:tcPr>
            <w:tcW w:w="8600" w:type="dxa"/>
            <w:vAlign w:val="bottom"/>
            <w:gridSpan w:val="2"/>
          </w:tcPr>
          <w:p>
            <w:pPr>
              <w:ind w:left="20"/>
              <w:spacing w:after="0"/>
              <w:rPr>
                <w:sz w:val="20"/>
                <w:szCs w:val="20"/>
                <w:color w:val="auto"/>
              </w:rPr>
            </w:pPr>
            <w:r>
              <w:rPr>
                <w:rFonts w:ascii="Arial" w:cs="Arial" w:eastAsia="Arial" w:hAnsi="Arial"/>
                <w:sz w:val="13"/>
                <w:szCs w:val="13"/>
                <w:color w:val="auto"/>
              </w:rPr>
              <w:t>Market Share</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2"/>
        </w:trPr>
        <w:tc>
          <w:tcPr>
            <w:tcW w:w="8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United States – Cars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209"/>
        </w:trPr>
        <w:tc>
          <w:tcPr>
            <w:tcW w:w="8600" w:type="dxa"/>
            <w:vAlign w:val="bottom"/>
            <w:gridSpan w:val="2"/>
          </w:tcPr>
          <w:p>
            <w:pPr>
              <w:ind w:left="160"/>
              <w:spacing w:after="0"/>
              <w:rPr>
                <w:sz w:val="20"/>
                <w:szCs w:val="20"/>
                <w:color w:val="auto"/>
              </w:rPr>
            </w:pPr>
            <w:r>
              <w:rPr>
                <w:rFonts w:ascii="Arial" w:cs="Arial" w:eastAsia="Arial" w:hAnsi="Arial"/>
                <w:sz w:val="13"/>
                <w:szCs w:val="13"/>
                <w:color w:val="auto"/>
              </w:rPr>
              <w:t>United States – Trucks(a)</w:t>
            </w:r>
          </w:p>
        </w:tc>
        <w:tc>
          <w:tcPr>
            <w:tcW w:w="1360" w:type="dxa"/>
            <w:vAlign w:val="bottom"/>
          </w:tcPr>
          <w:p>
            <w:pPr>
              <w:jc w:val="right"/>
              <w:spacing w:after="0"/>
              <w:rPr>
                <w:sz w:val="20"/>
                <w:szCs w:val="20"/>
                <w:color w:val="auto"/>
              </w:rPr>
            </w:pPr>
            <w:r>
              <w:rPr>
                <w:rFonts w:ascii="Arial" w:cs="Arial" w:eastAsia="Arial" w:hAnsi="Arial"/>
                <w:sz w:val="13"/>
                <w:szCs w:val="13"/>
                <w:color w:val="auto"/>
              </w:rPr>
              <w:t>28.0%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31.9%</w:t>
            </w:r>
          </w:p>
        </w:tc>
      </w:tr>
      <w:tr>
        <w:trPr>
          <w:trHeight w:val="222"/>
        </w:trPr>
        <w:tc>
          <w:tcPr>
            <w:tcW w:w="8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United States – Crossovers(a)</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87"/>
        </w:trPr>
        <w:tc>
          <w:tcPr>
            <w:tcW w:w="8600" w:type="dxa"/>
            <w:vAlign w:val="bottom"/>
            <w:gridSpan w:val="2"/>
          </w:tcPr>
          <w:p>
            <w:pPr>
              <w:ind w:left="160"/>
              <w:spacing w:after="0"/>
              <w:rPr>
                <w:sz w:val="20"/>
                <w:szCs w:val="20"/>
                <w:color w:val="auto"/>
              </w:rPr>
            </w:pPr>
            <w:r>
              <w:rPr>
                <w:rFonts w:ascii="Arial" w:cs="Arial" w:eastAsia="Arial" w:hAnsi="Arial"/>
                <w:sz w:val="13"/>
                <w:szCs w:val="13"/>
                <w:color w:val="auto"/>
              </w:rPr>
              <w:t>Total United States</w:t>
            </w:r>
          </w:p>
        </w:tc>
        <w:tc>
          <w:tcPr>
            <w:tcW w:w="1360" w:type="dxa"/>
            <w:vAlign w:val="bottom"/>
          </w:tcPr>
          <w:p>
            <w:pPr>
              <w:jc w:val="right"/>
              <w:spacing w:after="0"/>
              <w:rPr>
                <w:sz w:val="20"/>
                <w:szCs w:val="20"/>
                <w:color w:val="auto"/>
              </w:rPr>
            </w:pPr>
            <w:r>
              <w:rPr>
                <w:rFonts w:ascii="Arial" w:cs="Arial" w:eastAsia="Arial" w:hAnsi="Arial"/>
                <w:sz w:val="13"/>
                <w:szCs w:val="13"/>
                <w:color w:val="auto"/>
              </w:rPr>
              <w:t>16.1%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17.0%</w:t>
            </w:r>
          </w:p>
        </w:tc>
      </w:tr>
      <w:tr>
        <w:trPr>
          <w:trHeight w:val="201"/>
        </w:trPr>
        <w:tc>
          <w:tcPr>
            <w:tcW w:w="8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North America</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87"/>
        </w:trPr>
        <w:tc>
          <w:tcPr>
            <w:tcW w:w="8600" w:type="dxa"/>
            <w:vAlign w:val="bottom"/>
            <w:gridSpan w:val="2"/>
          </w:tcPr>
          <w:p>
            <w:pPr>
              <w:ind w:left="160"/>
              <w:spacing w:after="0"/>
              <w:rPr>
                <w:sz w:val="20"/>
                <w:szCs w:val="20"/>
                <w:color w:val="auto"/>
              </w:rPr>
            </w:pPr>
            <w:r>
              <w:rPr>
                <w:rFonts w:ascii="Arial" w:cs="Arial" w:eastAsia="Arial" w:hAnsi="Arial"/>
                <w:sz w:val="13"/>
                <w:szCs w:val="13"/>
                <w:color w:val="auto"/>
              </w:rPr>
              <w:t>Total Asia/Pacific, Middle East and Africa</w:t>
            </w:r>
          </w:p>
        </w:tc>
        <w:tc>
          <w:tcPr>
            <w:tcW w:w="1360" w:type="dxa"/>
            <w:vAlign w:val="bottom"/>
          </w:tcPr>
          <w:p>
            <w:pPr>
              <w:jc w:val="right"/>
              <w:spacing w:after="0"/>
              <w:rPr>
                <w:sz w:val="20"/>
                <w:szCs w:val="20"/>
                <w:color w:val="auto"/>
              </w:rPr>
            </w:pPr>
            <w:r>
              <w:rPr>
                <w:rFonts w:ascii="Arial" w:cs="Arial" w:eastAsia="Arial" w:hAnsi="Arial"/>
                <w:sz w:val="13"/>
                <w:szCs w:val="13"/>
                <w:color w:val="auto"/>
              </w:rPr>
              <w:t>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201"/>
        </w:trPr>
        <w:tc>
          <w:tcPr>
            <w:tcW w:w="86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South America</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87"/>
        </w:trPr>
        <w:tc>
          <w:tcPr>
            <w:tcW w:w="8600" w:type="dxa"/>
            <w:vAlign w:val="bottom"/>
            <w:gridSpan w:val="2"/>
          </w:tcPr>
          <w:p>
            <w:pPr>
              <w:ind w:left="20"/>
              <w:spacing w:after="0"/>
              <w:rPr>
                <w:sz w:val="20"/>
                <w:szCs w:val="20"/>
                <w:color w:val="auto"/>
              </w:rPr>
            </w:pPr>
            <w:r>
              <w:rPr>
                <w:rFonts w:ascii="Arial" w:cs="Arial" w:eastAsia="Arial" w:hAnsi="Arial"/>
                <w:sz w:val="13"/>
                <w:szCs w:val="13"/>
                <w:color w:val="auto"/>
              </w:rPr>
              <w:t>Total GM Market</w:t>
            </w:r>
          </w:p>
        </w:tc>
        <w:tc>
          <w:tcPr>
            <w:tcW w:w="1360" w:type="dxa"/>
            <w:vAlign w:val="bottom"/>
          </w:tcPr>
          <w:p>
            <w:pPr>
              <w:jc w:val="right"/>
              <w:spacing w:after="0"/>
              <w:rPr>
                <w:sz w:val="20"/>
                <w:szCs w:val="20"/>
                <w:color w:val="auto"/>
              </w:rPr>
            </w:pPr>
            <w:r>
              <w:rPr>
                <w:rFonts w:ascii="Arial" w:cs="Arial" w:eastAsia="Arial" w:hAnsi="Arial"/>
                <w:sz w:val="13"/>
                <w:szCs w:val="13"/>
                <w:color w:val="auto"/>
              </w:rPr>
              <w:t>10.6%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11.4%</w:t>
            </w:r>
          </w:p>
        </w:tc>
      </w:tr>
      <w:tr>
        <w:trPr>
          <w:trHeight w:val="201"/>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129"/>
        </w:trPr>
        <w:tc>
          <w:tcPr>
            <w:tcW w:w="8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r>
      <w:tr>
        <w:trPr>
          <w:trHeight w:val="129"/>
        </w:trPr>
        <w:tc>
          <w:tcPr>
            <w:tcW w:w="8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North America capacity two shift utilization</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w:t>
            </w:r>
          </w:p>
        </w:tc>
      </w:tr>
      <w:tr>
        <w:trPr>
          <w:trHeight w:val="133"/>
        </w:trPr>
        <w:tc>
          <w:tcPr>
            <w:tcW w:w="8580" w:type="dxa"/>
            <w:vAlign w:val="bottom"/>
          </w:tcPr>
          <w:p>
            <w:pPr>
              <w:spacing w:after="0"/>
              <w:rPr>
                <w:sz w:val="20"/>
                <w:szCs w:val="20"/>
                <w:color w:val="auto"/>
              </w:rPr>
            </w:pPr>
            <w:r>
              <w:rPr>
                <w:rFonts w:ascii="Arial" w:cs="Arial" w:eastAsia="Arial" w:hAnsi="Arial"/>
                <w:sz w:val="11"/>
                <w:szCs w:val="11"/>
                <w:color w:val="auto"/>
              </w:rPr>
              <w:t>________</w:t>
            </w: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r>
    </w:tbl>
    <w:p>
      <w:pPr>
        <w:ind w:left="260" w:hanging="254"/>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Certain industry vehicles have been reclassified between these vehicle segments. GM vehicles were not impacted by this change. The prior period has been recast to reflect the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60"/>
          </w:cols>
          <w:pgMar w:left="220" w:top="468" w:right="2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millions) (Unaudited)</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28"/>
        </w:trPr>
        <w:tc>
          <w:tcPr>
            <w:tcW w:w="9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rPr>
              <w:t>Three Months Ended March 31, 2019</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3"/>
          </w:tcPr>
          <w:p>
            <w:pPr>
              <w:ind w:left="540"/>
              <w:spacing w:after="0"/>
              <w:rPr>
                <w:sz w:val="20"/>
                <w:szCs w:val="20"/>
                <w:color w:val="auto"/>
              </w:rPr>
            </w:pPr>
            <w:r>
              <w:rPr>
                <w:rFonts w:ascii="Arial" w:cs="Arial" w:eastAsia="Arial" w:hAnsi="Arial"/>
                <w:sz w:val="9"/>
                <w:szCs w:val="9"/>
                <w:b w:val="1"/>
                <w:bCs w:val="1"/>
                <w:color w:val="auto"/>
              </w:rPr>
              <w:t>Three Months Ended March 31, 2018</w:t>
            </w:r>
          </w:p>
        </w:tc>
        <w:tc>
          <w:tcPr>
            <w:tcW w:w="840" w:type="dxa"/>
            <w:vAlign w:val="bottom"/>
            <w:tcBorders>
              <w:bottom w:val="single" w:sz="8" w:color="auto"/>
            </w:tcBorders>
          </w:tcPr>
          <w:p>
            <w:pPr>
              <w:spacing w:after="0"/>
              <w:rPr>
                <w:sz w:val="11"/>
                <w:szCs w:val="11"/>
                <w:color w:val="auto"/>
              </w:rPr>
            </w:pPr>
          </w:p>
        </w:tc>
      </w:tr>
      <w:tr>
        <w:trPr>
          <w:trHeight w:val="201"/>
        </w:trPr>
        <w:tc>
          <w:tcPr>
            <w:tcW w:w="940" w:type="dxa"/>
            <w:vAlign w:val="bottom"/>
          </w:tcPr>
          <w:p>
            <w:pPr>
              <w:ind w:left="220"/>
              <w:spacing w:after="0"/>
              <w:rPr>
                <w:sz w:val="20"/>
                <w:szCs w:val="20"/>
                <w:color w:val="auto"/>
              </w:rPr>
            </w:pPr>
            <w:r>
              <w:rPr>
                <w:rFonts w:ascii="Arial" w:cs="Arial" w:eastAsia="Arial" w:hAnsi="Arial"/>
                <w:sz w:val="9"/>
                <w:szCs w:val="9"/>
                <w:b w:val="1"/>
                <w:bCs w:val="1"/>
                <w:color w:val="auto"/>
              </w:rPr>
              <w:t>Automotive</w:t>
            </w:r>
          </w:p>
        </w:tc>
        <w:tc>
          <w:tcPr>
            <w:tcW w:w="720" w:type="dxa"/>
            <w:vAlign w:val="bottom"/>
          </w:tcPr>
          <w:p>
            <w:pPr>
              <w:ind w:left="240"/>
              <w:spacing w:after="0"/>
              <w:rPr>
                <w:sz w:val="20"/>
                <w:szCs w:val="20"/>
                <w:color w:val="auto"/>
              </w:rPr>
            </w:pPr>
            <w:r>
              <w:rPr>
                <w:rFonts w:ascii="Arial" w:cs="Arial" w:eastAsia="Arial" w:hAnsi="Arial"/>
                <w:sz w:val="9"/>
                <w:szCs w:val="9"/>
                <w:b w:val="1"/>
                <w:bCs w:val="1"/>
                <w:color w:val="auto"/>
              </w:rPr>
              <w:t>GM Cruise</w:t>
            </w:r>
          </w:p>
        </w:tc>
        <w:tc>
          <w:tcPr>
            <w:tcW w:w="940" w:type="dxa"/>
            <w:vAlign w:val="bottom"/>
          </w:tcPr>
          <w:p>
            <w:pPr>
              <w:ind w:left="280"/>
              <w:spacing w:after="0"/>
              <w:rPr>
                <w:sz w:val="20"/>
                <w:szCs w:val="20"/>
                <w:color w:val="auto"/>
              </w:rPr>
            </w:pPr>
            <w:r>
              <w:rPr>
                <w:rFonts w:ascii="Arial" w:cs="Arial" w:eastAsia="Arial" w:hAnsi="Arial"/>
                <w:sz w:val="9"/>
                <w:szCs w:val="9"/>
                <w:b w:val="1"/>
                <w:bCs w:val="1"/>
                <w:color w:val="auto"/>
              </w:rPr>
              <w:t>GM Financial</w:t>
            </w:r>
          </w:p>
        </w:tc>
        <w:tc>
          <w:tcPr>
            <w:tcW w:w="1520" w:type="dxa"/>
            <w:vAlign w:val="bottom"/>
          </w:tcPr>
          <w:p>
            <w:pPr>
              <w:ind w:left="120"/>
              <w:spacing w:after="0"/>
              <w:rPr>
                <w:sz w:val="20"/>
                <w:szCs w:val="20"/>
                <w:color w:val="auto"/>
              </w:rPr>
            </w:pPr>
            <w:r>
              <w:rPr>
                <w:rFonts w:ascii="Arial" w:cs="Arial" w:eastAsia="Arial" w:hAnsi="Arial"/>
                <w:sz w:val="9"/>
                <w:szCs w:val="9"/>
                <w:b w:val="1"/>
                <w:bCs w:val="1"/>
                <w:color w:val="auto"/>
              </w:rPr>
              <w:t>Reclassifications/Eliminations</w:t>
            </w:r>
          </w:p>
        </w:tc>
        <w:tc>
          <w:tcPr>
            <w:tcW w:w="920" w:type="dxa"/>
            <w:vAlign w:val="bottom"/>
            <w:gridSpan w:val="2"/>
          </w:tcPr>
          <w:p>
            <w:pPr>
              <w:ind w:left="180"/>
              <w:spacing w:after="0"/>
              <w:rPr>
                <w:sz w:val="20"/>
                <w:szCs w:val="20"/>
                <w:color w:val="auto"/>
              </w:rPr>
            </w:pPr>
            <w:r>
              <w:rPr>
                <w:rFonts w:ascii="Arial" w:cs="Arial" w:eastAsia="Arial" w:hAnsi="Arial"/>
                <w:sz w:val="9"/>
                <w:szCs w:val="9"/>
                <w:b w:val="1"/>
                <w:bCs w:val="1"/>
                <w:color w:val="auto"/>
              </w:rPr>
              <w:t>Combined</w:t>
            </w:r>
          </w:p>
        </w:tc>
        <w:tc>
          <w:tcPr>
            <w:tcW w:w="900" w:type="dxa"/>
            <w:vAlign w:val="bottom"/>
          </w:tcPr>
          <w:p>
            <w:pPr>
              <w:ind w:left="200"/>
              <w:spacing w:after="0"/>
              <w:rPr>
                <w:sz w:val="20"/>
                <w:szCs w:val="20"/>
                <w:color w:val="auto"/>
              </w:rPr>
            </w:pPr>
            <w:r>
              <w:rPr>
                <w:rFonts w:ascii="Arial" w:cs="Arial" w:eastAsia="Arial" w:hAnsi="Arial"/>
                <w:sz w:val="9"/>
                <w:szCs w:val="9"/>
                <w:b w:val="1"/>
                <w:bCs w:val="1"/>
                <w:color w:val="auto"/>
              </w:rPr>
              <w:t>Automotive</w:t>
            </w:r>
          </w:p>
        </w:tc>
        <w:tc>
          <w:tcPr>
            <w:tcW w:w="800" w:type="dxa"/>
            <w:vAlign w:val="bottom"/>
          </w:tcPr>
          <w:p>
            <w:pPr>
              <w:ind w:left="220"/>
              <w:spacing w:after="0"/>
              <w:rPr>
                <w:sz w:val="20"/>
                <w:szCs w:val="20"/>
                <w:color w:val="auto"/>
              </w:rPr>
            </w:pPr>
            <w:r>
              <w:rPr>
                <w:rFonts w:ascii="Arial" w:cs="Arial" w:eastAsia="Arial" w:hAnsi="Arial"/>
                <w:sz w:val="9"/>
                <w:szCs w:val="9"/>
                <w:b w:val="1"/>
                <w:bCs w:val="1"/>
                <w:color w:val="auto"/>
              </w:rPr>
              <w:t>GM Cruise</w:t>
            </w:r>
          </w:p>
        </w:tc>
        <w:tc>
          <w:tcPr>
            <w:tcW w:w="860" w:type="dxa"/>
            <w:vAlign w:val="bottom"/>
          </w:tcPr>
          <w:p>
            <w:pPr>
              <w:ind w:left="140"/>
              <w:spacing w:after="0"/>
              <w:rPr>
                <w:sz w:val="20"/>
                <w:szCs w:val="20"/>
                <w:color w:val="auto"/>
              </w:rPr>
            </w:pPr>
            <w:r>
              <w:rPr>
                <w:rFonts w:ascii="Arial" w:cs="Arial" w:eastAsia="Arial" w:hAnsi="Arial"/>
                <w:sz w:val="9"/>
                <w:szCs w:val="9"/>
                <w:b w:val="1"/>
                <w:bCs w:val="1"/>
                <w:color w:val="auto"/>
              </w:rPr>
              <w:t>GM Financial</w:t>
            </w:r>
          </w:p>
        </w:tc>
        <w:tc>
          <w:tcPr>
            <w:tcW w:w="940" w:type="dxa"/>
            <w:vAlign w:val="bottom"/>
          </w:tcPr>
          <w:p>
            <w:pPr>
              <w:ind w:left="180"/>
              <w:spacing w:after="0"/>
              <w:rPr>
                <w:sz w:val="20"/>
                <w:szCs w:val="20"/>
                <w:color w:val="auto"/>
              </w:rPr>
            </w:pPr>
            <w:r>
              <w:rPr>
                <w:rFonts w:ascii="Arial" w:cs="Arial" w:eastAsia="Arial" w:hAnsi="Arial"/>
                <w:sz w:val="9"/>
                <w:szCs w:val="9"/>
                <w:b w:val="1"/>
                <w:bCs w:val="1"/>
                <w:color w:val="auto"/>
              </w:rPr>
              <w:t>Eliminations</w:t>
            </w:r>
          </w:p>
        </w:tc>
        <w:tc>
          <w:tcPr>
            <w:tcW w:w="840" w:type="dxa"/>
            <w:vAlign w:val="bottom"/>
          </w:tcPr>
          <w:p>
            <w:pPr>
              <w:ind w:left="240"/>
              <w:spacing w:after="0"/>
              <w:rPr>
                <w:sz w:val="20"/>
                <w:szCs w:val="20"/>
                <w:color w:val="auto"/>
              </w:rPr>
            </w:pPr>
            <w:r>
              <w:rPr>
                <w:rFonts w:ascii="Arial" w:cs="Arial" w:eastAsia="Arial" w:hAnsi="Arial"/>
                <w:sz w:val="9"/>
                <w:szCs w:val="9"/>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6985</wp:posOffset>
            </wp:positionV>
            <wp:extent cx="59601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0110" cy="698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b w:val="1"/>
          <w:bCs w:val="1"/>
          <w:color w:val="auto"/>
        </w:rPr>
        <w:t>Net sales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745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40"/>
          </w:cols>
          <w:pgMar w:left="240" w:top="468" w:right="219" w:bottom="1440" w:gutter="0" w:footer="0" w:header="0"/>
        </w:sectPr>
      </w:pP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1600" w:type="dxa"/>
            <w:vAlign w:val="bottom"/>
          </w:tcPr>
          <w:p>
            <w:pPr>
              <w:spacing w:after="0"/>
              <w:rPr>
                <w:sz w:val="20"/>
                <w:szCs w:val="20"/>
                <w:color w:val="auto"/>
              </w:rPr>
            </w:pPr>
            <w:r>
              <w:rPr>
                <w:rFonts w:ascii="Arial" w:cs="Arial" w:eastAsia="Arial" w:hAnsi="Arial"/>
                <w:sz w:val="10"/>
                <w:szCs w:val="10"/>
                <w:color w:val="auto"/>
              </w:rPr>
              <w:t>Automotive</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20"/>
                <w:szCs w:val="20"/>
                <w:color w:val="auto"/>
              </w:rPr>
            </w:pPr>
            <w:r>
              <w:rPr>
                <w:rFonts w:ascii="Arial" w:cs="Arial" w:eastAsia="Arial" w:hAnsi="Arial"/>
                <w:sz w:val="10"/>
                <w:szCs w:val="10"/>
                <w:color w:val="auto"/>
              </w:rPr>
              <w:t>GM Financial</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0"/>
                <w:szCs w:val="10"/>
                <w:color w:val="auto"/>
              </w:rPr>
              <w:t>Total net sales and revenue</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Costs and expenses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Automotive and other cost of sales</w:t>
      </w:r>
    </w:p>
    <w:p>
      <w:pPr>
        <w:spacing w:after="0" w:line="101" w:lineRule="exact"/>
        <w:rPr>
          <w:sz w:val="20"/>
          <w:szCs w:val="20"/>
          <w:color w:val="auto"/>
        </w:rPr>
      </w:pPr>
    </w:p>
    <w:p>
      <w:pPr>
        <w:ind w:left="240" w:right="140" w:hanging="128"/>
        <w:spacing w:after="0" w:line="266" w:lineRule="auto"/>
        <w:rPr>
          <w:sz w:val="20"/>
          <w:szCs w:val="20"/>
          <w:color w:val="auto"/>
        </w:rPr>
      </w:pPr>
      <w:r>
        <w:rPr>
          <w:rFonts w:ascii="Arial" w:cs="Arial" w:eastAsia="Arial" w:hAnsi="Arial"/>
          <w:sz w:val="10"/>
          <w:szCs w:val="10"/>
          <w:color w:val="auto"/>
        </w:rPr>
        <w:t>GM Financial interest, operating and other expenses</w:t>
      </w:r>
    </w:p>
    <w:p>
      <w:pPr>
        <w:spacing w:after="0" w:line="4" w:lineRule="exact"/>
        <w:rPr>
          <w:sz w:val="20"/>
          <w:szCs w:val="20"/>
          <w:color w:val="auto"/>
        </w:rPr>
      </w:pPr>
    </w:p>
    <w:p>
      <w:pPr>
        <w:ind w:left="240" w:right="160" w:hanging="128"/>
        <w:spacing w:after="0" w:line="266" w:lineRule="auto"/>
        <w:rPr>
          <w:sz w:val="20"/>
          <w:szCs w:val="20"/>
          <w:color w:val="auto"/>
        </w:rPr>
      </w:pPr>
      <w:r>
        <w:rPr>
          <w:rFonts w:ascii="Arial" w:cs="Arial" w:eastAsia="Arial" w:hAnsi="Arial"/>
          <w:sz w:val="10"/>
          <w:szCs w:val="10"/>
          <w:color w:val="auto"/>
        </w:rPr>
        <w:t>Automotive and other selling, general and administrative expense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0"/>
          <w:szCs w:val="10"/>
          <w:color w:val="auto"/>
        </w:rPr>
        <w:t>Total costs and expenses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Operating income (loss)</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Automotive interest expense</w:t>
      </w:r>
    </w:p>
    <w:p>
      <w:pPr>
        <w:spacing w:after="0" w:line="101" w:lineRule="exact"/>
        <w:rPr>
          <w:sz w:val="20"/>
          <w:szCs w:val="20"/>
          <w:color w:val="auto"/>
        </w:rPr>
      </w:pPr>
    </w:p>
    <w:p>
      <w:pPr>
        <w:ind w:left="140" w:right="340" w:hanging="128"/>
        <w:spacing w:after="0" w:line="266" w:lineRule="auto"/>
        <w:rPr>
          <w:sz w:val="20"/>
          <w:szCs w:val="20"/>
          <w:color w:val="auto"/>
        </w:rPr>
      </w:pPr>
      <w:r>
        <w:rPr>
          <w:rFonts w:ascii="Arial" w:cs="Arial" w:eastAsia="Arial" w:hAnsi="Arial"/>
          <w:sz w:val="10"/>
          <w:szCs w:val="10"/>
          <w:color w:val="auto"/>
        </w:rPr>
        <w:t>Interest income and other non-operating income, net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20" w:type="dxa"/>
            <w:vAlign w:val="bottom"/>
          </w:tcPr>
          <w:p>
            <w:pPr>
              <w:spacing w:after="0"/>
              <w:rPr>
                <w:sz w:val="20"/>
                <w:szCs w:val="20"/>
                <w:color w:val="auto"/>
              </w:rPr>
            </w:pPr>
            <w:r>
              <w:rPr>
                <w:rFonts w:ascii="Arial" w:cs="Arial" w:eastAsia="Arial" w:hAnsi="Arial"/>
                <w:sz w:val="10"/>
                <w:szCs w:val="10"/>
                <w:color w:val="auto"/>
              </w:rPr>
              <w:t>Equity income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0"/>
                <w:szCs w:val="10"/>
                <w:color w:val="auto"/>
              </w:rPr>
              <w:t>Income (loss) before income taxes</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8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rPr>
                <w:sz w:val="20"/>
                <w:szCs w:val="20"/>
                <w:color w:val="auto"/>
              </w:rPr>
            </w:pPr>
            <w:r>
              <w:rPr>
                <w:rFonts w:ascii="Arial" w:cs="Arial" w:eastAsia="Arial" w:hAnsi="Arial"/>
                <w:sz w:val="10"/>
                <w:szCs w:val="10"/>
                <w:color w:val="auto"/>
              </w:rPr>
              <w:t>Income tax expense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0"/>
                <w:szCs w:val="10"/>
                <w:color w:val="auto"/>
              </w:rPr>
              <w:t>Income from continuing operations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40"/>
        <w:spacing w:after="0" w:line="449" w:lineRule="auto"/>
        <w:rPr>
          <w:sz w:val="20"/>
          <w:szCs w:val="20"/>
          <w:color w:val="auto"/>
        </w:rPr>
      </w:pPr>
      <w:r>
        <w:rPr>
          <w:rFonts w:ascii="Arial" w:cs="Arial" w:eastAsia="Arial" w:hAnsi="Arial"/>
          <w:sz w:val="10"/>
          <w:szCs w:val="10"/>
          <w:color w:val="auto"/>
        </w:rPr>
        <w:t xml:space="preserve">Loss from discontinued operations, net of tax </w:t>
      </w:r>
      <w:r>
        <w:rPr>
          <w:rFonts w:ascii="Arial" w:cs="Arial" w:eastAsia="Arial" w:hAnsi="Arial"/>
          <w:sz w:val="10"/>
          <w:szCs w:val="10"/>
          <w:b w:val="1"/>
          <w:bCs w:val="1"/>
          <w:color w:val="auto"/>
        </w:rPr>
        <w:t>Net income</w:t>
      </w:r>
    </w:p>
    <w:p>
      <w:pPr>
        <w:spacing w:after="0" w:line="1" w:lineRule="exact"/>
        <w:rPr>
          <w:sz w:val="20"/>
          <w:szCs w:val="20"/>
          <w:color w:val="auto"/>
        </w:rPr>
      </w:pPr>
    </w:p>
    <w:p>
      <w:pPr>
        <w:ind w:left="140" w:right="480" w:hanging="128"/>
        <w:spacing w:after="0" w:line="266" w:lineRule="auto"/>
        <w:rPr>
          <w:sz w:val="20"/>
          <w:szCs w:val="20"/>
          <w:color w:val="auto"/>
        </w:rPr>
      </w:pPr>
      <w:r>
        <w:rPr>
          <w:rFonts w:ascii="Arial" w:cs="Arial" w:eastAsia="Arial" w:hAnsi="Arial"/>
          <w:sz w:val="10"/>
          <w:szCs w:val="10"/>
          <w:color w:val="auto"/>
        </w:rPr>
        <w:t>Net loss attributable to noncontrolling interests</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Net income attributable to stockholders</w:t>
      </w:r>
    </w:p>
    <w:p>
      <w:pPr>
        <w:spacing w:after="0" w:line="338" w:lineRule="exact"/>
        <w:rPr>
          <w:sz w:val="20"/>
          <w:szCs w:val="20"/>
          <w:color w:val="auto"/>
        </w:rPr>
      </w:pPr>
    </w:p>
    <w:p>
      <w:pPr>
        <w:ind w:left="140" w:right="440" w:hanging="128"/>
        <w:spacing w:after="0" w:line="279" w:lineRule="auto"/>
        <w:rPr>
          <w:sz w:val="20"/>
          <w:szCs w:val="20"/>
          <w:color w:val="auto"/>
        </w:rPr>
      </w:pPr>
      <w:r>
        <w:rPr>
          <w:rFonts w:ascii="Arial" w:cs="Arial" w:eastAsia="Arial" w:hAnsi="Arial"/>
          <w:sz w:val="10"/>
          <w:szCs w:val="10"/>
          <w:b w:val="1"/>
          <w:bCs w:val="1"/>
          <w:color w:val="auto"/>
        </w:rPr>
        <w:t>Net income attributable to common stockholders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580" w:type="dxa"/>
            <w:vAlign w:val="bottom"/>
          </w:tcPr>
          <w:p>
            <w:pPr>
              <w:jc w:val="right"/>
              <w:ind w:right="183"/>
              <w:spacing w:after="0"/>
              <w:rPr>
                <w:sz w:val="20"/>
                <w:szCs w:val="20"/>
                <w:color w:val="auto"/>
              </w:rPr>
            </w:pPr>
            <w:r>
              <w:rPr>
                <w:rFonts w:ascii="Arial" w:cs="Arial" w:eastAsia="Arial" w:hAnsi="Arial"/>
                <w:sz w:val="11"/>
                <w:szCs w:val="11"/>
                <w:color w:val="auto"/>
                <w:w w:val="94"/>
              </w:rPr>
              <w:t>31,261</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31,261</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32,715</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32,691</w:t>
            </w:r>
          </w:p>
        </w:tc>
      </w:tr>
      <w:tr>
        <w:trPr>
          <w:trHeight w:val="219"/>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3,620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3,617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3,411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3,408</w:t>
            </w:r>
          </w:p>
        </w:tc>
      </w:tr>
      <w:tr>
        <w:trPr>
          <w:trHeight w:val="192"/>
        </w:trPr>
        <w:tc>
          <w:tcPr>
            <w:tcW w:w="580" w:type="dxa"/>
            <w:vAlign w:val="bottom"/>
          </w:tcPr>
          <w:p>
            <w:pPr>
              <w:jc w:val="right"/>
              <w:ind w:right="183"/>
              <w:spacing w:after="0"/>
              <w:rPr>
                <w:sz w:val="20"/>
                <w:szCs w:val="20"/>
                <w:color w:val="auto"/>
              </w:rPr>
            </w:pPr>
            <w:r>
              <w:rPr>
                <w:rFonts w:ascii="Arial" w:cs="Arial" w:eastAsia="Arial" w:hAnsi="Arial"/>
                <w:sz w:val="11"/>
                <w:szCs w:val="11"/>
                <w:color w:val="auto"/>
                <w:w w:val="94"/>
              </w:rPr>
              <w:t>31,261</w:t>
            </w:r>
          </w:p>
        </w:tc>
        <w:tc>
          <w:tcPr>
            <w:tcW w:w="220" w:type="dxa"/>
            <w:vAlign w:val="bottom"/>
          </w:tcPr>
          <w:p>
            <w:pPr>
              <w:spacing w:after="0"/>
              <w:rPr>
                <w:sz w:val="16"/>
                <w:szCs w:val="16"/>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3,620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34,878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32,715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3,411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36,099</w:t>
            </w:r>
          </w:p>
        </w:tc>
      </w:tr>
      <w:tr>
        <w:trPr>
          <w:trHeight w:val="431"/>
        </w:trPr>
        <w:tc>
          <w:tcPr>
            <w:tcW w:w="580" w:type="dxa"/>
            <w:vAlign w:val="bottom"/>
          </w:tcPr>
          <w:p>
            <w:pPr>
              <w:jc w:val="right"/>
              <w:ind w:right="183"/>
              <w:spacing w:after="0"/>
              <w:rPr>
                <w:sz w:val="20"/>
                <w:szCs w:val="20"/>
                <w:color w:val="auto"/>
              </w:rPr>
            </w:pPr>
            <w:r>
              <w:rPr>
                <w:rFonts w:ascii="Arial" w:cs="Arial" w:eastAsia="Arial" w:hAnsi="Arial"/>
                <w:sz w:val="11"/>
                <w:szCs w:val="11"/>
                <w:color w:val="auto"/>
                <w:w w:val="94"/>
              </w:rPr>
              <w:t>28,035</w:t>
            </w:r>
          </w:p>
        </w:tc>
        <w:tc>
          <w:tcPr>
            <w:tcW w:w="220" w:type="dxa"/>
            <w:vAlign w:val="bottom"/>
          </w:tcPr>
          <w:p>
            <w:pPr>
              <w:spacing w:after="0"/>
              <w:rPr>
                <w:sz w:val="24"/>
                <w:szCs w:val="24"/>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28,229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30,061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ind w:right="43"/>
              <w:spacing w:after="0"/>
              <w:rPr>
                <w:sz w:val="20"/>
                <w:szCs w:val="20"/>
                <w:color w:val="auto"/>
              </w:rPr>
            </w:pPr>
            <w:r>
              <w:rPr>
                <w:rFonts w:ascii="Arial" w:cs="Arial" w:eastAsia="Arial" w:hAnsi="Arial"/>
                <w:sz w:val="11"/>
                <w:szCs w:val="11"/>
                <w:color w:val="auto"/>
              </w:rPr>
              <w:t>148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30,184</w:t>
            </w:r>
          </w:p>
        </w:tc>
      </w:tr>
      <w:tr>
        <w:trPr>
          <w:trHeight w:val="259"/>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2"/>
                <w:szCs w:val="22"/>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3,306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2"/>
                <w:szCs w:val="22"/>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3,306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2"/>
                <w:szCs w:val="22"/>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3,020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3,014</w:t>
            </w:r>
          </w:p>
        </w:tc>
      </w:tr>
      <w:tr>
        <w:trPr>
          <w:trHeight w:val="262"/>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2,080</w:t>
            </w:r>
          </w:p>
        </w:tc>
        <w:tc>
          <w:tcPr>
            <w:tcW w:w="220" w:type="dxa"/>
            <w:vAlign w:val="bottom"/>
          </w:tcPr>
          <w:p>
            <w:pPr>
              <w:spacing w:after="0"/>
              <w:rPr>
                <w:sz w:val="22"/>
                <w:szCs w:val="22"/>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2"/>
                <w:szCs w:val="22"/>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2,099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2,354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ind w:right="43"/>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2"/>
                <w:szCs w:val="2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2,372</w:t>
            </w:r>
          </w:p>
        </w:tc>
      </w:tr>
      <w:tr>
        <w:trPr>
          <w:trHeight w:val="196"/>
        </w:trPr>
        <w:tc>
          <w:tcPr>
            <w:tcW w:w="580" w:type="dxa"/>
            <w:vAlign w:val="bottom"/>
          </w:tcPr>
          <w:p>
            <w:pPr>
              <w:jc w:val="right"/>
              <w:ind w:right="183"/>
              <w:spacing w:after="0"/>
              <w:rPr>
                <w:sz w:val="20"/>
                <w:szCs w:val="20"/>
                <w:color w:val="auto"/>
              </w:rPr>
            </w:pPr>
            <w:r>
              <w:rPr>
                <w:rFonts w:ascii="Arial" w:cs="Arial" w:eastAsia="Arial" w:hAnsi="Arial"/>
                <w:sz w:val="11"/>
                <w:szCs w:val="11"/>
                <w:color w:val="auto"/>
                <w:w w:val="94"/>
              </w:rPr>
              <w:t>30,115</w:t>
            </w:r>
          </w:p>
        </w:tc>
        <w:tc>
          <w:tcPr>
            <w:tcW w:w="2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214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3,306</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33,634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32,415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3,020</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35,570</w:t>
            </w:r>
          </w:p>
        </w:tc>
      </w:tr>
      <w:tr>
        <w:trPr>
          <w:trHeight w:val="192"/>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1,146</w:t>
            </w:r>
          </w:p>
        </w:tc>
        <w:tc>
          <w:tcPr>
            <w:tcW w:w="220" w:type="dxa"/>
            <w:vAlign w:val="bottom"/>
          </w:tcPr>
          <w:p>
            <w:pPr>
              <w:spacing w:after="0"/>
              <w:rPr>
                <w:sz w:val="16"/>
                <w:szCs w:val="16"/>
                <w:color w:val="auto"/>
              </w:rPr>
            </w:pP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(189)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314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1,244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391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ind w:right="4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529</w:t>
            </w:r>
          </w:p>
        </w:tc>
      </w:tr>
      <w:tr>
        <w:trPr>
          <w:trHeight w:val="216"/>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184</w:t>
            </w:r>
          </w:p>
        </w:tc>
        <w:tc>
          <w:tcPr>
            <w:tcW w:w="2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8"/>
                <w:szCs w:val="18"/>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150</w:t>
            </w:r>
          </w:p>
        </w:tc>
      </w:tr>
      <w:tr>
        <w:trPr>
          <w:trHeight w:val="259"/>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768</w:t>
            </w:r>
          </w:p>
        </w:tc>
        <w:tc>
          <w:tcPr>
            <w:tcW w:w="220" w:type="dxa"/>
            <w:vAlign w:val="bottom"/>
          </w:tcPr>
          <w:p>
            <w:pPr>
              <w:spacing w:after="0"/>
              <w:rPr>
                <w:sz w:val="22"/>
                <w:szCs w:val="22"/>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2"/>
                <w:szCs w:val="22"/>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805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2"/>
                <w:szCs w:val="2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549</w:t>
            </w:r>
          </w:p>
        </w:tc>
      </w:tr>
      <w:tr>
        <w:trPr>
          <w:trHeight w:val="219"/>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369</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414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596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648</w:t>
            </w:r>
          </w:p>
        </w:tc>
      </w:tr>
      <w:tr>
        <w:trPr>
          <w:trHeight w:val="192"/>
        </w:trPr>
        <w:tc>
          <w:tcPr>
            <w:tcW w:w="580" w:type="dxa"/>
            <w:vAlign w:val="bottom"/>
          </w:tcPr>
          <w:p>
            <w:pPr>
              <w:jc w:val="right"/>
              <w:ind w:right="183"/>
              <w:spacing w:after="0"/>
              <w:rPr>
                <w:sz w:val="20"/>
                <w:szCs w:val="20"/>
                <w:color w:val="auto"/>
              </w:rPr>
            </w:pPr>
            <w:r>
              <w:rPr>
                <w:rFonts w:ascii="Arial" w:cs="Arial" w:eastAsia="Arial" w:hAnsi="Arial"/>
                <w:sz w:val="11"/>
                <w:szCs w:val="11"/>
                <w:color w:val="auto"/>
              </w:rPr>
              <w:t>2,099</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23"/>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3"/>
              <w:spacing w:after="0"/>
              <w:rPr>
                <w:sz w:val="20"/>
                <w:szCs w:val="20"/>
                <w:color w:val="auto"/>
              </w:rPr>
            </w:pPr>
            <w:r>
              <w:rPr>
                <w:rFonts w:ascii="Arial" w:cs="Arial" w:eastAsia="Arial" w:hAnsi="Arial"/>
                <w:sz w:val="11"/>
                <w:szCs w:val="11"/>
                <w:color w:val="auto"/>
              </w:rPr>
              <w:t>359</w:t>
            </w:r>
          </w:p>
        </w:tc>
        <w:tc>
          <w:tcPr>
            <w:tcW w:w="120" w:type="dxa"/>
            <w:vAlign w:val="bottom"/>
          </w:tcPr>
          <w:p>
            <w:pPr>
              <w:spacing w:after="0"/>
              <w:rPr>
                <w:sz w:val="16"/>
                <w:szCs w:val="16"/>
                <w:color w:val="auto"/>
              </w:rPr>
            </w:pP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2,282</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3"/>
              <w:spacing w:after="0"/>
              <w:rPr>
                <w:sz w:val="20"/>
                <w:szCs w:val="20"/>
                <w:color w:val="auto"/>
              </w:rPr>
            </w:pPr>
            <w:r>
              <w:rPr>
                <w:rFonts w:ascii="Arial" w:cs="Arial" w:eastAsia="Arial" w:hAnsi="Arial"/>
                <w:sz w:val="11"/>
                <w:szCs w:val="11"/>
                <w:color w:val="auto"/>
              </w:rPr>
              <w:t>1,293</w:t>
            </w:r>
          </w:p>
        </w:tc>
        <w:tc>
          <w:tcPr>
            <w:tcW w:w="100" w:type="dxa"/>
            <w:vAlign w:val="bottom"/>
          </w:tcPr>
          <w:p>
            <w:pPr>
              <w:spacing w:after="0"/>
              <w:rPr>
                <w:sz w:val="16"/>
                <w:szCs w:val="16"/>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3"/>
              <w:spacing w:after="0"/>
              <w:rPr>
                <w:sz w:val="20"/>
                <w:szCs w:val="20"/>
                <w:color w:val="auto"/>
              </w:rPr>
            </w:pPr>
            <w:r>
              <w:rPr>
                <w:rFonts w:ascii="Arial" w:cs="Arial" w:eastAsia="Arial" w:hAnsi="Arial"/>
                <w:sz w:val="11"/>
                <w:szCs w:val="11"/>
                <w:color w:val="auto"/>
              </w:rPr>
              <w:t>443</w:t>
            </w:r>
          </w:p>
        </w:tc>
        <w:tc>
          <w:tcPr>
            <w:tcW w:w="120" w:type="dxa"/>
            <w:vAlign w:val="bottom"/>
          </w:tcPr>
          <w:p>
            <w:pPr>
              <w:spacing w:after="0"/>
              <w:rPr>
                <w:sz w:val="16"/>
                <w:szCs w:val="16"/>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3"/>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1,576</w:t>
            </w:r>
          </w:p>
        </w:tc>
      </w:tr>
      <w:tr>
        <w:trPr>
          <w:trHeight w:val="219"/>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466</w:t>
            </w:r>
          </w:p>
        </w:tc>
      </w:tr>
      <w:tr>
        <w:trPr>
          <w:trHeight w:val="192"/>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2,145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1,110</w:t>
            </w:r>
          </w:p>
        </w:tc>
      </w:tr>
      <w:tr>
        <w:trPr>
          <w:trHeight w:val="219"/>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70</w:t>
            </w:r>
          </w:p>
        </w:tc>
      </w:tr>
      <w:tr>
        <w:trPr>
          <w:trHeight w:val="192"/>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2,145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1,040</w:t>
            </w:r>
          </w:p>
        </w:tc>
      </w:tr>
      <w:tr>
        <w:trPr>
          <w:trHeight w:val="262"/>
        </w:trPr>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w:t>
            </w:r>
          </w:p>
        </w:tc>
      </w:tr>
      <w:tr>
        <w:trPr>
          <w:trHeight w:val="185"/>
        </w:trPr>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2,157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1,046</w:t>
            </w: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43"/>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2,119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-2472055</wp:posOffset>
            </wp:positionV>
            <wp:extent cx="72745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-2171065</wp:posOffset>
            </wp:positionV>
            <wp:extent cx="7274560" cy="2176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217614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-2745740</wp:posOffset>
            </wp:positionV>
            <wp:extent cx="72745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2140" w:space="380"/>
            <w:col w:w="8920"/>
          </w:cols>
          <w:pgMar w:left="240" w:top="468" w:right="219" w:bottom="1440" w:gutter="0" w:footer="0" w:header="0"/>
          <w:type w:val="continuous"/>
        </w:sect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40"/>
          </w:cols>
          <w:pgMar w:left="240" w:top="468" w:right="21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(loss) per share (in millions,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0"/>
                <w:szCs w:val="10"/>
                <w:b w:val="1"/>
                <w:bCs w:val="1"/>
                <w:color w:val="auto"/>
              </w:rPr>
              <w:t>Three Months Ended</w:t>
            </w:r>
          </w:p>
        </w:tc>
      </w:tr>
      <w:tr>
        <w:trPr>
          <w:trHeight w:val="138"/>
        </w:trPr>
        <w:tc>
          <w:tcPr>
            <w:tcW w:w="8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2019</w:t>
            </w:r>
          </w:p>
        </w:tc>
        <w:tc>
          <w:tcPr>
            <w:tcW w:w="220" w:type="dxa"/>
            <w:vAlign w:val="bottom"/>
          </w:tcPr>
          <w:p>
            <w:pPr>
              <w:spacing w:after="0"/>
              <w:rPr>
                <w:sz w:val="12"/>
                <w:szCs w:val="12"/>
                <w:color w:val="auto"/>
              </w:rPr>
            </w:pPr>
          </w:p>
        </w:tc>
        <w:tc>
          <w:tcPr>
            <w:tcW w:w="1140" w:type="dxa"/>
            <w:vAlign w:val="bottom"/>
          </w:tcPr>
          <w:p>
            <w:pPr>
              <w:jc w:val="right"/>
              <w:ind w:right="256"/>
              <w:spacing w:after="0"/>
              <w:rPr>
                <w:sz w:val="20"/>
                <w:szCs w:val="20"/>
                <w:color w:val="auto"/>
              </w:rPr>
            </w:pPr>
            <w:r>
              <w:rPr>
                <w:rFonts w:ascii="Arial" w:cs="Arial" w:eastAsia="Arial" w:hAnsi="Arial"/>
                <w:sz w:val="10"/>
                <w:szCs w:val="10"/>
                <w:b w:val="1"/>
                <w:bCs w:val="1"/>
                <w:color w:val="auto"/>
              </w:rPr>
              <w:t>March 31, 2018</w:t>
            </w:r>
          </w:p>
        </w:tc>
      </w:tr>
      <w:tr>
        <w:trPr>
          <w:trHeight w:val="191"/>
        </w:trPr>
        <w:tc>
          <w:tcPr>
            <w:tcW w:w="860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95"/>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operations(a)</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1,116</w:t>
            </w:r>
          </w:p>
        </w:tc>
      </w:tr>
      <w:tr>
        <w:trPr>
          <w:trHeight w:val="19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cumulative dividends on subsidiary preferred stock</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88"/>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 attributable to common stockholders</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1,102</w:t>
            </w:r>
          </w:p>
        </w:tc>
      </w:tr>
      <w:tr>
        <w:trPr>
          <w:trHeight w:val="190"/>
        </w:trPr>
        <w:tc>
          <w:tcPr>
            <w:tcW w:w="8600" w:type="dxa"/>
            <w:vAlign w:val="bottom"/>
          </w:tcPr>
          <w:p>
            <w:pPr>
              <w:ind w:left="140"/>
              <w:spacing w:after="0"/>
              <w:rPr>
                <w:sz w:val="20"/>
                <w:szCs w:val="20"/>
                <w:color w:val="auto"/>
              </w:rPr>
            </w:pPr>
            <w:r>
              <w:rPr>
                <w:rFonts w:ascii="Arial" w:cs="Arial" w:eastAsia="Arial" w:hAnsi="Arial"/>
                <w:sz w:val="11"/>
                <w:szCs w:val="11"/>
                <w:color w:val="auto"/>
              </w:rPr>
              <w:t>Loss from discontinued operations, net of tax</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70</w:t>
            </w:r>
          </w:p>
        </w:tc>
      </w:tr>
      <w:tr>
        <w:trPr>
          <w:trHeight w:val="188"/>
        </w:trPr>
        <w:tc>
          <w:tcPr>
            <w:tcW w:w="8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1,032</w:t>
            </w: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8"/>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4"/>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1,408</w:t>
            </w:r>
          </w:p>
        </w:tc>
      </w:tr>
      <w:tr>
        <w:trPr>
          <w:trHeight w:val="194"/>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4"/>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 – continuing operations</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0.78</w:t>
            </w:r>
          </w:p>
        </w:tc>
      </w:tr>
      <w:tr>
        <w:trPr>
          <w:trHeight w:val="190"/>
        </w:trPr>
        <w:tc>
          <w:tcPr>
            <w:tcW w:w="8600" w:type="dxa"/>
            <w:vAlign w:val="bottom"/>
          </w:tcPr>
          <w:p>
            <w:pPr>
              <w:ind w:left="140"/>
              <w:spacing w:after="0"/>
              <w:rPr>
                <w:sz w:val="20"/>
                <w:szCs w:val="20"/>
                <w:color w:val="auto"/>
              </w:rPr>
            </w:pPr>
            <w:r>
              <w:rPr>
                <w:rFonts w:ascii="Arial" w:cs="Arial" w:eastAsia="Arial" w:hAnsi="Arial"/>
                <w:sz w:val="11"/>
                <w:szCs w:val="11"/>
                <w:color w:val="auto"/>
              </w:rPr>
              <w:t>Basic loss per common share – discontinued operations</w:t>
            </w: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0.05</w:t>
            </w:r>
          </w:p>
        </w:tc>
      </w:tr>
      <w:tr>
        <w:trPr>
          <w:trHeight w:val="198"/>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0.73</w:t>
            </w:r>
          </w:p>
        </w:tc>
      </w:tr>
      <w:tr>
        <w:trPr>
          <w:trHeight w:val="193"/>
        </w:trPr>
        <w:tc>
          <w:tcPr>
            <w:tcW w:w="860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5"/>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from continuing operations attributable to common stockholders – diluted(a)</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1,102</w:t>
            </w:r>
          </w:p>
        </w:tc>
      </w:tr>
      <w:tr>
        <w:trPr>
          <w:trHeight w:val="190"/>
        </w:trPr>
        <w:tc>
          <w:tcPr>
            <w:tcW w:w="8600" w:type="dxa"/>
            <w:vAlign w:val="bottom"/>
          </w:tcPr>
          <w:p>
            <w:pPr>
              <w:ind w:left="140"/>
              <w:spacing w:after="0"/>
              <w:rPr>
                <w:sz w:val="20"/>
                <w:szCs w:val="20"/>
                <w:color w:val="auto"/>
              </w:rPr>
            </w:pPr>
            <w:r>
              <w:rPr>
                <w:rFonts w:ascii="Arial" w:cs="Arial" w:eastAsia="Arial" w:hAnsi="Arial"/>
                <w:sz w:val="11"/>
                <w:szCs w:val="11"/>
                <w:color w:val="auto"/>
              </w:rPr>
              <w:t>Loss from discontinued operations, net of tax – diluted</w:t>
            </w: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70</w:t>
            </w:r>
          </w:p>
        </w:tc>
      </w:tr>
      <w:tr>
        <w:trPr>
          <w:trHeight w:val="198"/>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 – diluted</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1,032</w:t>
            </w:r>
          </w:p>
        </w:tc>
      </w:tr>
      <w:tr>
        <w:trPr>
          <w:trHeight w:val="194"/>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4"/>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 – diluted</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1,430</w:t>
            </w:r>
          </w:p>
        </w:tc>
      </w:tr>
      <w:tr>
        <w:trPr>
          <w:trHeight w:val="194"/>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4"/>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 – continuing operations</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0.77</w:t>
            </w:r>
          </w:p>
        </w:tc>
      </w:tr>
      <w:tr>
        <w:trPr>
          <w:trHeight w:val="190"/>
        </w:trPr>
        <w:tc>
          <w:tcPr>
            <w:tcW w:w="8600" w:type="dxa"/>
            <w:vAlign w:val="bottom"/>
          </w:tcPr>
          <w:p>
            <w:pPr>
              <w:ind w:left="140"/>
              <w:spacing w:after="0"/>
              <w:rPr>
                <w:sz w:val="20"/>
                <w:szCs w:val="20"/>
                <w:color w:val="auto"/>
              </w:rPr>
            </w:pPr>
            <w:r>
              <w:rPr>
                <w:rFonts w:ascii="Arial" w:cs="Arial" w:eastAsia="Arial" w:hAnsi="Arial"/>
                <w:sz w:val="11"/>
                <w:szCs w:val="11"/>
                <w:color w:val="auto"/>
              </w:rPr>
              <w:t>Diluted loss per common share – discontinued operations</w:t>
            </w: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0.05</w:t>
            </w:r>
          </w:p>
        </w:tc>
      </w:tr>
      <w:tr>
        <w:trPr>
          <w:trHeight w:val="198"/>
        </w:trPr>
        <w:tc>
          <w:tcPr>
            <w:tcW w:w="8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0.72</w:t>
            </w:r>
          </w:p>
        </w:tc>
      </w:tr>
      <w:tr>
        <w:trPr>
          <w:trHeight w:val="184"/>
        </w:trPr>
        <w:tc>
          <w:tcPr>
            <w:tcW w:w="8600" w:type="dxa"/>
            <w:vAlign w:val="bottom"/>
          </w:tcPr>
          <w:p>
            <w:pPr>
              <w:ind w:left="140"/>
              <w:spacing w:after="0"/>
              <w:rPr>
                <w:sz w:val="20"/>
                <w:szCs w:val="20"/>
                <w:color w:val="auto"/>
              </w:rPr>
            </w:pPr>
            <w:r>
              <w:rPr>
                <w:rFonts w:ascii="Arial" w:cs="Arial" w:eastAsia="Arial" w:hAnsi="Arial"/>
                <w:sz w:val="11"/>
                <w:szCs w:val="11"/>
                <w:color w:val="auto"/>
              </w:rPr>
              <w:t>Potentially dilutive securities(b)</w:t>
            </w:r>
          </w:p>
        </w:tc>
        <w:tc>
          <w:tcPr>
            <w:tcW w:w="220" w:type="dxa"/>
            <w:vAlign w:val="bottom"/>
          </w:tcPr>
          <w:p>
            <w:pPr>
              <w:spacing w:after="0"/>
              <w:rPr>
                <w:sz w:val="15"/>
                <w:szCs w:val="15"/>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4</w:t>
            </w:r>
          </w:p>
        </w:tc>
      </w:tr>
      <w:tr>
        <w:trPr>
          <w:trHeight w:val="143"/>
        </w:trPr>
        <w:tc>
          <w:tcPr>
            <w:tcW w:w="8600" w:type="dxa"/>
            <w:vAlign w:val="bottom"/>
          </w:tcPr>
          <w:p>
            <w:pPr>
              <w:spacing w:after="0"/>
              <w:rPr>
                <w:sz w:val="20"/>
                <w:szCs w:val="20"/>
                <w:color w:val="auto"/>
              </w:rPr>
            </w:pPr>
            <w:r>
              <w:rPr>
                <w:rFonts w:ascii="Arial" w:cs="Arial" w:eastAsia="Arial" w:hAnsi="Arial"/>
                <w:sz w:val="11"/>
                <w:szCs w:val="11"/>
                <w:color w:val="auto"/>
              </w:rPr>
              <w:t>__________</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ind w:left="260" w:hanging="254"/>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 w:lineRule="exact"/>
        <w:rPr>
          <w:rFonts w:ascii="Arial" w:cs="Arial" w:eastAsia="Arial" w:hAnsi="Arial"/>
          <w:sz w:val="11"/>
          <w:szCs w:val="11"/>
          <w:color w:val="auto"/>
        </w:rPr>
      </w:pPr>
    </w:p>
    <w:p>
      <w:pPr>
        <w:ind w:left="260" w:hanging="254"/>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and Restricted Stock Units were excluded from the computation of diluted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60"/>
          </w:cols>
          <w:pgMar w:left="220" w:top="468"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Balance Sheet Information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ind w:left="180"/>
              <w:spacing w:after="0"/>
              <w:rPr>
                <w:sz w:val="20"/>
                <w:szCs w:val="20"/>
                <w:color w:val="auto"/>
              </w:rPr>
            </w:pPr>
            <w:r>
              <w:rPr>
                <w:rFonts w:ascii="Arial" w:cs="Arial" w:eastAsia="Arial" w:hAnsi="Arial"/>
                <w:sz w:val="9"/>
                <w:szCs w:val="9"/>
                <w:b w:val="1"/>
                <w:bCs w:val="1"/>
                <w:color w:val="auto"/>
                <w:w w:val="93"/>
              </w:rPr>
              <w:t>March 31, 2019</w:t>
            </w: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ind w:left="160"/>
              <w:spacing w:after="0"/>
              <w:rPr>
                <w:sz w:val="20"/>
                <w:szCs w:val="20"/>
                <w:color w:val="auto"/>
              </w:rPr>
            </w:pPr>
            <w:r>
              <w:rPr>
                <w:rFonts w:ascii="Arial" w:cs="Arial" w:eastAsia="Arial" w:hAnsi="Arial"/>
                <w:sz w:val="9"/>
                <w:szCs w:val="9"/>
                <w:b w:val="1"/>
                <w:bCs w:val="1"/>
                <w:color w:val="auto"/>
              </w:rPr>
              <w:t>December 31, 2018</w:t>
            </w: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7"/>
                <w:szCs w:val="7"/>
                <w:b w:val="1"/>
                <w:bCs w:val="1"/>
                <w:color w:val="auto"/>
              </w:rPr>
              <w:t>Automotive</w:t>
            </w:r>
          </w:p>
        </w:tc>
        <w:tc>
          <w:tcPr>
            <w:tcW w:w="700" w:type="dxa"/>
            <w:vAlign w:val="bottom"/>
            <w:gridSpan w:val="2"/>
          </w:tcPr>
          <w:p>
            <w:pPr>
              <w:ind w:left="100"/>
              <w:spacing w:after="0"/>
              <w:rPr>
                <w:sz w:val="20"/>
                <w:szCs w:val="20"/>
                <w:color w:val="auto"/>
              </w:rPr>
            </w:pPr>
            <w:r>
              <w:rPr>
                <w:rFonts w:ascii="Arial" w:cs="Arial" w:eastAsia="Arial" w:hAnsi="Arial"/>
                <w:sz w:val="7"/>
                <w:szCs w:val="7"/>
                <w:b w:val="1"/>
                <w:bCs w:val="1"/>
                <w:color w:val="auto"/>
              </w:rPr>
              <w:t>GM Cruise</w:t>
            </w:r>
          </w:p>
        </w:tc>
        <w:tc>
          <w:tcPr>
            <w:tcW w:w="140" w:type="dxa"/>
            <w:vAlign w:val="bottom"/>
          </w:tcPr>
          <w:p>
            <w:pPr>
              <w:spacing w:after="0"/>
              <w:rPr>
                <w:sz w:val="17"/>
                <w:szCs w:val="17"/>
                <w:color w:val="auto"/>
              </w:rPr>
            </w:pPr>
          </w:p>
        </w:tc>
        <w:tc>
          <w:tcPr>
            <w:tcW w:w="800" w:type="dxa"/>
            <w:vAlign w:val="bottom"/>
            <w:gridSpan w:val="3"/>
          </w:tcPr>
          <w:p>
            <w:pPr>
              <w:ind w:left="40"/>
              <w:spacing w:after="0"/>
              <w:rPr>
                <w:sz w:val="20"/>
                <w:szCs w:val="20"/>
                <w:color w:val="auto"/>
              </w:rPr>
            </w:pPr>
            <w:r>
              <w:rPr>
                <w:rFonts w:ascii="Arial" w:cs="Arial" w:eastAsia="Arial" w:hAnsi="Arial"/>
                <w:sz w:val="7"/>
                <w:szCs w:val="7"/>
                <w:b w:val="1"/>
                <w:bCs w:val="1"/>
                <w:color w:val="auto"/>
              </w:rPr>
              <w:t>GM Financial</w:t>
            </w:r>
          </w:p>
        </w:tc>
        <w:tc>
          <w:tcPr>
            <w:tcW w:w="1160" w:type="dxa"/>
            <w:vAlign w:val="bottom"/>
            <w:gridSpan w:val="3"/>
          </w:tcPr>
          <w:p>
            <w:pPr>
              <w:spacing w:after="0"/>
              <w:rPr>
                <w:sz w:val="20"/>
                <w:szCs w:val="20"/>
                <w:color w:val="auto"/>
              </w:rPr>
            </w:pPr>
            <w:r>
              <w:rPr>
                <w:rFonts w:ascii="Arial" w:cs="Arial" w:eastAsia="Arial" w:hAnsi="Arial"/>
                <w:sz w:val="7"/>
                <w:szCs w:val="7"/>
                <w:b w:val="1"/>
                <w:bCs w:val="1"/>
                <w:color w:val="auto"/>
              </w:rPr>
              <w:t>Reclassifications/Eliminations</w:t>
            </w:r>
          </w:p>
        </w:tc>
        <w:tc>
          <w:tcPr>
            <w:tcW w:w="14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Arial" w:cs="Arial" w:eastAsia="Arial" w:hAnsi="Arial"/>
                <w:sz w:val="7"/>
                <w:szCs w:val="7"/>
                <w:b w:val="1"/>
                <w:bCs w:val="1"/>
                <w:color w:val="auto"/>
              </w:rPr>
              <w:t>Combined</w:t>
            </w: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7"/>
                <w:szCs w:val="7"/>
                <w:b w:val="1"/>
                <w:bCs w:val="1"/>
                <w:color w:val="auto"/>
              </w:rPr>
              <w:t>Automotive</w:t>
            </w:r>
          </w:p>
        </w:tc>
        <w:tc>
          <w:tcPr>
            <w:tcW w:w="660" w:type="dxa"/>
            <w:vAlign w:val="bottom"/>
            <w:gridSpan w:val="2"/>
          </w:tcPr>
          <w:p>
            <w:pPr>
              <w:ind w:left="100"/>
              <w:spacing w:after="0"/>
              <w:rPr>
                <w:sz w:val="20"/>
                <w:szCs w:val="20"/>
                <w:color w:val="auto"/>
              </w:rPr>
            </w:pPr>
            <w:r>
              <w:rPr>
                <w:rFonts w:ascii="Arial" w:cs="Arial" w:eastAsia="Arial" w:hAnsi="Arial"/>
                <w:sz w:val="7"/>
                <w:szCs w:val="7"/>
                <w:b w:val="1"/>
                <w:bCs w:val="1"/>
                <w:color w:val="auto"/>
              </w:rPr>
              <w:t>GM Cruise</w:t>
            </w:r>
          </w:p>
        </w:tc>
        <w:tc>
          <w:tcPr>
            <w:tcW w:w="1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7"/>
                <w:szCs w:val="7"/>
                <w:b w:val="1"/>
                <w:bCs w:val="1"/>
                <w:color w:val="auto"/>
              </w:rPr>
              <w:t>GM Financial</w:t>
            </w:r>
          </w:p>
        </w:tc>
        <w:tc>
          <w:tcPr>
            <w:tcW w:w="118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40" w:type="dxa"/>
            <w:vAlign w:val="bottom"/>
          </w:tcPr>
          <w:p>
            <w:pPr>
              <w:spacing w:after="0"/>
              <w:rPr>
                <w:sz w:val="17"/>
                <w:szCs w:val="17"/>
                <w:color w:val="auto"/>
              </w:rPr>
            </w:pPr>
          </w:p>
        </w:tc>
        <w:tc>
          <w:tcPr>
            <w:tcW w:w="640" w:type="dxa"/>
            <w:vAlign w:val="bottom"/>
          </w:tcPr>
          <w:p>
            <w:pPr>
              <w:jc w:val="right"/>
              <w:ind w:right="172"/>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30"/>
        </w:trPr>
        <w:tc>
          <w:tcPr>
            <w:tcW w:w="2420" w:type="dxa"/>
            <w:vAlign w:val="bottom"/>
          </w:tcPr>
          <w:p>
            <w:pPr>
              <w:ind w:left="1020"/>
              <w:spacing w:after="0"/>
              <w:rPr>
                <w:sz w:val="20"/>
                <w:szCs w:val="20"/>
                <w:color w:val="auto"/>
              </w:rPr>
            </w:pPr>
            <w:r>
              <w:rPr>
                <w:rFonts w:ascii="Arial" w:cs="Arial" w:eastAsia="Arial" w:hAnsi="Arial"/>
                <w:sz w:val="10"/>
                <w:szCs w:val="10"/>
                <w:b w:val="1"/>
                <w:bCs w:val="1"/>
                <w:color w:val="auto"/>
              </w:rPr>
              <w:t>ASSETS</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42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Cash and cash equivalents</w:t>
            </w: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9,758</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   2,132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5,286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17,176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13,670</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  2,291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4,883</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20,844</w:t>
            </w:r>
          </w:p>
        </w:tc>
        <w:tc>
          <w:tcPr>
            <w:tcW w:w="0" w:type="dxa"/>
            <w:vAlign w:val="bottom"/>
          </w:tcPr>
          <w:p>
            <w:pPr>
              <w:spacing w:after="0"/>
              <w:rPr>
                <w:sz w:val="1"/>
                <w:szCs w:val="1"/>
                <w:color w:val="auto"/>
              </w:rPr>
            </w:pPr>
          </w:p>
        </w:tc>
      </w:tr>
      <w:tr>
        <w:trPr>
          <w:trHeight w:val="76"/>
        </w:trPr>
        <w:tc>
          <w:tcPr>
            <w:tcW w:w="24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140"/>
              <w:spacing w:after="0"/>
              <w:rPr>
                <w:sz w:val="20"/>
                <w:szCs w:val="20"/>
                <w:color w:val="auto"/>
              </w:rPr>
            </w:pPr>
            <w:r>
              <w:rPr>
                <w:rFonts w:ascii="Arial" w:cs="Arial" w:eastAsia="Arial" w:hAnsi="Arial"/>
                <w:sz w:val="10"/>
                <w:szCs w:val="10"/>
                <w:color w:val="auto"/>
              </w:rPr>
              <w:t>Marketable securities(a)</w:t>
            </w:r>
          </w:p>
        </w:tc>
        <w:tc>
          <w:tcPr>
            <w:tcW w:w="140" w:type="dxa"/>
            <w:vAlign w:val="bottom"/>
          </w:tcPr>
          <w:p>
            <w:pPr>
              <w:spacing w:after="0"/>
              <w:rPr>
                <w:sz w:val="12"/>
                <w:szCs w:val="12"/>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6,021</w:t>
            </w:r>
          </w:p>
        </w:tc>
        <w:tc>
          <w:tcPr>
            <w:tcW w:w="120" w:type="dxa"/>
            <w:vAlign w:val="bottom"/>
          </w:tcPr>
          <w:p>
            <w:pPr>
              <w:spacing w:after="0"/>
              <w:rPr>
                <w:sz w:val="12"/>
                <w:szCs w:val="12"/>
                <w:color w:val="auto"/>
              </w:rPr>
            </w:pPr>
          </w:p>
        </w:tc>
        <w:tc>
          <w:tcPr>
            <w:tcW w:w="580" w:type="dxa"/>
            <w:vAlign w:val="bottom"/>
            <w:vMerge w:val="restart"/>
          </w:tcPr>
          <w:p>
            <w:pPr>
              <w:jc w:val="right"/>
              <w:ind w:right="72"/>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0"/>
                <w:szCs w:val="10"/>
                <w:color w:val="auto"/>
              </w:rPr>
              <w:t>6,021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0"/>
                <w:szCs w:val="10"/>
                <w:color w:val="auto"/>
              </w:rPr>
              <w:t>5,966</w:t>
            </w:r>
          </w:p>
        </w:tc>
        <w:tc>
          <w:tcPr>
            <w:tcW w:w="100" w:type="dxa"/>
            <w:vAlign w:val="bottom"/>
          </w:tcPr>
          <w:p>
            <w:pPr>
              <w:spacing w:after="0"/>
              <w:rPr>
                <w:sz w:val="12"/>
                <w:szCs w:val="12"/>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0"/>
                <w:szCs w:val="10"/>
                <w:color w:val="auto"/>
              </w:rPr>
              <w:t>5,966</w:t>
            </w:r>
          </w:p>
        </w:tc>
        <w:tc>
          <w:tcPr>
            <w:tcW w:w="0" w:type="dxa"/>
            <w:vAlign w:val="bottom"/>
          </w:tcPr>
          <w:p>
            <w:pPr>
              <w:spacing w:after="0"/>
              <w:rPr>
                <w:sz w:val="1"/>
                <w:szCs w:val="1"/>
                <w:color w:val="auto"/>
              </w:rPr>
            </w:pPr>
          </w:p>
        </w:tc>
      </w:tr>
      <w:tr>
        <w:trPr>
          <w:trHeight w:val="70"/>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Accounts and notes receivable, net(b)</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11,682</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1,148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(716)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12,116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5,916</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1,430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(798)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6,549</w:t>
            </w:r>
          </w:p>
        </w:tc>
        <w:tc>
          <w:tcPr>
            <w:tcW w:w="0" w:type="dxa"/>
            <w:vAlign w:val="bottom"/>
          </w:tcPr>
          <w:p>
            <w:pPr>
              <w:spacing w:after="0"/>
              <w:rPr>
                <w:sz w:val="1"/>
                <w:szCs w:val="1"/>
                <w:color w:val="auto"/>
              </w:rPr>
            </w:pPr>
          </w:p>
        </w:tc>
      </w:tr>
      <w:tr>
        <w:trPr>
          <w:trHeight w:val="76"/>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140"/>
              <w:spacing w:after="0"/>
              <w:rPr>
                <w:sz w:val="20"/>
                <w:szCs w:val="20"/>
                <w:color w:val="auto"/>
              </w:rPr>
            </w:pPr>
            <w:r>
              <w:rPr>
                <w:rFonts w:ascii="Arial" w:cs="Arial" w:eastAsia="Arial" w:hAnsi="Arial"/>
                <w:sz w:val="10"/>
                <w:szCs w:val="10"/>
                <w:color w:val="auto"/>
              </w:rPr>
              <w:t>GM Financial receivables, net(c)</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27,722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0"/>
                <w:szCs w:val="10"/>
                <w:color w:val="auto"/>
              </w:rPr>
              <w:t>(492)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0"/>
                <w:szCs w:val="10"/>
                <w:color w:val="auto"/>
              </w:rPr>
              <w:t>27,230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27,367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0"/>
                <w:szCs w:val="10"/>
                <w:color w:val="auto"/>
              </w:rPr>
              <w:t>(517)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0"/>
                <w:szCs w:val="10"/>
                <w:color w:val="auto"/>
              </w:rPr>
              <w:t>26,850</w:t>
            </w:r>
          </w:p>
        </w:tc>
        <w:tc>
          <w:tcPr>
            <w:tcW w:w="0" w:type="dxa"/>
            <w:vAlign w:val="bottom"/>
          </w:tcPr>
          <w:p>
            <w:pPr>
              <w:spacing w:after="0"/>
              <w:rPr>
                <w:sz w:val="1"/>
                <w:szCs w:val="1"/>
                <w:color w:val="auto"/>
              </w:rPr>
            </w:pPr>
          </w:p>
        </w:tc>
      </w:tr>
      <w:tr>
        <w:trPr>
          <w:trHeight w:val="70"/>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Inventories</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11,108</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11,108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9,816</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9,816</w:t>
            </w:r>
          </w:p>
        </w:tc>
        <w:tc>
          <w:tcPr>
            <w:tcW w:w="0" w:type="dxa"/>
            <w:vAlign w:val="bottom"/>
          </w:tcPr>
          <w:p>
            <w:pPr>
              <w:spacing w:after="0"/>
              <w:rPr>
                <w:sz w:val="1"/>
                <w:szCs w:val="1"/>
                <w:color w:val="auto"/>
              </w:rPr>
            </w:pPr>
          </w:p>
        </w:tc>
      </w:tr>
      <w:tr>
        <w:trPr>
          <w:trHeight w:val="76"/>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140"/>
              <w:spacing w:after="0"/>
              <w:rPr>
                <w:sz w:val="20"/>
                <w:szCs w:val="20"/>
                <w:color w:val="auto"/>
              </w:rPr>
            </w:pPr>
            <w:r>
              <w:rPr>
                <w:rFonts w:ascii="Arial" w:cs="Arial" w:eastAsia="Arial" w:hAnsi="Arial"/>
                <w:sz w:val="10"/>
                <w:szCs w:val="10"/>
                <w:color w:val="auto"/>
              </w:rPr>
              <w:t>Other current assets(d)</w:t>
            </w:r>
          </w:p>
        </w:tc>
        <w:tc>
          <w:tcPr>
            <w:tcW w:w="140" w:type="dxa"/>
            <w:vAlign w:val="bottom"/>
          </w:tcPr>
          <w:p>
            <w:pPr>
              <w:spacing w:after="0"/>
              <w:rPr>
                <w:sz w:val="12"/>
                <w:szCs w:val="12"/>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1,917</w:t>
            </w:r>
          </w:p>
        </w:tc>
        <w:tc>
          <w:tcPr>
            <w:tcW w:w="120" w:type="dxa"/>
            <w:vAlign w:val="bottom"/>
          </w:tcPr>
          <w:p>
            <w:pPr>
              <w:spacing w:after="0"/>
              <w:rPr>
                <w:sz w:val="12"/>
                <w:szCs w:val="12"/>
                <w:color w:val="auto"/>
              </w:rPr>
            </w:pPr>
          </w:p>
        </w:tc>
        <w:tc>
          <w:tcPr>
            <w:tcW w:w="580" w:type="dxa"/>
            <w:vAlign w:val="bottom"/>
            <w:vMerge w:val="restart"/>
          </w:tcPr>
          <w:p>
            <w:pPr>
              <w:jc w:val="right"/>
              <w:ind w:right="72"/>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4,509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0"/>
                <w:szCs w:val="10"/>
                <w:color w:val="auto"/>
              </w:rPr>
              <w:t>6,439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0"/>
                <w:szCs w:val="10"/>
                <w:color w:val="auto"/>
              </w:rPr>
              <w:t>1,619</w:t>
            </w:r>
          </w:p>
        </w:tc>
        <w:tc>
          <w:tcPr>
            <w:tcW w:w="100" w:type="dxa"/>
            <w:vAlign w:val="bottom"/>
          </w:tcPr>
          <w:p>
            <w:pPr>
              <w:spacing w:after="0"/>
              <w:rPr>
                <w:sz w:val="12"/>
                <w:szCs w:val="12"/>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0"/>
                <w:szCs w:val="10"/>
                <w:color w:val="auto"/>
              </w:rPr>
              <w:t>3,640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0"/>
                <w:szCs w:val="10"/>
                <w:color w:val="auto"/>
              </w:rPr>
              <w:t>(18)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0"/>
                <w:szCs w:val="10"/>
                <w:color w:val="auto"/>
              </w:rPr>
              <w:t>5,268</w:t>
            </w:r>
          </w:p>
        </w:tc>
        <w:tc>
          <w:tcPr>
            <w:tcW w:w="0" w:type="dxa"/>
            <w:vAlign w:val="bottom"/>
          </w:tcPr>
          <w:p>
            <w:pPr>
              <w:spacing w:after="0"/>
              <w:rPr>
                <w:sz w:val="1"/>
                <w:szCs w:val="1"/>
                <w:color w:val="auto"/>
              </w:rPr>
            </w:pPr>
          </w:p>
        </w:tc>
      </w:tr>
      <w:tr>
        <w:trPr>
          <w:trHeight w:val="70"/>
        </w:trPr>
        <w:tc>
          <w:tcPr>
            <w:tcW w:w="24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4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current assets</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40,486</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2,269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38,665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(1,330)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80,090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36,987</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2,411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37,320</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(1,425)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rPr>
              <w:t>75,293</w:t>
            </w:r>
          </w:p>
        </w:tc>
        <w:tc>
          <w:tcPr>
            <w:tcW w:w="0" w:type="dxa"/>
            <w:vAlign w:val="bottom"/>
          </w:tcPr>
          <w:p>
            <w:pPr>
              <w:spacing w:after="0"/>
              <w:rPr>
                <w:sz w:val="1"/>
                <w:szCs w:val="1"/>
                <w:color w:val="auto"/>
              </w:rPr>
            </w:pPr>
          </w:p>
        </w:tc>
      </w:tr>
      <w:tr>
        <w:trPr>
          <w:trHeight w:val="76"/>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62230</wp:posOffset>
            </wp:positionV>
            <wp:extent cx="72745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ectPr>
          <w:pgSz w:w="11900" w:h="16838" w:orient="portrait"/>
          <w:cols w:equalWidth="0" w:num="1">
            <w:col w:w="11460"/>
          </w:cols>
          <w:pgMar w:left="220" w:top="468" w:right="219" w:bottom="1440" w:gutter="0" w:footer="0" w:header="0"/>
        </w:sectPr>
      </w:pPr>
    </w:p>
    <w:p>
      <w:pPr>
        <w:spacing w:after="0" w:line="10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GM Financial receivables, net(c)</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Equity in net assets of nonconsolidated affiliates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Property, net</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Goodwill and intangible assets, net</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Equipment on operating leases, net</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Deferred income taxes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assets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non-current assets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Assets</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0"/>
          <w:szCs w:val="10"/>
          <w:b w:val="1"/>
          <w:bCs w:val="1"/>
          <w:color w:val="auto"/>
        </w:rPr>
        <w:t>LIABILITIES AND EQUITY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Current Liabilities</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Accounts payable (principally trade)(b)</w:t>
      </w:r>
    </w:p>
    <w:p>
      <w:pPr>
        <w:spacing w:after="0" w:line="101" w:lineRule="exact"/>
        <w:rPr>
          <w:sz w:val="20"/>
          <w:szCs w:val="20"/>
          <w:color w:val="auto"/>
        </w:rPr>
      </w:pPr>
    </w:p>
    <w:p>
      <w:pPr>
        <w:ind w:left="260" w:hanging="128"/>
        <w:spacing w:after="0" w:line="266" w:lineRule="auto"/>
        <w:rPr>
          <w:sz w:val="20"/>
          <w:szCs w:val="20"/>
          <w:color w:val="auto"/>
        </w:rPr>
      </w:pPr>
      <w:r>
        <w:rPr>
          <w:rFonts w:ascii="Arial" w:cs="Arial" w:eastAsia="Arial" w:hAnsi="Arial"/>
          <w:sz w:val="10"/>
          <w:szCs w:val="10"/>
          <w:color w:val="auto"/>
        </w:rPr>
        <w:t>Short-term debt and current portion of long-term debt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0"/>
          <w:szCs w:val="10"/>
          <w:color w:val="auto"/>
        </w:rPr>
        <w:t>Automotive(c)</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GM Financial</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Accrued liabilities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current liabilities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Non-current Liabilities</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0"/>
          <w:szCs w:val="10"/>
          <w:color w:val="auto"/>
        </w:rPr>
        <w:t>Long-term debt</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Automotive(c)</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0"/>
          <w:szCs w:val="10"/>
          <w:color w:val="auto"/>
        </w:rPr>
        <w:t>GM Financial</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Postretirement benefits other than pensions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Pensions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Other liabilities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Total non-current liabilities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Liabilities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Commitments and contingencies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Equity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20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25,507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25,448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25,145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25,083</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6,837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1,429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8,266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7,860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1,355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9,215</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38,042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38,336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38,464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38,758</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3,491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670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5,518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3,552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1,356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5,579</w:t>
            </w:r>
          </w:p>
        </w:tc>
      </w:tr>
      <w:tr>
        <w:trPr>
          <w:trHeight w:val="216"/>
        </w:trPr>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43,052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43,052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43,559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43,559</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24,162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24,303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23,935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24,082</w:t>
            </w:r>
          </w:p>
        </w:tc>
      </w:tr>
      <w:tr>
        <w:trPr>
          <w:trHeight w:val="221"/>
        </w:trPr>
        <w:tc>
          <w:tcPr>
            <w:tcW w:w="2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7,055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937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8,119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890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5,770</w:t>
            </w:r>
          </w:p>
        </w:tc>
      </w:tr>
      <w:tr>
        <w:trPr>
          <w:trHeight w:val="196"/>
        </w:trPr>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79,587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959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72,555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153,042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78,691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784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72,633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152,046</w:t>
            </w:r>
          </w:p>
        </w:tc>
      </w:tr>
      <w:tr>
        <w:trPr>
          <w:trHeight w:val="185"/>
        </w:trPr>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120,073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3,228</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111,220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(1,389)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233,132</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115,678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3,195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109,953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(1,487)</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227,339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613"/>
        </w:trPr>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24,607</w:t>
            </w:r>
          </w:p>
        </w:tc>
        <w:tc>
          <w:tcPr>
            <w:tcW w:w="12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24"/>
                <w:szCs w:val="24"/>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650</w:t>
            </w:r>
          </w:p>
        </w:tc>
        <w:tc>
          <w:tcPr>
            <w:tcW w:w="100" w:type="dxa"/>
            <w:vAlign w:val="bottom"/>
          </w:tcPr>
          <w:p>
            <w:pPr>
              <w:spacing w:after="0"/>
              <w:rPr>
                <w:sz w:val="24"/>
                <w:szCs w:val="24"/>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(742)</w:t>
            </w:r>
          </w:p>
        </w:tc>
        <w:tc>
          <w:tcPr>
            <w:tcW w:w="10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24,560</w:t>
            </w:r>
          </w:p>
        </w:tc>
        <w:tc>
          <w:tcPr>
            <w:tcW w:w="12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22,359</w:t>
            </w:r>
          </w:p>
        </w:tc>
        <w:tc>
          <w:tcPr>
            <w:tcW w:w="10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707</w:t>
            </w:r>
          </w:p>
        </w:tc>
        <w:tc>
          <w:tcPr>
            <w:tcW w:w="100" w:type="dxa"/>
            <w:vAlign w:val="bottom"/>
          </w:tcPr>
          <w:p>
            <w:pPr>
              <w:spacing w:after="0"/>
              <w:rPr>
                <w:sz w:val="24"/>
                <w:szCs w:val="24"/>
                <w:color w:val="auto"/>
              </w:rPr>
            </w:pPr>
          </w:p>
        </w:tc>
        <w:tc>
          <w:tcPr>
            <w:tcW w:w="380" w:type="dxa"/>
            <w:vAlign w:val="bottom"/>
          </w:tcPr>
          <w:p>
            <w:pPr>
              <w:jc w:val="right"/>
              <w:ind w:right="25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(797)</w:t>
            </w:r>
          </w:p>
        </w:tc>
        <w:tc>
          <w:tcPr>
            <w:tcW w:w="120" w:type="dxa"/>
            <w:vAlign w:val="bottom"/>
          </w:tcPr>
          <w:p>
            <w:pPr>
              <w:spacing w:after="0"/>
              <w:rPr>
                <w:sz w:val="24"/>
                <w:szCs w:val="24"/>
                <w:color w:val="auto"/>
              </w:rPr>
            </w:pPr>
          </w:p>
        </w:tc>
        <w:tc>
          <w:tcPr>
            <w:tcW w:w="2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22,297</w:t>
            </w:r>
          </w:p>
        </w:tc>
      </w:tr>
      <w:tr>
        <w:trPr>
          <w:trHeight w:val="474"/>
        </w:trPr>
        <w:tc>
          <w:tcPr>
            <w:tcW w:w="20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2,491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(492)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1,999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1,452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(517)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935</w:t>
            </w:r>
          </w:p>
        </w:tc>
      </w:tr>
      <w:tr>
        <w:trPr>
          <w:trHeight w:val="216"/>
        </w:trPr>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31,273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31,273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30,956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30,956</w:t>
            </w:r>
          </w:p>
        </w:tc>
      </w:tr>
      <w:tr>
        <w:trPr>
          <w:trHeight w:val="221"/>
        </w:trPr>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23,634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68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3,801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27,471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24,042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3,985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28,049</w:t>
            </w:r>
          </w:p>
        </w:tc>
      </w:tr>
      <w:tr>
        <w:trPr>
          <w:trHeight w:val="190"/>
        </w:trPr>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50,732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35,724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85,303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47,853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35,648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(1,333)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82,237</w:t>
            </w:r>
          </w:p>
        </w:tc>
      </w:tr>
      <w:tr>
        <w:trPr>
          <w:trHeight w:val="647"/>
        </w:trPr>
        <w:tc>
          <w:tcPr>
            <w:tcW w:w="20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13,013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12,954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13,090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13,028</w:t>
            </w:r>
          </w:p>
        </w:tc>
      </w:tr>
      <w:tr>
        <w:trPr>
          <w:trHeight w:val="216"/>
        </w:trPr>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60,858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60,858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60,032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60,032</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5,363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5,370</w:t>
            </w:r>
          </w:p>
        </w:tc>
      </w:tr>
      <w:tr>
        <w:trPr>
          <w:trHeight w:val="216"/>
        </w:trPr>
        <w:tc>
          <w:tcPr>
            <w:tcW w:w="2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11,096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11,099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11,535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11,538</w:t>
            </w:r>
          </w:p>
        </w:tc>
      </w:tr>
      <w:tr>
        <w:trPr>
          <w:trHeight w:val="221"/>
        </w:trPr>
        <w:tc>
          <w:tcPr>
            <w:tcW w:w="2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10,574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148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2,195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12,917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10,167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12,357</w:t>
            </w:r>
          </w:p>
        </w:tc>
      </w:tr>
      <w:tr>
        <w:trPr>
          <w:trHeight w:val="196"/>
        </w:trPr>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40,046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148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63,056</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103,191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40,162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rPr>
              <w:t>62,190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rPr>
              <w:t>102,325</w:t>
            </w:r>
          </w:p>
        </w:tc>
      </w:tr>
      <w:tr>
        <w:trPr>
          <w:trHeight w:val="190"/>
        </w:trPr>
        <w:tc>
          <w:tcPr>
            <w:tcW w:w="200" w:type="dxa"/>
            <w:vAlign w:val="bottom"/>
          </w:tcPr>
          <w:p>
            <w:pPr>
              <w:spacing w:after="0"/>
              <w:rPr>
                <w:sz w:val="16"/>
                <w:szCs w:val="16"/>
                <w:color w:val="auto"/>
              </w:rPr>
            </w:pPr>
          </w:p>
        </w:tc>
        <w:tc>
          <w:tcPr>
            <w:tcW w:w="620" w:type="dxa"/>
            <w:vAlign w:val="bottom"/>
          </w:tcPr>
          <w:p>
            <w:pPr>
              <w:jc w:val="right"/>
              <w:ind w:right="70"/>
              <w:spacing w:after="0"/>
              <w:rPr>
                <w:sz w:val="20"/>
                <w:szCs w:val="20"/>
                <w:color w:val="auto"/>
              </w:rPr>
            </w:pPr>
            <w:r>
              <w:rPr>
                <w:rFonts w:ascii="Arial" w:cs="Arial" w:eastAsia="Arial" w:hAnsi="Arial"/>
                <w:sz w:val="10"/>
                <w:szCs w:val="10"/>
                <w:color w:val="auto"/>
              </w:rPr>
              <w:t>90,778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ind w:right="70"/>
              <w:spacing w:after="0"/>
              <w:rPr>
                <w:sz w:val="20"/>
                <w:szCs w:val="20"/>
                <w:color w:val="auto"/>
              </w:rPr>
            </w:pPr>
            <w:r>
              <w:rPr>
                <w:rFonts w:ascii="Arial" w:cs="Arial" w:eastAsia="Arial" w:hAnsi="Arial"/>
                <w:sz w:val="10"/>
                <w:szCs w:val="10"/>
                <w:color w:val="auto"/>
              </w:rPr>
              <w:t>261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98,780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0"/>
                <w:szCs w:val="10"/>
                <w:color w:val="auto"/>
              </w:rPr>
              <w:t>(1,325)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188,494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88,015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97,838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0"/>
                <w:szCs w:val="10"/>
                <w:color w:val="auto"/>
              </w:rPr>
              <w:t>(1,395)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184,562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-3317875</wp:posOffset>
            </wp:positionV>
            <wp:extent cx="72745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-3044190</wp:posOffset>
            </wp:positionV>
            <wp:extent cx="72745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-2770505</wp:posOffset>
            </wp:positionV>
            <wp:extent cx="72745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-2496820</wp:posOffset>
            </wp:positionV>
            <wp:extent cx="72745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-2209800</wp:posOffset>
            </wp:positionV>
            <wp:extent cx="72745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-1935480</wp:posOffset>
            </wp:positionV>
            <wp:extent cx="7274560" cy="164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64465"/>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-1634490</wp:posOffset>
            </wp:positionV>
            <wp:extent cx="72745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-1360805</wp:posOffset>
            </wp:positionV>
            <wp:extent cx="72745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-1087120</wp:posOffset>
            </wp:positionV>
            <wp:extent cx="72745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-813435</wp:posOffset>
            </wp:positionV>
            <wp:extent cx="72745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-539750</wp:posOffset>
            </wp:positionV>
            <wp:extent cx="72745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-266065</wp:posOffset>
            </wp:positionV>
            <wp:extent cx="72745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6985</wp:posOffset>
            </wp:positionV>
            <wp:extent cx="72745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280670</wp:posOffset>
            </wp:positionV>
            <wp:extent cx="72745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511" w:lineRule="exact"/>
        <w:rPr>
          <w:sz w:val="20"/>
          <w:szCs w:val="20"/>
          <w:color w:val="auto"/>
        </w:rPr>
      </w:pPr>
    </w:p>
    <w:p>
      <w:pPr>
        <w:sectPr>
          <w:pgSz w:w="11900" w:h="16838" w:orient="portrait"/>
          <w:cols w:equalWidth="0" w:num="2">
            <w:col w:w="2280" w:space="140"/>
            <w:col w:w="9040"/>
          </w:cols>
          <w:pgMar w:left="220" w:top="468" w:right="219" w:bottom="1440" w:gutter="0" w:footer="0" w:header="0"/>
          <w:type w:val="continuous"/>
        </w:sectPr>
      </w:pPr>
    </w:p>
    <w:p>
      <w:pPr>
        <w:ind w:left="100" w:right="380"/>
        <w:spacing w:after="0" w:line="424" w:lineRule="auto"/>
        <w:rPr>
          <w:sz w:val="20"/>
          <w:szCs w:val="20"/>
          <w:color w:val="auto"/>
        </w:rPr>
      </w:pPr>
      <w:r>
        <w:rPr>
          <w:rFonts w:ascii="Arial" w:cs="Arial" w:eastAsia="Arial" w:hAnsi="Arial"/>
          <w:sz w:val="9"/>
          <w:szCs w:val="9"/>
          <w:color w:val="auto"/>
        </w:rPr>
        <w:t>Common stock, $0.01 par value Preferred stock, $0.01 par value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Additional paid-in capital(a)(e)</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Retained earnings(a)</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0"/>
          <w:szCs w:val="10"/>
          <w:color w:val="auto"/>
        </w:rPr>
        <w:t>Accumulated other comprehensive loss</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Total stockholders’ equity</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Noncontrolling interests(e)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Total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820" w:type="dxa"/>
            <w:vAlign w:val="bottom"/>
          </w:tcPr>
          <w:p>
            <w:pPr>
              <w:jc w:val="right"/>
              <w:ind w:right="70"/>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1"/>
                <w:szCs w:val="11"/>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14</w:t>
            </w:r>
          </w:p>
        </w:tc>
      </w:tr>
      <w:tr>
        <w:trPr>
          <w:trHeight w:val="216"/>
        </w:trPr>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w:t>
            </w:r>
          </w:p>
        </w:tc>
      </w:tr>
      <w:tr>
        <w:trPr>
          <w:trHeight w:val="216"/>
        </w:trPr>
        <w:tc>
          <w:tcPr>
            <w:tcW w:w="820" w:type="dxa"/>
            <w:vAlign w:val="bottom"/>
          </w:tcPr>
          <w:p>
            <w:pPr>
              <w:jc w:val="right"/>
              <w:ind w:right="70"/>
              <w:spacing w:after="0"/>
              <w:rPr>
                <w:sz w:val="20"/>
                <w:szCs w:val="20"/>
                <w:color w:val="auto"/>
              </w:rPr>
            </w:pPr>
            <w:r>
              <w:rPr>
                <w:rFonts w:ascii="Arial" w:cs="Arial" w:eastAsia="Arial" w:hAnsi="Arial"/>
                <w:sz w:val="10"/>
                <w:szCs w:val="10"/>
                <w:color w:val="auto"/>
              </w:rPr>
              <w:t>25,681</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10</w:t>
            </w:r>
          </w:p>
        </w:tc>
        <w:tc>
          <w:tcPr>
            <w:tcW w:w="1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0"/>
                <w:szCs w:val="10"/>
                <w:color w:val="auto"/>
              </w:rPr>
              <w:t>1,373</w:t>
            </w:r>
          </w:p>
        </w:tc>
        <w:tc>
          <w:tcPr>
            <w:tcW w:w="1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0"/>
                <w:szCs w:val="10"/>
                <w:color w:val="auto"/>
              </w:rPr>
              <w:t>(1,403)</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25,661</w:t>
            </w: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25,606</w:t>
            </w: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0"/>
                <w:szCs w:val="10"/>
                <w:color w:val="auto"/>
              </w:rPr>
              <w:t>1,373</w:t>
            </w: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0"/>
                <w:szCs w:val="10"/>
                <w:color w:val="auto"/>
              </w:rPr>
              <w:t>(1,420)</w:t>
            </w: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25,563</w:t>
            </w:r>
          </w:p>
        </w:tc>
      </w:tr>
      <w:tr>
        <w:trPr>
          <w:trHeight w:val="216"/>
        </w:trPr>
        <w:tc>
          <w:tcPr>
            <w:tcW w:w="820" w:type="dxa"/>
            <w:vAlign w:val="bottom"/>
          </w:tcPr>
          <w:p>
            <w:pPr>
              <w:jc w:val="right"/>
              <w:ind w:right="70"/>
              <w:spacing w:after="0"/>
              <w:rPr>
                <w:sz w:val="20"/>
                <w:szCs w:val="20"/>
                <w:color w:val="auto"/>
              </w:rPr>
            </w:pPr>
            <w:r>
              <w:rPr>
                <w:rFonts w:ascii="Arial" w:cs="Arial" w:eastAsia="Arial" w:hAnsi="Arial"/>
                <w:sz w:val="10"/>
                <w:szCs w:val="10"/>
                <w:color w:val="auto"/>
              </w:rPr>
              <w:t>10,531</w:t>
            </w: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1,375</w:t>
            </w:r>
          </w:p>
        </w:tc>
        <w:tc>
          <w:tcPr>
            <w:tcW w:w="1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0"/>
                <w:szCs w:val="10"/>
                <w:color w:val="auto"/>
              </w:rPr>
              <w:t>12,066</w:t>
            </w:r>
          </w:p>
        </w:tc>
        <w:tc>
          <w:tcPr>
            <w:tcW w:w="1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23,939</w:t>
            </w: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9,103</w:t>
            </w:r>
          </w:p>
        </w:tc>
        <w:tc>
          <w:tcPr>
            <w:tcW w:w="1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1,480</w:t>
            </w:r>
          </w:p>
        </w:tc>
        <w:tc>
          <w:tcPr>
            <w:tcW w:w="1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0"/>
                <w:szCs w:val="10"/>
                <w:color w:val="auto"/>
              </w:rPr>
              <w:t>11,783</w:t>
            </w: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0"/>
                <w:szCs w:val="10"/>
                <w:color w:val="auto"/>
              </w:rPr>
              <w:t>(44)</w:t>
            </w: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22,322</w:t>
            </w:r>
          </w:p>
        </w:tc>
      </w:tr>
      <w:tr>
        <w:trPr>
          <w:trHeight w:val="221"/>
        </w:trPr>
        <w:tc>
          <w:tcPr>
            <w:tcW w:w="820" w:type="dxa"/>
            <w:vAlign w:val="bottom"/>
          </w:tcPr>
          <w:p>
            <w:pPr>
              <w:jc w:val="right"/>
              <w:ind w:right="30"/>
              <w:spacing w:after="0"/>
              <w:rPr>
                <w:sz w:val="20"/>
                <w:szCs w:val="20"/>
                <w:color w:val="auto"/>
              </w:rPr>
            </w:pPr>
            <w:r>
              <w:rPr>
                <w:rFonts w:ascii="Arial" w:cs="Arial" w:eastAsia="Arial" w:hAnsi="Arial"/>
                <w:sz w:val="10"/>
                <w:szCs w:val="10"/>
                <w:color w:val="auto"/>
              </w:rPr>
              <w:t>(7,850)</w:t>
            </w: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(999)</w:t>
            </w: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0"/>
              <w:spacing w:after="0"/>
              <w:rPr>
                <w:sz w:val="20"/>
                <w:szCs w:val="20"/>
                <w:color w:val="auto"/>
              </w:rPr>
            </w:pPr>
            <w:r>
              <w:rPr>
                <w:rFonts w:ascii="Arial" w:cs="Arial" w:eastAsia="Arial" w:hAnsi="Arial"/>
                <w:sz w:val="10"/>
                <w:szCs w:val="10"/>
                <w:color w:val="auto"/>
              </w:rPr>
              <w:t>(8,849)</w:t>
            </w:r>
          </w:p>
        </w:tc>
        <w:tc>
          <w:tcPr>
            <w:tcW w:w="1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0"/>
                <w:szCs w:val="10"/>
                <w:color w:val="auto"/>
              </w:rPr>
              <w:t>(7,998)</w:t>
            </w: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(1,041)</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0"/>
              <w:spacing w:after="0"/>
              <w:rPr>
                <w:sz w:val="20"/>
                <w:szCs w:val="20"/>
                <w:color w:val="auto"/>
              </w:rPr>
            </w:pPr>
            <w:r>
              <w:rPr>
                <w:rFonts w:ascii="Arial" w:cs="Arial" w:eastAsia="Arial" w:hAnsi="Arial"/>
                <w:sz w:val="10"/>
                <w:szCs w:val="10"/>
                <w:color w:val="auto"/>
              </w:rPr>
              <w:t>(9,039)</w:t>
            </w:r>
          </w:p>
        </w:tc>
      </w:tr>
      <w:tr>
        <w:trPr>
          <w:trHeight w:val="190"/>
        </w:trPr>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28,376</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1,385</w:t>
            </w:r>
          </w:p>
        </w:tc>
        <w:tc>
          <w:tcPr>
            <w:tcW w:w="120" w:type="dxa"/>
            <w:vAlign w:val="bottom"/>
          </w:tcPr>
          <w:p>
            <w:pPr>
              <w:spacing w:after="0"/>
              <w:rPr>
                <w:sz w:val="16"/>
                <w:szCs w:val="16"/>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12,440</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(1,436)</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40,765</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26,725</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1,484</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12,115</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(1,464)</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38,860</w:t>
            </w:r>
          </w:p>
        </w:tc>
      </w:tr>
      <w:tr>
        <w:trPr>
          <w:trHeight w:val="221"/>
        </w:trPr>
        <w:tc>
          <w:tcPr>
            <w:tcW w:w="820" w:type="dxa"/>
            <w:vAlign w:val="bottom"/>
          </w:tcPr>
          <w:p>
            <w:pPr>
              <w:jc w:val="right"/>
              <w:ind w:right="70"/>
              <w:spacing w:after="0"/>
              <w:rPr>
                <w:sz w:val="20"/>
                <w:szCs w:val="20"/>
                <w:color w:val="auto"/>
              </w:rPr>
            </w:pPr>
            <w:r>
              <w:rPr>
                <w:rFonts w:ascii="Arial" w:cs="Arial" w:eastAsia="Arial" w:hAnsi="Arial"/>
                <w:sz w:val="10"/>
                <w:szCs w:val="10"/>
                <w:color w:val="auto"/>
              </w:rPr>
              <w:t>919</w:t>
            </w:r>
          </w:p>
        </w:tc>
        <w:tc>
          <w:tcPr>
            <w:tcW w:w="12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1,582</w:t>
            </w: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70"/>
              <w:spacing w:after="0"/>
              <w:rPr>
                <w:sz w:val="20"/>
                <w:szCs w:val="20"/>
                <w:color w:val="auto"/>
              </w:rPr>
            </w:pPr>
            <w:r>
              <w:rPr>
                <w:rFonts w:ascii="Arial" w:cs="Arial" w:eastAsia="Arial" w:hAnsi="Arial"/>
                <w:sz w:val="10"/>
                <w:szCs w:val="10"/>
                <w:color w:val="auto"/>
              </w:rPr>
              <w:t>1,372</w:t>
            </w:r>
          </w:p>
        </w:tc>
        <w:tc>
          <w:tcPr>
            <w:tcW w:w="1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3,873</w:t>
            </w:r>
          </w:p>
        </w:tc>
        <w:tc>
          <w:tcPr>
            <w:tcW w:w="1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938</w:t>
            </w:r>
          </w:p>
        </w:tc>
        <w:tc>
          <w:tcPr>
            <w:tcW w:w="1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1,607</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70"/>
              <w:spacing w:after="0"/>
              <w:rPr>
                <w:sz w:val="20"/>
                <w:szCs w:val="20"/>
                <w:color w:val="auto"/>
              </w:rPr>
            </w:pPr>
            <w:r>
              <w:rPr>
                <w:rFonts w:ascii="Arial" w:cs="Arial" w:eastAsia="Arial" w:hAnsi="Arial"/>
                <w:sz w:val="10"/>
                <w:szCs w:val="10"/>
                <w:color w:val="auto"/>
              </w:rPr>
              <w:t>1,372</w:t>
            </w:r>
          </w:p>
        </w:tc>
        <w:tc>
          <w:tcPr>
            <w:tcW w:w="1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color w:val="auto"/>
              </w:rPr>
              <w:t>3,917</w:t>
            </w:r>
          </w:p>
        </w:tc>
      </w:tr>
      <w:tr>
        <w:trPr>
          <w:trHeight w:val="190"/>
        </w:trPr>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29,295</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2,967</w:t>
            </w:r>
          </w:p>
        </w:tc>
        <w:tc>
          <w:tcPr>
            <w:tcW w:w="120" w:type="dxa"/>
            <w:vAlign w:val="bottom"/>
          </w:tcPr>
          <w:p>
            <w:pPr>
              <w:spacing w:after="0"/>
              <w:rPr>
                <w:sz w:val="16"/>
                <w:szCs w:val="16"/>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12,440</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(64)</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44,638</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27,663</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3,091</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12,115</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42,777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-813435</wp:posOffset>
            </wp:positionV>
            <wp:extent cx="72745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-539750</wp:posOffset>
            </wp:positionV>
            <wp:extent cx="72745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-266065</wp:posOffset>
            </wp:positionV>
            <wp:extent cx="72745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6985</wp:posOffset>
            </wp:positionV>
            <wp:extent cx="72745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1900" w:space="520"/>
            <w:col w:w="9040"/>
          </w:cols>
          <w:pgMar w:left="220" w:top="468" w:right="219" w:bottom="1440" w:gutter="0" w:footer="0" w:header="0"/>
          <w:type w:val="continuous"/>
        </w:sectPr>
      </w:pPr>
    </w:p>
    <w:tbl>
      <w:tblPr>
        <w:tblLayout w:type="fixed"/>
        <w:tblInd w:w="20" w:type="dxa"/>
        <w:tblCellMar>
          <w:top w:w="0" w:type="dxa"/>
          <w:left w:w="0" w:type="dxa"/>
          <w:bottom w:w="0" w:type="dxa"/>
          <w:right w:w="0" w:type="dxa"/>
        </w:tblCellMar>
      </w:tblPr>
      <w:tr>
        <w:trPr>
          <w:trHeight w:val="141"/>
        </w:trPr>
        <w:tc>
          <w:tcPr>
            <w:tcW w:w="1840" w:type="dxa"/>
            <w:vAlign w:val="bottom"/>
          </w:tcPr>
          <w:p>
            <w:pPr>
              <w:spacing w:after="0"/>
              <w:rPr>
                <w:sz w:val="20"/>
                <w:szCs w:val="20"/>
                <w:color w:val="auto"/>
              </w:rPr>
            </w:pPr>
            <w:r>
              <w:rPr>
                <w:rFonts w:ascii="Arial" w:cs="Arial" w:eastAsia="Arial" w:hAnsi="Arial"/>
                <w:sz w:val="10"/>
                <w:szCs w:val="10"/>
                <w:b w:val="1"/>
                <w:bCs w:val="1"/>
                <w:color w:val="auto"/>
              </w:rPr>
              <w:t>Total Liabilities and Equity</w:t>
            </w:r>
          </w:p>
        </w:tc>
        <w:tc>
          <w:tcPr>
            <w:tcW w:w="76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90"/>
              <w:spacing w:after="0"/>
              <w:rPr>
                <w:sz w:val="20"/>
                <w:szCs w:val="20"/>
                <w:color w:val="auto"/>
              </w:rPr>
            </w:pPr>
            <w:r>
              <w:rPr>
                <w:rFonts w:ascii="Arial" w:cs="Arial" w:eastAsia="Arial" w:hAnsi="Arial"/>
                <w:sz w:val="10"/>
                <w:szCs w:val="10"/>
                <w:color w:val="auto"/>
              </w:rPr>
              <w:t>120,073</w:t>
            </w:r>
          </w:p>
        </w:tc>
        <w:tc>
          <w:tcPr>
            <w:tcW w:w="700" w:type="dxa"/>
            <w:vAlign w:val="bottom"/>
            <w:vMerge w:val="restart"/>
          </w:tcPr>
          <w:p>
            <w:pPr>
              <w:jc w:val="right"/>
              <w:ind w:right="90"/>
              <w:spacing w:after="0"/>
              <w:rPr>
                <w:sz w:val="20"/>
                <w:szCs w:val="20"/>
                <w:color w:val="auto"/>
              </w:rPr>
            </w:pPr>
            <w:r>
              <w:rPr>
                <w:rFonts w:ascii="Arial" w:cs="Arial" w:eastAsia="Arial" w:hAnsi="Arial"/>
                <w:sz w:val="10"/>
                <w:szCs w:val="10"/>
                <w:color w:val="auto"/>
              </w:rPr>
              <w:t>$   3,228</w:t>
            </w:r>
          </w:p>
        </w:tc>
        <w:tc>
          <w:tcPr>
            <w:tcW w:w="320" w:type="dxa"/>
            <w:vAlign w:val="bottom"/>
            <w:vMerge w:val="restart"/>
          </w:tcPr>
          <w:p>
            <w:pPr>
              <w:jc w:val="right"/>
              <w:ind w:right="9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111,220</w:t>
            </w:r>
          </w:p>
        </w:tc>
        <w:tc>
          <w:tcPr>
            <w:tcW w:w="480" w:type="dxa"/>
            <w:vAlign w:val="bottom"/>
            <w:vMerge w:val="restart"/>
          </w:tcPr>
          <w:p>
            <w:pPr>
              <w:jc w:val="right"/>
              <w:ind w:right="250"/>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70"/>
              <w:spacing w:after="0"/>
              <w:rPr>
                <w:sz w:val="20"/>
                <w:szCs w:val="20"/>
                <w:color w:val="auto"/>
              </w:rPr>
            </w:pPr>
            <w:r>
              <w:rPr>
                <w:rFonts w:ascii="Arial" w:cs="Arial" w:eastAsia="Arial" w:hAnsi="Arial"/>
                <w:sz w:val="10"/>
                <w:szCs w:val="10"/>
                <w:color w:val="auto"/>
              </w:rPr>
              <w:t>(1,389)</w:t>
            </w:r>
          </w:p>
        </w:tc>
        <w:tc>
          <w:tcPr>
            <w:tcW w:w="28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233,132</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115,678</w:t>
            </w:r>
          </w:p>
        </w:tc>
        <w:tc>
          <w:tcPr>
            <w:tcW w:w="640" w:type="dxa"/>
            <w:vAlign w:val="bottom"/>
            <w:vMerge w:val="restart"/>
          </w:tcPr>
          <w:p>
            <w:pPr>
              <w:jc w:val="right"/>
              <w:ind w:right="50"/>
              <w:spacing w:after="0"/>
              <w:rPr>
                <w:sz w:val="20"/>
                <w:szCs w:val="20"/>
                <w:color w:val="auto"/>
              </w:rPr>
            </w:pPr>
            <w:r>
              <w:rPr>
                <w:rFonts w:ascii="Arial" w:cs="Arial" w:eastAsia="Arial" w:hAnsi="Arial"/>
                <w:sz w:val="10"/>
                <w:szCs w:val="10"/>
                <w:color w:val="auto"/>
              </w:rPr>
              <w:t>$  3,195</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109,953</w:t>
            </w:r>
          </w:p>
        </w:tc>
        <w:tc>
          <w:tcPr>
            <w:tcW w:w="480" w:type="dxa"/>
            <w:vAlign w:val="bottom"/>
            <w:vMerge w:val="restart"/>
          </w:tcPr>
          <w:p>
            <w:pPr>
              <w:jc w:val="right"/>
              <w:ind w:right="250"/>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50"/>
              <w:spacing w:after="0"/>
              <w:rPr>
                <w:sz w:val="20"/>
                <w:szCs w:val="20"/>
                <w:color w:val="auto"/>
              </w:rPr>
            </w:pPr>
            <w:r>
              <w:rPr>
                <w:rFonts w:ascii="Arial" w:cs="Arial" w:eastAsia="Arial" w:hAnsi="Arial"/>
                <w:sz w:val="10"/>
                <w:szCs w:val="10"/>
                <w:color w:val="auto"/>
              </w:rPr>
              <w:t>(1,487)</w:t>
            </w:r>
          </w:p>
        </w:tc>
        <w:tc>
          <w:tcPr>
            <w:tcW w:w="3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227,339</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9"/>
          <w:szCs w:val="9"/>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-64135</wp:posOffset>
            </wp:positionV>
            <wp:extent cx="574167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1670" cy="6985"/>
                    </a:xfrm>
                    <a:prstGeom prst="rect">
                      <a:avLst/>
                    </a:prstGeom>
                    <a:noFill/>
                  </pic:spPr>
                </pic:pic>
              </a:graphicData>
            </a:graphic>
          </wp:anchor>
        </w:drawing>
      </w:r>
    </w:p>
    <w:p>
      <w:pPr>
        <w:ind w:left="260" w:hanging="254"/>
        <w:spacing w:after="0" w:line="233"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 primarily includes GM Cruise investment in GM common stock at March 31, 2019 and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Eliminations primarily include Automotive accounts receivable of $66 million offset by GM Financial accounts payable and GM Financial accounts receivable of $640 million offset by Automotive accounts payable at March 31, 2019 and Automotive accounts receivable of $63 million offset by GM Financial accounts payable and GM Financial accounts receivable of $729 million offset by Automotive accounts payable at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Eliminations include GM Financial loan receivable of $551 million and $579 million offset by an Automotive loan payable at March 31, 2019 and December 31, 2018.</w:t>
      </w:r>
    </w:p>
    <w:p>
      <w:pPr>
        <w:ind w:left="260" w:hanging="254"/>
        <w:spacing w:after="0" w:line="224" w:lineRule="auto"/>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Includes the reclassification of the current portion of Equipment on operating leases, net. The prior period has been recast to reflect the changes.</w:t>
      </w:r>
    </w:p>
    <w:p>
      <w:pPr>
        <w:ind w:left="260" w:hanging="254"/>
        <w:spacing w:after="0"/>
        <w:tabs>
          <w:tab w:leader="none" w:pos="260" w:val="left"/>
        </w:tabs>
        <w:numPr>
          <w:ilvl w:val="0"/>
          <w:numId w:val="11"/>
        </w:numPr>
        <w:rPr>
          <w:rFonts w:ascii="Arial" w:cs="Arial" w:eastAsia="Arial" w:hAnsi="Arial"/>
          <w:sz w:val="9"/>
          <w:szCs w:val="9"/>
          <w:color w:val="auto"/>
        </w:rPr>
      </w:pPr>
      <w:r>
        <w:rPr>
          <w:rFonts w:ascii="Arial" w:cs="Arial" w:eastAsia="Arial" w:hAnsi="Arial"/>
          <w:sz w:val="9"/>
          <w:szCs w:val="9"/>
          <w:color w:val="auto"/>
        </w:rPr>
        <w:t>Primarily reclassification of GM Financial Cumulative Perpetual Preferred Stock, Series A and B. The preferred stock is classified as noncontrolling interests in our condensed consolidated balance sheet.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0"/>
          </w:cols>
          <w:pgMar w:left="220" w:top="468" w:right="21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Combining Cash Flow Information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3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5"/>
          </w:tcPr>
          <w:p>
            <w:pPr>
              <w:ind w:left="100"/>
              <w:spacing w:after="0"/>
              <w:rPr>
                <w:sz w:val="20"/>
                <w:szCs w:val="20"/>
                <w:color w:val="auto"/>
              </w:rPr>
            </w:pPr>
            <w:r>
              <w:rPr>
                <w:rFonts w:ascii="Arial" w:cs="Arial" w:eastAsia="Arial" w:hAnsi="Arial"/>
                <w:sz w:val="7"/>
                <w:szCs w:val="7"/>
                <w:b w:val="1"/>
                <w:bCs w:val="1"/>
                <w:color w:val="auto"/>
              </w:rPr>
              <w:t>Three Months Ended March 31, 2019</w:t>
            </w: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5"/>
          </w:tcPr>
          <w:p>
            <w:pPr>
              <w:ind w:left="80"/>
              <w:spacing w:after="0"/>
              <w:rPr>
                <w:sz w:val="20"/>
                <w:szCs w:val="20"/>
                <w:color w:val="auto"/>
              </w:rPr>
            </w:pPr>
            <w:r>
              <w:rPr>
                <w:rFonts w:ascii="Arial" w:cs="Arial" w:eastAsia="Arial" w:hAnsi="Arial"/>
                <w:sz w:val="7"/>
                <w:szCs w:val="7"/>
                <w:b w:val="1"/>
                <w:bCs w:val="1"/>
                <w:color w:val="auto"/>
              </w:rPr>
              <w:t>Three Months Ended March 31, 2018</w:t>
            </w: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00" w:type="dxa"/>
            <w:vAlign w:val="bottom"/>
          </w:tcPr>
          <w:p>
            <w:pPr>
              <w:spacing w:after="0"/>
              <w:rPr>
                <w:sz w:val="17"/>
                <w:szCs w:val="17"/>
                <w:color w:val="auto"/>
              </w:rPr>
            </w:pPr>
          </w:p>
        </w:tc>
        <w:tc>
          <w:tcPr>
            <w:tcW w:w="480" w:type="dxa"/>
            <w:vAlign w:val="bottom"/>
          </w:tcPr>
          <w:p>
            <w:pPr>
              <w:jc w:val="right"/>
              <w:ind w:right="70"/>
              <w:spacing w:after="0"/>
              <w:rPr>
                <w:sz w:val="20"/>
                <w:szCs w:val="20"/>
                <w:color w:val="auto"/>
              </w:rPr>
            </w:pPr>
            <w:r>
              <w:rPr>
                <w:rFonts w:ascii="Arial" w:cs="Arial" w:eastAsia="Arial" w:hAnsi="Arial"/>
                <w:sz w:val="7"/>
                <w:szCs w:val="7"/>
                <w:b w:val="1"/>
                <w:bCs w:val="1"/>
                <w:color w:val="auto"/>
                <w:w w:val="96"/>
              </w:rPr>
              <w:t>GM Cruise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8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Reclassification/Eliminations</w:t>
            </w:r>
          </w:p>
        </w:tc>
        <w:tc>
          <w:tcPr>
            <w:tcW w:w="12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80" w:type="dxa"/>
            <w:vAlign w:val="bottom"/>
          </w:tcPr>
          <w:p>
            <w:pPr>
              <w:spacing w:after="0"/>
              <w:rPr>
                <w:sz w:val="17"/>
                <w:szCs w:val="17"/>
                <w:color w:val="auto"/>
              </w:rPr>
            </w:pPr>
          </w:p>
        </w:tc>
        <w:tc>
          <w:tcPr>
            <w:tcW w:w="460" w:type="dxa"/>
            <w:vAlign w:val="bottom"/>
          </w:tcPr>
          <w:p>
            <w:pPr>
              <w:jc w:val="right"/>
              <w:ind w:right="30"/>
              <w:spacing w:after="0"/>
              <w:rPr>
                <w:sz w:val="20"/>
                <w:szCs w:val="20"/>
                <w:color w:val="auto"/>
              </w:rPr>
            </w:pPr>
            <w:r>
              <w:rPr>
                <w:rFonts w:ascii="Arial" w:cs="Arial" w:eastAsia="Arial" w:hAnsi="Arial"/>
                <w:sz w:val="7"/>
                <w:szCs w:val="7"/>
                <w:b w:val="1"/>
                <w:bCs w:val="1"/>
                <w:color w:val="auto"/>
              </w:rPr>
              <w:t>GM Cruise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40"/>
              <w:spacing w:after="0"/>
              <w:rPr>
                <w:sz w:val="20"/>
                <w:szCs w:val="20"/>
                <w:color w:val="auto"/>
              </w:rPr>
            </w:pPr>
            <w:r>
              <w:rPr>
                <w:rFonts w:ascii="Arial" w:cs="Arial" w:eastAsia="Arial" w:hAnsi="Arial"/>
                <w:sz w:val="7"/>
                <w:szCs w:val="7"/>
                <w:b w:val="1"/>
                <w:bCs w:val="1"/>
                <w:color w:val="auto"/>
              </w:rPr>
              <w:t>Reclassification/Eliminations</w:t>
            </w:r>
          </w:p>
        </w:tc>
        <w:tc>
          <w:tcPr>
            <w:tcW w:w="120" w:type="dxa"/>
            <w:vAlign w:val="bottom"/>
          </w:tcPr>
          <w:p>
            <w:pPr>
              <w:spacing w:after="0"/>
              <w:rPr>
                <w:sz w:val="17"/>
                <w:szCs w:val="17"/>
                <w:color w:val="auto"/>
              </w:rPr>
            </w:pPr>
          </w:p>
        </w:tc>
        <w:tc>
          <w:tcPr>
            <w:tcW w:w="540" w:type="dxa"/>
            <w:vAlign w:val="bottom"/>
          </w:tcPr>
          <w:p>
            <w:pPr>
              <w:jc w:val="right"/>
              <w:ind w:right="90"/>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30"/>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273</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2,145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886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(156)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374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1,110</w:t>
            </w:r>
          </w:p>
        </w:tc>
        <w:tc>
          <w:tcPr>
            <w:tcW w:w="0" w:type="dxa"/>
            <w:vAlign w:val="bottom"/>
          </w:tcPr>
          <w:p>
            <w:pPr>
              <w:spacing w:after="0"/>
              <w:rPr>
                <w:sz w:val="1"/>
                <w:szCs w:val="1"/>
                <w:color w:val="auto"/>
              </w:rPr>
            </w:pPr>
          </w:p>
        </w:tc>
      </w:tr>
      <w:tr>
        <w:trPr>
          <w:trHeight w:val="113"/>
        </w:trPr>
        <w:tc>
          <w:tcPr>
            <w:tcW w:w="3100" w:type="dxa"/>
            <w:vAlign w:val="bottom"/>
          </w:tcPr>
          <w:p>
            <w:pPr>
              <w:ind w:left="140"/>
              <w:spacing w:after="0" w:line="113" w:lineRule="exact"/>
              <w:rPr>
                <w:sz w:val="20"/>
                <w:szCs w:val="20"/>
                <w:color w:val="auto"/>
              </w:rPr>
            </w:pPr>
            <w:r>
              <w:rPr>
                <w:rFonts w:ascii="Arial" w:cs="Arial" w:eastAsia="Arial" w:hAnsi="Arial"/>
                <w:sz w:val="10"/>
                <w:szCs w:val="10"/>
                <w:color w:val="auto"/>
              </w:rPr>
              <w:t>Depreciation and impairment of Equipment on operating leases,</w:t>
            </w:r>
          </w:p>
        </w:tc>
        <w:tc>
          <w:tcPr>
            <w:tcW w:w="120" w:type="dxa"/>
            <w:vAlign w:val="bottom"/>
          </w:tcPr>
          <w:p>
            <w:pPr>
              <w:spacing w:after="0"/>
              <w:rPr>
                <w:sz w:val="9"/>
                <w:szCs w:val="9"/>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1,881</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1,897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52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0"/>
                <w:szCs w:val="10"/>
                <w:color w:val="auto"/>
              </w:rPr>
              <w:t>1,807</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1,859</w:t>
            </w:r>
          </w:p>
        </w:tc>
        <w:tc>
          <w:tcPr>
            <w:tcW w:w="0" w:type="dxa"/>
            <w:vAlign w:val="bottom"/>
          </w:tcPr>
          <w:p>
            <w:pPr>
              <w:spacing w:after="0"/>
              <w:rPr>
                <w:sz w:val="1"/>
                <w:szCs w:val="1"/>
                <w:color w:val="auto"/>
              </w:rPr>
            </w:pPr>
          </w:p>
        </w:tc>
      </w:tr>
      <w:tr>
        <w:trPr>
          <w:trHeight w:val="141"/>
        </w:trPr>
        <w:tc>
          <w:tcPr>
            <w:tcW w:w="3100" w:type="dxa"/>
            <w:vAlign w:val="bottom"/>
          </w:tcPr>
          <w:p>
            <w:pPr>
              <w:ind w:left="260"/>
              <w:spacing w:after="0"/>
              <w:rPr>
                <w:sz w:val="20"/>
                <w:szCs w:val="20"/>
                <w:color w:val="auto"/>
              </w:rPr>
            </w:pPr>
            <w:r>
              <w:rPr>
                <w:rFonts w:ascii="Arial" w:cs="Arial" w:eastAsia="Arial" w:hAnsi="Arial"/>
                <w:sz w:val="10"/>
                <w:szCs w:val="10"/>
                <w:color w:val="auto"/>
              </w:rPr>
              <w:t>net</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Depreciation, amortization and impairment charges on Property,</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2,199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18</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2,219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1,705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1,722</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net</w:t>
            </w: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Foreign currency remeasurement and transaction (gains) losses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243</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Undistributed earnings of nonconsolidated affiliates,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(368)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(413)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(596)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(648)</w:t>
            </w: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Pension contributions and OPEB payments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(291)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(400)</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Pension and OPEB income, net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(300)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(300)</w:t>
            </w: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Provision (benefit) for deferred taxes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(273)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67</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328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
              <w:spacing w:after="0"/>
              <w:rPr>
                <w:sz w:val="20"/>
                <w:szCs w:val="20"/>
                <w:color w:val="auto"/>
              </w:rPr>
            </w:pPr>
            <w:r>
              <w:rPr>
                <w:rFonts w:ascii="Arial" w:cs="Arial" w:eastAsia="Arial" w:hAnsi="Arial"/>
                <w:sz w:val="10"/>
                <w:szCs w:val="10"/>
                <w:color w:val="auto"/>
              </w:rPr>
              <w:t>(10)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365</w:t>
            </w:r>
          </w:p>
        </w:tc>
        <w:tc>
          <w:tcPr>
            <w:tcW w:w="0" w:type="dxa"/>
            <w:vAlign w:val="bottom"/>
          </w:tcPr>
          <w:p>
            <w:pPr>
              <w:spacing w:after="0"/>
              <w:rPr>
                <w:sz w:val="1"/>
                <w:szCs w:val="1"/>
                <w:color w:val="auto"/>
              </w:rPr>
            </w:pPr>
          </w:p>
        </w:tc>
      </w:tr>
      <w:tr>
        <w:trPr>
          <w:trHeight w:val="145"/>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Change in other operating assets and liabilities(a)(b)</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(5,424)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(49)</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(5,316)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(2,976)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(528)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(3,503)</w:t>
            </w:r>
          </w:p>
        </w:tc>
        <w:tc>
          <w:tcPr>
            <w:tcW w:w="0" w:type="dxa"/>
            <w:vAlign w:val="bottom"/>
          </w:tcPr>
          <w:p>
            <w:pPr>
              <w:spacing w:after="0"/>
              <w:rPr>
                <w:sz w:val="1"/>
                <w:szCs w:val="1"/>
                <w:color w:val="auto"/>
              </w:rPr>
            </w:pPr>
          </w:p>
        </w:tc>
      </w:tr>
      <w:tr>
        <w:trPr>
          <w:trHeight w:val="76"/>
        </w:trPr>
        <w:tc>
          <w:tcPr>
            <w:tcW w:w="3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operating activities</w:t>
            </w:r>
          </w:p>
        </w:tc>
        <w:tc>
          <w:tcPr>
            <w:tcW w:w="12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(2,207)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(147)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2,143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(1,063)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10"/>
              <w:spacing w:after="0"/>
              <w:rPr>
                <w:sz w:val="20"/>
                <w:szCs w:val="20"/>
                <w:color w:val="auto"/>
              </w:rPr>
            </w:pPr>
            <w:r>
              <w:rPr>
                <w:rFonts w:ascii="Arial" w:cs="Arial" w:eastAsia="Arial" w:hAnsi="Arial"/>
                <w:sz w:val="10"/>
                <w:szCs w:val="10"/>
                <w:color w:val="auto"/>
              </w:rPr>
              <w:t>(149)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1,669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jc w:val="right"/>
              <w:ind w:right="30"/>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448</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Expenditures for property</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(1,993)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0"/>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(17)</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(2,240)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(2,272)</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Available-for-sale marketable securities, acquisitions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(677)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(677)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(914)</w:t>
            </w: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Available-for-sale marketable securities, liquidations</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4"/>
                <w:szCs w:val="14"/>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2,062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2,062</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finance receivables, net(a)(b)</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(7,222)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(7,215)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(5,073)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(4,925)</w:t>
            </w: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Principal collections and recoveries on finance receivables(b)</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6,370</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(163)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6,207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3,608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Arial" w:cs="Arial" w:eastAsia="Arial" w:hAnsi="Arial"/>
                <w:sz w:val="10"/>
                <w:szCs w:val="10"/>
                <w:color w:val="auto"/>
              </w:rPr>
              <w:t>(130)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3,478</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leased vehicles, net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(3,747)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(3,747)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(4,496)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(4,496)</w:t>
            </w: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Proceeds from termination of leased vehicles</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3,059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3,059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2,379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2,379</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Other investing activities(c)</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93"/>
        </w:trPr>
        <w:tc>
          <w:tcPr>
            <w:tcW w:w="3100" w:type="dxa"/>
            <w:vAlign w:val="bottom"/>
          </w:tcPr>
          <w:p>
            <w:pPr>
              <w:ind w:left="140"/>
              <w:spacing w:after="0" w:line="93" w:lineRule="exact"/>
              <w:rPr>
                <w:sz w:val="20"/>
                <w:szCs w:val="20"/>
                <w:color w:val="auto"/>
              </w:rPr>
            </w:pPr>
            <w:r>
              <w:rPr>
                <w:rFonts w:ascii="Arial" w:cs="Arial" w:eastAsia="Arial" w:hAnsi="Arial"/>
                <w:sz w:val="10"/>
                <w:szCs w:val="10"/>
                <w:color w:val="auto"/>
              </w:rPr>
              <w:t>Net cash provided by (used in) investing activities – continuing</w:t>
            </w: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(1,996)</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(1,556)</w:t>
            </w: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(167)</w:t>
            </w: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(3,711)</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(1,294)</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(3,602)</w:t>
            </w: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180</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0"/>
                <w:szCs w:val="10"/>
                <w:color w:val="auto"/>
              </w:rPr>
              <w:t>(4,728)</w:t>
            </w:r>
          </w:p>
        </w:tc>
        <w:tc>
          <w:tcPr>
            <w:tcW w:w="0" w:type="dxa"/>
            <w:vAlign w:val="bottom"/>
          </w:tcPr>
          <w:p>
            <w:pPr>
              <w:spacing w:after="0"/>
              <w:rPr>
                <w:sz w:val="1"/>
                <w:szCs w:val="1"/>
                <w:color w:val="auto"/>
              </w:rPr>
            </w:pPr>
          </w:p>
        </w:tc>
      </w:tr>
      <w:tr>
        <w:trPr>
          <w:trHeight w:val="141"/>
        </w:trPr>
        <w:tc>
          <w:tcPr>
            <w:tcW w:w="3100" w:type="dxa"/>
            <w:vAlign w:val="bottom"/>
          </w:tcPr>
          <w:p>
            <w:pPr>
              <w:ind w:left="260"/>
              <w:spacing w:after="0"/>
              <w:rPr>
                <w:sz w:val="20"/>
                <w:szCs w:val="20"/>
                <w:color w:val="auto"/>
              </w:rPr>
            </w:pPr>
            <w:r>
              <w:rPr>
                <w:rFonts w:ascii="Arial" w:cs="Arial" w:eastAsia="Arial" w:hAnsi="Arial"/>
                <w:sz w:val="10"/>
                <w:szCs w:val="10"/>
                <w:color w:val="auto"/>
              </w:rPr>
              <w:t>operations</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 cash provided by investing activities – discontinued</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166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166</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operations</w:t>
            </w:r>
          </w:p>
        </w:tc>
        <w:tc>
          <w:tcPr>
            <w:tcW w:w="12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investing activities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(1,996)</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(1,556)</w:t>
            </w: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(167)</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rPr>
              <w:t>(3,711)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rPr>
              <w:t>(1,128)</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rPr>
              <w:t>(3,602)</w:t>
            </w: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rPr>
              <w:t>180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rPr>
              <w:t>(4,562)</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Net increase in short-term debt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480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479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540" w:type="dxa"/>
            <w:vAlign w:val="bottom"/>
          </w:tcPr>
          <w:p>
            <w:pPr>
              <w:jc w:val="right"/>
              <w:ind w:right="50"/>
              <w:spacing w:after="0"/>
              <w:rPr>
                <w:sz w:val="20"/>
                <w:szCs w:val="20"/>
                <w:color w:val="auto"/>
              </w:rPr>
            </w:pPr>
            <w:r>
              <w:rPr>
                <w:rFonts w:ascii="Arial" w:cs="Arial" w:eastAsia="Arial" w:hAnsi="Arial"/>
                <w:sz w:val="10"/>
                <w:szCs w:val="10"/>
                <w:color w:val="auto"/>
              </w:rPr>
              <w:t>120</w:t>
            </w:r>
          </w:p>
        </w:tc>
        <w:tc>
          <w:tcPr>
            <w:tcW w:w="0" w:type="dxa"/>
            <w:vAlign w:val="bottom"/>
          </w:tcPr>
          <w:p>
            <w:pPr>
              <w:spacing w:after="0"/>
              <w:rPr>
                <w:sz w:val="1"/>
                <w:szCs w:val="1"/>
                <w:color w:val="auto"/>
              </w:rPr>
            </w:pPr>
          </w:p>
        </w:tc>
      </w:tr>
      <w:tr>
        <w:trPr>
          <w:trHeight w:val="11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debt (original maturities greater than</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683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11,074</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11,757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1,871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162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9,463</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(162)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11,334</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three months)(c)</w:t>
            </w: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140"/>
              <w:spacing w:after="0"/>
              <w:rPr>
                <w:sz w:val="20"/>
                <w:szCs w:val="20"/>
                <w:color w:val="auto"/>
              </w:rPr>
            </w:pPr>
            <w:r>
              <w:rPr>
                <w:rFonts w:ascii="Arial" w:cs="Arial" w:eastAsia="Arial" w:hAnsi="Arial"/>
                <w:sz w:val="10"/>
                <w:szCs w:val="10"/>
                <w:color w:val="auto"/>
              </w:rPr>
              <w:t>Payments on debt (original maturities greater than three months)</w:t>
            </w:r>
          </w:p>
        </w:tc>
        <w:tc>
          <w:tcPr>
            <w:tcW w:w="12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(110)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(10,682)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0"/>
                <w:szCs w:val="10"/>
                <w:color w:val="auto"/>
              </w:rPr>
              <w:t>(10,777)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Arial" w:cs="Arial" w:eastAsia="Arial" w:hAnsi="Arial"/>
                <w:sz w:val="10"/>
                <w:szCs w:val="10"/>
                <w:color w:val="auto"/>
              </w:rPr>
              <w:t>(166)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(6,652)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jc w:val="right"/>
              <w:ind w:right="30"/>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(6,832)</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Dividends paid</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(565)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(46)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(626)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(536)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(566)</w:t>
            </w:r>
          </w:p>
        </w:tc>
        <w:tc>
          <w:tcPr>
            <w:tcW w:w="0" w:type="dxa"/>
            <w:vAlign w:val="bottom"/>
          </w:tcPr>
          <w:p>
            <w:pPr>
              <w:spacing w:after="0"/>
              <w:rPr>
                <w:sz w:val="1"/>
                <w:szCs w:val="1"/>
                <w:color w:val="auto"/>
              </w:rPr>
            </w:pPr>
          </w:p>
        </w:tc>
      </w:tr>
      <w:tr>
        <w:trPr>
          <w:trHeight w:val="167"/>
        </w:trPr>
        <w:tc>
          <w:tcPr>
            <w:tcW w:w="31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Other financing activities(d)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(222)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(34)</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(236)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(244)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(40)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(287)</w:t>
            </w:r>
          </w:p>
        </w:tc>
        <w:tc>
          <w:tcPr>
            <w:tcW w:w="0" w:type="dxa"/>
            <w:vAlign w:val="bottom"/>
          </w:tcPr>
          <w:p>
            <w:pPr>
              <w:spacing w:after="0"/>
              <w:rPr>
                <w:sz w:val="1"/>
                <w:szCs w:val="1"/>
                <w:color w:val="auto"/>
              </w:rPr>
            </w:pPr>
          </w:p>
        </w:tc>
      </w:tr>
      <w:tr>
        <w:trPr>
          <w:trHeight w:val="169"/>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791</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1,022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2,764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rPr>
              <w:t>(171)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3,769</w:t>
            </w:r>
          </w:p>
        </w:tc>
        <w:tc>
          <w:tcPr>
            <w:tcW w:w="0" w:type="dxa"/>
            <w:vAlign w:val="bottom"/>
          </w:tcPr>
          <w:p>
            <w:pPr>
              <w:spacing w:after="0"/>
              <w:rPr>
                <w:sz w:val="1"/>
                <w:szCs w:val="1"/>
                <w:color w:val="auto"/>
              </w:rPr>
            </w:pPr>
          </w:p>
        </w:tc>
      </w:tr>
      <w:tr>
        <w:trPr>
          <w:trHeight w:val="113"/>
        </w:trPr>
        <w:tc>
          <w:tcPr>
            <w:tcW w:w="3100" w:type="dxa"/>
            <w:vAlign w:val="bottom"/>
          </w:tcPr>
          <w:p>
            <w:pPr>
              <w:ind w:left="140"/>
              <w:spacing w:after="0" w:line="113" w:lineRule="exact"/>
              <w:rPr>
                <w:sz w:val="20"/>
                <w:szCs w:val="20"/>
                <w:color w:val="auto"/>
              </w:rPr>
            </w:pPr>
            <w:r>
              <w:rPr>
                <w:rFonts w:ascii="Arial" w:cs="Arial" w:eastAsia="Arial" w:hAnsi="Arial"/>
                <w:sz w:val="10"/>
                <w:szCs w:val="10"/>
                <w:color w:val="auto"/>
              </w:rPr>
              <w:t>Effect of exchange rate changes on cash, cash equivalents and</w:t>
            </w:r>
          </w:p>
        </w:tc>
        <w:tc>
          <w:tcPr>
            <w:tcW w:w="120" w:type="dxa"/>
            <w:vAlign w:val="bottom"/>
          </w:tcPr>
          <w:p>
            <w:pPr>
              <w:spacing w:after="0"/>
              <w:rPr>
                <w:sz w:val="9"/>
                <w:szCs w:val="9"/>
                <w:color w:val="auto"/>
              </w:rPr>
            </w:pPr>
          </w:p>
        </w:tc>
        <w:tc>
          <w:tcPr>
            <w:tcW w:w="580" w:type="dxa"/>
            <w:vAlign w:val="bottom"/>
            <w:vMerge w:val="restart"/>
          </w:tcPr>
          <w:p>
            <w:pPr>
              <w:jc w:val="right"/>
              <w:ind w:right="30"/>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41"/>
        </w:trPr>
        <w:tc>
          <w:tcPr>
            <w:tcW w:w="310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auto"/>
              </w:rPr>
              <w:t>restricted cash</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ind w:left="140"/>
              <w:spacing w:after="0" w:line="98" w:lineRule="exact"/>
              <w:rPr>
                <w:sz w:val="20"/>
                <w:szCs w:val="20"/>
                <w:color w:val="auto"/>
              </w:rPr>
            </w:pPr>
            <w:r>
              <w:rPr>
                <w:rFonts w:ascii="Arial" w:cs="Arial" w:eastAsia="Arial" w:hAnsi="Arial"/>
                <w:sz w:val="10"/>
                <w:szCs w:val="10"/>
                <w:color w:val="auto"/>
              </w:rPr>
              <w:t>Net increase (decrease) in cash, cash equivalents and restricted</w:t>
            </w: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(3,945)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(156)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1,386</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(2,715)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(1,133)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839</w:t>
            </w: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(301)</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cash</w:t>
            </w: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13,762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2,291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7,443</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23,496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11,258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23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6,567</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17,848</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9,817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2,135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8,829</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20,781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10,125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7,406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rPr>
              <w:t>17,547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0"/>
                <w:szCs w:val="10"/>
                <w:color w:val="auto"/>
              </w:rPr>
              <w:t>Cash, cash equivalents and restricted cash – continuing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100" w:type="dxa"/>
            <w:vAlign w:val="bottom"/>
            <w:vMerge w:val="continue"/>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9,817</w:t>
            </w:r>
          </w:p>
        </w:tc>
        <w:tc>
          <w:tcPr>
            <w:tcW w:w="12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70"/>
              <w:spacing w:after="0"/>
              <w:rPr>
                <w:sz w:val="20"/>
                <w:szCs w:val="20"/>
                <w:color w:val="auto"/>
              </w:rPr>
            </w:pPr>
            <w:r>
              <w:rPr>
                <w:rFonts w:ascii="Arial" w:cs="Arial" w:eastAsia="Arial" w:hAnsi="Arial"/>
                <w:sz w:val="10"/>
                <w:szCs w:val="10"/>
                <w:color w:val="auto"/>
              </w:rPr>
              <w:t>2,135</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70"/>
              <w:spacing w:after="0"/>
              <w:rPr>
                <w:sz w:val="20"/>
                <w:szCs w:val="20"/>
                <w:color w:val="auto"/>
              </w:rPr>
            </w:pPr>
            <w:r>
              <w:rPr>
                <w:rFonts w:ascii="Arial" w:cs="Arial" w:eastAsia="Arial" w:hAnsi="Arial"/>
                <w:sz w:val="10"/>
                <w:szCs w:val="10"/>
                <w:color w:val="auto"/>
              </w:rPr>
              <w:t>8,829</w:t>
            </w:r>
          </w:p>
        </w:tc>
        <w:tc>
          <w:tcPr>
            <w:tcW w:w="12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ind w:right="70"/>
              <w:spacing w:after="0"/>
              <w:rPr>
                <w:sz w:val="20"/>
                <w:szCs w:val="20"/>
                <w:color w:val="auto"/>
              </w:rPr>
            </w:pPr>
            <w:r>
              <w:rPr>
                <w:rFonts w:ascii="Arial" w:cs="Arial" w:eastAsia="Arial" w:hAnsi="Arial"/>
                <w:sz w:val="10"/>
                <w:szCs w:val="10"/>
                <w:color w:val="auto"/>
              </w:rPr>
              <w:t>20,781</w:t>
            </w:r>
          </w:p>
        </w:tc>
        <w:tc>
          <w:tcPr>
            <w:tcW w:w="10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ind w:right="50"/>
              <w:spacing w:after="0"/>
              <w:rPr>
                <w:sz w:val="20"/>
                <w:szCs w:val="20"/>
                <w:color w:val="auto"/>
              </w:rPr>
            </w:pPr>
            <w:r>
              <w:rPr>
                <w:rFonts w:ascii="Arial" w:cs="Arial" w:eastAsia="Arial" w:hAnsi="Arial"/>
                <w:sz w:val="10"/>
                <w:szCs w:val="10"/>
                <w:color w:val="auto"/>
              </w:rPr>
              <w:t>10,125</w:t>
            </w:r>
          </w:p>
        </w:tc>
        <w:tc>
          <w:tcPr>
            <w:tcW w:w="120" w:type="dxa"/>
            <w:vAlign w:val="bottom"/>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50"/>
              <w:spacing w:after="0"/>
              <w:rPr>
                <w:sz w:val="20"/>
                <w:szCs w:val="20"/>
                <w:color w:val="auto"/>
              </w:rPr>
            </w:pPr>
            <w:r>
              <w:rPr>
                <w:rFonts w:ascii="Arial" w:cs="Arial" w:eastAsia="Arial" w:hAnsi="Arial"/>
                <w:sz w:val="10"/>
                <w:szCs w:val="10"/>
                <w:color w:val="auto"/>
              </w:rPr>
              <w:t>16</w:t>
            </w:r>
          </w:p>
        </w:tc>
        <w:tc>
          <w:tcPr>
            <w:tcW w:w="20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50"/>
              <w:spacing w:after="0"/>
              <w:rPr>
                <w:sz w:val="20"/>
                <w:szCs w:val="20"/>
                <w:color w:val="auto"/>
              </w:rPr>
            </w:pPr>
            <w:r>
              <w:rPr>
                <w:rFonts w:ascii="Arial" w:cs="Arial" w:eastAsia="Arial" w:hAnsi="Arial"/>
                <w:sz w:val="10"/>
                <w:szCs w:val="10"/>
                <w:color w:val="auto"/>
              </w:rPr>
              <w:t>7,406</w:t>
            </w:r>
          </w:p>
        </w:tc>
        <w:tc>
          <w:tcPr>
            <w:tcW w:w="10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17,547</w:t>
            </w:r>
          </w:p>
        </w:tc>
        <w:tc>
          <w:tcPr>
            <w:tcW w:w="0" w:type="dxa"/>
            <w:vAlign w:val="bottom"/>
          </w:tcPr>
          <w:p>
            <w:pPr>
              <w:spacing w:after="0"/>
              <w:rPr>
                <w:sz w:val="1"/>
                <w:szCs w:val="1"/>
                <w:color w:val="auto"/>
              </w:rPr>
            </w:pPr>
          </w:p>
        </w:tc>
      </w:tr>
      <w:tr>
        <w:trPr>
          <w:trHeight w:val="135"/>
        </w:trPr>
        <w:tc>
          <w:tcPr>
            <w:tcW w:w="3100" w:type="dxa"/>
            <w:vAlign w:val="bottom"/>
          </w:tcPr>
          <w:p>
            <w:pPr>
              <w:ind w:left="160"/>
              <w:spacing w:after="0"/>
              <w:rPr>
                <w:sz w:val="20"/>
                <w:szCs w:val="20"/>
                <w:color w:val="auto"/>
              </w:rPr>
            </w:pPr>
            <w:r>
              <w:rPr>
                <w:rFonts w:ascii="Arial" w:cs="Arial" w:eastAsia="Arial" w:hAnsi="Arial"/>
                <w:sz w:val="10"/>
                <w:szCs w:val="10"/>
                <w:color w:val="auto"/>
              </w:rPr>
              <w:t>at end of period</w:t>
            </w:r>
          </w:p>
        </w:tc>
        <w:tc>
          <w:tcPr>
            <w:tcW w:w="1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9"/>
          <w:szCs w:val="9"/>
          <w:color w:val="auto"/>
        </w:rPr>
        <w:t>_________</w:t>
      </w:r>
    </w:p>
    <w:p>
      <w:pPr>
        <w:spacing w:after="0" w:line="2" w:lineRule="exact"/>
        <w:rPr>
          <w:sz w:val="20"/>
          <w:szCs w:val="20"/>
          <w:color w:val="auto"/>
        </w:rPr>
      </w:pPr>
    </w:p>
    <w:p>
      <w:pPr>
        <w:ind w:left="260" w:hanging="254"/>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Includes reclassifications of $200 million and $13 million in the three months ended March 31, 2019 and 2018 for purchases/collections of wholesale finance receivables resulting from vehicles sold by GM to dealers that have arranged their inventory floor plan financing through GM Financial.</w:t>
      </w:r>
    </w:p>
    <w:p>
      <w:pPr>
        <w:spacing w:after="0" w:line="4" w:lineRule="exact"/>
        <w:rPr>
          <w:rFonts w:ascii="Arial" w:cs="Arial" w:eastAsia="Arial" w:hAnsi="Arial"/>
          <w:sz w:val="8"/>
          <w:szCs w:val="8"/>
          <w:color w:val="auto"/>
        </w:rPr>
      </w:pPr>
    </w:p>
    <w:p>
      <w:pPr>
        <w:ind w:left="260" w:hanging="254"/>
        <w:spacing w:after="0" w:line="224" w:lineRule="auto"/>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Eliminations include $207 million and $161 million in Purchases of finance receivables, net in the three months ended March 31, 2019 and 2018, and $163 million and $129 million in Principal collections and recoveries on finance receivables in the three months ended March 31, 2019 and 2018 primarily related to the re-timing of cash receipts and payments between Automotive and GM Financial.</w:t>
      </w:r>
    </w:p>
    <w:p>
      <w:pPr>
        <w:ind w:left="260" w:hanging="254"/>
        <w:spacing w:after="0" w:line="224" w:lineRule="auto"/>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Eliminations include an insignificant amount in the three months ended March 31, 2019 and $162 million for Automotive cash injections in GM Cruise in the three months ended March 31, 2018.</w:t>
      </w:r>
    </w:p>
    <w:p>
      <w:pPr>
        <w:ind w:left="260" w:hanging="254"/>
        <w:spacing w:after="0"/>
        <w:tabs>
          <w:tab w:leader="none" w:pos="260" w:val="left"/>
        </w:tabs>
        <w:numPr>
          <w:ilvl w:val="0"/>
          <w:numId w:val="12"/>
        </w:numPr>
        <w:rPr>
          <w:rFonts w:ascii="Arial" w:cs="Arial" w:eastAsia="Arial" w:hAnsi="Arial"/>
          <w:sz w:val="9"/>
          <w:szCs w:val="9"/>
          <w:color w:val="auto"/>
        </w:rPr>
      </w:pPr>
      <w:r>
        <w:rPr>
          <w:rFonts w:ascii="Arial" w:cs="Arial" w:eastAsia="Arial" w:hAnsi="Arial"/>
          <w:sz w:val="9"/>
          <w:szCs w:val="9"/>
          <w:color w:val="auto"/>
        </w:rPr>
        <w:t>Includes the reclassification of Payments to purchase common stock. The prior period has been recast to reflect the changes.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sectPr>
      <w:pgSz w:w="11900" w:h="16838" w:orient="portrait"/>
      <w:cols w:equalWidth="0" w:num="1">
        <w:col w:w="11460"/>
      </w:cols>
      <w:pgMar w:left="220" w:top="4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2019-12-28T13:34:20Z</dcterms:created>
  <dcterms:modified xsi:type="dcterms:W3CDTF">2019-12-28T13:34:20Z</dcterms:modified>
</cp:coreProperties>
</file>