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2022</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77" w:lineRule="exact"/>
        <w:rPr>
          <w:sz w:val="24"/>
          <w:szCs w:val="24"/>
          <w:color w:val="auto"/>
        </w:rPr>
      </w:pPr>
    </w:p>
    <w:p>
      <w:pPr>
        <w:ind w:right="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General Motors Company’s (“we,” “our,” or the “Company”) vehicle wholesale volumes were impacted by the timing of certain semiconductor shipments and other supply chain disruptions. As a result, we had a total of approximately 95 thousand vehicles in our inventory that were manufactured without certain components as of June 30, 2022, a majority of which were built in June. We expect that substantially all of these vehicles will be completed and sold to dealers before the end of 2022. For the three months ended June 30, 2022, we expect net income to be in the range of between $1.6 billion and $1.9 billion and EBIT-adjusted to be in the range of between $2.3 billion and $2.6 billion.</w:t>
      </w:r>
    </w:p>
    <w:p>
      <w:pPr>
        <w:spacing w:after="0" w:line="21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For the full year, we reaffirm our net income guidance range of between $9.6 billion and $11.2 billion, EBIT-adjusted guidance range of between $13.0 billion and $15.0 billion, EPS-diluted guidance range of between $5.76 and $6.76, EPS-diluted-adjusted guidance range of between $6.50 and $7.50, automotive net cash provided by operating activities guidance range of between $16.0 billion and $19.0 billion, and adjusted automotive free cash flow guidance range of between $7.0 billion and $9.0 billion, and also continue to expect a year-over-year wholesale volume increase of 25%-30% and GMNA EBIT-adjusted margins of 10%.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reconciliations of non-GAAP measures to their most directly comparable GAAP measures.</w:t>
      </w:r>
    </w:p>
    <w:p>
      <w:pPr>
        <w:spacing w:after="0" w:line="25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Current Report on Form 8-K shall not be considered “filed” for purposes of Section 18 of the Securities Exchange Act of 1934, as amended, or otherwise subject to the liabilities of that section, and such information shall not be deemed incorporated by reference in any filing by the Company under the Securities Act of 1933, as amended, or the Securities Exchange Act of 1934, as amended, except as may be expressly set forth by specific reference in such filing.</w:t>
      </w:r>
    </w:p>
    <w:p>
      <w:pPr>
        <w:spacing w:after="0" w:line="203"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Cautionary Note on Forward-Looking Statements: </w:t>
      </w:r>
      <w:r>
        <w:rPr>
          <w:rFonts w:ascii="Times New Roman" w:cs="Times New Roman" w:eastAsia="Times New Roman" w:hAnsi="Times New Roman"/>
          <w:sz w:val="18"/>
          <w:szCs w:val="18"/>
          <w:color w:val="auto"/>
        </w:rPr>
        <w:t>This Current Report on Form 8-K includes “forward-looking statements”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federal securities laws. Forward-looking statements are any statements other than statements of historical fact. Forward-looking statements represent our current judgment about possible future events and are often identified by words such as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 may differ materially due to a variety of important factors, many of which are described in our Annual Report on Form 10-K, our subsequently filed Quarterly Reports on Form 10-Q,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expected Net income attributable to stockholders under U.S. GAAP to expected EBIT-adjusted (dollars in billions):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0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220" w:type="dxa"/>
            <w:vAlign w:val="bottom"/>
            <w:tcBorders>
              <w:bottom w:val="single" w:sz="8" w:color="CCEEFF"/>
            </w:tcBorders>
          </w:tcPr>
          <w:p>
            <w:pPr>
              <w:spacing w:after="0"/>
              <w:rPr>
                <w:sz w:val="18"/>
                <w:szCs w:val="18"/>
                <w:color w:val="auto"/>
              </w:rPr>
            </w:pPr>
          </w:p>
        </w:tc>
        <w:tc>
          <w:tcPr>
            <w:tcW w:w="302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stockholders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$ 1.6-1.9</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 interest expense, net</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EBIT-adjusted</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$ 2.3-2.6</w:t>
            </w:r>
          </w:p>
        </w:tc>
      </w:tr>
      <w:tr>
        <w:trPr>
          <w:trHeight w:val="1471"/>
        </w:trPr>
        <w:tc>
          <w:tcPr>
            <w:tcW w:w="82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02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Year Ending</w:t>
            </w:r>
          </w:p>
        </w:tc>
      </w:tr>
      <w:tr>
        <w:trPr>
          <w:trHeight w:val="214"/>
        </w:trPr>
        <w:tc>
          <w:tcPr>
            <w:tcW w:w="8220" w:type="dxa"/>
            <w:vAlign w:val="bottom"/>
            <w:tcBorders>
              <w:bottom w:val="single" w:sz="8" w:color="CCEEFF"/>
            </w:tcBorders>
          </w:tcPr>
          <w:p>
            <w:pPr>
              <w:spacing w:after="0"/>
              <w:rPr>
                <w:sz w:val="18"/>
                <w:szCs w:val="18"/>
                <w:color w:val="auto"/>
              </w:rPr>
            </w:pPr>
          </w:p>
        </w:tc>
        <w:tc>
          <w:tcPr>
            <w:tcW w:w="30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stockholders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$ 9.6-11.2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 interest expense, net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Adjustments(a)</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EBIT-adjusted(b)</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$ 13.0-15.0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340" w:hanging="332"/>
        <w:spacing w:after="0" w:line="259" w:lineRule="auto"/>
        <w:tabs>
          <w:tab w:leader="none" w:pos="33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adjustments were excluded because they relate to the one-time modification of Cruise stock incentive awards and the resolution of substantially all potential royalty matters, accrued in the prior period, with respect to past-year vehicle sales.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consider the potential future impact of adjustments on our expected financial results.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expected EPS-diluted under U.S. GAAP to expected EPS-diluted-adjusted: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02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Year Ending</w:t>
            </w:r>
          </w:p>
        </w:tc>
      </w:tr>
      <w:tr>
        <w:trPr>
          <w:trHeight w:val="214"/>
        </w:trPr>
        <w:tc>
          <w:tcPr>
            <w:tcW w:w="8220" w:type="dxa"/>
            <w:vAlign w:val="bottom"/>
            <w:tcBorders>
              <w:bottom w:val="single" w:sz="8" w:color="CCEEFF"/>
            </w:tcBorders>
          </w:tcPr>
          <w:p>
            <w:pPr>
              <w:spacing w:after="0"/>
              <w:rPr>
                <w:sz w:val="18"/>
                <w:szCs w:val="18"/>
                <w:color w:val="auto"/>
              </w:rPr>
            </w:pPr>
          </w:p>
        </w:tc>
        <w:tc>
          <w:tcPr>
            <w:tcW w:w="30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$ 5.76-6.76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Adjustments(a)</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EPS-diluted-adjusted(b)</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$ 6.50-7.50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340" w:hanging="332"/>
        <w:spacing w:after="0" w:line="259"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adjustments were excluded because they relate to the one-time modification of Cruise stock incentive awards and the resolution of substantially all potential royalty matters, accrued in the prior period, with respect to past-year vehicle sales.</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consider the potential future impact of adjustments on our expected financial results.</w:t>
      </w:r>
    </w:p>
    <w:p>
      <w:pPr>
        <w:spacing w:after="0" w:line="2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expected automotive net cash provided by operating activities under U.S. GAAP to adjusted automotive free cash flow (dollars in billions):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02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Year Ending</w:t>
            </w:r>
          </w:p>
        </w:tc>
      </w:tr>
      <w:tr>
        <w:trPr>
          <w:trHeight w:val="214"/>
        </w:trPr>
        <w:tc>
          <w:tcPr>
            <w:tcW w:w="8220" w:type="dxa"/>
            <w:vAlign w:val="bottom"/>
            <w:tcBorders>
              <w:bottom w:val="single" w:sz="8" w:color="CCEEFF"/>
            </w:tcBorders>
          </w:tcPr>
          <w:p>
            <w:pPr>
              <w:spacing w:after="0"/>
              <w:rPr>
                <w:sz w:val="18"/>
                <w:szCs w:val="18"/>
                <w:color w:val="auto"/>
              </w:rPr>
            </w:pPr>
          </w:p>
        </w:tc>
        <w:tc>
          <w:tcPr>
            <w:tcW w:w="30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Automotive net cash provided by operating activities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$ 16.0-19.0</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capital expenditures</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9.0-10.0</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automotive free cash flow</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$ 7.0-9.0</w:t>
            </w:r>
          </w:p>
        </w:tc>
      </w:tr>
      <w:tr>
        <w:trPr>
          <w:trHeight w:val="965"/>
        </w:trPr>
        <w:tc>
          <w:tcPr>
            <w:tcW w:w="82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July 1, 2022</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 w:lineRule="exact"/>
        <w:rPr>
          <w:sz w:val="20"/>
          <w:szCs w:val="20"/>
          <w:color w:val="auto"/>
        </w:rPr>
      </w:pPr>
    </w:p>
    <w:sectPr>
      <w:pgSz w:w="11900" w:h="16838" w:orient="portrait"/>
      <w:cols w:equalWidth="0" w:num="1">
        <w:col w:w="11220"/>
      </w:cols>
      <w:pgMar w:left="320" w:top="113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2022-07-01T07:53:46Z</dcterms:created>
  <dcterms:modified xsi:type="dcterms:W3CDTF">2022-07-01T07:53:46Z</dcterms:modified>
</cp:coreProperties>
</file>