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43"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340" w:hanging="315"/>
        <w:spacing w:after="0" w:line="237" w:lineRule="auto"/>
        <w:tabs>
          <w:tab w:leader="none" w:pos="3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3" w:lineRule="exact"/>
        <w:rPr>
          <w:sz w:val="24"/>
          <w:szCs w:val="24"/>
          <w:color w:val="auto"/>
        </w:rPr>
      </w:pPr>
    </w:p>
    <w:p>
      <w:pPr>
        <w:ind w:left="460"/>
        <w:spacing w:after="0"/>
        <w:tabs>
          <w:tab w:leader="none" w:pos="3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3336925</wp:posOffset>
            </wp:positionH>
            <wp:positionV relativeFrom="paragraph">
              <wp:posOffset>19050</wp:posOffset>
            </wp:positionV>
            <wp:extent cx="468630" cy="443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8630" cy="443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GENERAL MOTORS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4"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4920" w:type="dxa"/>
            <w:vAlign w:val="bottom"/>
          </w:tcPr>
          <w:p>
            <w:pPr>
              <w:jc w:val="center"/>
              <w:ind w:right="15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center"/>
              <w:ind w:left="1391"/>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188"/>
        </w:trPr>
        <w:tc>
          <w:tcPr>
            <w:tcW w:w="4920" w:type="dxa"/>
            <w:vAlign w:val="bottom"/>
          </w:tcPr>
          <w:p>
            <w:pPr>
              <w:jc w:val="center"/>
              <w:ind w:right="1531"/>
              <w:spacing w:after="0" w:line="188"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820" w:type="dxa"/>
            <w:vAlign w:val="bottom"/>
          </w:tcPr>
          <w:p>
            <w:pPr>
              <w:jc w:val="center"/>
              <w:ind w:left="1411"/>
              <w:spacing w:after="0" w:line="188"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5"/>
        </w:trPr>
        <w:tc>
          <w:tcPr>
            <w:tcW w:w="4920" w:type="dxa"/>
            <w:vAlign w:val="bottom"/>
          </w:tcPr>
          <w:p>
            <w:pPr>
              <w:jc w:val="center"/>
              <w:ind w:right="1531"/>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2820" w:type="dxa"/>
            <w:vAlign w:val="bottom"/>
          </w:tcPr>
          <w:p>
            <w:pPr>
              <w:jc w:val="center"/>
              <w:ind w:left="1411"/>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275"/>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28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35"/>
        </w:trPr>
        <w:tc>
          <w:tcPr>
            <w:tcW w:w="4920" w:type="dxa"/>
            <w:vAlign w:val="bottom"/>
          </w:tcPr>
          <w:p>
            <w:pPr>
              <w:jc w:val="center"/>
              <w:ind w:right="1551"/>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20" w:type="dxa"/>
            <w:vAlign w:val="bottom"/>
          </w:tcPr>
          <w:p>
            <w:pPr>
              <w:jc w:val="center"/>
              <w:ind w:left="1391"/>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(313) 667-1500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9"/>
        </w:trPr>
        <w:tc>
          <w:tcPr>
            <w:tcW w:w="28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740" w:type="dxa"/>
            <w:vAlign w:val="bottom"/>
          </w:tcPr>
          <w:p>
            <w:pPr>
              <w:spacing w:after="0"/>
              <w:rPr>
                <w:sz w:val="19"/>
                <w:szCs w:val="19"/>
                <w:color w:val="auto"/>
              </w:rPr>
            </w:pPr>
          </w:p>
        </w:tc>
        <w:tc>
          <w:tcPr>
            <w:tcW w:w="234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GM</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9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 (g) of the Act: None</w:t>
      </w:r>
    </w:p>
    <w:p>
      <w:pPr>
        <w:spacing w:after="0" w:line="95" w:lineRule="exact"/>
        <w:rPr>
          <w:sz w:val="24"/>
          <w:szCs w:val="24"/>
          <w:color w:val="auto"/>
        </w:rPr>
      </w:pPr>
    </w:p>
    <w:p>
      <w:pPr>
        <w:ind w:left="160" w:right="3300"/>
        <w:spacing w:after="0" w:line="260"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right="20" w:firstLine="161"/>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firstLine="161"/>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firstLine="161"/>
        <w:spacing w:after="0" w:line="29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p>
      <w:pPr>
        <w:ind w:left="160"/>
        <w:spacing w:after="0" w:line="161" w:lineRule="exact"/>
        <w:tabs>
          <w:tab w:leader="none" w:pos="63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144" w:lineRule="exact"/>
        <w:rPr>
          <w:sz w:val="24"/>
          <w:szCs w:val="24"/>
          <w:color w:val="auto"/>
        </w:rPr>
      </w:pPr>
    </w:p>
    <w:p>
      <w:pPr>
        <w:ind w:right="480" w:firstLine="161"/>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1" w:lineRule="exact"/>
        <w:rPr>
          <w:sz w:val="24"/>
          <w:szCs w:val="24"/>
          <w:color w:val="auto"/>
        </w:rPr>
      </w:pPr>
    </w:p>
    <w:p>
      <w:pPr>
        <w:ind w:right="440" w:firstLine="161"/>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57" w:lineRule="exact"/>
        <w:rPr>
          <w:sz w:val="24"/>
          <w:szCs w:val="24"/>
          <w:color w:val="auto"/>
        </w:rPr>
      </w:pPr>
    </w:p>
    <w:p>
      <w:pPr>
        <w:ind w:left="160"/>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4" w:lineRule="exact"/>
        <w:rPr>
          <w:sz w:val="24"/>
          <w:szCs w:val="24"/>
          <w:color w:val="auto"/>
        </w:rPr>
      </w:pPr>
    </w:p>
    <w:p>
      <w:pPr>
        <w:ind w:right="260" w:firstLine="161"/>
        <w:spacing w:after="0" w:line="296"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(assuming only for purposes of this computation that directors and executive officers may be affiliates) was approximately $46.2 billion as of June 30, 2022.</w:t>
      </w:r>
    </w:p>
    <w:p>
      <w:pPr>
        <w:spacing w:after="0" w:line="5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As of January 17, 2023 there were 1,394,637,226 shares of common stock outstanding.</w:t>
      </w:r>
    </w:p>
    <w:p>
      <w:pPr>
        <w:spacing w:after="0" w:line="2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related to the Annual Stockholders Meeting to be filed subsequently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408940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0" w:type="dxa"/>
            <w:vAlign w:val="bottom"/>
          </w:tcPr>
          <w:p>
            <w:pPr>
              <w:jc w:val="center"/>
              <w:ind w:right="1371"/>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5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0" w:type="dxa"/>
            <w:vAlign w:val="bottom"/>
            <w:vMerge w:val="restart"/>
          </w:tcPr>
          <w:p>
            <w:pPr>
              <w:jc w:val="center"/>
              <w:ind w:right="1411"/>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w:t>
            </w:r>
          </w:p>
        </w:tc>
        <w:tc>
          <w:tcPr>
            <w:tcW w:w="1180" w:type="dxa"/>
            <w:vAlign w:val="bottom"/>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Business</w:t>
            </w:r>
          </w:p>
        </w:tc>
        <w:tc>
          <w:tcPr>
            <w:tcW w:w="86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1A.</w:t>
            </w:r>
          </w:p>
        </w:tc>
        <w:tc>
          <w:tcPr>
            <w:tcW w:w="118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color w:val="auto"/>
              </w:rPr>
              <w:t>Risk Factors</w:t>
            </w:r>
          </w:p>
        </w:tc>
        <w:tc>
          <w:tcPr>
            <w:tcW w:w="8600" w:type="dxa"/>
            <w:vAlign w:val="bottom"/>
          </w:tcPr>
          <w:p>
            <w:pPr>
              <w:spacing w:after="0"/>
              <w:rPr>
                <w:sz w:val="16"/>
                <w:szCs w:val="16"/>
                <w:color w:val="auto"/>
              </w:rPr>
            </w:pP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1B.</w:t>
            </w: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Unresolved Staff Comments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2.</w:t>
            </w:r>
          </w:p>
        </w:tc>
        <w:tc>
          <w:tcPr>
            <w:tcW w:w="118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color w:val="auto"/>
              </w:rPr>
              <w:t>Properties</w:t>
            </w: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Legal Proceedings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Mine Safety Disclosures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0" w:type="dxa"/>
            <w:vAlign w:val="bottom"/>
            <w:shd w:val="clear" w:color="auto" w:fill="CCEEFF"/>
          </w:tcPr>
          <w:p>
            <w:pPr>
              <w:jc w:val="center"/>
              <w:ind w:right="1431"/>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6.</w:t>
            </w:r>
          </w:p>
        </w:tc>
        <w:tc>
          <w:tcPr>
            <w:tcW w:w="1180" w:type="dxa"/>
            <w:vAlign w:val="bottom"/>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[Reserved]</w:t>
            </w:r>
          </w:p>
        </w:tc>
        <w:tc>
          <w:tcPr>
            <w:tcW w:w="8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7.</w:t>
            </w: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7A.</w:t>
            </w: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8.</w:t>
            </w: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Consolidated Balance Sheets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Consolidated Statements of Equity</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7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2.</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Significant Accounting Policies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3.</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4.</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5.</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6.</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7.</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8.</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9.</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Property</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10.</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11.</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Variable Interest Entities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12.</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13.</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Debt</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14.</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15.</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16.</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17.</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18.</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19.</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Interest Income and Other Non-Operating Income</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20.</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21.</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22.</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Stock Incentive Plans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23.</w:t>
            </w:r>
          </w:p>
        </w:tc>
        <w:tc>
          <w:tcPr>
            <w:tcW w:w="8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Segment Reporting</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8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Note 24.</w:t>
            </w:r>
          </w:p>
        </w:tc>
        <w:tc>
          <w:tcPr>
            <w:tcW w:w="86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Supplemental Information for the Consolidated Statements of Cash Flows</w:t>
            </w:r>
          </w:p>
        </w:tc>
        <w:tc>
          <w:tcPr>
            <w:tcW w:w="34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w w:val="88"/>
              </w:rPr>
              <w:t>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9.</w:t>
            </w:r>
          </w:p>
        </w:tc>
        <w:tc>
          <w:tcPr>
            <w:tcW w:w="9780" w:type="dxa"/>
            <w:vAlign w:val="bottom"/>
            <w:gridSpan w:val="2"/>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540" w:type="dxa"/>
            <w:vAlign w:val="bottom"/>
            <w:tcBorders>
              <w:right w:val="single" w:sz="8" w:color="CCEEFF"/>
            </w:tcBorders>
            <w:gridSpan w:val="3"/>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0"/>
        </w:trPr>
        <w:tc>
          <w:tcPr>
            <w:tcW w:w="880" w:type="dxa"/>
            <w:vAlign w:val="bottom"/>
            <w:tcBorders>
              <w:top w:val="single" w:sz="8" w:color="CCEEFF"/>
              <w:bottom w:val="single" w:sz="8" w:color="9A9A9A"/>
            </w:tcBorders>
          </w:tcPr>
          <w:p>
            <w:pPr>
              <w:spacing w:after="0"/>
              <w:rPr>
                <w:sz w:val="24"/>
                <w:szCs w:val="24"/>
                <w:color w:val="auto"/>
              </w:rPr>
            </w:pPr>
          </w:p>
        </w:tc>
        <w:tc>
          <w:tcPr>
            <w:tcW w:w="1180" w:type="dxa"/>
            <w:vAlign w:val="bottom"/>
            <w:tcBorders>
              <w:top w:val="single" w:sz="8" w:color="CCEEFF"/>
              <w:bottom w:val="single" w:sz="8" w:color="9A9A9A"/>
            </w:tcBorders>
          </w:tcPr>
          <w:p>
            <w:pPr>
              <w:spacing w:after="0"/>
              <w:rPr>
                <w:sz w:val="24"/>
                <w:szCs w:val="24"/>
                <w:color w:val="auto"/>
              </w:rPr>
            </w:pPr>
          </w:p>
        </w:tc>
        <w:tc>
          <w:tcPr>
            <w:tcW w:w="86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9720" w:type="dxa"/>
            <w:vAlign w:val="bottom"/>
          </w:tcPr>
          <w:p>
            <w:pPr>
              <w:spacing w:after="0"/>
              <w:rPr>
                <w:sz w:val="16"/>
                <w:szCs w:val="16"/>
                <w:color w:val="auto"/>
              </w:rPr>
            </w:pPr>
          </w:p>
        </w:tc>
        <w:tc>
          <w:tcPr>
            <w:tcW w:w="5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vMerge w:val="continue"/>
          </w:tcPr>
          <w:p>
            <w:pPr>
              <w:spacing w:after="0"/>
              <w:rPr>
                <w:sz w:val="15"/>
                <w:szCs w:val="15"/>
                <w:color w:val="auto"/>
              </w:rPr>
            </w:pPr>
          </w:p>
        </w:tc>
        <w:tc>
          <w:tcPr>
            <w:tcW w:w="9720" w:type="dxa"/>
            <w:vAlign w:val="bottom"/>
            <w:vMerge w:val="continue"/>
          </w:tcPr>
          <w:p>
            <w:pPr>
              <w:spacing w:after="0"/>
              <w:rPr>
                <w:sz w:val="15"/>
                <w:szCs w:val="15"/>
                <w:color w:val="auto"/>
              </w:rPr>
            </w:pPr>
          </w:p>
        </w:tc>
        <w:tc>
          <w:tcPr>
            <w:tcW w:w="54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9B.</w:t>
            </w:r>
          </w:p>
        </w:tc>
        <w:tc>
          <w:tcPr>
            <w:tcW w:w="97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Other Information</w:t>
            </w:r>
          </w:p>
        </w:tc>
        <w:tc>
          <w:tcPr>
            <w:tcW w:w="540" w:type="dxa"/>
            <w:vAlign w:val="bottom"/>
            <w:tcBorders>
              <w:right w:val="single" w:sz="8" w:color="CCEEFF"/>
            </w:tcBorders>
            <w:gridSpan w:val="3"/>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9C.</w:t>
            </w:r>
          </w:p>
        </w:tc>
        <w:tc>
          <w:tcPr>
            <w:tcW w:w="97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40" w:type="dxa"/>
            <w:vAlign w:val="bottom"/>
            <w:shd w:val="clear" w:color="auto" w:fill="CCEEFF"/>
          </w:tcPr>
          <w:p>
            <w:pPr>
              <w:spacing w:after="0"/>
              <w:rPr>
                <w:sz w:val="19"/>
                <w:szCs w:val="19"/>
                <w:color w:val="auto"/>
              </w:rPr>
            </w:pPr>
          </w:p>
        </w:tc>
        <w:tc>
          <w:tcPr>
            <w:tcW w:w="9720" w:type="dxa"/>
            <w:vAlign w:val="bottom"/>
            <w:shd w:val="clear" w:color="auto" w:fill="CCEEFF"/>
          </w:tcPr>
          <w:p>
            <w:pPr>
              <w:ind w:left="4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10.</w:t>
            </w:r>
          </w:p>
        </w:tc>
        <w:tc>
          <w:tcPr>
            <w:tcW w:w="97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11.</w:t>
            </w:r>
          </w:p>
        </w:tc>
        <w:tc>
          <w:tcPr>
            <w:tcW w:w="97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Executive Compensation</w:t>
            </w:r>
          </w:p>
        </w:tc>
        <w:tc>
          <w:tcPr>
            <w:tcW w:w="540" w:type="dxa"/>
            <w:vAlign w:val="bottom"/>
            <w:tcBorders>
              <w:right w:val="single" w:sz="8" w:color="CCEEFF"/>
            </w:tcBorders>
            <w:gridSpan w:val="3"/>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12.</w:t>
            </w:r>
          </w:p>
        </w:tc>
        <w:tc>
          <w:tcPr>
            <w:tcW w:w="97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13.</w:t>
            </w:r>
          </w:p>
        </w:tc>
        <w:tc>
          <w:tcPr>
            <w:tcW w:w="97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40" w:type="dxa"/>
            <w:vAlign w:val="bottom"/>
            <w:tcBorders>
              <w:right w:val="single" w:sz="8" w:color="CCEEFF"/>
            </w:tcBorders>
            <w:gridSpan w:val="3"/>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14.</w:t>
            </w:r>
          </w:p>
        </w:tc>
        <w:tc>
          <w:tcPr>
            <w:tcW w:w="97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40" w:type="dxa"/>
            <w:vAlign w:val="bottom"/>
            <w:shd w:val="clear" w:color="auto" w:fill="CCEEFF"/>
          </w:tcPr>
          <w:p>
            <w:pPr>
              <w:spacing w:after="0"/>
              <w:rPr>
                <w:sz w:val="19"/>
                <w:szCs w:val="19"/>
                <w:color w:val="auto"/>
              </w:rPr>
            </w:pPr>
          </w:p>
        </w:tc>
        <w:tc>
          <w:tcPr>
            <w:tcW w:w="9720" w:type="dxa"/>
            <w:vAlign w:val="bottom"/>
            <w:shd w:val="clear" w:color="auto" w:fill="CCEEFF"/>
          </w:tcPr>
          <w:p>
            <w:pPr>
              <w:ind w:left="4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15.</w:t>
            </w:r>
          </w:p>
        </w:tc>
        <w:tc>
          <w:tcPr>
            <w:tcW w:w="97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Exhibit and Financial Statement Schedules</w:t>
            </w: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Item 16.</w:t>
            </w:r>
          </w:p>
        </w:tc>
        <w:tc>
          <w:tcPr>
            <w:tcW w:w="97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Form 10-K Summary</w:t>
            </w:r>
          </w:p>
        </w:tc>
        <w:tc>
          <w:tcPr>
            <w:tcW w:w="540" w:type="dxa"/>
            <w:vAlign w:val="bottom"/>
            <w:tcBorders>
              <w:right w:val="single" w:sz="8" w:color="CCEEFF"/>
            </w:tcBorders>
            <w:gridSpan w:val="3"/>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Signatures</w:t>
            </w:r>
          </w:p>
        </w:tc>
        <w:tc>
          <w:tcPr>
            <w:tcW w:w="9720" w:type="dxa"/>
            <w:vAlign w:val="bottom"/>
          </w:tcPr>
          <w:p>
            <w:pPr>
              <w:spacing w:after="0"/>
              <w:rPr>
                <w:sz w:val="16"/>
                <w:szCs w:val="16"/>
                <w:color w:val="auto"/>
              </w:rPr>
            </w:pPr>
          </w:p>
        </w:tc>
        <w:tc>
          <w:tcPr>
            <w:tcW w:w="540" w:type="dxa"/>
            <w:vAlign w:val="bottom"/>
            <w:gridSpan w:val="3"/>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0"/>
        </w:trPr>
        <w:tc>
          <w:tcPr>
            <w:tcW w:w="94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3" w:lineRule="exact"/>
        <w:rPr>
          <w:sz w:val="20"/>
          <w:szCs w:val="20"/>
          <w:color w:val="auto"/>
        </w:rPr>
      </w:pPr>
    </w:p>
    <w:p>
      <w:pPr>
        <w:jc w:val="both"/>
        <w:ind w:firstLine="201"/>
        <w:spacing w:after="0" w:line="267" w:lineRule="auto"/>
        <w:rPr>
          <w:sz w:val="20"/>
          <w:szCs w:val="20"/>
          <w:color w:val="auto"/>
        </w:rPr>
      </w:pPr>
      <w:r>
        <w:rPr>
          <w:rFonts w:ascii="Times New Roman" w:cs="Times New Roman" w:eastAsia="Times New Roman" w:hAnsi="Times New Roman"/>
          <w:sz w:val="17"/>
          <w:szCs w:val="17"/>
          <w:color w:val="auto"/>
        </w:rPr>
        <w:t>General Motors Company (sometimes referred to as we, our, us, ourselves, the Company, General Motors, or GM) was incorporated as a Delaware corporation in 2009. We design, build and sell trucks, crossovers, cars and automobile parts and provide software-enabled services and subscriptions worldwide. Our automotive operations meet the demands of our customers through our automotive segments: GM North America (GMNA) and GM International (GMI) with vehicles developed, manufactured and/or marketed under the Buick, Cadillac, Chevrolet and GMC brands. We also have equity ownership stakes in entities that meet the demands of customers in other countries, primarily in China, with vehicles developed, manufactured and/or marketed under the Baojun, Buick, Cadillac, Chevrolet and Wuling brands. Cruise is our global segment responsible for the development and commercialization of autonomous vehicle technology. We provide automotive financing services through our General Motors Financial Company, Inc. (GM Financial) segment. Refer to Part II, Item 7. Management's Discussion and Analysis of Financial Condition and Results of Operations (MD&amp;A) and Note 23 to our consolidated financial statements for financial information about our segments. Except for per share amounts or as otherwise specified, amounts presented within tables are stated in millions. Certain columns and rows may not add due to rounding. Forward-looking statements in this Business section are not guarantees of future performance and may involve risks and uncertainties that could cause actual results to differ materially from those projected. Refer to Item 1A. Risk Factors and the "Forward-Looking Statements" section of Part II, Item 7. MD&amp;A for a discussion of these risks and uncertainties.</w:t>
      </w:r>
    </w:p>
    <w:p>
      <w:pPr>
        <w:spacing w:after="0" w:line="209" w:lineRule="exact"/>
        <w:rPr>
          <w:sz w:val="20"/>
          <w:szCs w:val="20"/>
          <w:color w:val="auto"/>
        </w:rPr>
      </w:pPr>
    </w:p>
    <w:p>
      <w:pPr>
        <w:jc w:val="both"/>
        <w:ind w:firstLine="201"/>
        <w:spacing w:after="0" w:line="264" w:lineRule="auto"/>
        <w:rPr>
          <w:sz w:val="20"/>
          <w:szCs w:val="20"/>
          <w:color w:val="auto"/>
        </w:rPr>
      </w:pPr>
      <w:r>
        <w:rPr>
          <w:rFonts w:ascii="Times New Roman" w:cs="Times New Roman" w:eastAsia="Times New Roman" w:hAnsi="Times New Roman"/>
          <w:sz w:val="18"/>
          <w:szCs w:val="18"/>
          <w:color w:val="auto"/>
        </w:rPr>
        <w:t>Our vision for the future is a world with zero crashes, zero emissions and zero congestion, which guides our growth-focused strategy to invest in electric vehicles (EVs) and autonomous vehicles (AVs), software-enabled services and subscriptions and new business opportunities, while strengthening our market position in profitable internal combustion engine (ICE) vehicles, such as trucks and sport utility vehicles (SUVs).</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have an opportunity to grow our vehicle and financing revenue by continuing to capitalize on the strength of our established vehicle franchises and customer base and scaling our EV production through this decade. We also have the potential of growing our revenue through our software-enabled services and subscriptions, including OnStar, our advanced driver-assistance systems (ADAS), including Super Cruise, and future offerings, such as our next-generation ADAS, Ultra Cruise, and Ultifi, our end-to-end software platform. Additionally, we are incubating several new businesses with a start-up mindset that we believe will enable us to attract new customers and generate revenues in new areas.</w:t>
      </w:r>
    </w:p>
    <w:p>
      <w:pPr>
        <w:spacing w:after="0" w:line="209" w:lineRule="exact"/>
        <w:rPr>
          <w:sz w:val="20"/>
          <w:szCs w:val="20"/>
          <w:color w:val="auto"/>
        </w:rPr>
      </w:pPr>
    </w:p>
    <w:p>
      <w:pPr>
        <w:jc w:val="both"/>
        <w:ind w:firstLine="2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Electric Vehicles </w:t>
      </w:r>
      <w:r>
        <w:rPr>
          <w:rFonts w:ascii="Times New Roman" w:cs="Times New Roman" w:eastAsia="Times New Roman" w:hAnsi="Times New Roman"/>
          <w:sz w:val="18"/>
          <w:szCs w:val="18"/>
          <w:color w:val="auto"/>
        </w:rPr>
        <w:t>We plan to rapidly scale our capacity to build one million EVs in North America and more than two million EVs globally by the end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 key element in our EV strategy is Ultium, our dedicated electric vehicle propulsion architecture. This platform is flexible and will be leveraged across multiple brands and vehicle sizes, styles and drive configurations, allowing for quick response to customer preferences and a shorter design and development lead time compared to our ICE vehicles. Our first Ultium-based products launched in 2021 with the GMC HUMMER EV and BrightDrop Zevo 600, followed by the Cadillac LYRIQ in 2022. We plan to leverage the versatility and flexibility of Ultium to expand our EV portfolio over a wide variety of segments and price points including the Chevrolet Equinox EV, the Chevrolet Blazer EV, the Chevrolet Silverado EV and the GMC Sierra EV, which are expected to be launched over 2023 and 2024.</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2021, we began production at GM’s Factory ZERO Detroit-Hamtramck Assembly Center (Factory ZERO), which was re-tooled into a fully dedicated EV facility to produce the GMC HUMMER EV, the upcoming Cruise Origin, the Chevrolet Silverado EV and the GMC Sierra EV. In January 2022, we announced that we will convert our assembly plant in Orion Township, Michigan for fully dedicated EV production, including the Chevrolet Silverado EV and the GMC Sierra EV. Additionally, we have announced plans to mass-produce battery cells for these and other future EVs through Ultium Cells Holdings LLC (an equally owned joint venture with LG Energy Solution) in Warren, Ohio, Spring Hill, Tennessee and Lansing, Michigan. A fourth U.S.-based battery cell plant is also planned.</w:t>
      </w:r>
    </w:p>
    <w:p>
      <w:pPr>
        <w:spacing w:after="0" w:line="21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To support mass market adoption of EVs, we are working to ensure that our customers will have access to comprehensive charging solutions. For personal vehicles, this means strategically addressing charging needs at home, the workplace and in public locations, for which we have committed to invest nearly $750 million through 2025. For example, in November 2021, we announced a collaboration with EVgo to install 3,250 DC fast charging stalls in more than 50 U.S. metropolitan markets. In July 2022, we announced a collaboration with EVgo and Pilot Company targeting the installation of a coast-to-coast network of 2,000 DC fast charging stalls at 50-mile intervals across the U.S., enabling long-distance corridor charging. This network will be open to all EV brands at up to 500 Pilot and Flying J travel centers. For fleet vehicles, we are developing turnkey charging solutions and fleet and facility energy management services. In addition, we have announced collaborative work with several</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charge network operators to filter real-time data on their respective networks and charge station health into a holistic charging approach that integrates charging networks, GM vehicle mobile apps and other products and services to simplify the overall charging experience for GM EV owners in North America.</w:t>
      </w:r>
    </w:p>
    <w:p>
      <w:pPr>
        <w:spacing w:after="0" w:line="187"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BrightDrop </w:t>
      </w:r>
      <w:r>
        <w:rPr>
          <w:rFonts w:ascii="Times New Roman" w:cs="Times New Roman" w:eastAsia="Times New Roman" w:hAnsi="Times New Roman"/>
          <w:sz w:val="18"/>
          <w:szCs w:val="18"/>
          <w:color w:val="auto"/>
        </w:rPr>
        <w:t>BrightDrop is developing a suite of solutions, including the BrightDrop Zevo all-electric delivery vans, BrightDrop Trace electrically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propelled smart containers and the BrightDrop Core software platform, which is focused on helping companies better visualize and optimize their fleet operations. We expect these solutions will help the world's largest delivery and logistics companies do more with less, while helping to improve operating efficiencies, eliminate operating emissions and reduce congestion. BrightDrop's Zevo 600 and Zevo 400 full-scale production facility, CAMI Assembly, launched in late 2022, with start of regular production (SORP) targeted for the first quarter of 2023. BrightDrop delivered the first Zevo 600s to FedEx Express, our launch customer, and generated reservations and expressions of interest for Zevo vans from several major companies, including DHL Express Canada, Walmart and Merchants Fleet.</w:t>
      </w:r>
    </w:p>
    <w:p>
      <w:pPr>
        <w:spacing w:after="0" w:line="194"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OnStar and Vehicle Connectivity </w:t>
      </w:r>
      <w:r>
        <w:rPr>
          <w:rFonts w:ascii="Times New Roman" w:cs="Times New Roman" w:eastAsia="Times New Roman" w:hAnsi="Times New Roman"/>
          <w:sz w:val="18"/>
          <w:szCs w:val="18"/>
          <w:color w:val="auto"/>
        </w:rPr>
        <w:t>We offer OnStar and connected services to more than 21 million connected vehicles globally through subscription-based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complimentary services. We are among the leaders in the industry, with global real-world experience in delivering connected services and advanced safety features. OnStar offers safety and security services for retail and fleet customers, including automatic crash response, emergency services, roadside assistance, crisis assist, stolen vehicle assistance and turn-by-turn navigation. Additionally, we offer OnStar Guardian in select markets, a mobile app that allows customers to access key OnStar safety and security services from their compatible mobile device. Fleet customers in some markets can leverage OnStar Vehicle Insights, our telematics solution across their entire fleet, regardless of vehicle make or model. We also offer a variety of connected services in certain markets, including mobile apps for owners to remotely control certain vehicle features and EV owners to locate charging stations, on-demand vehicle diagnostics, GM Smart Driver, Amazon Alexa in-vehicle voice, Google's Voice Assistant, navigation and app ecosystem, connected navigation, SiriusXM with 360L, 4G LTE wireless connectivity and 5G connectivity which will be available in select model year 2024 vehicles.</w:t>
      </w:r>
    </w:p>
    <w:p>
      <w:pPr>
        <w:spacing w:after="0" w:line="214" w:lineRule="exact"/>
        <w:rPr>
          <w:sz w:val="20"/>
          <w:szCs w:val="20"/>
          <w:color w:val="auto"/>
        </w:rPr>
      </w:pPr>
    </w:p>
    <w:p>
      <w:pPr>
        <w:jc w:val="both"/>
        <w:ind w:firstLine="161"/>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Super Cruise and Ultra Cruise </w:t>
      </w:r>
      <w:r>
        <w:rPr>
          <w:rFonts w:ascii="Times New Roman" w:cs="Times New Roman" w:eastAsia="Times New Roman" w:hAnsi="Times New Roman"/>
          <w:sz w:val="18"/>
          <w:szCs w:val="18"/>
          <w:color w:val="auto"/>
        </w:rPr>
        <w:t>We offer Super Cruise, the industry's first true hands-free driver assistance technology that enables drivers of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to travel hands-free on more than 400,000 miles of compatible roads in the U.S. and Canada. We will make Super Cruise available on 22 vehicles in North America and China by the end of 2023. Ultra Cruise is a significant next step in advanced driver assistance technology, designed to ultimately enable a hands-free driving experience in 95 percent of all driving scenarios, that will debut on the Cadillac CELESTIQ.</w:t>
      </w:r>
    </w:p>
    <w:p>
      <w:pPr>
        <w:spacing w:after="0" w:line="192" w:lineRule="exact"/>
        <w:rPr>
          <w:sz w:val="20"/>
          <w:szCs w:val="20"/>
          <w:color w:val="auto"/>
        </w:rPr>
      </w:pPr>
    </w:p>
    <w:p>
      <w:pPr>
        <w:jc w:val="both"/>
        <w:ind w:firstLine="161"/>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Ultifi </w:t>
      </w:r>
      <w:r>
        <w:rPr>
          <w:rFonts w:ascii="Times New Roman" w:cs="Times New Roman" w:eastAsia="Times New Roman" w:hAnsi="Times New Roman"/>
          <w:sz w:val="18"/>
          <w:szCs w:val="18"/>
          <w:color w:val="auto"/>
        </w:rPr>
        <w:t>Ultifi is our end-to-end software platform that will provide customers with software-defined features, apps and services over-the-air starting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Ultifi and the apps it enables will empower customers to update their ownership experiences with desirable features such as services and subscriptions, vehicle performance, Super Cruise and, when launched, Ultra Cruise, safety and security features, climate and comfort options, personal themes and EV ownership experience elements.</w:t>
      </w:r>
    </w:p>
    <w:p>
      <w:pPr>
        <w:spacing w:after="0" w:line="22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Cruise </w:t>
      </w:r>
      <w:r>
        <w:rPr>
          <w:rFonts w:ascii="Times New Roman" w:cs="Times New Roman" w:eastAsia="Times New Roman" w:hAnsi="Times New Roman"/>
          <w:sz w:val="18"/>
          <w:szCs w:val="18"/>
          <w:color w:val="auto"/>
        </w:rPr>
        <w:t>General Motors and Cruise are pursuing what we believe is the most comprehensive path to autonomous mobility in the industry.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Cruise began operating a driverless ride hail service in San Francisco, California, and in June 2022, began charging the public for driverless rides. Cruise continues to make regulatory progress in California. In December 2022, Cruise received regulatory approval to expand its operational design domain in California. Cruise is also seeking regulatory approval to add the Cruise Origin to its driverless test permit. Additionally, in September 2022, Cruise acquired regulatory permits to operate driverless ride hail services in Phoenix, Arizona and began pursuing ride hail operations in Austin, Texas. Given the potential of all-electric self-driving vehicles to help save lives, reshape our cities and reduce emissions, the goal of Cruise is to deliver its self-driving services as soon as possible, but as Cruise continues to expand and scale its operations, safety will continue to be the gating metric, supported by Cruise's Safety Management System and its other risk identification, assessment and mitigation processes.</w:t>
      </w:r>
    </w:p>
    <w:p>
      <w:pPr>
        <w:spacing w:after="0" w:line="21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believe that building all-electric vehicles with autonomous capabilities integrated from the beginning, rather than through retrofits, is the most efficient way to unlock the tremendous potential societal benefits of self-driving cars. The Cruise Origin, a purpose-built, all-electric, self-driving vehicle that is being co-developed by GM, Cruise and Honda Motor Company, Ltd. (Honda) will be built on GM’s all-new modular architecture, powered by the Ultium platform, at Factory ZERO starting in 2023 pending government approvals. GM and Cruise are awaiting a decision on an exemption petition that was filed with the National Highway Traffic Safety Administration (NHTSA) seeking regulatory approval for the Origin’s deployment.</w:t>
      </w:r>
    </w:p>
    <w:p>
      <w:pPr>
        <w:spacing w:after="0" w:line="209"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HYDROTEC </w:t>
      </w:r>
      <w:r>
        <w:rPr>
          <w:rFonts w:ascii="Times New Roman" w:cs="Times New Roman" w:eastAsia="Times New Roman" w:hAnsi="Times New Roman"/>
          <w:sz w:val="18"/>
          <w:szCs w:val="18"/>
          <w:color w:val="auto"/>
        </w:rPr>
        <w:t>We are developing hydrogen fuel cell applications across transportation types and industries, including mobile power generation, class 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truck, locomotive and aerospace. The development of HYDROTEC technology is another element of our long-term commitment toward a world with zero emissions. We believe hydrogen fuel cells will play an important role in many automotive and other mobility applications where customers will derive additional benefits from the ability to refuel quickly, an extended range, suitability for heavier payloads and central refueling of large fleets. GM and Honda, through our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long-term strategic alliance to collaborate in research and advanced engineering efforts, are developing and commercializing fuel cell systems. In 2021, we announced a number of commercial relationships and, in November 2022, we announced a joint development agreement with Nel Hydrogen US to help enable cost competitive renewable hydrogen production.</w:t>
      </w:r>
    </w:p>
    <w:p>
      <w:pPr>
        <w:spacing w:after="0" w:line="241"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OnStar Insurance Services </w:t>
      </w:r>
      <w:r>
        <w:rPr>
          <w:rFonts w:ascii="Times New Roman" w:cs="Times New Roman" w:eastAsia="Times New Roman" w:hAnsi="Times New Roman"/>
          <w:sz w:val="18"/>
          <w:szCs w:val="18"/>
          <w:color w:val="auto"/>
        </w:rPr>
        <w:t>OnStar Insurance is currently available in all 50 states. This innovative startup leverages GM's expertise in data and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learn, scale and move the company forward. As technology evolves, OnStar Insurance expects to transform traditional models to make the insurance process easier, smarter and more personalized for customers.</w:t>
      </w:r>
    </w:p>
    <w:p>
      <w:pPr>
        <w:spacing w:after="0" w:line="200"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GM Defense </w:t>
      </w:r>
      <w:r>
        <w:rPr>
          <w:rFonts w:ascii="Times New Roman" w:cs="Times New Roman" w:eastAsia="Times New Roman" w:hAnsi="Times New Roman"/>
          <w:sz w:val="18"/>
          <w:szCs w:val="18"/>
          <w:color w:val="auto"/>
        </w:rPr>
        <w:t>GM Defense is developing products and solutions for global government and military customers by leveraging GM's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vehicle, electrification, autonomy and connected vehicle technologies. GM Defense's growth strategy is focused on building a portfolio of products, including the Infantry Squad Vehicle and the armored Heavy Duty SUV.</w:t>
      </w:r>
    </w:p>
    <w:p>
      <w:pPr>
        <w:spacing w:after="0" w:line="185"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Competitive Position and Vehicle Sales </w:t>
      </w:r>
      <w:r>
        <w:rPr>
          <w:rFonts w:ascii="Times New Roman" w:cs="Times New Roman" w:eastAsia="Times New Roman" w:hAnsi="Times New Roman"/>
          <w:sz w:val="18"/>
          <w:szCs w:val="18"/>
          <w:color w:val="auto"/>
        </w:rPr>
        <w:t>The principal factors that determine consumer vehicle preferences in the markets in which we operate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overall vehicle design, price, quality, available options, safety, reliability, fuel economy and functionality. Market leadership in individual countries in which we compete varies widely.</w:t>
      </w:r>
    </w:p>
    <w:p>
      <w:pPr>
        <w:spacing w:after="0" w:line="21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2022, 30.5% of our wholesale vehicle sales volume was generated outside the U.S. The following table summarizes wholesale vehicle sales by automotive segment (vehicles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53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47"/>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Middle East and Africa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54"/>
        </w:trPr>
        <w:tc>
          <w:tcPr>
            <w:tcW w:w="30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Asia/Pacific, Middle East and</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43,504</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South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 GM markets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Worldwide(b)(c)</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SGMS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SGMW</w:t>
            </w: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China</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right="20" w:hanging="313"/>
        <w:spacing w:after="0" w:line="253" w:lineRule="auto"/>
        <w:tabs>
          <w:tab w:leader="none" w:pos="34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Joint Ventures (Automotive China JVs): SAIC General Motors Sales Co., Ltd. (SGMS) and SAIC GM Wuling Automobile Co., Ltd. (SGMW).</w:t>
      </w:r>
    </w:p>
    <w:p>
      <w:pPr>
        <w:spacing w:after="0" w:line="1" w:lineRule="exact"/>
        <w:rPr>
          <w:rFonts w:ascii="Times New Roman" w:cs="Times New Roman" w:eastAsia="Times New Roman" w:hAnsi="Times New Roman"/>
          <w:sz w:val="16"/>
          <w:szCs w:val="16"/>
          <w:color w:val="auto"/>
        </w:rPr>
      </w:pPr>
    </w:p>
    <w:p>
      <w:pPr>
        <w:ind w:left="320" w:hanging="313"/>
        <w:spacing w:after="0" w:line="254" w:lineRule="auto"/>
        <w:tabs>
          <w:tab w:leader="none" w:pos="48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Accordingly, these countries are excluded from industry sales data and corresponding calculation of market share.</w:t>
      </w:r>
    </w:p>
    <w:p>
      <w:pPr>
        <w:spacing w:after="0" w:line="1"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2022, GM is no longer importing vehicles or parts to Russia, Belarus and other sanctioned provinces in Ukraine.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We sell vehicles directly or through our dealer network to fleet customers, including daily rental car companies, commercial fleet customers, leasing companies and governments.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80" w:type="dxa"/>
            <w:vAlign w:val="bottom"/>
          </w:tcPr>
          <w:p>
            <w:pPr>
              <w:spacing w:after="0"/>
              <w:rPr>
                <w:sz w:val="18"/>
                <w:szCs w:val="18"/>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0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493</w:t>
            </w:r>
          </w:p>
        </w:tc>
      </w:tr>
      <w:tr>
        <w:trPr>
          <w:trHeight w:val="228"/>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351</w:t>
            </w:r>
          </w:p>
        </w:tc>
      </w:tr>
      <w:tr>
        <w:trPr>
          <w:trHeight w:val="242"/>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313"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Pricing </w:t>
      </w:r>
      <w:r>
        <w:rPr>
          <w:rFonts w:ascii="Times New Roman" w:cs="Times New Roman" w:eastAsia="Times New Roman" w:hAnsi="Times New Roman"/>
          <w:sz w:val="18"/>
          <w:szCs w:val="18"/>
          <w:color w:val="auto"/>
        </w:rPr>
        <w:t>Several methods are used to promote our products, including the use of dealer, retail and fleet incentives, such as customer rebates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rate support. The level of incentives is dependent upon the level of competition in the markets in which we operate and the level of demand for our products.</w:t>
      </w:r>
    </w:p>
    <w:p>
      <w:pPr>
        <w:spacing w:after="0" w:line="198"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Cyclical and Seasonal Nature of Business </w:t>
      </w:r>
      <w:r>
        <w:rPr>
          <w:rFonts w:ascii="Times New Roman" w:cs="Times New Roman" w:eastAsia="Times New Roman" w:hAnsi="Times New Roman"/>
          <w:sz w:val="18"/>
          <w:szCs w:val="18"/>
          <w:color w:val="auto"/>
        </w:rPr>
        <w:t>The market for vehicles is cyclical and depends in part on general economic conditions, credit availability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spending. Vehicle markets are also seasonal. Production varies from month to month. Vehicle model changeovers occur throughout the year as a result of new market entries.</w:t>
      </w:r>
    </w:p>
    <w:p>
      <w:pPr>
        <w:spacing w:after="0" w:line="184"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Relationship with Dealers </w:t>
      </w:r>
      <w:r>
        <w:rPr>
          <w:rFonts w:ascii="Times New Roman" w:cs="Times New Roman" w:eastAsia="Times New Roman" w:hAnsi="Times New Roman"/>
          <w:sz w:val="18"/>
          <w:szCs w:val="18"/>
          <w:color w:val="auto"/>
        </w:rPr>
        <w:t>We market vehicles and automotive parts worldwide primarily through a network of independent authorized retail dealers.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outlets include distributors, dealers and authorized sales, service and parts outlets. Our customers can obtain a wide range of after-sale vehicle services and products through our dealer network, such as maintenance, light repairs, collision repairs, vehicle accessories and extended service warranties. The number of authorized dealerships and other agents performing similar functions were 4,639 in GMNA and 7,318 in GMI at December 31, 2022.</w:t>
      </w:r>
    </w:p>
    <w:p>
      <w:pPr>
        <w:spacing w:after="0" w:line="21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and our joint ventures, enter into a contract with each authorized dealer agreeing to sell to the dealer one or more specified product lines at wholesale prices and granting the dealer the right to sell those products to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and those repairs are made almost exclusively with GM parts. Our dealers generally provide their customers with access to credit or lease financing, vehicle insurance and extended service contracts, which may be provided by GM Financial and other financial institutions.</w:t>
      </w:r>
    </w:p>
    <w:p>
      <w:pPr>
        <w:spacing w:after="0" w:line="21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quality of GM dealerships and our relationship with our dealers are critical to our success, now, and as we transition to our all-electric future, given that they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03"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Product Development and Intellectual Property </w:t>
      </w:r>
      <w:r>
        <w:rPr>
          <w:rFonts w:ascii="Times New Roman" w:cs="Times New Roman" w:eastAsia="Times New Roman" w:hAnsi="Times New Roman"/>
          <w:sz w:val="18"/>
          <w:szCs w:val="18"/>
          <w:color w:val="auto"/>
        </w:rPr>
        <w:t>Costs for research, manufacturing engineering, product engineering and design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activities primarily relate to developing new products or services or improving existing products or services, including activities related to vehicle and greenhouse gas (GHG) emissions control, improved fuel economy, EVs, AVs and the safety of drivers and passengers. Research and development expenses were $9.8 billion, $7.9 billion and $6.2 billion in the years ended December 31, 2022, 2021 and 2020.</w:t>
      </w:r>
    </w:p>
    <w:p>
      <w:pPr>
        <w:spacing w:after="0" w:line="206"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The Global Product Development organization is responsible for designing, developing and integrating all global products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while aiming to maximize part sharing across multiple vehicle segments. Our global vehicle architecture development is headquartered at our Global Technical Center in Warren, Michigan, where our global teams in Design, Program Management &amp; Execution, Component &amp; Subsystem Engineering, Product Safety, Systems &amp; Integration, Software Defined Vehicle &amp; Embedded Platforms, Electrification &amp; Battery Systems, Technology Acceleration &amp; Commercialization and Purchasing &amp; Supply Chain collaborate to meet customer requirements and maximize global economies of scale.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continue to invest in key ICE segments, which are critical to fund our all-electric future. Cross-segment part sharing is an essential enabler to optimize our vehicle portfolio profitability, with more than 75% of our global internal combustion vehicle sales volume expected to come from five internal combustion vehicle architectures through this decade. We will continue to leverage our ICE portfolio to accommodate our customers around the world while achieving our financial goals.</w:t>
      </w:r>
    </w:p>
    <w:p>
      <w:pPr>
        <w:spacing w:after="0" w:line="194"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In 2021, we announced our investment in the Wallace Battery Cell Innovation Center, an all-new facility that has significantly expanded the Company's battery technology operations and will continue to accelerate the development and commercialization of longer range, more affordable EV batteries. The Wallace Center is located on the campus of the Global Technical Center in Warren, Michigan.</w:t>
      </w:r>
    </w:p>
    <w:p>
      <w:pPr>
        <w:spacing w:after="0" w:line="21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We are constantly innovating and hold a significant number of patents, copyrights, trade secrets and other intellectual property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those innovations in numerous countries. While no single piece of intellectual property is individually material to our business as a whole, our intellectual property is important to our operations and continued technological development. Additionally, we hold a number of trademarks and service marks that are very important to our identity and recognition in the marketplace.</w:t>
      </w:r>
    </w:p>
    <w:p>
      <w:pPr>
        <w:spacing w:after="0" w:line="20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Raw Materials, Services and Supplies </w:t>
      </w:r>
      <w:r>
        <w:rPr>
          <w:rFonts w:ascii="Times New Roman" w:cs="Times New Roman" w:eastAsia="Times New Roman" w:hAnsi="Times New Roman"/>
          <w:sz w:val="18"/>
          <w:szCs w:val="18"/>
          <w:color w:val="auto"/>
        </w:rPr>
        <w:t>We purchase a wide variety of raw materials, systems, components, parts, supplies, energy, freight,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services from numerous suppliers to manufacture our products. The raw materials primarily include steel, aluminum, resins, copper, lead, precious metals and raw materials used in EVs. We do not normally carry substantial inventories of these raw materials in excess of levels reasonably required to meet our production requirements, and while we have not experienced any significant shortages of raw materials, we have recently experienced supply disruptions resulting in temporary production stoppages. In addition, our transition to EVs will require developing a more resilient, scalable and sustainable North America-focused EV supply chain, which includes advancing our strategic sourcing initiatives to secure supply through investments in raw materials suppliers and the execution of strategic, multi-year supply agreements with suppliers throughout the value chain. This includes securing supply through offtake agreements for EV raw materials, such as lithium, cathode active material, synthetic and natural graphite, nickel, cobalt, rare earth elements and permanent motor magnets. These EV-related agreements may require us to hold higher than normal levels of EV raw materials inventory. Expected demand for these raw materials currently exceeds the capacity of the existing supply chain and our raw material sourcing strategy aims to secure raw material supply to support our EV transition.</w:t>
      </w:r>
    </w:p>
    <w:p>
      <w:pPr>
        <w:spacing w:after="0" w:line="21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Commodity costs are expected to remain elevated due to the macro-economic environment and the continuing existence of tariffs. In addition, global supply chain disruptions have had, and are continuing to have, wide-ranging effects across multiple industries, particularly the automotive industry. Refer to Item 1A. Risk Factors and to Part II, Item 7. MD&amp;A for further discussion on the effect global supply chain disruptions have had on our results of operations. Furthermore, an increased demand for rare earth minerals is increasing scrutiny of the sustainability and human rights implications of rare earth mineral supply chains.</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some instances, we purchase systems, components, parts and supplies from a single source, which may increase risk to supply disruptions. The inability or unwillingness of these sources to provide us with parts and supplies could have a material adverse effect on our production. Combined purchases from our two largest suppliers were approximately 11% of our total purchases in the year ended December 31, 2022, approximately 12% of our total purchases in the year ended December 31, 2021, and approximately 11% of our total purchases in the year ended December 31, 2020. Refer to Item 1A. Risk Factors for further discussion of these risks.</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Automotive Financing - GM Financial </w:t>
      </w:r>
      <w:r>
        <w:rPr>
          <w:rFonts w:ascii="Times New Roman" w:cs="Times New Roman" w:eastAsia="Times New Roman" w:hAnsi="Times New Roman"/>
          <w:sz w:val="18"/>
          <w:szCs w:val="18"/>
          <w:color w:val="auto"/>
        </w:rPr>
        <w:t>GM Financial is our global captive automotive finance company and our global provider of automobile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GM Financial conducts its business in North America, South America and through joint ventures in China.</w:t>
      </w:r>
    </w:p>
    <w:p>
      <w:pPr>
        <w:spacing w:after="0" w:line="18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or to purchase and/or finance dealership real estate. Other commercial lending products include financing for parts and accessories, dealer fleets and storage centers.</w:t>
      </w:r>
    </w:p>
    <w:p>
      <w:pPr>
        <w:spacing w:after="0" w:line="20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of funding to minimize currency and country risk. GM Financial primarily finances its loan, lease and commercial origination volume through the use of secured and unsecured credit facilities, securitization transactions and the issuance of unsecured debt in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foundation of GM’s business is our Purpose: We pioneer the innovations that move and connect people to what matters. It is why we exist. Our Purpose, growth strategy and culture all help us on our path towards achieving our vision of — a world with zero crashes, zero emissions and zero congestion. Our people are our most valuable asset, and we must continue to attract and retain the best talent in the world in order to achieve this vision. As a result, we strive to create a Workplace of Choice to attract, retain and develop top talent by adhering to a responsible employer philosophy, which includes, among other things, commitments to create job opportunities, pay workers fairly, ensure safety and well-being, and promote diversity, equity and inclusion (DEI). Fundamental to these commitments are our company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145415</wp:posOffset>
            </wp:positionV>
            <wp:extent cx="5829300" cy="239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eight GM behaviors are the foundation of our culture; and how we behave encompasses key measures of our performance, including the ways we conduct ourselves as we work with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140335</wp:posOffset>
            </wp:positionV>
            <wp:extent cx="5829300" cy="3016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0" cy="301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16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At GM, we are committed to fostering a culture of diversity, equity and inclusion. In every moment, we must decide what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can do — individually and collectively — to drive meaningful, deliberate and long-lasting change. GM’s unwavering commitment in this regard includes taking steps to ensure that all areas of our business are supportive of a world-class inclusive, equitable and diverse organization. Our ability to meet the needs of a diverse and global customer base is tied closely to the behaviors of the people within our company, which is why we are committed to fostering a culture that celebrates our differences. This commitment is embraced at all levels of the organization, including our diverse Board of Directors, which is currently made up of almost 50% women (6 out of 13 members) and is more than 30% racially or ethnically diverse (4 out of 13 members).</w:t>
      </w:r>
    </w:p>
    <w:p>
      <w:pPr>
        <w:spacing w:after="0" w:line="207"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Based on these longstanding values, our Chair and CEO, Mary Barra, chairs an Inclusion Advisory Board (IAB) of internal and external leaders who guide our work to improve diversity and inclusion in our Company. The purpose of the IAB is to consult with GM’s Senior Leadership Team with the long-term goal of inspiring the Company to be inclusive through our words, deeds and culture. We also have a number of programs and partnerships aimed at enhancing our culture of inclusion throughout the Company. For example, we have 12 voluntary, employee-led resource groups that provide a forum for diverse employees and allies from a variety of different backgrounds to share experiences and contribute to our collective cultural intelligence and growth. Each group also works to attract and retain new talent and offers employees opportunities to support our company’s diversity initiatives within the community.</w:t>
      </w:r>
    </w:p>
    <w:p>
      <w:pPr>
        <w:spacing w:after="0" w:line="224"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color w:val="auto"/>
        </w:rPr>
        <w:t>GM has added resources skilled in new areas like inclusive leadership coaching, workforce design, accessibility and community partnerships. These investments are designed to help increase DEI overall maturity, increasing pathways for talent entry and development in the company and fostering partnerships that improve equity inside and outside of GM. As an example, in January 2021, GM welcomed the industry’s first chief engineer of accessibility to lead a new Accessibility Center of Excellence, driving GM’s approach toward increasing inclusivity in products and services. The team works across four main areas: researching and innovating with the customer, defining what it means to have accessible solutions in our vehicles, working to create customizable solutions for a variety of customer needs and creating an ecosystem to grow the culture around accessibility.</w:t>
      </w:r>
    </w:p>
    <w:p>
      <w:pPr>
        <w:spacing w:after="0" w:line="220" w:lineRule="exact"/>
        <w:rPr>
          <w:sz w:val="20"/>
          <w:szCs w:val="20"/>
          <w:color w:val="auto"/>
        </w:rPr>
      </w:pPr>
    </w:p>
    <w:p>
      <w:pPr>
        <w:jc w:val="both"/>
        <w:ind w:firstLine="16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 and Retain Talented People </w:t>
      </w:r>
      <w:r>
        <w:rPr>
          <w:rFonts w:ascii="Times New Roman" w:cs="Times New Roman" w:eastAsia="Times New Roman" w:hAnsi="Times New Roman"/>
          <w:sz w:val="18"/>
          <w:szCs w:val="18"/>
          <w:color w:val="auto"/>
        </w:rPr>
        <w:t>Today, we compete for talent against other automotive companies and against businesses in other sectors,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To win and keep top talent, we must provide a workplace culture that encourages employee behaviors aligned with our values, fulfills employees' long-term individual aspirations and provides experiences that make individuals feel valued, included and engaged. In furtherance of this goal, we invest significant resources to retain and develop our talent. In addition to mentoring and networking opportunities, we offer a vast array of career development resources to help develop, grow and enable employees to make the most of their careers at GM. Formal resources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include, among other things, the Technical Education Program, which offers our employees an opportunity to complete corporate strategically aligned degrees and certificate programs at leading universities, and our Degreed Learning Platform, which brings forth a variety of external and in-house content in learning pathways and other micro learnings. It is also tied to our GM competency and skills model. Employees in some of our technical roles also have the opportunity to participate in the GM Technical Learning University — a training and upskilling program designed to expand and update the technical prowess of our workforce.</w:t>
      </w:r>
    </w:p>
    <w:p>
      <w:pPr>
        <w:spacing w:after="0" w:line="223"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GM recognizes that leadership effectiveness is a critical business need. All new managers in the Company are automatically entered into a six-month immersive learning program and all new executives come together for an upskilling and targeted development program designed around the GM leadership profile.</w:t>
      </w:r>
    </w:p>
    <w:p>
      <w:pPr>
        <w:spacing w:after="0" w:line="213"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and Well-Being </w:t>
      </w:r>
      <w:r>
        <w:rPr>
          <w:rFonts w:ascii="Times New Roman" w:cs="Times New Roman" w:eastAsia="Times New Roman" w:hAnsi="Times New Roman"/>
          <w:sz w:val="18"/>
          <w:szCs w:val="18"/>
          <w:color w:val="auto"/>
        </w:rPr>
        <w:t>The safety and well-being of our employees is also a critical component of our ability to transform the future of personal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GM, we pride ourselves on our commitment to live values that return people home safely — Every Person, Every Site, Every Day. Our unwavering commitment to safety is manifested through empowering employees to “Speak Up for Safety” and the Employee Safety Concern Process. These resources make it easier for salaried, hourly or represented and contract employees to report potential vehicle or workplace safety issues, or to suggest safety related improvements without fear of retaliation. The well-being of our employees is equally as important to entice and stimulate creativity and innovation. In addition to traditional healthcare, paid time off, paid parental leave, wellness programs, flextime scheduling and telecommuting arrangements and retirement benefits, including a 401(k) company contribution and matching program, GM offers a variety of benefits and resources to support employees' physical and mental health, including access to fitness facilities in certain locations, which help us both attract talent and reap the benefits of a healthier workforce. Beginning January 1, 2023, where permissible, United States salaried employees are able to add their domestic partners and their children to various benefits plans and policies under the specific terms of such plans and policies.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At December 31, 2022, we employed approximately 86,000 (52%) hourly employees and approximately 81,000 (48%) salaried employees.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 approximately 46,000 (44%) of our U.S. employees were represented by unions, a majority of which were represented by the International Union, United Automobile, Aerospace and Agricultural Implement Workers of America (UAW). The following table summarizes worldwide employment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20" w:type="dxa"/>
            <w:vAlign w:val="bottom"/>
          </w:tcPr>
          <w:p>
            <w:pPr>
              <w:spacing w:after="0"/>
              <w:rPr>
                <w:sz w:val="16"/>
                <w:szCs w:val="16"/>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9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8"/>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2"/>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Worldwide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9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 Salaried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 Hourly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Includes Cruise.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Information About our Executive Officers </w:t>
      </w:r>
      <w:r>
        <w:rPr>
          <w:rFonts w:ascii="Times New Roman" w:cs="Times New Roman" w:eastAsia="Times New Roman" w:hAnsi="Times New Roman"/>
          <w:sz w:val="18"/>
          <w:szCs w:val="18"/>
          <w:color w:val="auto"/>
        </w:rPr>
        <w:t>As of January 31, 2023, the names and ages of our executive officers and their positions with GM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Name (Age)</w:t>
            </w:r>
          </w:p>
        </w:tc>
        <w:tc>
          <w:tcPr>
            <w:tcW w:w="3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Present GM Position (Effective Date)</w:t>
            </w:r>
          </w:p>
        </w:tc>
        <w:tc>
          <w:tcPr>
            <w:tcW w:w="542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Positions Held During the Past Five Years (Effective Date)</w:t>
            </w:r>
          </w:p>
        </w:tc>
      </w:tr>
      <w:tr>
        <w:trPr>
          <w:trHeight w:val="25"/>
        </w:trPr>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 T. Barra (61)</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 and Chief Executive Officer (2016)</w:t>
            </w:r>
          </w:p>
        </w:tc>
        <w:tc>
          <w:tcPr>
            <w:tcW w:w="1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Julian Blissett (56)</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President,</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Senior Vice President, International Operations (2019)</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GM China (2020)</w:t>
            </w: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Executive Shanghai GM (2014)</w:t>
            </w: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Stephen K. Carlisle (60)</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President,</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Senior Vice President and President, Cadillac (2018)</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 (2020)</w:t>
            </w: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Managing Director, GM Canada (2015)</w:t>
            </w: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Craig B. Glidden (65)</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Global Public</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General Counsel (2015)</w:t>
            </w:r>
          </w:p>
        </w:tc>
      </w:t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Policy, General Counsel and Corporate</w:t>
            </w:r>
          </w:p>
        </w:tc>
        <w:tc>
          <w:tcPr>
            <w:tcW w:w="5420" w:type="dxa"/>
            <w:vAlign w:val="bottom"/>
          </w:tcPr>
          <w:p>
            <w:pPr>
              <w:spacing w:after="0"/>
              <w:rPr>
                <w:sz w:val="14"/>
                <w:szCs w:val="14"/>
                <w:color w:val="auto"/>
              </w:rPr>
            </w:pP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Secretary (2021)</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Christopher T. Hatto (52)</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Vice President, Global Business Solutions</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Vice President, Controller and Chief Accounting Officer (2018)</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Chief Accounting Officer (2020)</w:t>
            </w: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 U.S. Sales Operations (2016)</w:t>
            </w: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Paul A. Jacobson (51)</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Chief</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Delta Air Lines, Executive Vice President — Chief Financial Officer (2013)</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 (2020)</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Gerald Johnson (60)</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Global</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Vice President, North America Manufacturing and Labor Relations (2017)</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Manufacturing and Sustainability (2019)</w:t>
            </w:r>
          </w:p>
        </w:tc>
        <w:tc>
          <w:tcPr>
            <w:tcW w:w="5420" w:type="dxa"/>
            <w:vAlign w:val="bottom"/>
            <w:shd w:val="clear" w:color="auto" w:fill="CCEEFF"/>
          </w:tcPr>
          <w:p>
            <w:pPr>
              <w:spacing w:after="0"/>
              <w:rPr>
                <w:sz w:val="18"/>
                <w:szCs w:val="18"/>
                <w:color w:val="auto"/>
              </w:rPr>
            </w:pP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Douglas L. Parks (61)</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Global Product</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Vice President, Autonomous and Electric Vehicles (2017)</w:t>
            </w:r>
          </w:p>
        </w:tc>
      </w:t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Development, Purchasing and Supply Chain</w:t>
            </w:r>
          </w:p>
        </w:tc>
        <w:tc>
          <w:tcPr>
            <w:tcW w:w="5420" w:type="dxa"/>
            <w:vAlign w:val="bottom"/>
          </w:tcPr>
          <w:p>
            <w:pPr>
              <w:spacing w:after="0"/>
              <w:rPr>
                <w:sz w:val="14"/>
                <w:szCs w:val="14"/>
                <w:color w:val="auto"/>
              </w:rPr>
            </w:pP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0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L. Reuss (59)</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(2019)</w:t>
            </w: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and President, Global Product Development Group and</w:t>
            </w:r>
          </w:p>
        </w:tc>
      </w:tr>
      <w:tr>
        <w:trPr>
          <w:trHeight w:val="188"/>
        </w:trPr>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Cadillac (2018)</w:t>
            </w:r>
          </w:p>
        </w:tc>
      </w:tr>
      <w:tr>
        <w:trPr>
          <w:trHeight w:val="201"/>
        </w:trPr>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Global Product Development, Purchasing &amp; Supply</w:t>
            </w:r>
          </w:p>
        </w:tc>
      </w:tr>
      <w:tr>
        <w:trPr>
          <w:trHeight w:val="209"/>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Chain (2014)</w:t>
            </w:r>
          </w:p>
        </w:tc>
      </w:tr>
      <w:tr>
        <w:trPr>
          <w:trHeight w:val="33"/>
        </w:trPr>
        <w:tc>
          <w:tcPr>
            <w:tcW w:w="2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249"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Criteria Emissions Control </w:t>
      </w:r>
      <w:r>
        <w:rPr>
          <w:rFonts w:ascii="Times New Roman" w:cs="Times New Roman" w:eastAsia="Times New Roman" w:hAnsi="Times New Roman"/>
          <w:sz w:val="18"/>
          <w:szCs w:val="18"/>
          <w:color w:val="auto"/>
        </w:rPr>
        <w:t>Our products are subject to laws and regulations globally that require us to control certain non-GHG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very little harmonization. Regulatory authorities may conduct ongoing evaluations of products from all manufacturers. For additional information, refer to Item 1A. Risk Factors.</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U.S. federal government, through the Environmental Protection Agency (EPA), imposes stringent exhaust and evaporative emission control requirements on vehicles sold in the U.S. The California Air Resources Board (CARB) likewise imposes stringent exhaust and evaporative emission standards. The Clean Air Act permits states that have areas with air quality compliance issues to adopt California emission standards in lieu of federal requirements. Seventeen states have adopted California emission standards, and there is a possibility that additional U.S. jurisdictions could adopt California emission requirements in the future.</w:t>
      </w:r>
    </w:p>
    <w:p>
      <w:pPr>
        <w:spacing w:after="0" w:line="211" w:lineRule="exact"/>
        <w:rPr>
          <w:sz w:val="20"/>
          <w:szCs w:val="20"/>
          <w:color w:val="auto"/>
        </w:rPr>
      </w:pPr>
    </w:p>
    <w:p>
      <w:pPr>
        <w:jc w:val="both"/>
        <w:ind w:right="20" w:firstLine="161"/>
        <w:spacing w:after="0" w:line="310" w:lineRule="auto"/>
        <w:rPr>
          <w:sz w:val="20"/>
          <w:szCs w:val="20"/>
          <w:color w:val="auto"/>
        </w:rPr>
      </w:pPr>
      <w:r>
        <w:rPr>
          <w:rFonts w:ascii="Times New Roman" w:cs="Times New Roman" w:eastAsia="Times New Roman" w:hAnsi="Times New Roman"/>
          <w:sz w:val="17"/>
          <w:szCs w:val="17"/>
          <w:color w:val="auto"/>
        </w:rPr>
        <w:t>For each model year we must obtain certification that our vehicles and heavy-duty engines will meet emission requirements of the EPA before we can sell vehicles in the U.S. and Canada, and of CARB before we can sell vehicles in California and the states that have adopted California emission requirements.</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Canadian federal government's current vehicle pollutant emission requirements are generally aligned with U.S. federal requirements.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ind w:firstLine="161"/>
        <w:spacing w:after="0" w:line="244" w:lineRule="auto"/>
        <w:rPr>
          <w:sz w:val="20"/>
          <w:szCs w:val="20"/>
          <w:color w:val="auto"/>
        </w:rPr>
      </w:pPr>
      <w:r>
        <w:rPr>
          <w:rFonts w:ascii="Times New Roman" w:cs="Times New Roman" w:eastAsia="Times New Roman" w:hAnsi="Times New Roman"/>
          <w:sz w:val="18"/>
          <w:szCs w:val="18"/>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is expected to be implemented in July 2023. Finally in 2022, China began studies regarding the next generation of vehicle emission standards (China 7), which will likely be influenced by the European (Euro 7) standards.</w:t>
      </w:r>
    </w:p>
    <w:p>
      <w:pPr>
        <w:spacing w:after="0" w:line="223"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Brazil has approved a set of national emission standards referred to as L7, implemented in 2022, and L8, to be implemented from 2025 onward. L7 standards cover tailpipe exhaust gases, durability for emissions, evaporative emissions and noise limits, and include additional OBD requirements and a phase-in for onboard refueling vapor recovery systems. L8 standards include targets for vehicle emissions and reduce corporate exhaust limits every two years until 2031. Some of the requirements are aligned with those of the EPA.</w:t>
      </w:r>
    </w:p>
    <w:p>
      <w:pPr>
        <w:spacing w:after="0" w:line="205"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As a result of the sale of the Opel and Vauxhall businesses and certain other assets in Europe (the Opel/Vauxhall Business), GM’s vehicle presence in Europe is smaller, but GM may still be affected by actions taken by regulators related both to Opel/Vauxhall vehicles sold before the sale of the Opel/Vauxhall Business as well as to other vehicles GM continues to sell in Europe. In the EU, increased scrutiny of compliance with emission standards may result in changes to these standards, as well as stricter interpretations or redefinition of these standards and more rigorous enforcement. Beyond this, as a part of the EU’s desire to accelerate the shift to sustainable mobility, the EU is looking to develop stricter emission standards (Euro 7) for all petrol and diesel cars, vans, lorries and buses, as it is moving to end the sale of ICE vehicles past 2035, and place requirements on batteries to be used in EVs. For additional information, refer to Note 16 to our consolidated financial statements.</w:t>
      </w:r>
    </w:p>
    <w:p>
      <w:pPr>
        <w:spacing w:after="0" w:line="193"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Fuel Economy and GHG Emissions </w:t>
      </w:r>
      <w:r>
        <w:rPr>
          <w:rFonts w:ascii="Times New Roman" w:cs="Times New Roman" w:eastAsia="Times New Roman" w:hAnsi="Times New Roman"/>
          <w:sz w:val="18"/>
          <w:szCs w:val="18"/>
          <w:color w:val="auto"/>
        </w:rPr>
        <w:t>In the U.S., NHTSA promulgates and enforces Corporate Average Fuel Economy (CAFE)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separate fleets: domestic cars, import cars and light-duty trucks. Manufacturers may use one or a combination of the following to resolve fleet deficits: credits from the five prior model years, expected credits for the next three model years, credits obtained from other manufacturers, and payment of civil penalties. Manufacturers that do not resolve deficits for a model year may be subject to substantial civil penalties. In addition to federal CAFE standards, the EPA promulgates and enforces GHG emission standards. NHTSA and the EPA have separately finalized standards with differing stringency levels and affected model years, with the CAFE standards addressing the 2024–2026 model years and the GHG standards addressing the 2023–2026 model years. Both the CAFE and GHG standards have been challenged through litigation. NHTSA and the EPA also regulate the fuel efficiency and GHG emissions of medium- and heavy-duty vehicles, imposing more stringent standards over time.</w:t>
      </w:r>
    </w:p>
    <w:p>
      <w:pPr>
        <w:spacing w:after="0" w:line="214"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In addition, CARB has asserted the right to promulgate and enforce its own state GHG standards for motor vehicles, and other states have asserted the right to adopt CARB's standards. CARB regulations previously stated that compliance with the light-duty EPA GHG program is deemed compliance with CARB standards. However, in December 2018 CARB amended this regulation to state that, in the event the EPA were to alter federal GHG stringency, which it now has, compliance with the EPA's GHG emission standards will no longer be deemed compliance with CARB's separate requirements. While NHTSA and the EPA previously took actions to preempt California’s GHG standards, NHTSA repealed its assertion of preemption and the EPA rescinded its withdrawal of California’s preemption waiver, enabling CARB to enforce GHG standards from the Advanced Clean Cars (ACC) program for the 2021– 2025 model years. As a result, GM is required to meet state GHG standards in California and 17 states that have adopted California’s GHG standards. The EPA’s rescission of its withdrawal of California’s waiver has been challenged through litigation.</w:t>
      </w:r>
    </w:p>
    <w:p>
      <w:pPr>
        <w:spacing w:after="0" w:line="22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CARB has also imposed a requirement that increases percentages of Zero Emission Vehicles (ZEVs) that must be sold in California. While NHTSA and the EPA previously took actions to preempt California’s ZEV standards, NHTSA repealed its assertion of preemption and the EPA rescinded its withdrawal of California’s waiver, enabling CARB and 15 adopting states to enforce ZEV standards from the ACC program. The EPA’s rescission of its withdrawal of California’s waiver has been challenged through litigation. Further, in August 2022, CARB finalized its Advanced Clean Cars II (ACC II) program, including ZEV standards requiring increasing percentages of ZEVs for the 2026–2035 model years, ending with a 100% sales target in the 2035 model year. CARB must obtain a waiver from EPA to implement its ACC II program. Additional U.S. jurisdictions could adopt CARB’s ACC and ACC II requirements in the future.</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Canada, federal light- and heavy-duty GHG regulations are currently patterned after the EPA GHG emission standards given the integrated nature of the auto sector between Canada and the United States. The Canadian light-duty GHG standards continue to largely align with the U.S. GHG standards for the 2023–2025 model years. Additionally, the Canadian federal government issued an Emissions Reduction Plan requiring the implementation of increasingly stringent ZEV sales requirements for the 2026–2035 model years, ending with a 100% sales target in the 2035 model year. The Canadian province of Quebec has ZEV requirements regulating the 2018–2025 model years, largely based on California program requirements, and the province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British Columbia has similar ZEV regulations that were completed in July 2020 and cover the 2020–2039 model years. Both provinces have proposed amendments to their ZEV regulations for the 2026–2035 model years ending with a 100% ZEV sales target in the 2035 model year. A first draft of Canada’s national ZEV sales regulations was issued in December 2022.</w:t>
      </w:r>
    </w:p>
    <w:p>
      <w:pPr>
        <w:spacing w:after="0" w:line="20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China has two fuel economy requirements for passenger vehicles: an individual vehicle pass-fail type approval requirement and a fleet average fuel consumption requirement. With a focus on the fleet average fuel consumption requirement, the China Phase 5 launched in 2021 and full compliance is required by 2025. In addition, China has established a mandate that requires passenger car manufacturers to produce a certain volume of plug-in hybrid, battery electric and fuel cell vehicles, which are referred to as New Energy Vehicles (NEVs), to generate credits in 2019 and beyond. The number of credits per car is based on the level of electric range and energy efficiency, with the goal of increasing NEV volume penetrations and improving technological sophistication over time. Uncommitted NEV credits may be used to assist compliance with the fleet average fuel consumption requirement. China has issued NEV credit targets between 2019 and 2023 and is setting new NEV credit targets aimed at further increasing volumes of NEVs in 2024 and 2025. China has provided various levels of subsidies for NEVs, and certain subsidies were extended to the end of 2022. Also in 2022, China began to study the fleet average fuel consumption requirement and NEV credit mandate for 2026–2030 (Phase 6). These standards can potentially be more stringent, aligned with the trend we are seeing in other key global markets.</w:t>
      </w:r>
    </w:p>
    <w:p>
      <w:pPr>
        <w:spacing w:after="0" w:line="21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Brazil, the Secretary of Industry and Development promulgates and enforces CAFE standards and has enforced a new CAFE program for the period October 2020–September 2026 for light-duty and mid-size trucks and SUVs, including diesel vehicles. The second and third phases of the program are yet to be finalized and are expected to gradually become more stringent for each period.</w:t>
      </w:r>
    </w:p>
    <w:p>
      <w:pPr>
        <w:spacing w:after="0" w:line="20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have several options to comply with existing and potential new regulations that we have utilized and may continue to utilize, including increasing production and sale of certain vehicles, such as EVs, and curtailing production of others, which could include profitable ICE vehicles; technology changes, including fuel consumption efficiency and engine upgrades; payment of penalties; and/or the purchase of credits from third parties. We regularly evaluate our current and future product plans and strategies for compliance with fuel economy and GHG regulations.</w:t>
      </w:r>
    </w:p>
    <w:p>
      <w:pPr>
        <w:spacing w:after="0" w:line="2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plan to be carbon neutral by 2040 in our global products and operations, supported by a commitment to science-based targets. In addition, the Company envisions an all-electric future and plans to eliminate tailpipe emissions from new U.S. light-duty vehicles by 2035. These targets align with our growth and transformation plan including our commitment to an all-electric future, which will be enabled by our Ultium platform and HYDROTEC technology as previously detailed. We also announced that we anticipate our total annual capital spending and our investments in our battery cell manufacturing joint ventures to be in the range of $11.0 to $13.0 billion through 2025 primarily to accelerate this transformation plan.</w:t>
      </w:r>
    </w:p>
    <w:p>
      <w:pPr>
        <w:spacing w:after="0" w:line="20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Environmental Control </w:t>
      </w:r>
      <w:r>
        <w:rPr>
          <w:rFonts w:ascii="Times New Roman" w:cs="Times New Roman" w:eastAsia="Times New Roman" w:hAnsi="Times New Roman"/>
          <w:sz w:val="18"/>
          <w:szCs w:val="18"/>
          <w:color w:val="auto"/>
        </w:rPr>
        <w:t>Our operations are subject to a wide range of environmental protection laws including those regulating air emissions,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9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To further mitigate the impacts of our worldwide operations on the environment, including climate change, we are supplementing our compliance programs with sustainability efforts focused on reducing operational GHG emissions, water consumption and discharge and operational waste.</w:t>
      </w:r>
    </w:p>
    <w:p>
      <w:pPr>
        <w:spacing w:after="0" w:line="18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7"/>
          <w:szCs w:val="17"/>
          <w:color w:val="auto"/>
        </w:rPr>
        <w:t>We aim to continue our progress toward becoming a Zero Waste company by diverting greater than 90% of our total operational waste from landfills, incinerators, and energy recovery facilities by 2025. We also continue our efforts to increase our use of renewable energy, improve our energy efficiency and work to drive growth and scale of renewables. We recently announced the finalization of energy sourcing agreements required to secure 100% of the energy needed to power all our U.S. facilities with renewable energy by 2025. This is in line with the accelerated target announced in September 2021 and 25 years ahead of the initial target of 2050, set in 2016. We are on target to meet the remaining needs of our global operations with 100% renewable energy by 2035.</w:t>
      </w:r>
    </w:p>
    <w:p>
      <w:pPr>
        <w:spacing w:after="0" w:line="180" w:lineRule="exact"/>
        <w:rPr>
          <w:sz w:val="20"/>
          <w:szCs w:val="20"/>
          <w:color w:val="auto"/>
        </w:rPr>
      </w:pPr>
    </w:p>
    <w:p>
      <w:pPr>
        <w:jc w:val="both"/>
        <w:ind w:right="20" w:firstLine="16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Chemical Regulations </w:t>
      </w:r>
      <w:r>
        <w:rPr>
          <w:rFonts w:ascii="Times New Roman" w:cs="Times New Roman" w:eastAsia="Times New Roman" w:hAnsi="Times New Roman"/>
          <w:sz w:val="18"/>
          <w:szCs w:val="18"/>
          <w:color w:val="auto"/>
        </w:rPr>
        <w:t>We continually monitor the implementation of chemical regulations to maintain compliance and evaluate their effect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suppliers and the automotive industry.</w:t>
      </w:r>
    </w:p>
    <w:p>
      <w:pPr>
        <w:spacing w:after="0" w:line="199"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Globally, governments continue to introduce new legislation and regulations related to the selection and use of chemicals by mandating broad prohibitions or restrictions and implementing vehicle interior air quality, green chemistry, life cycle analysis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Stockholm, Basel and Rotterdam Conventions on Chemicals and Waste, the Minamata Convention on Mercury and EU Registration, Evaluation, Authorization and Restriction of Chemicals (REACH), are driving chemical regulations across signatory countries. Increases in the use of circuit boards and other electronics may require additional assessment under the Restriction on Hazardous Substances and Waste from Electrical and Electronic Equipment directives. New European requirements require suppliers of parts and vehicles to the European market to disclose substances of concern in parts.</w:t>
      </w:r>
    </w:p>
    <w:p>
      <w:pPr>
        <w:spacing w:after="0" w:line="21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Chemical regulations are increasing in North America. In the U.S., the EPA is moving forward with risk analysis and management of high priority chemicals under the authority of the 2016 Lautenberg Chemical Safety for the 21st Century Act. In addition, several U.S. states have chemical management regulations that can affect vehicle design and manufacturing such as chemical restriction and use requirements. For example, Maine will likely require the reporting of per- and polyfluoroalkyl substances (PFAS) in 2023, and the elimination of PFAS in 2030, except for unavoidable uses. Chemical restrictions and export controls in Canada continue to steadily progress under the Environment and Climate Change Canada's Chemical Management Plan to assess existing substances and implement risk management controls on any chemical deemed toxic.</w:t>
      </w:r>
    </w:p>
    <w:p>
      <w:pPr>
        <w:spacing w:after="0" w:line="197"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These emerging laws and regulations will potentially lead to increases in costs and supply chain complexity. Manufacturers, including joint venture partners and suppliers, that do not comply with global and specific country regulations could be subject to civil penalties, production disruptions, or limitations on the sale of affected products. We believe we are materially in compliance with substantially all these requirements or expect to be materially in compliance by the required dates.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Vehicle Safety</w:t>
      </w:r>
    </w:p>
    <w:p>
      <w:pPr>
        <w:spacing w:after="0" w:line="25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U.S. Requirements </w:t>
      </w:r>
      <w:r>
        <w:rPr>
          <w:rFonts w:ascii="Times New Roman" w:cs="Times New Roman" w:eastAsia="Times New Roman" w:hAnsi="Times New Roman"/>
          <w:sz w:val="18"/>
          <w:szCs w:val="18"/>
          <w:color w:val="auto"/>
        </w:rPr>
        <w:t>The National Traffic and Motor Vehicle Safety Act of 1966 (the Safety Act) regulates the vehicles and items of motor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that we manufacture and sell. The Safety Act prohibits the sale in the United States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1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Other National Requirements </w:t>
      </w:r>
      <w:r>
        <w:rPr>
          <w:rFonts w:ascii="Times New Roman" w:cs="Times New Roman" w:eastAsia="Times New Roman" w:hAnsi="Times New Roman"/>
          <w:sz w:val="18"/>
          <w:szCs w:val="18"/>
          <w:color w:val="auto"/>
        </w:rPr>
        <w:t>Outside of the U.S., many countries have established vehicle safety standards and regulations and are likely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more stringent requirements in the future. The European General Safety Regulation has introduced United Nations Economic Commission for Europe (UN-ECE) regulations, which are required for the European Type Approval process. Globally, governments generally have been adopting UN-ECE based regulations with some variations to address local concerns. Any difference between North American and UN-ECE based regulations can add complexity and costs to vehicle development, and we continue to support efforts to harmonize regulations to reduce complexity. New safety and recall requirements in various countries around the world, including in China, Brazil, and Gulf Cooperation Council countries, also may add substantial costs and complexity to our safety and field action activities globally. In Canada, vehicle regulatory requirements are currently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Further, various governments are beginning to mandate e-Call and other features that can be market-specific and add complexity and increase our cost of compliance globally.</w:t>
      </w:r>
    </w:p>
    <w:p>
      <w:pPr>
        <w:spacing w:after="0" w:line="216"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Crash Test Ratings and New Car Assessment Programs </w:t>
      </w:r>
      <w:r>
        <w:rPr>
          <w:rFonts w:ascii="Times New Roman" w:cs="Times New Roman" w:eastAsia="Times New Roman" w:hAnsi="Times New Roman"/>
          <w:sz w:val="18"/>
          <w:szCs w:val="18"/>
          <w:color w:val="auto"/>
        </w:rPr>
        <w:t>Organizations in various regions around the world, including in the U.S., rate and compare motor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or other grading systems, depending on the region, to rate vehicle safety. Achieving high NCAP ratings, which can vary by country and region, can add complexity and cost to vehicles.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Website Access to Our Reports </w:t>
      </w:r>
      <w:r>
        <w:rPr>
          <w:rFonts w:ascii="Times New Roman" w:cs="Times New Roman" w:eastAsia="Times New Roman" w:hAnsi="Times New Roman"/>
          <w:sz w:val="18"/>
          <w:szCs w:val="18"/>
          <w:color w:val="auto"/>
        </w:rPr>
        <w:t>Our internet website address is https://www.gm.com. In addition to the information about us and our subsidiaries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2022 Form 10-K, information about us can be found on our website including information on our corporate governance principles and practices. Our Investor Relations website at https://investor.gm.com contains a</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significant amount of information about us, including financial and other information for investors. We encourage investors to visit our website, as we frequently update and post new information about our company on our website and it is possible that this information could be deemed to be material information. Our website and information included in or linked to our website are not part of this 2022 Form 10-K.</w:t>
      </w:r>
    </w:p>
    <w:p>
      <w:pPr>
        <w:spacing w:after="0" w:line="20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 The SEC maintains a website that contains reports, proxy and information statements, and other information regarding our filings at https://www.sec.gov.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We have listed below the most material risk factors applicable to us. These risk factors are not necessarily in the order of importance or probability of occurrence:</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competition and strategy</w:t>
      </w:r>
    </w:p>
    <w:p>
      <w:pPr>
        <w:spacing w:after="0" w:line="222"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do not deliver new products, services, technologies and customer experiences in response to increased competition and changing consumer preferences in the automotive industry, our business could suffer. </w:t>
      </w:r>
      <w:r>
        <w:rPr>
          <w:rFonts w:ascii="Times New Roman" w:cs="Times New Roman" w:eastAsia="Times New Roman" w:hAnsi="Times New Roman"/>
          <w:sz w:val="17"/>
          <w:szCs w:val="17"/>
          <w:color w:val="auto"/>
        </w:rPr>
        <w:t>We believe that the automotive industry will continue to experience significant change in</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coming years, particularly as traditional automotive original equipment manufacturers continue to shift resources to the development of EVs. In addition to our traditional competitors, we must also be responsive to the entrance of start-ups and other non-traditional competitors in the automotive industry, such as ridesharing services. These new competitors, as well as established industry participants, are disrupting the historic business model of our industry through the introduction of new technologies, products, services, direct-to-consumer sales channels, methods of transportation and vehicle ownership. To successfully execute our long-term strategy, we must continue to develop new products and services, including products and services that are outside of our historically core ICE business, such as EVs and AVs, software-enabled connected services and other new businesses.</w:t>
      </w:r>
    </w:p>
    <w:p>
      <w:pPr>
        <w:spacing w:after="0" w:line="212"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Our vehicles and connected services increasingly rely on software and hardware that is highly technical and complex. The process of designing and developing new technology, products and services is costly and uncertain and requires extensive capital investment and the ability to retain and recruit the best talent. If our access to capital were to become significantly constrained, if costs of capital increased significantly, or if our ability to raise capital is challenged relative to our peers, in each case including as a result of any constraints on lending due to concerns about climate change, our ability to execute on our strategic plans could be adversely affected. Further, the market for highly skilled workers and leaders in our industry is extremely competitive. Failure to attract, hire, develop, motivate and retain highly qualified and diverse employees could disrupt our operations and adversely affect our strategic plans.</w:t>
      </w:r>
    </w:p>
    <w:p>
      <w:pPr>
        <w:spacing w:after="0" w:line="198"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color w:val="auto"/>
        </w:rPr>
        <w:t>There can be no assurance that advances in technology will occur in a timely or feasible way, if at all, that others will not acquire similar or superior technologies sooner than we do, or that we will acquire technologies on an exclusive basis or at a significant price advantage. Further, if we are unable to prevent or effectively remedy errors, bugs, vulnerabilities or defects in our software and hardware, or fail to deploy updates to our software properly, or if we do not adequately prepare for and respond to new kinds of technological innovations, market developments and changing customer needs, our sales, profitability and long-term competitiveness may be harmed.</w:t>
      </w:r>
    </w:p>
    <w:p>
      <w:pPr>
        <w:spacing w:after="0" w:line="195"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maintain profitability is dependent upon our ability to timely fund and introduce new and improved vehicle models, including EVs, that are able to attract a sufficient number of consumers. </w:t>
      </w:r>
      <w:r>
        <w:rPr>
          <w:rFonts w:ascii="Times New Roman" w:cs="Times New Roman" w:eastAsia="Times New Roman" w:hAnsi="Times New Roman"/>
          <w:sz w:val="18"/>
          <w:szCs w:val="18"/>
          <w:color w:val="auto"/>
        </w:rPr>
        <w:t>We operate in a very competitive industry with market participants routinely introducing new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improved vehicle models and features designed to meet rapidly evolving consumer expectations. Producing new and improved vehicle models, including EVs, that preserve our reputation for designing, building and selling safe, high-quality cars, crossovers, trucks and SUVs is critical to our long-term profitability. Successful launches of our new vehicles are critical to our short-term profitability. The new vehicle development process can take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regulatory developments, transportation infrastructure and changes in quality, safety, reliability and styling demands and preferences, an initial product concept or design may not result in a saleable vehicle or a vehicle that generates sales in sufficient quantities and at high enough prices to be profitable. Our high proportion of fixed costs, both due to our significant investment in property, plant and equipment as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212"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long-term strategy is dependent upon our ability to profitably deliver a broad portfolio of EVs. </w:t>
      </w:r>
      <w:r>
        <w:rPr>
          <w:rFonts w:ascii="Times New Roman" w:cs="Times New Roman" w:eastAsia="Times New Roman" w:hAnsi="Times New Roman"/>
          <w:sz w:val="18"/>
          <w:szCs w:val="18"/>
          <w:color w:val="auto"/>
        </w:rPr>
        <w:t>The production and profitable sale of EVs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increasingly important to our long-term business as we accelerate our transition to an all-electric future. Our EV strategy is dependent on our ability to deliver a broad portfolio of high-quality EVs that are competitive and meet consumer demands; scale our EV manufacturing capabilities; reduce the costs associated with the manufacture of EVs, particularly with respect to battery cells and packs; increase vehicle range and the energy density of our batteries; efficiently source sufficient materials for the manufacture of EV battery cells; license and monetize our proprietary platforms and related innovations; successfully invest in new technologies relative to our peers; develop new software and services; and leverage our scale, manufacturing capabilities and synergies with existing ICE vehicles.</w:t>
      </w:r>
    </w:p>
    <w:p>
      <w:pPr>
        <w:spacing w:after="0" w:line="215" w:lineRule="exact"/>
        <w:rPr>
          <w:sz w:val="20"/>
          <w:szCs w:val="20"/>
          <w:color w:val="auto"/>
        </w:rPr>
      </w:pPr>
    </w:p>
    <w:p>
      <w:pPr>
        <w:jc w:val="both"/>
        <w:ind w:firstLine="161"/>
        <w:spacing w:after="0" w:line="232" w:lineRule="auto"/>
        <w:rPr>
          <w:sz w:val="20"/>
          <w:szCs w:val="20"/>
          <w:color w:val="auto"/>
        </w:rPr>
      </w:pPr>
      <w:r>
        <w:rPr>
          <w:rFonts w:ascii="Times New Roman" w:cs="Times New Roman" w:eastAsia="Times New Roman" w:hAnsi="Times New Roman"/>
          <w:sz w:val="18"/>
          <w:szCs w:val="18"/>
          <w:color w:val="auto"/>
        </w:rPr>
        <w:t>In addition, consumer adoption of EVs will be critical to the success of our strategy. Consumer adoption of EVs could be impacted by numerous factors, including the breadth of the portfolio of EVs available; perceptions about EV features, quality, safety, performance and cost relative to ICE vehicles; the range over which EVs may be driven on a given battery charge; the proliferation of charging infrastructure, in particular with respect to public EV charging stations, and the success of the Company's charging infrastructure programs and strategic joint ventures and other relationships; cost and availability of high fuel-economy ICE vehicles; volatility, or a sustained decrease, in the cost of petroleum-based fuel; failure by governments and other third parties to make the investments necessary to make infrastructure improvements, such as greater availability of cleaner energy grids and EV charging stations, and to provide economic incentives promoting the adoption of EVs, including those contemplated by the Inflation Reduction Act; and negative feedback from stakeholders impacting investor and consumer confidence in our company or industry. If we are unable to successfully deliver on our EV strategy, it could materially and adversely affect our results of operations, financial condition and growth prospects, and could negatively impact our brand and reputation.</w:t>
      </w:r>
    </w:p>
    <w:p>
      <w:pPr>
        <w:spacing w:after="0" w:line="249" w:lineRule="exact"/>
        <w:rPr>
          <w:sz w:val="20"/>
          <w:szCs w:val="20"/>
          <w:color w:val="auto"/>
        </w:rPr>
      </w:pPr>
    </w:p>
    <w:p>
      <w:pPr>
        <w:jc w:val="both"/>
        <w:ind w:firstLine="161"/>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near-term profitability is dependent upon the success of our current line of full-size ICE SUVs and full-size ICE pickup trucks. </w:t>
      </w:r>
      <w:r>
        <w:rPr>
          <w:rFonts w:ascii="Times New Roman" w:cs="Times New Roman" w:eastAsia="Times New Roman" w:hAnsi="Times New Roman"/>
          <w:sz w:val="18"/>
          <w:szCs w:val="18"/>
          <w:color w:val="auto"/>
        </w:rPr>
        <w:t>While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 portfolio of cars, crossovers, SUVs and trucks, and we have announced significant plans to design, build and sell a broad portfolio of EVs, we currently recognize the highest profit margins on our full-size ICE SUVs and full-size ICE trucks. As a result, our near-term success is dependent upon our ability to sell higher margin vehicles in sufficient volumes. We are also using the cash generated by our ICE vehicles to fund our growth strategy, including with respect to EVs and AVs. Any near-term shift in consumer preferences toward smaller, more fuel-efficient vehicles, whether as a result of increases in the price of oil or any sustained shortage of oil, including as a result of global political instability (such as related to Russia's invasion of Ukraine), concerns about fuel consumption or GHG emissions, or other reasons, could weaken the demand for our higher margin vehicles. More stringent fuel economy regulations could also impact our ability to sell these vehicles or could result in additional costs associated with these vehicles. See “Our operations and products are subject to extensive laws, regulations and policies, including those related to vehicle emissions and fuel economy standards, which can significantly increase our costs and affect how we do business.”</w:t>
      </w:r>
    </w:p>
    <w:p>
      <w:pPr>
        <w:spacing w:after="0" w:line="200"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a highly competitive industry that has historically had excess manufacturing capacity, and attempts by our competitors to sell more vehicles could have a significant negative effect on our vehicle pricing, market share and operating results. </w:t>
      </w:r>
      <w:r>
        <w:rPr>
          <w:rFonts w:ascii="Times New Roman" w:cs="Times New Roman" w:eastAsia="Times New Roman" w:hAnsi="Times New Roman"/>
          <w:sz w:val="18"/>
          <w:szCs w:val="18"/>
          <w:color w:val="auto"/>
        </w:rPr>
        <w:t>The global automotive industry is highly</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competitive in terms of the quality, innovation, new technologies, pricing, fuel economy, reliability, safety, customer service and financial services offered. Additionally, overall manufacturing capacity in the industry has historically far exceeded demand. In addition, we have made, and plan to continue to make, significant investments in EV manufacturing capacity based on our expectations for EV demand, which is subject to various risks and uncertainties as described above. Many manufacturers, including GM, have relatively high fixed labor costs as well as limitations on their ability to efficiently close facilities and reduce fixed costs, often as a result of collective bargaining agreements. In light of any excess capacity and high fixed costs, many industry participants have attempted to sell more vehicles by providing subsidized financing or leasing programs, offering marketing incentives or reducing vehicle prices. As a result, we have had, and may in the future need, to offer similar incentives, which may result in vehicle prices that do not offset our costs, including any cost increases or the impact of adverse currency fluctuations,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197"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color w:val="auto"/>
        </w:rPr>
        <w:t>Manufacturers in countries that have lower production costs, such as China and India, have become competitors in key emerging markets and have announced their intention to export their products to established markets as a low-cost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 in these markets.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AV strategy is dependent upon our ability to successfully mitigate unique technological, operational and regulatory risks. </w:t>
      </w:r>
      <w:r>
        <w:rPr>
          <w:rFonts w:ascii="Times New Roman" w:cs="Times New Roman" w:eastAsia="Times New Roman" w:hAnsi="Times New Roman"/>
          <w:sz w:val="18"/>
          <w:szCs w:val="18"/>
          <w:color w:val="auto"/>
        </w:rPr>
        <w:t>GM Cruise Holdings</w:t>
      </w:r>
    </w:p>
    <w:p>
      <w:pPr>
        <w:spacing w:after="0" w:line="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LLC (Cruise Holdings), our majority-owned subsidiary, is responsible for the development and commercialization of AV technology. Our AV operations are capital intensive and subject to a variety of risks inherent with the development of new technologies, including our ability to continue to develop self-driving software and hardware, such as Light Detection and Ranging (LiDAR) sensors and other components; access to sufficient capital; risks related to the manufacture of purpose-built AVs; and significant competition from both established automotive companies and technology companies, some of which may have more resources and capital to devote to AV technologies than we do. In addition, we face risks related to the commercial deployment of AVs on our targeted timeline or at all, including consumer acceptance, achievement of adequate safety and other performance standards and compliance with uncertain, evolving and potentially conflicting federal, state, provincial or local regulations. Advanced technologies such as AVs present novel issues with which domestic and foreign regulators have only limited experience, and will be subject to evolving regulatory frameworks. Any current or future regulations in these areas could impede the successful commercialization of these technologies and impact whether and how these technologies are designed and integrated into our products, and may ultimately subject us to increased costs and uncertainty. In order for Cruise to successfully execute its business plan and achieve its revenue targets, legislation and regulations must evolve to permit widespread commercial AV deployment. To the extent accidents, cybersecurity breaches or other adverse events associated with our autonomous driving systems occur, we could be subject to liability, reputational harm, government scrutiny and further regulation, and it could deter consumer adoption of AV technology. Any of the foregoing could materially and adversely affect our results of operations, financial condition and growth prospects.</w:t>
      </w:r>
    </w:p>
    <w:p>
      <w:pPr>
        <w:spacing w:after="0" w:line="216"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climate change, including increased regulation of GHG emissions, changing consumer preferences and other risks related to our transition to EVs and the potential increased impacts of severe weather events on our operations and infrastructure. </w:t>
      </w:r>
      <w:r>
        <w:rPr>
          <w:rFonts w:ascii="Times New Roman" w:cs="Times New Roman" w:eastAsia="Times New Roman" w:hAnsi="Times New Roman"/>
          <w:sz w:val="18"/>
          <w:szCs w:val="18"/>
          <w:color w:val="auto"/>
        </w:rPr>
        <w:t>Increasing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attention to climate change, increasing societal expectations on companies to address climate change and changes in consumer preferences may result in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increased costs, reduced demand for our products, reduced profits, risks associated with new regulatory requirements, risks to our reputation and the potential for increased litigation and governmental investigations. Climate change regulations at the federal, state or local level or in international jurisdictions could require us to further limit emissions associated with customer use of products we sell, change our manufacturing processes or product portfolio or undertake other activities that may require us to incur additional expense, which may be material. These requirements may increase the cost of, and/or diminish demand for, our ICE vehicles. See “Our operations and products are subject to extensive laws, regulations and policies, including those related to vehicle emissions and fuel economy standards, which can significantly increase our costs and affect how we do business.” In addition, in the U.S. and abroad there are an increasing number of sustainability-related rules and regulations that have been adopted or proposed. Such regulations may also subject us to new disclosure requirements, which could result in risks to our reputation or consumer demand for our products if we do not meet increasingly demanding stakeholder expectations and standards.</w:t>
      </w:r>
    </w:p>
    <w:p>
      <w:pPr>
        <w:spacing w:after="0" w:line="216"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Part of our strategy to address these risks includes our transition to EVs, which presents additional risks, including reduced demand for, and therefore profits from, our ICE vehicles, which we are using to fund our growth strategy; higher costs or reduced availability of materials related to EV technologies impacting profitability, particularly with respect to batteries and battery raw material; and risks related to the success of our EV strategy, particularly with respect to advancement of battery cell technology, charging infrastructure and competition. See “Our long-term strategy is dependent upon our ability to profitably deliver a broad portfolio of EVs” and “Our near-term profitability is dependent upon the success of our current line of full-size ICE SUVs and full-size ICE pickup trucks.”</w:t>
      </w:r>
    </w:p>
    <w:p>
      <w:pPr>
        <w:spacing w:after="0" w:line="225"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Finally, increased intensity, frequency or duration of storms, droughts or other severe weather events as a result of climate change may disrupt our production and the production, logistics, cost and procurement of products from our suppliers and timely delivery of vehicles to customers, and could negatively impact working conditions at our plants and those of our suppliers. Such weather events may also adversely impact the financial condition of our customers, and thereby reduce demand for our products and services. Any of the foregoing could have a material adverse effect on our financial condition and results of operations.</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highly dependent upon global automobile market sales volume, which can be volatile. </w:t>
      </w:r>
      <w:r>
        <w:rPr>
          <w:rFonts w:ascii="Times New Roman" w:cs="Times New Roman" w:eastAsia="Times New Roman" w:hAnsi="Times New Roman"/>
          <w:sz w:val="18"/>
          <w:szCs w:val="18"/>
          <w:color w:val="auto"/>
        </w:rPr>
        <w:t>Because we have a high proportion of relatively</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fixed structural costs, small changes in sales volume can have a disproportionately large effect on our profitability. A number of economic and market conditions drive changes in new vehicle sales, including disruptions in the new vehicle supply chain, the availability and prices of used vehicles, levels of unemployment and inflation, availability of affordable financing, fluctuations in the cost of fuel, consumer confidence and demand for vehicles, political unrest or uncertainty, the occurrence of a public health crisis, barriers to trade and other global economic conditions. For a discussion of economic and market trends, see the "Overview" section in Part II, Item 7. MD&amp;A. If our operating environment deteriorates for these or other reasons, such as a moderate to severe recession, it could lead to a significant decrease in new vehicle sales, which could materially and adversely affect our results of operations and financial condition.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28"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and persistently high prices and uncertain availability of commodities, raw materials or other inputs used by us and our suppliers, or instability in logistics and related costs, could negatively impact our profitability. </w:t>
      </w:r>
      <w:r>
        <w:rPr>
          <w:rFonts w:ascii="Times New Roman" w:cs="Times New Roman" w:eastAsia="Times New Roman" w:hAnsi="Times New Roman"/>
          <w:sz w:val="17"/>
          <w:szCs w:val="17"/>
          <w:color w:val="auto"/>
        </w:rPr>
        <w:t>Increases in prices, including as a result of inflation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rising interest rates, for commodities, raw materials or other inputs that we and our suppliers use in manufacturing products, systems, components and parts,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such as steel, precious metals, non-ferrous metals, critical minerals or other similar raw materials, or increases in logistics and related costs, have led and may continue to lead to higher production costs for parts, components and vehicles. In addition, any increase in the cost, or reduced availability, of critical materials for our EV propulsion systems, including lithium, nickel, cobalt and certain rare earth metals, could lead to higher production costs for our EVs and could impede our ability to successfully deliver on our EV strategy. Further, increasing global demand for, and uncertain supply of, such materials could disrupt our or our suppliers’ ability to obtain such materials in a timely manner and/or could lead to increased costs. Geopolitical risk, fluctuations in supply and demand, fluctuations in interest rates, any weakening of the U.S. dollar and other economic and political factors have created and may continue to create pricing pressure for commodities, raw materials and other inputs. These inflationary pressures could, in turn, negatively impact our profitability because we may not be able to pass all of those costs on to our customers or require our suppliers to absorb such costs.</w:t>
      </w:r>
    </w:p>
    <w:p>
      <w:pPr>
        <w:spacing w:after="0" w:line="194"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in China subjects us to unique operational, competitive and regulatory risks. </w:t>
      </w:r>
      <w:r>
        <w:rPr>
          <w:rFonts w:ascii="Times New Roman" w:cs="Times New Roman" w:eastAsia="Times New Roman" w:hAnsi="Times New Roman"/>
          <w:sz w:val="18"/>
          <w:szCs w:val="18"/>
          <w:color w:val="auto"/>
        </w:rPr>
        <w:t>Our business in China is subject to aggressive competition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many of the largest global manufacturers and numerous domestic manufacturers as well as non-traditional market participants, such as domestic technology companies. In addition, our success in China depends upon our ability to adequately address unique market and consumer preferences driven by advancements related to EVs, infotainment, software-enabled connected services and other new technologies. Our ability to fully deploy our technologies in China may be impacted by evolving laws and regulations in the U.S. and China. Increased competition, continued U.S.-China trade tensions or weakening economic conditions in China, among other factors, may result in cost increases, price reductions, reduced sales, profitability and margins, and challenges to gaining or holding market share. In addition, the public health and policy response to COVID-19 in China may continue to present geopolitical, macroeconomic and operating challenges.</w:t>
      </w:r>
    </w:p>
    <w:p>
      <w:pPr>
        <w:spacing w:after="0" w:line="201"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the scope of our investments and business conducted within China. The Chinese government may adopt new regulations that may impact entities operating in China, potentially with little advance notice. In order to maintain access to the Chinese market, we may be required to comply with significant technical and other regulatory requirements, including under such regulatory actions, that are unique to the Chinese market, at times with short notice. These actions may increase the cost of doing business in China or limit how we may do business in China, which could materially and adversely affect the profitability and financial condition of our China business.</w:t>
      </w:r>
    </w:p>
    <w:p>
      <w:pPr>
        <w:spacing w:after="0" w:line="192"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benefit from many ongoing strategic business relationships, and a significant amount of our operations are conducted by joint ventures, which we cannot operate solely for our benefit. </w:t>
      </w:r>
      <w:r>
        <w:rPr>
          <w:rFonts w:ascii="Times New Roman" w:cs="Times New Roman" w:eastAsia="Times New Roman" w:hAnsi="Times New Roman"/>
          <w:sz w:val="17"/>
          <w:szCs w:val="17"/>
          <w:color w:val="auto"/>
        </w:rPr>
        <w:t>We are engaged in many strategic business relationships, and we expect that such arrangements will continue to be an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important factor in the growth and success of our business, particularly in light of industry consolidation. However, there are no assurances that we will be able to identify or secure suitable business relationships in the future or that our competitors will not capitalize on such opportunities before we do, or that any strategic business relationships that we enter into will be successful. If we are unable to successfully source and execute on strategic business relationships in the future, our overall growth could be impaired, and our business, prospects and results of operations could be materially adversely affected. In particular, to secure critical materials for production of EVs, we have entered, and plan to continue to enter, into offtake agreements with raw material suppliers and make investments in certain raw material suppliers. The terms of these offtake agreements may obligate us to purchase defined quantities of output over a specified period of time, subject to certain conditions. If we are unable to utilize or otherwise monetize the raw materials we are obligated to purchase under these offtake agreements, it could materially adversely affect our cash flows and increase our inventory.</w:t>
      </w:r>
    </w:p>
    <w:p>
      <w:pPr>
        <w:spacing w:after="0" w:line="212"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In addition, many of our operations, primarily in China and Korea as well as certain of our battery manufacturing operations in the U.S. and Canada,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Further, some of the benefits from a successful joint venture are shared among the co-owners, therefore we do not receive all the benefits from our successful joint ventures.</w:t>
      </w:r>
    </w:p>
    <w:p>
      <w:pPr>
        <w:spacing w:after="0" w:line="197"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or the failure to satisfy contractual obligations by one or more parties. Moreover, a joint venture may not be subject to the same financial reporting, corporate governance, or compliance approaches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that we follow. To the extent another party makes decisions that negatively impact the joint venture or internal control issues arise within the joint venture, we may have to take responsive actions, or we may be subject to penalties, fines or other punitive actions for these activities.</w:t>
      </w:r>
    </w:p>
    <w:p>
      <w:pPr>
        <w:spacing w:after="0" w:line="212" w:lineRule="exact"/>
        <w:rPr>
          <w:sz w:val="20"/>
          <w:szCs w:val="20"/>
          <w:color w:val="auto"/>
        </w:rPr>
      </w:pPr>
    </w:p>
    <w:p>
      <w:pPr>
        <w:jc w:val="both"/>
        <w:ind w:firstLine="161"/>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international scale and footprint of our operations expose us to additional risks. </w:t>
      </w:r>
      <w:r>
        <w:rPr>
          <w:rFonts w:ascii="Times New Roman" w:cs="Times New Roman" w:eastAsia="Times New Roman" w:hAnsi="Times New Roman"/>
          <w:sz w:val="18"/>
          <w:szCs w:val="18"/>
          <w:color w:val="auto"/>
        </w:rPr>
        <w:t>We manufacture, sell and service products globally and rely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which may have a material adverse effect on our financial condition or results of operations, including: (1) changes in government leadership; (2) changes in trade compliance,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(including with respect to full utilization of the incentives contemplated by the Inflation Reduction Act); (4) political uncertainty, instability, civil unrest, government controls over certain sectors (including as a result of Russia's invasion of Ukraine and related impacts of the global supply of oil and other raw materials) or human rights concerns; (5) political and economic tensions between governments and changes in international economic policies, including restrictions on the repatriation of dividends or in the export of technology, especially between China and the U.S.; (6) changes to customs requirements or procedures (e.g., inspections) or new or higher tariffs, for example, on products imported into or exported from the U.S., including under U.S. or other trade laws or measures; (7) new or evolving non-tariff barriers or domestic preference procurement requirements, or enforcement of, changes to, withdrawals from or impediments to implementing free trade agreements, or preferences of foreign nationals for domestically manufactured products; (8) changes in foreign currency exchange rates, particularly in Brazil and Argentina, and interest rates; (9) economic downturns or significant changes in conditions in the countries in which we operate; (10) differing local product preferences and product requirements, including government certification requirements related to, among other things, fuel economy, vehicle emissions, EVs and AVs, connected services and safety; (11) impact of changes to and compliance with U.S. and foreign countries’ export controls, economic sanctions and other similar measures; (12) liabilities resulting from U.S. and foreign laws and regulations, including, but not limited to, those related to the Foreign Corrupt Practices Act and certain other anti-corruption laws; (13) differing labor regulations, agreements, requirements and union relationships; (14) differing dealer and franchise regulations and relationships; (15) difficulties in obtaining financing in foreign countries for local operations; and (16) natural disasters, public health crises, including the occurrence of a contagious disease or illness, such as COVID-19, and other catastrophic events.</w:t>
      </w:r>
    </w:p>
    <w:p>
      <w:pPr>
        <w:spacing w:after="0" w:line="242" w:lineRule="exact"/>
        <w:rPr>
          <w:sz w:val="20"/>
          <w:szCs w:val="20"/>
          <w:color w:val="auto"/>
        </w:rPr>
      </w:pPr>
    </w:p>
    <w:p>
      <w:pPr>
        <w:jc w:val="both"/>
        <w:ind w:firstLine="161"/>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significant disruption at one of our manufacturing facilities could disrupt our production schedule. </w:t>
      </w:r>
      <w:r>
        <w:rPr>
          <w:rFonts w:ascii="Times New Roman" w:cs="Times New Roman" w:eastAsia="Times New Roman" w:hAnsi="Times New Roman"/>
          <w:sz w:val="18"/>
          <w:szCs w:val="18"/>
          <w:color w:val="auto"/>
        </w:rPr>
        <w:t>We assemble vehicles at various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When these or other facilities become unavailable either temporarily or permanently for any number of reasons, including labor disruptions, supply chain disruptions, the occurrence of a contagious disease or illness or catastrophic weather events, whether or not as a result of climate change, the inability to manufacture at the affected facility has resulted, and may in the future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w:t>
      </w:r>
    </w:p>
    <w:p>
      <w:pPr>
        <w:spacing w:after="0" w:line="218"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color w:val="auto"/>
        </w:rPr>
        <w:t>In addition, substantially all of our hourly employees are represented by unions and covered by collective bargaining agreements that must be negotiated from time-to-time, including at the local facility level. In 2023, our collective bargaining agreements with the UAW in the United States and Unifor in Canada, as well as collective bargaining agreements in Mexico, will expire, which will require negotiation of new agreements. As a result, we may be subject to an increased risk of strikes, work stoppages or other types of conflicts with labor unions and employees.</w:t>
      </w:r>
    </w:p>
    <w:p>
      <w:pPr>
        <w:spacing w:after="0" w:line="249" w:lineRule="exact"/>
        <w:rPr>
          <w:sz w:val="20"/>
          <w:szCs w:val="20"/>
          <w:color w:val="auto"/>
        </w:rPr>
      </w:pPr>
    </w:p>
    <w:p>
      <w:pPr>
        <w:jc w:val="both"/>
        <w:ind w:firstLine="161"/>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Disruption in our suppliers’ operations have disrupted, and could in the future disrupt, our production schedule. </w:t>
      </w:r>
      <w:r>
        <w:rPr>
          <w:rFonts w:ascii="Times New Roman" w:cs="Times New Roman" w:eastAsia="Times New Roman" w:hAnsi="Times New Roman"/>
          <w:sz w:val="18"/>
          <w:szCs w:val="18"/>
          <w:color w:val="auto"/>
        </w:rPr>
        <w:t>Our automotive operations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dependent upon the continued ability of our suppliers to deliver the systems, components, raw materials and parts that we need to manufacture our products. Our use of “just-in-time” manufacturing processes allows us to maintain minimal inventory. As a result, our ability to maintain production is dependent upon our suppliers delivering sufficient quantities of systems, components, raw materials and parts on time to meet our production schedules. In some instances, we purchase systems, components, raw materials and parts that are ultimately derived from a single source and may be at an increased risk for supply disruptions. Any number of factors, including labor disruptions, catastrophic weather events, the occurrence of a public health crisis, such as a global pandemic, contractual or other disputes, unfavorable economic or industry conditions, delivery delays or other performance problems or financial difficulties or solvency problems, could disrupt our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suppliers’ operations and lead to uncertainty in our supply chain or cause supply disruptions for us, which could, in turn, disrupt our operations, including the production of certain higher margin vehicles. If the COVID-19 pandemic continues to spread or reemerges and results in a prolonged period of travel, commercial, social and other similar restrictions, we could experience continued and/or additional global supply disruptions. When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increase work-in-process inventory or suspend production entirely, which could cause a loss of revenues or an increase in working capital, which would adversely affect our profitability and financial condition.</w:t>
      </w:r>
    </w:p>
    <w:p>
      <w:pPr>
        <w:spacing w:after="0" w:line="211" w:lineRule="exact"/>
        <w:rPr>
          <w:sz w:val="20"/>
          <w:szCs w:val="20"/>
          <w:color w:val="auto"/>
        </w:rPr>
      </w:pPr>
    </w:p>
    <w:p>
      <w:pPr>
        <w:jc w:val="both"/>
        <w:ind w:firstLine="161"/>
        <w:spacing w:after="0"/>
        <w:rPr>
          <w:sz w:val="20"/>
          <w:szCs w:val="20"/>
          <w:color w:val="auto"/>
        </w:rPr>
      </w:pPr>
      <w:r>
        <w:rPr>
          <w:rFonts w:ascii="Times New Roman" w:cs="Times New Roman" w:eastAsia="Times New Roman" w:hAnsi="Times New Roman"/>
          <w:sz w:val="18"/>
          <w:szCs w:val="18"/>
          <w:color w:val="auto"/>
        </w:rPr>
        <w:t>In particular, while the global semiconductor supply shortage is easing, it has had, and is continuing to have, wide-ranging effects across multiple industries, particularly the automotive industry, and it has impacted multiple suppliers that incorporate semiconductors into the parts they supply to us. As a result, the semiconductor supply shortage has had, and depending on how long it persists, could continue to have, a material impact on our operations.</w:t>
      </w:r>
    </w:p>
    <w:p>
      <w:pPr>
        <w:spacing w:after="0" w:line="207"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and other public health crises, such as the COVID-19 pandemic, have disrupted our business and operations, and future public health crises could materially adversely impact our business, financial condition, liquidity and results of operations.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Pandemics, epidemics or disease outbreaks in the U.S. or globally, including the COVID-19 pandemic, has disrupted, and may in the future disrupt, our business, which could materially affect our results of operations, financial condition, liquidity and future expectations. Any such events may adversely impact our global supply chain and global manufacturing operations and cause us to again suspend our operations in the U.S., China and elsewhere. In particular, we could experience among other things: (1) continued or additional global supply disruptions, including a delayed recovery from the global semiconductor supply shortage; (2) labor disruptions; (3) an inability to manufacture; (4) an inability to sell to our customers; (5) a decline in showroom traffic and customer demand during and following the pandemic; (6) customer defaults on automobile loans and leases; (7) lower than expected pricing on vehicles sold at auction; and (8) an impaired ability to access credit and the capital markets. Any new pandemic or other public health crises, or future public health crises, could have a material impact on our business, financial condition and results of operations going forward.</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cybersecurity, information technology and data management practices</w:t>
      </w:r>
    </w:p>
    <w:p>
      <w:pPr>
        <w:spacing w:after="0" w:line="222" w:lineRule="exact"/>
        <w:rPr>
          <w:sz w:val="20"/>
          <w:szCs w:val="20"/>
          <w:color w:val="auto"/>
        </w:rPr>
      </w:pPr>
    </w:p>
    <w:p>
      <w:pPr>
        <w:jc w:val="both"/>
        <w:ind w:firstLine="16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Times New Roman" w:cs="Times New Roman" w:eastAsia="Times New Roman" w:hAnsi="Times New Roman"/>
          <w:sz w:val="18"/>
          <w:szCs w:val="18"/>
          <w:color w:val="auto"/>
        </w:rPr>
        <w:t>There may be instances where, notwithstanding our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intellectual 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 completely deter or prevent misappropriation or improper use of our intellectual property.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have been, and in the future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 In addition, 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w:t>
      </w:r>
    </w:p>
    <w:p>
      <w:pPr>
        <w:spacing w:after="0" w:line="210"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breaches and other disruptions to information technology systems and networked products, including connected vehicles, owned or maintained by us, GM Financial, or third-parties, such as vendors or suppliers, could interfere with our operations and could compromise the confidentiality of private customer data or our proprietary information. </w:t>
      </w:r>
      <w:r>
        <w:rPr>
          <w:rFonts w:ascii="Times New Roman" w:cs="Times New Roman" w:eastAsia="Times New Roman" w:hAnsi="Times New Roman"/>
          <w:sz w:val="18"/>
          <w:szCs w:val="18"/>
          <w:color w:val="auto"/>
        </w:rPr>
        <w:t>We rely upon information technology systems and manufacture networked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connected products, some of which are managed by third parties, to process, transmit and store electronic information and to manage or support a variety of our business processes, activities and products. Additionally, we and GM Financial collect and store sensitive data, including intellectual property and proprietary business information (including that of our dealers and suppliers), as well as personally identifiable information of our customers and employees, in data centers and on information technology networks (including networks that may be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We also face the risk of operational disruption, failure, termination or capacity constraints of any of the third parties that facilitate our business activities, including vendors, service providers, suppliers, customers, counterparties, exchanges, clearing agents, clearinghouses or other financial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intermediaries. Such parties and other third parties who provide us services or with whom we communicate could also be the source of a cyberattack on, or breach of, our operational systems, network, data or infrastructure. Despite our security measures and business continuity plans, our information technology systems and networked and connected products may be vulnerable to damage, disruptions or shutdowns caused by attacks by hackers, computer viruses, malware (including “ransomware”), phishing attacks or breaches due to errors or malfeasance by employees, contractors and others who have access to these systems and products. Techniques used in cybersecurity attacks to obtain unauthorized access, disable or sabotage information technology systems change frequently, as data breaches and other cybersecurity events have become increasingly commonplace, including as a result of the intensification of state-sponsored cybersecurity attacks during periods of geopolitical conflict, such as the ongoing conflict in Ukraine. The occurrence of any of these events could compromise the confidentiality, operational integrity and accessibility of these systems and products and the data that resides within them. Similarly, such an occurrence could result in the compromise or loss of the information processed by these systems and products. Such events could result in, among other things, the loss of proprietary data, interruptions or delays in our business operations and damage to our reputation. In addition, such events could increase the risk of claims alleging that we are non-compliant with applicable laws or regulations, subjecting us to potential liability or regulatory penalties and related costs under laws protecting the privacy of personal information; disrupt our operations; or reduce the competitive advantage we hope to derive from our investment in advanced technologies. Various events described above have occurred in the past and may occur in the future. Although impacts of past events have been immaterial, the impacts of such events in the future may be material.</w:t>
      </w:r>
    </w:p>
    <w:p>
      <w:pPr>
        <w:spacing w:after="0" w:line="200"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could impact the safety of our customers and reduce confidence in GM and our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vehicles contain complex information technology systems. These systems control various vehicle functions including engine, transmission,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safety, steering, navigation, acceleration, braking, window, door lock functions and battery and electric motors. We have designed, implemented and tested security measures intended to prevent unauthorized access to these systems. However, hackers have reportedly attempted, and may attempt in the future, to gain unauthorized access to modify, alter and use such systems to gain control of, or to change, our vehicles’ functionality, user interface and performance characteristics, or to gain access to data stored in or generated by the vehicle. Any unauthorized access to or control of our vehicles or their systems could adversely impact the safety of our customers or result in legal claims or proceedings, liability or regulatory penalties. Laws that would permit third-party access to vehicle data and related systems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could negatively affect our brand and harm our reputation, which could adversely impact our business and operating results.</w:t>
      </w:r>
    </w:p>
    <w:p>
      <w:pPr>
        <w:spacing w:after="0" w:line="198" w:lineRule="exact"/>
        <w:rPr>
          <w:sz w:val="20"/>
          <w:szCs w:val="20"/>
          <w:color w:val="auto"/>
        </w:rPr>
      </w:pPr>
    </w:p>
    <w:p>
      <w:pPr>
        <w:jc w:val="both"/>
        <w:ind w:firstLine="161"/>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enterprise data practices, including the collection, use, sharing and security of the Personal Identifiable Information of our customers, employees and suppliers, are subject to increasingly complex and restrictive regulations in all key market regions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these regulations, the failure to maintain</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compliant data practices could result in consumer complaints and regulatory inquiry, resulting in civil or criminal penalties, as well as brand impact or other harm to our business. In addition, increased consumer sensitivity to real or perceived failures in maintaining acceptable data practices could damage our reputation and deter current and potential users or customers from using our products and services. The cost of compliance with these laws and regulations will be high and is likely to increase in the future. The growing patchwork of state and country regulations imposes burdensome obligations on companies to quickly respond to consumer requests, such as requests to delete, disclose and stop selling personal information, with significant fines for noncompliance. Complying with these new laws has significantly increased, and may continue to increase, our operating costs and is driving increased complexity in our operations.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litigation</w:t>
      </w:r>
    </w:p>
    <w:p>
      <w:pPr>
        <w:spacing w:after="0" w:line="236"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and products are subject to extensive laws, regulations and policies, including those related to vehicle emissions and fuel economy standards, which can significantly increase our costs and affect how we do business. </w:t>
      </w:r>
      <w:r>
        <w:rPr>
          <w:rFonts w:ascii="Times New Roman" w:cs="Times New Roman" w:eastAsia="Times New Roman" w:hAnsi="Times New Roman"/>
          <w:sz w:val="18"/>
          <w:szCs w:val="18"/>
          <w:color w:val="auto"/>
        </w:rPr>
        <w:t>We are significantly affected by governmental regulations on a</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global basis that can increase costs related to the production of our vehicles and affect our product portfolio, particularly regulations relating to fuel economy standards and GHG emissions. Meeting or exceeding the requirements of these regulations is costly, often technologically challenging and may require phase-out of internal combustion propulsion in certain major jurisdictions, and these standards are often not harmonized across jurisdictions. We anticipate that the number and extent of these and other regulations, laws and policies, and the related costs and changes to our product portfolio, may increase significantly in the future, primarily motivated by efforts to reduce GHG emissions. Specifically, fuel economy and GHG emission regulations at the federal, state or local level or in international jurisdictions could require us to further limit the sale of certain profitable products, subsidize the sale of less profitable ones, change our manufacturing processes, pay penalties or undertake other activities that may require us to incur additional expense, which may be material. These requirements may increase the cost of, and/or diminish demand for, our vehicles. These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that could include specific sales mandates may limit or dictate the types of vehicles we sell and where we sell them, which can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affect our revenues. Refer to the “Environmental and Regulatory Matters” section of Item 1. Business for further information on regulatory and environmental requirements.</w:t>
      </w:r>
    </w:p>
    <w:p>
      <w:pPr>
        <w:spacing w:after="0" w:line="175"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We expect that to comply with fuel economy and GHG emission standards and mandates to sell specific volumes of ZEV in certain jurisdictions, we will be required to sell a significant volume of EVs, and potentially develop and implement new technologies for conventional internal combustion engines, all of which will require substantial investment and expense. 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especially for EVs,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current or future regulatory requirements.</w:t>
      </w:r>
    </w:p>
    <w:p>
      <w:pPr>
        <w:spacing w:after="0" w:line="197"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color w:val="auto"/>
        </w:rPr>
        <w:t>In the current uncertain regulatory framework, compliance costs for which we may be responsible and that are not reasonably estimable could be substantial. Alleged violations of fuel economy or emission standards could result in legal proceedings, the recall of one or more of our products, negotiated remedial actions, fines, restricted product offerings or a combination of any of those items. Any of these actions could have a material adverse effect on our profitability, financial condition and operations, including facility idling, reduced employment, increased costs and loss of revenue.</w:t>
      </w:r>
    </w:p>
    <w:p>
      <w:pPr>
        <w:spacing w:after="0" w:line="212"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color w:val="auto"/>
        </w:rPr>
        <w:t>In addition, many of our advanced technologies, including AVs, present novel issues with which domestic and foreign regulators have only limited experience, and will be subject to evolving regulatory frameworks. Any current or future regulations in these areas could impede the successful commercialization of these technologies and impact whether and how these technologies are designed and integrated into our products, and may ultimately subject us to increased costs and uncertainty.</w:t>
      </w:r>
    </w:p>
    <w:p>
      <w:pPr>
        <w:spacing w:after="0" w:line="235"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could be materially adversely affected by unusual or significant litigation, governmental investigations or other proceedings. </w:t>
      </w:r>
      <w:r>
        <w:rPr>
          <w:rFonts w:ascii="Times New Roman" w:cs="Times New Roman" w:eastAsia="Times New Roman" w:hAnsi="Times New Roman"/>
          <w:sz w:val="18"/>
          <w:szCs w:val="18"/>
          <w:color w:val="auto"/>
        </w:rPr>
        <w:t>We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proceedings in the U.S. and elsewhere involving various issues, including product liability lawsuits, warranty litigation, class action litigations alleging product defects, emissions litigation, stockholder litigation, labor and employment litigation and claims and actions arising from restructurings and divestitures of operations and assets. In addition, we are subject to governmental proceedings and investigations. A negative outcome in one or more of these legal proceedings could result in the imposition of damages, including punitive damages, fines, reputational harm, civil lawsuits and criminal penalties, interruptions of business, modification of business practices, equitable remedies and other sanctions against us or our personnel as well as legal and other costs, all of which may be significant. For a further discussion of these matters refer to Note 16 to our consolidated financial statements.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costs and effect on our reputation of product safety recalls and alleged defects in products and services could materially adversely affect our</w:t>
      </w:r>
    </w:p>
    <w:p>
      <w:pPr>
        <w:spacing w:after="0" w:line="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w:t>
      </w:r>
      <w:r>
        <w:rPr>
          <w:rFonts w:ascii="Times New Roman" w:cs="Times New Roman" w:eastAsia="Times New Roman" w:hAnsi="Times New Roman"/>
          <w:sz w:val="18"/>
          <w:szCs w:val="18"/>
          <w:color w:val="auto"/>
        </w:rPr>
        <w:t>Government safety standards require manufacturers to remedy certain product safety defects through recall campaigns and vehicle repurchases.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these standards, we could be subject to civil or criminal penalties or may incur various costs, including significant costs for repairs made at no cost to the consumer.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AVs, whether raised internally or by regulators or consumer advocates, and whether or not based on scientific evidence or supported by data, can result in product delays, recalls, field actions, lost sales, governmental investigations, regulatory action, private claims, lawsuits and settlements and reputational damage. These circumstances can also result in damage to brand image, brand equity and consumer trust in our products and ability to lead the disruption occurring in the automotive industry.</w:t>
      </w:r>
    </w:p>
    <w:p>
      <w:pPr>
        <w:spacing w:after="0" w:line="215"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color w:val="auto"/>
        </w:rPr>
        <w:t>We currently source a variety of systems, components, raw materials and parts from third parties. From time to time these items may have performance or quality issues that could harm our reputation and cause us to incur significant costs, particularly 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208" w:lineRule="exact"/>
        <w:rPr>
          <w:sz w:val="20"/>
          <w:szCs w:val="20"/>
          <w:color w:val="auto"/>
        </w:rPr>
      </w:pPr>
    </w:p>
    <w:p>
      <w:pPr>
        <w:jc w:val="both"/>
        <w:ind w:firstLine="161"/>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incur additional tax expense or become subject to additional tax exposure. </w:t>
      </w:r>
      <w:r>
        <w:rPr>
          <w:rFonts w:ascii="Times New Roman" w:cs="Times New Roman" w:eastAsia="Times New Roman" w:hAnsi="Times New Roman"/>
          <w:sz w:val="18"/>
          <w:szCs w:val="18"/>
          <w:color w:val="auto"/>
        </w:rPr>
        <w:t>We are subject to the tax laws and regulations of the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countries in which we do business, the possibility of adverse determinations with respect to the application of existing laws (in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particular with respect to full realization of the incentives contemplated by the Inflation Reduction Act),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adversely affected.</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Automotive Financing - GM Financial</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We rely on GM Financial to provide financial services to our customers and dealers. </w:t>
      </w:r>
      <w:r>
        <w:rPr>
          <w:rFonts w:ascii="Times New Roman" w:cs="Times New Roman" w:eastAsia="Times New Roman" w:hAnsi="Times New Roman"/>
          <w:sz w:val="18"/>
          <w:szCs w:val="18"/>
          <w:color w:val="auto"/>
        </w:rPr>
        <w:t>GM Financial faces a number of business, economic and financial</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12"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The primary factors that could adversely affect GM Financial’s business and operations and reduce its ability to provide financing services at competitive rates include the sufficiency, availability and cost of sources of financing,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currencies; competition for customers from commercial banks, credit unions and other financing and leasing companies; and changes to regulation, supervision, enforcement and licensing across various jurisdictions.</w:t>
      </w:r>
    </w:p>
    <w:p>
      <w:pPr>
        <w:spacing w:after="0" w:line="212" w:lineRule="exact"/>
        <w:rPr>
          <w:sz w:val="20"/>
          <w:szCs w:val="20"/>
          <w:color w:val="auto"/>
        </w:rPr>
      </w:pPr>
    </w:p>
    <w:p>
      <w:pPr>
        <w:jc w:val="both"/>
        <w:ind w:firstLine="161"/>
        <w:spacing w:after="0" w:line="232" w:lineRule="auto"/>
        <w:rPr>
          <w:sz w:val="20"/>
          <w:szCs w:val="20"/>
          <w:color w:val="auto"/>
        </w:rPr>
      </w:pPr>
      <w:r>
        <w:rPr>
          <w:rFonts w:ascii="Times New Roman" w:cs="Times New Roman" w:eastAsia="Times New Roman" w:hAnsi="Times New Roman"/>
          <w:sz w:val="18"/>
          <w:szCs w:val="18"/>
          <w:color w:val="auto"/>
        </w:rPr>
        <w:t>In addition, GM Financial has certain floating-rate obligations, hedging transactions and floating-rate dealer loans that determine their applicable interest rate or payment amount by reference to the London Interbank Offered Rate (LIBOR). The United Kingdom Financial Conduct Authority, which regulates LIBOR, has announced that it will no longer persuade or compel banks to submit rates for the calculation of LIBOR. In March 2021, the ICE Benchmark Administration Limited, the administrator of LIBOR, extended the transition dates of certain U.S. Dollar LIBOR tenors to June 30, 2023, after which LIBOR reference rates will cease to be provided. Despite this deferral, the LIBOR administrator has advised that no new contracts using U.S. Dollar LIBOR should be entered into after December 31, 2021. It is unknown whether LIBOR will continue to be published by its administrator based on continued bank submissions or on any other basis, after such dates. There is a risk that continued developments, modifications, or other reforms effecting the discontinuation of LIBOR may impact GM Financial's ability to manage interest rate risk effectively.</w:t>
      </w:r>
    </w:p>
    <w:p>
      <w:pPr>
        <w:spacing w:after="0" w:line="211"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defined benefit pension plans</w:t>
      </w:r>
    </w:p>
    <w:p>
      <w:pPr>
        <w:spacing w:after="0" w:line="222"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pension funding requirements could increase significantly due to a reduction in funded status as a result of a variety of factors, including weak performance of financial markets, declining interest rates, changes in laws or regulations, or changes in assumptions or investments that do not achieve adequate returns. </w:t>
      </w:r>
      <w:r>
        <w:rPr>
          <w:rFonts w:ascii="Times New Roman" w:cs="Times New Roman" w:eastAsia="Times New Roman" w:hAnsi="Times New Roman"/>
          <w:sz w:val="17"/>
          <w:szCs w:val="17"/>
          <w:color w:val="auto"/>
        </w:rPr>
        <w:t>Our employee benefit plans currently hold a significant amount of equity and fixed income securities. A detailed description of the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investment funds and strategies and our potential funding requirements are disclosed in Note 15 to our consolidated financial statements, which also describes significant concentrations of risk to the plan investments.</w:t>
      </w:r>
    </w:p>
    <w:p>
      <w:pPr>
        <w:spacing w:after="0" w:line="197"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13"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161"/>
        <w:spacing w:after="0"/>
        <w:rPr>
          <w:sz w:val="20"/>
          <w:szCs w:val="20"/>
          <w:color w:val="auto"/>
        </w:rPr>
      </w:pPr>
      <w:r>
        <w:rPr>
          <w:rFonts w:ascii="Times New Roman" w:cs="Times New Roman" w:eastAsia="Times New Roman" w:hAnsi="Times New Roman"/>
          <w:sz w:val="18"/>
          <w:szCs w:val="18"/>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2022,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207"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We have manufacturing, assembly, distribution, office or warehousing operations in 29 countries, including equity interests in associated companies, which perform manufacturing, assembly or distribution operations. The major facilities outside the U.S., which are principally vehicle manufacturing and assembly operations, are located in Brazil, Canada, China, Mexico and South Korea.</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 owns or leases facilities for administration and regional credit centers. GM Financial has 35 facilities, of which 22 are located in the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facilities outside the U.S. are located in Brazil, Canada, China and Mexico.</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16 to our consolidated financial statements is incorporated by reference into this Part I, Item 3.</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Market Information </w:t>
      </w:r>
      <w:r>
        <w:rPr>
          <w:rFonts w:ascii="Times New Roman" w:cs="Times New Roman" w:eastAsia="Times New Roman" w:hAnsi="Times New Roman"/>
          <w:sz w:val="18"/>
          <w:szCs w:val="18"/>
          <w:color w:val="auto"/>
        </w:rPr>
        <w:t>Shares of our common stock are publicly traded on the New York Stock Exchange under the symbol "GM".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Holders </w:t>
      </w:r>
      <w:r>
        <w:rPr>
          <w:rFonts w:ascii="Times New Roman" w:cs="Times New Roman" w:eastAsia="Times New Roman" w:hAnsi="Times New Roman"/>
          <w:sz w:val="18"/>
          <w:szCs w:val="18"/>
          <w:color w:val="auto"/>
        </w:rPr>
        <w:t>At January 17, 2023, we had 1.4 billion issued and outstanding shares of common stock held by 472 holders of record.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In September 2022, our Board of Directors reinstated a quarterly dividend of $0.09 per share of our common stock. We anticipate that we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declare and pay dividends on our common stock quarterly. However, the declaration of any dividend on our common stock is a matter to be acted upon by our Board of Directors in its sole discretion and will depend on various factors, including our financial condition, operating results, available cash, and current and anticipated cash needs, as described further in the "Liquidity and Capital Resources" section of the MD&amp;A.</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Stock Performance Graph </w:t>
      </w:r>
      <w:r>
        <w:rPr>
          <w:rFonts w:ascii="Times New Roman" w:cs="Times New Roman" w:eastAsia="Times New Roman" w:hAnsi="Times New Roman"/>
          <w:sz w:val="18"/>
          <w:szCs w:val="18"/>
          <w:color w:val="auto"/>
        </w:rPr>
        <w:t>The following graph compares the performance of our common stock to the Standard &amp; Poor's 500 Stock Index and the 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Jones Automobile &amp; Parts Titans 30 Index for the last five years. It assumes $100 was invested on December 31, 2017, with dividends being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-23495</wp:posOffset>
            </wp:positionV>
            <wp:extent cx="5965825" cy="3238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5825" cy="323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stock performance graph data points in dollars: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8"/>
        </w:trPr>
        <w:tc>
          <w:tcPr>
            <w:tcW w:w="4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Motors Company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2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Automobile &amp; Parts Titans 30 Index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December 31, 2022:</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6"/>
        </w:trPr>
        <w:tc>
          <w:tcPr>
            <w:tcW w:w="48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1"/>
                <w:szCs w:val="11"/>
                <w:color w:val="auto"/>
              </w:rPr>
            </w:pPr>
          </w:p>
        </w:tc>
        <w:tc>
          <w:tcPr>
            <w:tcW w:w="1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Announced</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Share(c)</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w:t>
            </w: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5"/>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through October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billion</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through November 30,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8,540,718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8,540,718</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 billion</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through 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17,604,218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17,591,600</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 billion</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26,458,361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26,132,318</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jc w:val="both"/>
        <w:ind w:left="320" w:hanging="313"/>
        <w:spacing w:after="0" w:line="251" w:lineRule="auto"/>
        <w:tabs>
          <w:tab w:leader="none" w:pos="41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issuance of common stock upon the vesting of Restricted Stock Units (RSUs) and Performance Stock Units (PSUs) relating to compensation plans. In June 2020, our shareholders approved the 2020 Long-Term Incentive Plan (LTIP), which authorizes awards of stock options, stock appreciation rights, RSUs, PSUs or other stock-based awards to selected employees, consultants, advisors and non-employee Directors of the Company. Refer to Note 22 to our consolidated financial statements for additional details on employee stock incentive plans.</w:t>
      </w:r>
    </w:p>
    <w:p>
      <w:pPr>
        <w:spacing w:after="0" w:line="2" w:lineRule="exact"/>
        <w:rPr>
          <w:rFonts w:ascii="Times New Roman" w:cs="Times New Roman" w:eastAsia="Times New Roman" w:hAnsi="Times New Roman"/>
          <w:sz w:val="16"/>
          <w:szCs w:val="16"/>
          <w:color w:val="auto"/>
        </w:rPr>
      </w:pPr>
    </w:p>
    <w:p>
      <w:pPr>
        <w:ind w:left="320" w:right="20" w:hanging="313"/>
        <w:spacing w:after="0" w:line="253" w:lineRule="auto"/>
        <w:tabs>
          <w:tab w:leader="none" w:pos="37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$5.0 billion of our common stock with no expiration date. In August 2022, the Board of Directors increased the capacity to $5.0 billion from the $3.3 billion that remained as of June 30, 2022, with no expiration date.</w:t>
      </w:r>
    </w:p>
    <w:p>
      <w:pPr>
        <w:spacing w:after="0" w:line="1"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232"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3" w:lineRule="exact"/>
        <w:rPr>
          <w:sz w:val="20"/>
          <w:szCs w:val="20"/>
          <w:color w:val="auto"/>
        </w:rPr>
      </w:pPr>
    </w:p>
    <w:p>
      <w:pPr>
        <w:jc w:val="both"/>
        <w:ind w:firstLine="16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2020 included in Item 7. Management's Discussion and Analysis of Financial Condition and Results of Operations in our </w:t>
      </w:r>
      <w:hyperlink r:id="rId41">
        <w:r>
          <w:rPr>
            <w:rFonts w:ascii="Times New Roman" w:cs="Times New Roman" w:eastAsia="Times New Roman" w:hAnsi="Times New Roman"/>
            <w:sz w:val="18"/>
            <w:szCs w:val="18"/>
            <w:u w:val="single" w:color="auto"/>
            <w:color w:val="0000FF"/>
          </w:rPr>
          <w:t>Annual Report on Form 10-K for the year ended December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into this MD&amp;A.</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Our non-GAAP measures include: earnings before interest and taxes (EBIT)-adjusted, presented net of noncontrolling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before income taxes (EBT)-adjusted for our GM Financial segment;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color w:val="auto"/>
        </w:rPr>
        <w:t>EBIT-adjusted is presented net of noncontrolling interests and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color w:val="auto"/>
        </w:rPr>
        <w:t>EPS-diluted-adjusted is used by management and can be used by investors to review our consolidated diluted EPS results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04"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color w:val="auto"/>
        </w:rPr>
        <w:t>ETR-adjusted is used by management and can be used by investors to review the consolidated effective tax rate for our core operations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color w:val="auto"/>
        </w:rPr>
        <w:t>ROIC-adjusted is used by management and can be used by investors to review our investment and capital allocation decisions. We define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color w:val="auto"/>
        </w:rPr>
        <w:t>Adjusted automotive free cash flow is used by management and can be used by investors to review the liquidity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stockholders under U.S. GAAP to EBIT-adjusted:</w:t>
      </w: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Cruise compensation modifications(a)</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Russia exit(b)</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Buick dealer strategy(c)</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 royalty matters(d)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GM Brazil indirect tax matters(e)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Cadillac dealer strategy(f)</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GM Korea wage litigation(g)</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GMI restructuring(h)</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Ignition switch recall and related legal matters(i)</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one-time modification of Cruise stock incentive awards.</w:t>
      </w:r>
    </w:p>
    <w:p>
      <w:pPr>
        <w:spacing w:after="0" w:line="3" w:lineRule="exact"/>
        <w:rPr>
          <w:rFonts w:ascii="Times New Roman" w:cs="Times New Roman" w:eastAsia="Times New Roman" w:hAnsi="Times New Roman"/>
          <w:sz w:val="16"/>
          <w:szCs w:val="16"/>
          <w:color w:val="auto"/>
        </w:rPr>
      </w:pPr>
    </w:p>
    <w:p>
      <w:pPr>
        <w:ind w:left="320" w:right="100" w:hanging="313"/>
        <w:spacing w:after="0" w:line="253"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shutdown of our Russia business including the write off of our net investment and release of accumulated translation losses into earnings.</w:t>
      </w:r>
    </w:p>
    <w:p>
      <w:pPr>
        <w:spacing w:after="0" w:line="1" w:lineRule="exact"/>
        <w:rPr>
          <w:rFonts w:ascii="Times New Roman" w:cs="Times New Roman" w:eastAsia="Times New Roman" w:hAnsi="Times New Roman"/>
          <w:sz w:val="16"/>
          <w:szCs w:val="16"/>
          <w:color w:val="auto"/>
        </w:rPr>
      </w:pPr>
    </w:p>
    <w:p>
      <w:pPr>
        <w:jc w:val="both"/>
        <w:ind w:left="320" w:right="100" w:hanging="313"/>
        <w:spacing w:after="0" w:line="250" w:lineRule="auto"/>
        <w:tabs>
          <w:tab w:leader="none" w:pos="3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strategic activities to transition certain Buick dealers out of our dealer network as part of Buick’s EV strategy. In 2023, we expect to incur additional charges as we continue to optimize our Buick dealer network. The ultimate amount of any future charges will depend on negotiations with our dealers.</w:t>
      </w:r>
    </w:p>
    <w:p>
      <w:pPr>
        <w:spacing w:after="0" w:line="2" w:lineRule="exact"/>
        <w:rPr>
          <w:rFonts w:ascii="Times New Roman" w:cs="Times New Roman" w:eastAsia="Times New Roman" w:hAnsi="Times New Roman"/>
          <w:sz w:val="16"/>
          <w:szCs w:val="16"/>
          <w:color w:val="auto"/>
        </w:rPr>
      </w:pPr>
    </w:p>
    <w:p>
      <w:pPr>
        <w:ind w:left="320" w:right="120" w:hanging="313"/>
        <w:spacing w:after="0" w:line="253"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certain royalties accrued with respect to past-year vehicle sales in 2021 and the resolution of substantially all of these matters in 2022.</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a settlement with third parties relating to retrospective recoveries of indirect taxes in Brazil realized in prior periods.</w:t>
      </w:r>
    </w:p>
    <w:p>
      <w:pPr>
        <w:spacing w:after="0" w:line="7" w:lineRule="exact"/>
        <w:rPr>
          <w:rFonts w:ascii="Times New Roman" w:cs="Times New Roman" w:eastAsia="Times New Roman" w:hAnsi="Times New Roman"/>
          <w:sz w:val="16"/>
          <w:szCs w:val="16"/>
          <w:color w:val="auto"/>
        </w:rPr>
      </w:pPr>
    </w:p>
    <w:p>
      <w:pPr>
        <w:ind w:left="320" w:right="100" w:hanging="313"/>
        <w:spacing w:after="0" w:line="251"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Cadillac dealers out of our dealer network as part of Cadillac's EV strategy.</w:t>
      </w:r>
    </w:p>
    <w:p>
      <w:pPr>
        <w:ind w:left="320" w:right="100" w:hanging="313"/>
        <w:spacing w:after="0" w:line="253"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events associated with Supreme Court of the Republic of Korea (Korea Supreme Court) decisions related to our salaried workers.</w:t>
      </w:r>
    </w:p>
    <w:p>
      <w:pPr>
        <w:spacing w:after="0" w:line="1" w:lineRule="exact"/>
        <w:rPr>
          <w:rFonts w:ascii="Times New Roman" w:cs="Times New Roman" w:eastAsia="Times New Roman" w:hAnsi="Times New Roman"/>
          <w:sz w:val="16"/>
          <w:szCs w:val="16"/>
          <w:color w:val="auto"/>
        </w:rPr>
      </w:pPr>
    </w:p>
    <w:p>
      <w:pPr>
        <w:jc w:val="both"/>
        <w:ind w:left="320" w:right="100" w:hanging="313"/>
        <w:spacing w:after="0" w:line="250"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adjustments primarily consist of dealer restructurings, asset impairments, inventory provisions and employee separation charges in Australia, New Zealand, Thailand and India.</w:t>
      </w:r>
    </w:p>
    <w:p>
      <w:pPr>
        <w:spacing w:after="0" w:line="2"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events associated with the ignition switch recall.</w:t>
      </w: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r>
      <w:tr>
        <w:trPr>
          <w:trHeight w:val="195"/>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adjustments(c)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 adjustment(d)</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6" w:lineRule="exact"/>
        <w:rPr>
          <w:sz w:val="20"/>
          <w:szCs w:val="20"/>
          <w:color w:val="auto"/>
        </w:rPr>
      </w:pPr>
    </w:p>
    <w:p>
      <w:pPr>
        <w:ind w:left="340" w:hanging="333"/>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 for adjustment details.</w:t>
      </w:r>
    </w:p>
    <w:p>
      <w:pPr>
        <w:spacing w:after="0" w:line="13" w:lineRule="exact"/>
        <w:rPr>
          <w:rFonts w:ascii="Times New Roman" w:cs="Times New Roman" w:eastAsia="Times New Roman" w:hAnsi="Times New Roman"/>
          <w:sz w:val="16"/>
          <w:szCs w:val="16"/>
          <w:color w:val="auto"/>
        </w:rPr>
      </w:pPr>
    </w:p>
    <w:p>
      <w:pPr>
        <w:ind w:left="360" w:hanging="353"/>
        <w:spacing w:after="0" w:line="227" w:lineRule="auto"/>
        <w:tabs>
          <w:tab w:leader="none" w:pos="3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ind w:left="420" w:hanging="413"/>
        <w:spacing w:after="0"/>
        <w:tabs>
          <w:tab w:leader="none" w:pos="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2022, the adjustment consists of tax benefit related to the release of a valuation allowance against deferred tax assets considered</w:t>
      </w:r>
    </w:p>
    <w:p>
      <w:pPr>
        <w:spacing w:after="0" w:line="4" w:lineRule="exact"/>
        <w:rPr>
          <w:sz w:val="20"/>
          <w:szCs w:val="20"/>
          <w:color w:val="auto"/>
        </w:rPr>
      </w:pPr>
    </w:p>
    <w:p>
      <w:pPr>
        <w:jc w:val="both"/>
        <w:ind w:left="320"/>
        <w:spacing w:after="0" w:line="238" w:lineRule="auto"/>
        <w:rPr>
          <w:sz w:val="20"/>
          <w:szCs w:val="20"/>
          <w:color w:val="auto"/>
        </w:rPr>
      </w:pPr>
      <w:r>
        <w:rPr>
          <w:rFonts w:ascii="Times New Roman" w:cs="Times New Roman" w:eastAsia="Times New Roman" w:hAnsi="Times New Roman"/>
          <w:sz w:val="16"/>
          <w:szCs w:val="16"/>
          <w:color w:val="auto"/>
        </w:rPr>
        <w:t>realizable as a result of Cruise tax reconsolidation. In the year ended December 31, 2021, the adjustments consist of tax benefits related to a deduction for an investment in a subsidiary and resolution of uncertainty relating to an indirect tax refund claim in Brazil, partially offset by tax expense related to the establishment of a valuation allowance against Cruise deferred tax assets. In the year ended December 31, 2020, the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p>
    <w:p>
      <w:pPr>
        <w:ind w:left="320" w:hanging="313"/>
        <w:spacing w:after="0" w:line="272" w:lineRule="auto"/>
        <w:tabs>
          <w:tab w:leader="none" w:pos="37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deemed dividend related to the redemption of Cruise preferred shares from SoftBank Vision Fund (AIV M2) L.P. (SoftBank) in the year ended December 31, 2022.</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1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4"/>
        </w:trPr>
        <w:tc>
          <w:tcPr>
            <w:tcW w:w="1720" w:type="dxa"/>
            <w:vAlign w:val="bottom"/>
          </w:tcPr>
          <w:p>
            <w:pPr>
              <w:spacing w:after="0"/>
              <w:rPr>
                <w:sz w:val="11"/>
                <w:szCs w:val="11"/>
                <w:color w:val="auto"/>
              </w:rPr>
            </w:pPr>
          </w:p>
        </w:tc>
        <w:tc>
          <w:tcPr>
            <w:tcW w:w="11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6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00" w:type="dxa"/>
            <w:vAlign w:val="bottom"/>
          </w:tcPr>
          <w:p>
            <w:pPr>
              <w:spacing w:after="0"/>
              <w:rPr>
                <w:sz w:val="11"/>
                <w:szCs w:val="11"/>
                <w:color w:val="auto"/>
              </w:rPr>
            </w:pPr>
          </w:p>
        </w:tc>
        <w:tc>
          <w:tcPr>
            <w:tcW w:w="780" w:type="dxa"/>
            <w:vAlign w:val="bottom"/>
          </w:tcPr>
          <w:p>
            <w:pPr>
              <w:jc w:val="center"/>
              <w:ind w:right="23"/>
              <w:spacing w:after="0" w:line="13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00" w:type="dxa"/>
            <w:vAlign w:val="bottom"/>
          </w:tcPr>
          <w:p>
            <w:pPr>
              <w:spacing w:after="0"/>
              <w:rPr>
                <w:sz w:val="11"/>
                <w:szCs w:val="11"/>
                <w:color w:val="auto"/>
              </w:rPr>
            </w:pPr>
          </w:p>
        </w:tc>
        <w:tc>
          <w:tcPr>
            <w:tcW w:w="760" w:type="dxa"/>
            <w:vAlign w:val="bottom"/>
          </w:tcPr>
          <w:p>
            <w:pPr>
              <w:jc w:val="right"/>
              <w:ind w:right="3"/>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Income tax</w:t>
            </w:r>
          </w:p>
        </w:tc>
        <w:tc>
          <w:tcPr>
            <w:tcW w:w="120" w:type="dxa"/>
            <w:vAlign w:val="bottom"/>
          </w:tcPr>
          <w:p>
            <w:pPr>
              <w:spacing w:after="0"/>
              <w:rPr>
                <w:sz w:val="11"/>
                <w:szCs w:val="11"/>
                <w:color w:val="auto"/>
              </w:rPr>
            </w:pPr>
          </w:p>
        </w:tc>
        <w:tc>
          <w:tcPr>
            <w:tcW w:w="980" w:type="dxa"/>
            <w:vAlign w:val="bottom"/>
          </w:tcPr>
          <w:p>
            <w:pPr>
              <w:jc w:val="right"/>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Effective tax</w:t>
            </w:r>
          </w:p>
        </w:tc>
      </w:tr>
      <w:tr>
        <w:trPr>
          <w:trHeight w:val="195"/>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40" w:type="dxa"/>
            <w:vAlign w:val="bottom"/>
          </w:tcPr>
          <w:p>
            <w:pPr>
              <w:spacing w:after="0"/>
              <w:rPr>
                <w:sz w:val="16"/>
                <w:szCs w:val="16"/>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Pr>
          <w:p>
            <w:pPr>
              <w:spacing w:after="0"/>
              <w:rPr>
                <w:sz w:val="16"/>
                <w:szCs w:val="16"/>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98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5"/>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12,716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28"/>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adjustments(b)</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13,818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13,442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18.4 %</w:t>
            </w:r>
          </w:p>
        </w:tc>
      </w:tr>
      <w:tr>
        <w:trPr>
          <w:trHeight w:val="20"/>
        </w:trPr>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6" w:lineRule="exact"/>
        <w:rPr>
          <w:sz w:val="20"/>
          <w:szCs w:val="20"/>
          <w:color w:val="auto"/>
        </w:rPr>
      </w:pPr>
    </w:p>
    <w:p>
      <w:pPr>
        <w:jc w:val="both"/>
        <w:ind w:left="320" w:hanging="313"/>
        <w:spacing w:after="0" w:line="250" w:lineRule="auto"/>
        <w:tabs>
          <w:tab w:leader="none" w:pos="36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 for adjustment details. Net income attributable to noncontrolling interests for these adjustments is included in the years ended December 31, 2022 and 2021. The tax effect of each adjustment is determined based on the tax laws and valuation allowance status of the jurisdiction to which the adjustment relates.</w:t>
      </w:r>
    </w:p>
    <w:p>
      <w:pPr>
        <w:spacing w:after="0" w:line="2"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this section of the MD&amp;A for adjustment details.</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66.6</w:t>
            </w:r>
          </w:p>
        </w:tc>
        <w:tc>
          <w:tcPr>
            <w:tcW w:w="4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7"/>
              </w:rPr>
              <w:t>17.7 %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6" w:lineRule="exact"/>
        <w:rPr>
          <w:sz w:val="20"/>
          <w:szCs w:val="20"/>
          <w:color w:val="auto"/>
        </w:rPr>
      </w:pPr>
    </w:p>
    <w:p>
      <w:pPr>
        <w:ind w:left="340" w:hanging="333"/>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34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w:t>
            </w:r>
          </w:p>
        </w:tc>
      </w:tr>
      <w:tr>
        <w:trPr>
          <w:trHeight w:val="22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66.6</w:t>
            </w:r>
          </w:p>
        </w:tc>
        <w:tc>
          <w:tcPr>
            <w:tcW w:w="4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43.3</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27.8</w:t>
            </w:r>
          </w:p>
        </w:tc>
      </w:tr>
      <w:tr>
        <w:trPr>
          <w:trHeight w:val="22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900" w:type="dxa"/>
            <w:vAlign w:val="bottom"/>
          </w:tcPr>
          <w:p>
            <w:pPr>
              <w:spacing w:after="0"/>
              <w:rPr>
                <w:sz w:val="19"/>
                <w:szCs w:val="19"/>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17.6</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1"/>
              </w:rPr>
              <w:t>(21.2)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(24.0)</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7"/>
              </w:rPr>
              <w:t>21.3 %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6" w:lineRule="exact"/>
        <w:rPr>
          <w:sz w:val="20"/>
          <w:szCs w:val="20"/>
          <w:color w:val="auto"/>
        </w:rPr>
      </w:pPr>
    </w:p>
    <w:p>
      <w:pPr>
        <w:ind w:left="340" w:hanging="333"/>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w:t>
      </w:r>
    </w:p>
    <w:p>
      <w:pPr>
        <w:spacing w:after="0" w:line="13"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which guides our growth-focused strategy to invest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EVs and AVs, software-enabled services and subscriptions and new business opportunities, while strengthening our market position in profitable ICE vehicles, such as trucks and SUVs. We will execute our strategy with a diverse team and a steadfast commitment to good citizenship through sustainable operations and a leading health and safety culture.</w:t>
      </w:r>
    </w:p>
    <w:p>
      <w:pPr>
        <w:spacing w:after="0" w:line="14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automotive industry and GM continue to experience supply chain and logistics disruptions from multiple suppliers that have impacted, and may continue to impact, our planned production schedules. Despite these challenges, in the second half of 2022, we experienced improved parts availability that enabled us to increase production and improve dealer inventory levels for certain vehicles.</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addition, we faced significant inflationary pressure in 2022 that resulted in approximately $5.5 billion in higher commodity and logistics costs. These increases were more than offset by strong product pricing. While we anticipate incentives to increase from the low levels in 2022, we expect product pricing to remain strong in 2023, particularly for our full-size SUVs, full-size trucks and expected new launches. We also expect commodity and logistics cost to improve, but be partially offset by costs we expect to incur as we strategically localize our battery raw materials supply chain in North America. Refer to the Consolidated Results and regional analysis sections of this MD&amp;A for additional information.</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2022, the Board of Governors of the Federal Reserve System raised interest rates to lower the rate of inflation. The higher interest rate environment did not have a material impact on our 2022 financial results, but we expect it will have an approximately $1.0 billion unfavorable impact on our results of operations in 2023, as a result of lower forecasted pension income. Refer to the Critical Accounting Estimates section of this MD&amp;A for additional information including our interest rate sensitivity analysis. We expect higher interest rates to have an immaterial impact on our Automotive interest expense in 2023, as substantially all of our debt instruments are fixed rate. For a discussion of the net interest income sensitivity of GM Financial, see Item 7A. Quantitative and Qualitative Disclosures About Market Risk. Furthermore, holding other factors constant, the higher interest rate environment may decrease the affordability of our vehicles for customers who rely on financing to purchase a vehicle.</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also face continuing market, operating and regulatory challenges in several countries across the globe due to, among other factors, competitive pressures, our product portfolio offerings, heightened emission standards, potentially weakening economic conditions, labor disruptions, foreign exchange volatility, evolving trade policy and political uncertainty. Refer to Part I, Item 1A. Risk Factors for a discussion of these challenges.</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We also continue to monitor the impact of the COVID-19 pandemic, and government actions and measures taken to prevent its spread, and the potential to affect our operations. Refer to Part I, Item 1A. Risk Factors for further discussion of these risks.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could give rise to future asset impairments or other charges, which may have a material impact on our operating results.</w:t>
      </w:r>
    </w:p>
    <w:p>
      <w:pPr>
        <w:spacing w:after="0" w:line="217"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color w:val="auto"/>
        </w:rPr>
        <w:t>On August 16, 2022, the Inflation Reduction Act of 2022 (the “Act”) was signed into law. The Act implements a new 15% corporate minimum tax based on modified U.S. financial statement net income that is effective beginning in 2023. The new corporate minimum tax is not expected to have a significant impact on our net earnings or cash flow in 2023. The Act also modified climate and clean energy corporate tax provisions, including the consumer credit for EV purchases, and beginning in 2023, new tax credits for commercial EV purchases and investments in clean energy production, supply chains and manufacturing facilities became effective. We expect to generate commercial EV tax credits and credits from our production of battery components that will increase net income and impact income tax cash payments. While waiting on pending Department of Treasury regulatory guidance, we are continuing to evaluate the ultimate impact of the tax credits on our financial results, including our net earnings and cash flow.</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2023, we expect EPS-diluted and EPS-diluted-adjusted of between $6.00 and $7.00, Net income attributable to stockholders of between $8.7 billion and $10.1 billion and EBIT-adjusted of between $10.5 billion and $12.5 billion. We do not consider the potential impact of future adjustments on our expected financial results.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tcPr>
          <w:p>
            <w:pPr>
              <w:spacing w:after="0"/>
              <w:rPr>
                <w:sz w:val="16"/>
                <w:szCs w:val="16"/>
                <w:color w:val="auto"/>
              </w:rPr>
            </w:pPr>
          </w:p>
        </w:tc>
        <w:tc>
          <w:tcPr>
            <w:tcW w:w="27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Ending December 31, 2023</w:t>
            </w:r>
          </w:p>
        </w:tc>
      </w:tr>
      <w:tr>
        <w:trPr>
          <w:trHeight w:val="25"/>
        </w:trPr>
        <w:tc>
          <w:tcPr>
            <w:tcW w:w="84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$ 8.7-10.1</w:t>
            </w:r>
          </w:p>
        </w:tc>
      </w:tr>
      <w:tr>
        <w:trPr>
          <w:trHeight w:val="228"/>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$ 10.5-12.5</w:t>
            </w:r>
          </w:p>
        </w:tc>
      </w:tr>
      <w:tr>
        <w:trPr>
          <w:trHeight w:val="20"/>
        </w:trPr>
        <w:tc>
          <w:tcPr>
            <w:tcW w:w="84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do not consider the potential future impact of adjustments on our expected financial results.</w:t>
      </w:r>
    </w:p>
    <w:p>
      <w:pPr>
        <w:spacing w:after="0" w:line="393"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17.3 million units in the year ended December 31, 2022, representing a decrease of 6.6%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2021. U.S. industry sales were 14.2 million units in the year ended December 31, 2022, representing a decrease of 7.9% compared to the corresponding period in 2021. The COVID-19 pandemic originally resulted in a contraction of total North America industry volumes in 2020 that continued through 2022. Dealer inventory remains constrained for several critical vehicles, including our full-size SUVs.</w:t>
      </w:r>
    </w:p>
    <w:p>
      <w:pPr>
        <w:spacing w:after="0" w:line="20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2.3 million units for a market share of 16.0% in the year ended December 31, 2022, representing an increase of 1.6 percentage points compared to the corresponding period in 2021.</w:t>
      </w:r>
    </w:p>
    <w:p>
      <w:pPr>
        <w:spacing w:after="0" w:line="19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2023 on the continued strength of vehicle pricing and healthy U.S. industry light vehicle demand, partially offset by elevated costs associated with commodities, raw materials and logistics. Our outlook is dependent on the pricing environment, continuing improvement of supply chain availability and overall economic conditions. As a result of supply chain disruptions in 2022, we experienced interruptions to our planned production schedules and prioritized production of our most popular and in-demand products, including our full-size trucks, full-size SUVs and EVs.</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2023, our collective bargaining agreements with the UAW in the United States and Unifor in Canada, as well as collective bargaining agreements in Mexico, will expire, which will require negotiation of new agreements. Refer to Part I, Item 1A. Risk Factors for a discussion of the risks related to any significant disruption at one of our manufacturing facilities.</w:t>
      </w:r>
    </w:p>
    <w:p>
      <w:pPr>
        <w:spacing w:after="0" w:line="199"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23.5 million units in the year ended December 31, 2022, representing a decrease of 9.2%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2021. Our total vehicle sales in China were 2.3 million units resulting in a market share of 9.8% in the year ended December 31, 2022, representing a decrease of 1.4 percentage points compared to the corresponding period in 2021. The ongoing supply chain disruptions, macro-economic impact of COVID-19 and geopolitical tensions continue to place pressure on China's automotive industry and our vehicle sales in China. Our Automotive China JVs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generated equity income of $0.7 billion in the year ended December 31, 2022. Although price competition, higher costs associated with commodities and raw materials, and a more challenging regulatory environment related to emissions, fuel consumption and NEV requirements will place pressure on our operations in China, we will continue to build upon our strong brands, network, and partnerships in China as well as drive improvements in vehicle mix and cost.</w:t>
      </w:r>
    </w:p>
    <w:p>
      <w:pPr>
        <w:spacing w:after="0" w:line="20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23.7 million units in the year ended December 31, 2022, representing an increase of 2.5% compared to the corresponding period in 2021. Our total vehicle sales outside of China were 1.0 million units for a market share of 4.0% in the year ended December 31, 2022, representing an increase of 0.4 percentage points compared to the corresponding period in 2021.</w:t>
      </w:r>
    </w:p>
    <w:p>
      <w:pPr>
        <w:spacing w:after="0" w:line="20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We historically operated a small import business in Russia and sold GM-badged vehicles into Russia through GM’s alliance partner in Uzbekistan. GM’s direct and indirect profitability in Russia was insignificant. With Russia’s invasion of Ukraine, western sanctions on Russia have and may continue to progressively increase. In addition, reputational, legal and other concerns impacted our ability to continue to operate in Russia. In February 2022, we suspended our exports into Russia and instructed our Russian sales company to cease selling vehicles within Russia. In April 2022, we took additional actions to extend the suspension of our Russian business, including the cessation of commercial operations. In November 2022, we shut down our Russia business and recorded a $0.7 billion charge to write off our net investment and release accumulated translation losses into earnings. The predominately non-cash charge associated with our exit is considered special for EBIT-adjusted, adjusted automotive free cash flow and EPS-diluted-adjusted purposes. Currently, we do not believe any loss contingencies arising from our exit are probable and we are unable to estimate any reasonably possible losses that may result from claims that may be asserted against us by third parties, including retail customers or government authorities in Russia.</w:t>
      </w:r>
    </w:p>
    <w:p>
      <w:pPr>
        <w:spacing w:after="0" w:line="21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We continue to monitor the situation and its macroeconomic impacts on our financial position and results of operations. Although we have limited supply chain exposure to Russia and Ukraine, we are working closely with our supply base to mitigate any potential risks.</w:t>
      </w:r>
    </w:p>
    <w:p>
      <w:pPr>
        <w:spacing w:after="0" w:line="186"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Cruise </w:t>
      </w:r>
      <w:r>
        <w:rPr>
          <w:rFonts w:ascii="Times New Roman" w:cs="Times New Roman" w:eastAsia="Times New Roman" w:hAnsi="Times New Roman"/>
          <w:sz w:val="17"/>
          <w:szCs w:val="17"/>
          <w:color w:val="auto"/>
        </w:rPr>
        <w:t>Gated by safety and regulation, Cruise continues to make significant progress towards commercialization of a network of on-demand AVs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United States and globally. In 2021, Cruise received a driverless test permit from the California Public Utilities Commission (CPUC) to provide unpaid rides to the public in driverless vehicles and received approval of its Autonomous Vehicle Deployment Permit from the California Department of Motor Vehicles to commercially deploy driverless AVs. In June 2022, Cruise received the first ever Driverless Deployment Permit granted by the CPUC, which allows them to charge a fare for the driverless rides they are providing to members of the public in certain parts of San Francisco. Additionally, in September 2022, Cruise acquired regulatory permits to operate driverless ride hail services in Phoenix, Arizona and began pursuing ride hail operations in Austin, Texas. GM and Cruise are also awaiting a decision on an exemption petition that was filed with NHTSA seeking regulatory approval for the deployment of the Cruise Origin. Refer to the "Liquidity and Capital Resources" section of this MD&amp;A for information about GM's additional investment in Cruise.</w:t>
      </w:r>
    </w:p>
    <w:p>
      <w:pPr>
        <w:spacing w:after="0" w:line="200"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Summary and Outlook </w:t>
      </w:r>
      <w:r>
        <w:rPr>
          <w:rFonts w:ascii="Times New Roman" w:cs="Times New Roman" w:eastAsia="Times New Roman" w:hAnsi="Times New Roman"/>
          <w:sz w:val="18"/>
          <w:szCs w:val="18"/>
          <w:color w:val="auto"/>
        </w:rPr>
        <w:t>We believe that offering a comprehensive suite of financing products will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incremental sales of our vehicles, drive incremental GM Financial earnings and help support our sales throughout various economic cycles. GM Financial's leasing program is exposed to residual values, which are heavily dependent on used vehicle prices. Used vehicle prices were generally higher than contractual residual values in 2022, primarily due to low new vehicle inventory. In 2023, we expect used vehicle prices to continue moderating through the year as market prices on used vehicles fall below contractual residual values. The increase in used vehicle prices resulted in gains on terminations of leased vehicles of $1.2 billion in GM Financial interest, operating and other expenses for the year ended December 31, 2022, and $2.0 billion in the corresponding period in 2021. The following table summarizes the estimated residual value based on GM Financial's most recent estimates and the number of units included in GM Financial Equipment on operating leases, net by vehicle type (units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52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r>
      <w:tr>
        <w:trPr>
          <w:trHeight w:val="188"/>
        </w:trPr>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520" w:type="dxa"/>
            <w:vAlign w:val="bottom"/>
            <w:tcBorders>
              <w:top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8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4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0" w:type="dxa"/>
            <w:vAlign w:val="bottom"/>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penetration of our retail sales in the U.S. was 43% in the year ended December 31, 2022 and 44% in the corresponding period in 2021. Penetration levels vary depending on incentive financing programs available and competing third-party financing products in the market. GM Financial's prime loan originations as a percentage of total loan originations in North America was 80% in the year ended December 31, 2022 and 73% in the corresponding period in 2021. In the year ended December 31, 2022, GM Financial's revenue consisted of leased vehicle income of 61%, retail finance charge income of 32% and commercial finance charge income of 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5"/>
        </w:trPr>
        <w:tc>
          <w:tcPr>
            <w:tcW w:w="2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4"/>
        </w:trPr>
        <w:tc>
          <w:tcPr>
            <w:tcW w:w="2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23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26.7 %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Eliminations/reclassifications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and price.</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9"/>
              </w:rPr>
              <w:t>(25.4)%</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w w:val="99"/>
              </w:rPr>
              <w:t>(20.0)%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19"/>
                <w:szCs w:val="19"/>
                <w:color w:val="auto"/>
              </w:rPr>
            </w:pPr>
          </w:p>
        </w:tc>
        <w:tc>
          <w:tcPr>
            <w:tcW w:w="110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8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automotive and other cost of</w:t>
            </w: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126,892</w:t>
            </w:r>
          </w:p>
        </w:tc>
        <w:tc>
          <w:tcPr>
            <w:tcW w:w="12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100,544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(26,348)</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w w:val="99"/>
              </w:rPr>
              <w:t>(26.2)%</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most significant element of our Automotive and other cost of sales is material cost, which makes up approximately two-thirds of the total amount.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portion includes labor costs, depreciation and amortization, engineering, freight and product warranty and recall campaigns.</w:t>
      </w:r>
    </w:p>
    <w:p>
      <w:pPr>
        <w:spacing w:after="0" w:line="231"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Factors that most significantly influence a region's profitability are industry volume, market share, and the relative mix of vehicles (trucks, crossovers, cars) sold. Variable profit is a key indicator of product profitability. Variable profit is defined as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19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the year ended December 31, 2022, increased Cost was primarily due to: (1) increased material and freight costs of $5.5 billion; (2) increased costs of $1.1 billion primarily related to parts and accessories; (3) increased manufacturing costs of $1.1 billion; (4) increased engineering costs of $1.0 billion primarily related to accelerating our EV portfolio and an increase in development costs as Cruise progresses towards the commercialization of a network of on-demand AVs in the United States and globally; and (5) increased costs of $0.8 billion related to modification of Cruise stock incentive awards; partially offset by (6) decreased campaigns and other warranty-related costs of $0.4 billion; and (7) a decrease of $0.4 billion related to the resolution of substantially all patent royalty matters accrued with respect to past-year vehicle sales. In the year ended December 31, 2022, favorable Other was due to the weakening of the Korean Won and other currencies against the U.S. Dollar, partially offset by the strengthening of the Brazilian Real and other currencies against the U.S. Dollar.</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5"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4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2022, Automotive and other selling, general and administrative expense increased primarily due to: (1) increased advertising, selling, and administrative costs of $1.3 billion; (2) charges of $0.5 billion for strategic activities related to Buick dealerships; and (3) increased costs of $0.3 billion related to modification of Cruise stock incentive awards.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0" w:type="dxa"/>
            <w:vAlign w:val="bottom"/>
          </w:tcPr>
          <w:p>
            <w:pPr>
              <w:spacing w:after="0"/>
              <w:rPr>
                <w:sz w:val="1"/>
                <w:szCs w:val="1"/>
                <w:color w:val="auto"/>
              </w:rPr>
            </w:pPr>
          </w:p>
        </w:tc>
      </w:tr>
      <w:tr>
        <w:trPr>
          <w:trHeight w:val="136"/>
        </w:trPr>
        <w:tc>
          <w:tcPr>
            <w:tcW w:w="5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2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the year ended December 31, 2022, Interest income and other non-operating income, net decreased primarily due to: (1) $0.4 billion in losses in 2022 compared to $0.3 billion in gains in 2021 related to Stellantis N.V. (Stellantis) warrants; and (2) $0.7 billion related to the shutdown of our Russia business.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0" w:type="dxa"/>
            <w:vAlign w:val="bottom"/>
          </w:tcPr>
          <w:p>
            <w:pPr>
              <w:spacing w:after="0"/>
              <w:rPr>
                <w:sz w:val="1"/>
                <w:szCs w:val="1"/>
                <w:color w:val="auto"/>
              </w:rPr>
            </w:pPr>
          </w:p>
        </w:tc>
      </w:tr>
      <w:tr>
        <w:trPr>
          <w:trHeight w:val="136"/>
        </w:trPr>
        <w:tc>
          <w:tcPr>
            <w:tcW w:w="5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4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2022, Income tax expense decreased primarily due to Cruise valuation allowance adjustments, lower effective tax rate as a result of Cruise reconsolidation and lower pre-tax income. The decrease was partially offset by absence of tax benefit related to a deduction for an investment in a subsidiary, which occurred in the year ended December 31, 2021.</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For the year ended December 31, 2022 our ETR-adjusted was 20.2%. We expect our adjusted effective tax rate to be between 16% and 18% for the year ending December 31, 2023.</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17 to our consolidated financial statements for additional information related to Income tax expense.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4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5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6"/>
                <w:szCs w:val="16"/>
                <w:color w:val="auto"/>
              </w:rPr>
            </w:pPr>
          </w:p>
        </w:tc>
        <w:tc>
          <w:tcPr>
            <w:tcW w:w="5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03"/>
        </w:trPr>
        <w:tc>
          <w:tcPr>
            <w:tcW w:w="2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128,378</w:t>
            </w:r>
          </w:p>
        </w:tc>
        <w:tc>
          <w:tcPr>
            <w:tcW w:w="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101,308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27,070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12,988</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10,318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25.9 %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194"/>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2,926</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2,308</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bl>
    <w:p>
      <w:pPr>
        <w:spacing w:after="0" w:line="3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year ended December 31, 2022,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primarily due to increased sales of crossover vehicles, passenger cars, full-size pickup trucks, vans, mid-size pickup trucks and full-size SUVs due to improved parts availability that allowed us to increase production in 2022; (2) favorable price as a result of low dealer inventory levels and strong demand for our products; and (3) favorable Other due to increased sales of parts and accessories, partially offset by the foreign currency effect resulting from the weakening of the Canadian Dollar against the U.S. Dollar; partially offset by (4) unfavorable mix associated with increased sales of crossover vehicles, passenger cars, vans and mid-size pickup trucks, partially offset by increased sales of full-size pickup trucks and full-size SUVs.</w:t>
      </w:r>
    </w:p>
    <w:p>
      <w:pPr>
        <w:spacing w:after="0" w:line="205"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The most significant factors that influence profitability are industry volume and market share. While not as significant as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and market share, another factor affecting profitability is the relative mix of vehicles sold. Trucks, crossovers and cars sold currently have a variable profit of approximately 150%, 50% and 40% of our GMNA portfolio on a weighted-average basis.</w:t>
      </w:r>
    </w:p>
    <w:p>
      <w:pPr>
        <w:spacing w:after="0" w:line="20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year ended December 31, 2022, EBIT-adjusted increased primarily due to: (1) favorable volume; and (2) favorable price; partially offset by (3) increased Cost primarily due to increased material and freight cost of $4.7 billion, increased selling, general and administrative costs of $1.2 billion, increased manufacturing cost of $0.8 billion and increased engineering cost of $0.4 billion including accelerating our EV portfolio, partially offset by a decrease in campaigns and other warranty-related costs of $0.4 billion; and (4) unfavorable mix.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2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40" w:type="dxa"/>
            <w:vAlign w:val="bottom"/>
          </w:tcPr>
          <w:p>
            <w:pPr>
              <w:spacing w:after="0"/>
              <w:rPr>
                <w:sz w:val="16"/>
                <w:szCs w:val="16"/>
                <w:color w:val="auto"/>
              </w:rPr>
            </w:pP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Mix</w:t>
            </w:r>
          </w:p>
        </w:tc>
        <w:tc>
          <w:tcPr>
            <w:tcW w:w="320" w:type="dxa"/>
            <w:vAlign w:val="bottom"/>
          </w:tcPr>
          <w:p>
            <w:pPr>
              <w:spacing w:after="0"/>
              <w:rPr>
                <w:sz w:val="16"/>
                <w:szCs w:val="16"/>
                <w:color w:val="auto"/>
              </w:rPr>
            </w:pPr>
          </w:p>
        </w:tc>
        <w:tc>
          <w:tcPr>
            <w:tcW w:w="5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6"/>
                <w:szCs w:val="16"/>
                <w:color w:val="auto"/>
              </w:rPr>
            </w:pPr>
          </w:p>
        </w:tc>
        <w:tc>
          <w:tcPr>
            <w:tcW w:w="5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15,420</w:t>
            </w:r>
          </w:p>
        </w:tc>
        <w:tc>
          <w:tcPr>
            <w:tcW w:w="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1,143</w:t>
            </w:r>
          </w:p>
        </w:tc>
        <w:tc>
          <w:tcPr>
            <w:tcW w:w="3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 Automotive</w:t>
            </w: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677</w:t>
            </w:r>
          </w:p>
        </w:tc>
        <w:tc>
          <w:tcPr>
            <w:tcW w:w="38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1,098</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(421)</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(38.3)%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 (loss)-adjusted —</w:t>
            </w: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466</w:t>
            </w:r>
          </w:p>
        </w:tc>
        <w:tc>
          <w:tcPr>
            <w:tcW w:w="3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i w:val="1"/>
                <w:iCs w:val="1"/>
                <w:color w:val="auto"/>
              </w:rPr>
              <w:t>(271)</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737</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auto"/>
            </w:tcBorders>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2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right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653</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551</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2" w:lineRule="exact"/>
        <w:rPr>
          <w:sz w:val="20"/>
          <w:szCs w:val="20"/>
          <w:color w:val="auto"/>
        </w:rPr>
      </w:pPr>
    </w:p>
    <w:p>
      <w:pPr>
        <w:jc w:val="both"/>
        <w:ind w:firstLine="161"/>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year ended December 31, 2022,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due to improved parts availability that allowed us to increase production in 2022; (2) favorable pricing across multiple vehicle lines in South America and the Middle East; and (3) favorable mix in the Middle East and Asia/Pacific, partially offset by unfavorable mix in South America; partially offset by (4) unfavorable Other primarily due to the foreign currency effect resulting from the weakening of various currencies against the U.S. dollar, partially offset by increased components, parts and accessories sales.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year ended December 31, 2022, EBIT-adjusted increased primarily due to: (1) favorable price; (2) increased net wholesale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volumes; and (3) favorable mix; partially offset by (4) unfavorable Cost primarily due to increased material and logistic costs; and (5) unfavorable Other primarily due to foreign currency effect resulting from the weakening of various currencies against the U.S. dollar and decreased equity income.</w:t>
      </w:r>
    </w:p>
    <w:p>
      <w:pPr>
        <w:spacing w:after="0" w:line="2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are accelerating the development and rollout of EVs across our brands in China in response to our commitment to an all-electric future. We operate in the Chinese market through a number of joint ventures and maintaining strong relationships with our joint venture partners is an important part of our China growth strategy.</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gridSpan w:val="9"/>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28"/>
        </w:trPr>
        <w:tc>
          <w:tcPr>
            <w:tcW w:w="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shd w:val="clear" w:color="auto" w:fill="CCEEFF"/>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2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4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20"/>
                <w:szCs w:val="20"/>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Cruise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 vs. 2021 Change</w:t>
            </w: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revenue(a)</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(loss)-adjusted(b)</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11" w:lineRule="exact"/>
        <w:rPr>
          <w:sz w:val="20"/>
          <w:szCs w:val="20"/>
          <w:color w:val="auto"/>
        </w:rPr>
      </w:pPr>
    </w:p>
    <w:p>
      <w:pPr>
        <w:ind w:left="300" w:hanging="293"/>
        <w:spacing w:after="0"/>
        <w:tabs>
          <w:tab w:leader="none" w:pos="3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reclassified to Interest income and other non-operating income, net in our consolidated income statements in each of the years ended December 31, 2022, 2021 and 2020.</w:t>
      </w:r>
    </w:p>
    <w:p>
      <w:pPr>
        <w:spacing w:after="0" w:line="8"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$1.1 billion in compensation expense in the year ended December 31, 2022 resulting from modification of the Cruise stock incentive awards.</w:t>
      </w:r>
    </w:p>
    <w:p>
      <w:pPr>
        <w:spacing w:after="0" w:line="244"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year ended December 31, 2022, EBIT (loss)-adjusted increased primarily due to an increase in development costs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progress towards the commercialization of a network of on-demand rideshare and delivery AVs in the U.S. and globally.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 vs. 2021 Change</w:t>
            </w:r>
          </w:p>
        </w:tc>
      </w:tr>
      <w:tr>
        <w:trPr>
          <w:trHeight w:val="25"/>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13,831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56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5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56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39"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year ended December 31, 2022, Total revenue decreased primarily due to decreased leased vehicle income of $1.2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 decrease in the average balance of the leased vehicles portfolio; partially offset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increased finance charge income of $0.4 billion primarily due to growth in the retail finance receivables portfolio, partially offset by a decrease in the effective yield due to increased lending to borrowers with prime credit; and an increase in the effective yield on commercial finance receivables as a result of higher benchmark rates, as well as an increase in the size of the portfolio.</w:t>
      </w:r>
    </w:p>
    <w:p>
      <w:pPr>
        <w:spacing w:after="0" w:line="193"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year ended December 31, 2022, EBT-adjusted decreased primarily due to: (1) decreased leased vehicle income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leased vehicle expenses of $0.7 billion primarily due to decreased depreciation on leased vehicles resulting from increased residual value estimates and a decrease in the size of the portfolio, decreased lease vehicle income primarily due to a decrease in the average balance of the leased vehicles portfolio, and decreased lease termination gains; (2) increased provision for loan losses of $0.4 billion primarily due to increased loan origination volume in 2022, and the reduction in reserve levels recorded in 2021 as a result of actual credit performance that was better than forecast and favorable expectations for future charge-offs and recoveries, as well as an economic forecast weighted more heavily to a weaker outlook as of December 31, 2022; and (3) increased interest expense of $0.3 billion primarily due to an increased effective rate of interest on our debt; partially offset by (4) increased finance charge income of $0.4 billion primarily due to growth in the retail finance receivables portfolio, partially offset by a decrease in the effective yield due to increased lending to borrowers with prime credit; and an increase in the effective yield on commercial finance receivables as a result of higher benchmark rates, as well as an increase in the size of the portfolio.</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74"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$11.0 billion to $13.0 billion per year through 2025; (2) payments for engineering and product development activities; (3) payments associated with previously announced vehicle recalls and any other recall-related contingencies; (4) payments to service debt and other long-term obligations, including discretionary and mandatory contributions to our pension plans; (5) payments associated with the liquidity program for holders of equity-based incentive awards issued to employees of Cruise; (6) dividend payments on our common stock that are declared by our Board of Directors; and (7) payments to purchase shares of our common stock authorized by our Board of Directors. Refer to Note 7, Note 13 and Note 15 to our consolidated financial statements for additional funding requirements for our operating leases, debt and pension plans.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21" w:lineRule="exact"/>
        <w:rPr>
          <w:sz w:val="20"/>
          <w:szCs w:val="20"/>
          <w:color w:val="auto"/>
        </w:rPr>
      </w:pPr>
    </w:p>
    <w:p>
      <w:pPr>
        <w:jc w:val="both"/>
        <w:ind w:firstLine="161"/>
        <w:spacing w:after="0" w:line="272" w:lineRule="auto"/>
        <w:rPr>
          <w:sz w:val="20"/>
          <w:szCs w:val="20"/>
          <w:color w:val="auto"/>
        </w:rPr>
      </w:pPr>
      <w:r>
        <w:rPr>
          <w:rFonts w:ascii="Times New Roman" w:cs="Times New Roman" w:eastAsia="Times New Roman" w:hAnsi="Times New Roman"/>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201"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176" w:lineRule="exact"/>
        <w:rPr>
          <w:sz w:val="20"/>
          <w:szCs w:val="20"/>
          <w:color w:val="auto"/>
        </w:rPr>
      </w:pPr>
    </w:p>
    <w:p>
      <w:pPr>
        <w:jc w:val="both"/>
        <w:ind w:firstLine="161"/>
        <w:spacing w:after="0"/>
        <w:rPr>
          <w:sz w:val="20"/>
          <w:szCs w:val="20"/>
          <w:color w:val="auto"/>
        </w:rPr>
      </w:pPr>
      <w:r>
        <w:rPr>
          <w:rFonts w:ascii="Times New Roman" w:cs="Times New Roman" w:eastAsia="Times New Roman" w:hAnsi="Times New Roman"/>
          <w:sz w:val="18"/>
          <w:szCs w:val="18"/>
          <w:color w:val="auto"/>
        </w:rPr>
        <w:t>In August 2022, our Board of Directors increased the capacity under our previously announced common stock repurchase program to $5.0 billion from the $3.3 billion that remained under the program as of June 30, 2022. During the year ended December 31, 2022, we completed $2.5 billion of repurchases under the program and retired approximately 64 million shares of our common stock.</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September 2022, we reinstated a quarterly dividend of $0.09 per share of our common stock. During the year ended December 31, 2022, we paid dividends of $0.3 billion to holders of our common stock.</w:t>
      </w:r>
    </w:p>
    <w:p>
      <w:pPr>
        <w:spacing w:after="0" w:line="189"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7"/>
          <w:szCs w:val="17"/>
          <w:color w:val="auto"/>
        </w:rPr>
        <w:t>In November 2022, Ultium Cells LLC, a wholly owned subsidiary of Ultium Cells Holding LLC, entered into a loan agreement with the U.S. Department of Energy (DOE) through the Advanced Technology Vehicles Manufacturing program, pursuant to which Ultium Cells LLC may borrow up to $2.5 billion. The proceeds of the loans will be used to finance the construction of new battery cell manufacturing facilities in the U.S. Under the terms of the loan agreement, the DOE will not have recourse on the principal and interest of the loan against General Motors Company or any of its consolidated subsidiaries.</w:t>
      </w:r>
    </w:p>
    <w:p>
      <w:pPr>
        <w:spacing w:after="0" w:line="20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December 2022, we early redeemed our $1.0 billion 5.40% senior unsecured notes with a maturity date of October 2023 and recorded an insignificant loss. Additionally, during 2022, we paid, prior to maturity, $0.5 billion of unsecured term loans in GMI.</w:t>
      </w:r>
    </w:p>
    <w:p>
      <w:pPr>
        <w:spacing w:after="0" w:line="19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January 2023, we gave notice to early redeem our $1.5 billion 4.875% senior unsecured notes with a maturity date of October 2023. The settlement of the early redemption of these senior unsecured notes is expected to occur during the first quarter of 2023 and is expected to have an immaterial impact on our 2023 results.</w:t>
      </w:r>
    </w:p>
    <w:p>
      <w:pPr>
        <w:spacing w:after="0" w:line="189"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9"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w:t>
      </w:r>
    </w:p>
    <w:p>
      <w:pPr>
        <w:spacing w:after="0" w:line="20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manage our liquidity primarily at our treasury centers as well as at certain of our significant consolidated overseas subsidiaries. Over 90% of our cash and marketable debt securities were managed within North America and at our regional treasury centers at December 31, 2022. We have used, and will continue to use, other methods including intercompany loans to utilize these funds across our global operations as needed.</w:t>
      </w:r>
    </w:p>
    <w:p>
      <w:pPr>
        <w:spacing w:after="0" w:line="20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207"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color w:val="auto"/>
        </w:rPr>
        <w:t>We use credit facilities as a mechanism to provide additional flexibility in managing our global liquidity. Our Automotive borrowing capacity under credit facilities totaled $15.5 billion at December 31, 2022 and 2021,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$0.4 billion and $0.3 billion at December 31, 2022 and 2021.</w:t>
      </w:r>
    </w:p>
    <w:p>
      <w:pPr>
        <w:spacing w:after="0" w:line="18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April 2022, we renewed our 364-day, $2.0 billion revolving credit facility allocated for the exclusive use of GM Financial, which now matures on April 4, 2023. If available capacity permits, GM Financial continues to have access to our automotive credit facilities. GM Financial did not have borrowings outstanding against any of these facilities at December 31, 2022 and 2021. We had intercompany loans from GM Financial of $0.2 billion at December 31, 2022 and 2021, which primarily consisted of commercial loans to dealers we consolidate. We did not have intercompany loans to GM Financial at December 31, 2022 and 2021. Refer to Note 5 to our consolidated financial statements for additional information.</w:t>
      </w:r>
    </w:p>
    <w:p>
      <w:pPr>
        <w:spacing w:after="0" w:line="211"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In August 2022, we issued $2.25 billion in aggregate principal amount of senior unsecured notes under our new Sustainable Finance Framework with a weighted average interest rate of 5.51% and maturity dates in 2029 and 2032. We intend to allocate an amount equal to the net proceeds from these senior unsecured notes to finance or refinance, in whole or in part, new or existing green projects, assets or activities undertaken or owned by the Company that meet one or more eligibility criteria outlined in our Sustainable Finance Framework.</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December 31, 2022 and determined we are in compliance and expect to remain in compliance in the future.</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equity ownership stake in Cruise for $2.1 billion and, separately, we made an additional $1.35 billion investment in Cruise in place of SoftBank. During the year ended December 31, 2022, we made additional investments in Cruise of $1.1 billion.</w:t>
      </w:r>
    </w:p>
    <w:p>
      <w:pPr>
        <w:spacing w:after="0" w:line="19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September 2022, we exercised our 39.7 million warrants in Stellantis. Upon exercise, the warrants converted into 69.1 million common shares of Stellantis, which we immediately sold back to Stellantis. Total net pre-tax proceeds, including dividends received, in connection with this transaction were approximately $1.1 billion.</w:t>
      </w:r>
    </w:p>
    <w:p>
      <w:pPr>
        <w:spacing w:after="0" w:line="19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$1.7 billion, $3.5 billion, and $0.8 billion on its common stock in 2022, 2021, and 2020. Future dividends from GM Financial will depend on several factors including business and economic conditions, its financial condition, earnings, liquidity requirements and leverage ratio.</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We had letters of credit outstanding under our sub-facility of $0.4 billion and $0.3 billion at December 31, 2022 and 2021.</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94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4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investment in Cruise</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SoftBank's equity stake in Cruise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sale of Stellantis common shares(a)</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senior unsecured note</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Ultium Cells Holdings LLC</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GMI unsecured term debt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2"/>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4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9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Excludes dividends received and tax withholding.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8"/>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20" w:firstLine="161"/>
        <w:spacing w:after="0" w:line="279" w:lineRule="auto"/>
        <w:rPr>
          <w:sz w:val="20"/>
          <w:szCs w:val="20"/>
          <w:color w:val="auto"/>
        </w:rPr>
      </w:pPr>
      <w:r>
        <w:rPr>
          <w:rFonts w:ascii="Times New Roman" w:cs="Times New Roman" w:eastAsia="Times New Roman" w:hAnsi="Times New Roman"/>
          <w:sz w:val="18"/>
          <w:szCs w:val="18"/>
          <w:color w:val="auto"/>
        </w:rPr>
        <w:t>In the year ended December 31, 2022, the increase in Net automotive cash provided by operating activities was primarily due to: (1) lower sales incentive payments of $4.7 billion; and (2) working capital; partially offset by (3) lower dividends received from GM Financial of $1.8 billion.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8"/>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Other(b)</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w w:val="98"/>
              </w:rPr>
              <w:t>(8.8)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$0.6 billion of proceeds for the sale of our share in Lyft, Inc. in the year ended December 31, 2020.</w:t>
      </w:r>
    </w:p>
    <w:p>
      <w:pPr>
        <w:spacing w:after="0" w:line="7" w:lineRule="exact"/>
        <w:rPr>
          <w:rFonts w:ascii="Times New Roman" w:cs="Times New Roman" w:eastAsia="Times New Roman" w:hAnsi="Times New Roman"/>
          <w:sz w:val="16"/>
          <w:szCs w:val="16"/>
          <w:color w:val="auto"/>
        </w:rPr>
      </w:pPr>
    </w:p>
    <w:p>
      <w:pPr>
        <w:jc w:val="both"/>
        <w:ind w:left="320" w:hanging="313"/>
        <w:spacing w:after="0" w:line="254" w:lineRule="auto"/>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 billion and $1.0 billion for GM's investment in Cruise in the years ended December 31, 2022 and 2021, $2.1 billion related to the redemption of Cruise preferred shares from SoftBank in the year ended December 31, 2022, $0.9 billion related to the sale of Stellantis common shares, excluding dividends received and tax withholding, in the year ended December 31, 2022, and a $0.8 billion and $0.5 billion investment in Ultium Cells Holdings LLC in the years ended December 31, 2022 and 2021.</w:t>
      </w:r>
    </w:p>
    <w:p>
      <w:pPr>
        <w:spacing w:after="0" w:line="219"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In the year ended December 31, 2022, cash used in acquisitions and liquidations of marketable securities, net increased due to acquisitions of securities and investments compared to liquidations of securities to fund operating activities and investments during the year ended December 31, 2021.</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300" w:type="dxa"/>
            <w:vAlign w:val="bottom"/>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3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8"/>
              </w:rPr>
              <w:t>(0.9)</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notes</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8"/>
              </w:rPr>
              <w:t>(2.9)</w:t>
            </w: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37"/>
              <w:spacing w:after="0"/>
              <w:rPr>
                <w:sz w:val="20"/>
                <w:szCs w:val="20"/>
                <w:color w:val="auto"/>
              </w:rPr>
            </w:pPr>
            <w:r>
              <w:rPr>
                <w:rFonts w:ascii="Times New Roman" w:cs="Times New Roman" w:eastAsia="Times New Roman" w:hAnsi="Times New Roman"/>
                <w:sz w:val="18"/>
                <w:szCs w:val="18"/>
                <w:color w:val="auto"/>
                <w:w w:val="98"/>
              </w:rPr>
              <w:t>(1.6)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right="20" w:hanging="313"/>
        <w:spacing w:after="0" w:line="267" w:lineRule="auto"/>
        <w:tabs>
          <w:tab w:leader="none" w:pos="31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 billion and $0.6 billion for dividends paid and payments to purchase common stock in the years ended December 31, 2022 and December 31, 2020, and $0.5 billion for repayments of senior unsecured notes for the years ended December 31, 2021 and 2020.</w:t>
      </w:r>
    </w:p>
    <w:p>
      <w:pPr>
        <w:spacing w:after="0" w:line="193"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For the year ended December 31, 2022, net automotive cash provided by operating activities under U.S. GAAP was $19.1 billion, capital expenditures were $9.0 billion and adjustments for management actions were $0.4 billion. For the year ended December 31, 2021, net automotive cash provided by operating activities under U.S. GAAP was $9.7 billion, capital expenditures were $7.4 billion and adjustments for management actions, were $0.3 billion.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(DBRS), Fitch Ratings (Fitch), Moody's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(Moody's) and Standard &amp; Poor's (S&amp;P). All four credit rating agencies currently rate our corporate credit at investment grade. The following table summarizes our credit ratings at January 17, 2023:</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Senior Unsecured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5"/>
        </w:trPr>
        <w:tc>
          <w:tcPr>
            <w:tcW w:w="4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DBRS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BBB-</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r>
        <w:trPr>
          <w:trHeight w:val="22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Investment Grade</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Baa2</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Baa3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388"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In January 2022, Cruise Holdings met the requirements for commercial deployment under its agreements with SoftBank, which triggered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SoftBank's obligation to purchase additional Cruise convertible preferred shares for $1.35 billion. In March 2022, GM made the additional $1.35 billion investment in Cruise in place of SoftBank following GM's acquisition of SoftBank's equity ownership stake in Cruise pursuant to the Share Purchase Agreement.</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Additionally, in March 2022, GM and Cruise announced a liquidity program for holders of equity-based incentive awards issued to the employees of Cruise pursuant to Cruise's 2018 Employee Incentive Plan, under which GM will purchase newly issued Cruise Class B Common Shares to fund the tax withholding on vested awards and GM will conduct tender offers for Cruise Class B Common Shares issued to settle vested awards. During the year ended December 31, 2022, Cruise issued approximately $0.5 billion of Cruise Class B Common Shares, primarily to us, to fund the payment of statutory tax withholding obligations resulting from the settlement or exercise of vested awards. Also, GM conducted quarterly tender offers, and paid approximately $0.6 billion in cash to settle tendered Cruise Class B Common Shares under the announced liquidity program during the year ended December 31, 2022. Refer to Note 20 to our consolidated financial statements for additional information.</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Cruise's available liquidity (dollars in billions):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 cash and cash equivalents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Cruise marketable securities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Cruise available liquidity(a)</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7" w:lineRule="exact"/>
        <w:rPr>
          <w:sz w:val="20"/>
          <w:szCs w:val="20"/>
          <w:color w:val="auto"/>
        </w:rPr>
      </w:pPr>
    </w:p>
    <w:p>
      <w:pPr>
        <w:ind w:left="320" w:hanging="313"/>
        <w:spacing w:after="0" w:line="272" w:lineRule="auto"/>
        <w:tabs>
          <w:tab w:leader="none" w:pos="31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 multi-year credit agreement between Cruise and GM Financial whereby Cruise can request to borrow, over time, up to an additional aggregate of $4.5 billion, through 2024, to fund exclusively the purchase of AVs from GM.</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28"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5"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Incentive Plan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955" cy="17018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Cruise available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$0.4 billion cash outflows related to tendered Cruise Class B Common Shares classified as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center"/>
              <w:ind w:left="551"/>
              <w:spacing w:after="0"/>
              <w:rPr>
                <w:sz w:val="20"/>
                <w:szCs w:val="20"/>
                <w:color w:val="auto"/>
              </w:rPr>
            </w:pPr>
            <w:r>
              <w:rPr>
                <w:rFonts w:ascii="Times New Roman" w:cs="Times New Roman" w:eastAsia="Times New Roman" w:hAnsi="Times New Roman"/>
                <w:sz w:val="18"/>
                <w:szCs w:val="18"/>
                <w:color w:val="auto"/>
                <w:w w:val="98"/>
              </w:rPr>
              <w:t>(1.8)</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7"/>
              </w:rPr>
              <w:t>2.4</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8"/>
              </w:rPr>
              <w:t>(0.6)</w:t>
            </w:r>
          </w:p>
        </w:tc>
      </w:tr>
      <w:tr>
        <w:trPr>
          <w:trHeight w:val="233"/>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51"/>
              <w:spacing w:after="0"/>
              <w:rPr>
                <w:sz w:val="20"/>
                <w:szCs w:val="20"/>
                <w:color w:val="auto"/>
              </w:rPr>
            </w:pPr>
            <w:r>
              <w:rPr>
                <w:rFonts w:ascii="Times New Roman" w:cs="Times New Roman" w:eastAsia="Times New Roman" w:hAnsi="Times New Roman"/>
                <w:sz w:val="18"/>
                <w:szCs w:val="18"/>
                <w:color w:val="auto"/>
                <w:w w:val="98"/>
              </w:rPr>
              <w:t>(0.1)</w:t>
            </w:r>
          </w:p>
        </w:tc>
      </w:tr>
      <w:tr>
        <w:trPr>
          <w:trHeight w:val="222"/>
        </w:trPr>
        <w:tc>
          <w:tcPr>
            <w:tcW w:w="7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551"/>
              <w:spacing w:after="0"/>
              <w:rPr>
                <w:sz w:val="20"/>
                <w:szCs w:val="20"/>
                <w:color w:val="auto"/>
              </w:rPr>
            </w:pPr>
            <w:r>
              <w:rPr>
                <w:rFonts w:ascii="Times New Roman" w:cs="Times New Roman" w:eastAsia="Times New Roman" w:hAnsi="Times New Roman"/>
                <w:sz w:val="18"/>
                <w:szCs w:val="18"/>
                <w:color w:val="auto"/>
                <w:w w:val="98"/>
              </w:rPr>
              <w:t>(0.2)</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92" w:lineRule="exact"/>
        <w:rPr>
          <w:sz w:val="20"/>
          <w:szCs w:val="20"/>
          <w:color w:val="auto"/>
        </w:rPr>
      </w:pPr>
    </w:p>
    <w:p>
      <w:pPr>
        <w:sectPr>
          <w:pgSz w:w="11900" w:h="16838" w:orient="portrait"/>
          <w:cols w:equalWidth="0" w:num="2">
            <w:col w:w="8740" w:space="720"/>
            <w:col w:w="1780"/>
          </w:cols>
          <w:pgMar w:left="320" w:top="363" w:right="339" w:bottom="1440" w:gutter="0" w:footer="0" w:header="0"/>
          <w:type w:val="continuous"/>
        </w:sectPr>
      </w:pP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7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8"/>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80" w:type="dxa"/>
            <w:vAlign w:val="bottom"/>
            <w:gridSpan w:val="2"/>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578"/>
              <w:spacing w:after="0"/>
              <w:rPr>
                <w:sz w:val="20"/>
                <w:szCs w:val="20"/>
                <w:color w:val="auto"/>
              </w:rPr>
            </w:pPr>
            <w:r>
              <w:rPr>
                <w:rFonts w:ascii="Times New Roman" w:cs="Times New Roman" w:eastAsia="Times New Roman" w:hAnsi="Times New Roman"/>
                <w:sz w:val="18"/>
                <w:szCs w:val="18"/>
                <w:color w:val="auto"/>
                <w:w w:val="97"/>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8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8"/>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2022, GM Financial's available liquidity increased primarily due to increased available borrowing capacity on unpledged eligible assets, resulting from the issuance of securitization transactions and unsecured debt. GM Financial structures liquidity to support at least six months of GM Financial's expected net cash flows, including new originations, without access to new debt financing transactions or other capital markets activity.</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 has access to $15.5 billion of our revolving credit facilities with exclusive access to the 364-day, $2.0 billion facility. Refer to the "Automotive Liquidity" section of this MD&amp;A for additional details. We have a support agreement with GM Financial which, among other things, establishes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20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December 31, 2022, secured, committed unsecured and uncommitted unsecured credit facilities totaled $26.2 billion, $0.5 billion and $1.4 billion with advances outstanding of $3.9 billion, an insignificant amount and $1.4 billion.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8"/>
              </w:rPr>
              <w:t>(1.8)</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8"/>
              </w:rPr>
              <w:t>(5.5)</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538"/>
              <w:spacing w:after="0"/>
              <w:rPr>
                <w:sz w:val="20"/>
                <w:szCs w:val="20"/>
                <w:color w:val="auto"/>
              </w:rPr>
            </w:pPr>
            <w:r>
              <w:rPr>
                <w:rFonts w:ascii="Times New Roman" w:cs="Times New Roman" w:eastAsia="Times New Roman" w:hAnsi="Times New Roman"/>
                <w:sz w:val="18"/>
                <w:szCs w:val="18"/>
                <w:color w:val="auto"/>
                <w:w w:val="98"/>
              </w:rPr>
              <w:t>(4.5)</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7"/>
              </w:rPr>
              <w:t>6.6</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the year ended December 31, 2022, Net cash provided by operating activities decreased primarily due to: (1) a decrease in leased vehicle income of $1.2 billion; and (2) a net increase in cash used in counterparty derivative collateral posting activities of $0.9 billion.</w:t>
      </w:r>
    </w:p>
    <w:p>
      <w:pPr>
        <w:spacing w:after="0" w:line="19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2022, Net cash used in investing activities increased primarily due to: (1) an increase in purchases and originations of finance receivables of $6.1 billion; (2) a decrease in collections and recoveries on finance receivables of $0.7 billion; and (3) a decrease in the proceeds from termination of leased vehicles of $0.2 billion; partially offset by (4) a decrease in purchases of leased vehicles of $2.7 billion.</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the year ended December 31, 2022, Net cash provided by financing activities increased primarily due to: (1) a decrease in debt repayments of $8.8 billion; and (2) a decrease in dividend payments of $1.8 billion; partially offset by (3) a decrease in borrowings of $4.0 billion.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LIBOR Transition </w:t>
      </w:r>
      <w:r>
        <w:rPr>
          <w:rFonts w:ascii="Times New Roman" w:cs="Times New Roman" w:eastAsia="Times New Roman" w:hAnsi="Times New Roman"/>
          <w:sz w:val="18"/>
          <w:szCs w:val="18"/>
          <w:color w:val="auto"/>
        </w:rPr>
        <w:t>As discussed in Part I, Item 1A. Risk Factors, banks will no longer be persuaded or compelled to submit rates for the calculation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GM Financial established a LIBOR transition initiative in 2019 to evaluate the potential impacts of the transition, and continues to implement strategies to mitigate the risks associated with the LIBOR discontinuation such as amending existing LIBOR-based transactions where feasible. GM Financial has only a limited amount of LIBOR-based debt outstanding that is currently scheduled to mature after June 30, 2023 and if not amendable, would utilize the Alternative Reference Rates Committee fallback process where applicable. Furthermore, GM Financial has adhered to the International Swaps and Derivatives Association’s Fallbacks Protocol and is transitioning its existing LIBOR-based derivative exposure in advance of the June 30, 2023 date when applicable LIBOR will no longer be published. For any residual exposure after the end of 2022, GM Financial expects to leverage relevant contractual and statutory solutions to transition such exposure.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consolidated financial statements are prepared in conformity with U.S. GAAP, which requires the use of estimates,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5"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Warranty and Recall Campaigns </w:t>
      </w:r>
      <w:r>
        <w:rPr>
          <w:rFonts w:ascii="Times New Roman" w:cs="Times New Roman" w:eastAsia="Times New Roman" w:hAnsi="Times New Roman"/>
          <w:sz w:val="18"/>
          <w:szCs w:val="18"/>
          <w:color w:val="auto"/>
        </w:rPr>
        <w:t>The estimates related to product warranties are established using historical information on the nature,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202" w:lineRule="exact"/>
        <w:rPr>
          <w:sz w:val="20"/>
          <w:szCs w:val="20"/>
          <w:color w:val="auto"/>
        </w:rPr>
      </w:pPr>
    </w:p>
    <w:p>
      <w:pPr>
        <w:jc w:val="both"/>
        <w:ind w:right="20" w:firstLine="161"/>
        <w:spacing w:after="0" w:line="279" w:lineRule="auto"/>
        <w:rPr>
          <w:sz w:val="20"/>
          <w:szCs w:val="20"/>
          <w:color w:val="auto"/>
        </w:rPr>
      </w:pPr>
      <w:r>
        <w:rPr>
          <w:rFonts w:ascii="Times New Roman" w:cs="Times New Roman" w:eastAsia="Times New Roman" w:hAnsi="Times New Roman"/>
          <w:sz w:val="18"/>
          <w:szCs w:val="18"/>
          <w:color w:val="auto"/>
        </w:rPr>
        <w:t>We accrue the costs related to product warranty at the time of vehicle sale and we accrue the estimated cost of recall campaigns when they are probable and estimable.</w:t>
      </w:r>
    </w:p>
    <w:p>
      <w:pPr>
        <w:spacing w:after="0" w:line="19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$0.4 billion.</w:t>
      </w:r>
    </w:p>
    <w:p>
      <w:pPr>
        <w:spacing w:after="0" w:line="211"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86"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Incentives </w:t>
      </w:r>
      <w:r>
        <w:rPr>
          <w:rFonts w:ascii="Times New Roman" w:cs="Times New Roman" w:eastAsia="Times New Roman" w:hAnsi="Times New Roman"/>
          <w:sz w:val="18"/>
          <w:szCs w:val="18"/>
          <w:color w:val="auto"/>
        </w:rPr>
        <w:t>The estimated effect of sales incentives offered to dealers and end customers is recorded as a reduction of Automotive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 incentive liability by an insignificant amount. Subsequent adjustments to incentive estimates are possible as facts and circumstances change over time, which could affect the revenue previously recognized in Automotive net sales and revenue.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 Financial Allowance for Loan Losses </w:t>
      </w:r>
      <w:r>
        <w:rPr>
          <w:rFonts w:ascii="Times New Roman" w:cs="Times New Roman" w:eastAsia="Times New Roman" w:hAnsi="Times New Roman"/>
          <w:sz w:val="17"/>
          <w:szCs w:val="17"/>
          <w:color w:val="auto"/>
        </w:rPr>
        <w:t>The GM Financial retail finance receivables portfolio consists of smaller-balance, homogeneous loans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carried at amortized cost, net of allowance for loan losses. The allowance for loan losses on retail finance receivables reflects net credit losses expected to be incurred over the remaining life of the retail finance receivables, which have a weighted average remaining life of approximately two years. GM Financial forecasts net credit losses based on relevant information about past events, current conditions and forecast economic performance. GM Financial believes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200"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GM Financial incorporates its outlook on forecast recovery rates and overall economic performance in its allowance estimate. Each 5% relative decrease/increase in the forecast recovery rates would increase/decrease the allowance for loan losses by $0.1 billion.</w:t>
      </w:r>
    </w:p>
    <w:p>
      <w:pPr>
        <w:spacing w:after="0" w:line="19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2022, the weightings applied to the economic forecast scenarios considered resulted in an allowance for loan losses on the retail finance receivables portfolio of $2.1 billion. If the forecast economic conditions were based entirely on the weakest scenario considered, the allowance for loan losses would increase by $74 million. Actual economic data and recovery rates that are lower than those forecasted by GM Financial could result in an increase to the allowance for loan losses.</w:t>
      </w:r>
    </w:p>
    <w:p>
      <w:pPr>
        <w:spacing w:after="0" w:line="20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GM Financial commercial finance receivables portfolio consists of floorplan financing as well as dealer loans, which are loans to finance improvements to dealership facilities, to provide working capital, or to purchase and/or finance dealership real estate. The allowance for loan losses on commercial finance receivables is based on historical loss experience for the consolidated portfolio, in addition to forecasted industry vehicle sales. There can be no assurance that the ultimate charge-off amount will not exceed such estimates or that GM Financial's credit loss assumptions will not increase.</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GM Financial Equipment on Operating Lease Assets and Residuals </w:t>
      </w:r>
      <w:r>
        <w:rPr>
          <w:rFonts w:ascii="Times New Roman" w:cs="Times New Roman" w:eastAsia="Times New Roman" w:hAnsi="Times New Roman"/>
          <w:sz w:val="18"/>
          <w:szCs w:val="18"/>
          <w:color w:val="auto"/>
        </w:rPr>
        <w:t>GM Financial has investments in leased vehicles recorded as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Each leased asset in the portfolio represents a vehicle that GM Financial owns and has leased to a customer. At lease inception, an estimate is made of the expected residual value for the vehicle at the end of the lease term, which typically ranges from two to five years. GM Financial estimates the expected residual value based on third-party data that considers various data points and assumptions, including, but not limited to, recent auction values, the expected future volume of returning leased vehicles, significant liquidation of rental or fleet inventory, used vehicle prices, manufacturer incentive programs and fuel prices.</w:t>
      </w:r>
    </w:p>
    <w:p>
      <w:pPr>
        <w:spacing w:after="0" w:line="209"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During the term of a lease, GM Financial periodically evaluates the estimated residual value and may adjust the value downward, which increases the prospective depreciation, or upward (limited to the contractual residual value), which decreases the prospective depreciation.</w:t>
      </w:r>
    </w:p>
    <w:p>
      <w:pPr>
        <w:spacing w:after="0" w:line="19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proceeds GM Financial receives on the disposition of the vehicle are lower than the residual value estimated at lease inception. Realization of the residual values is dependent on GM Financial's future ability to market the vehicles under prevailing market conditions.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At December 31, 2022, the estimated residual value of GM Financial's leased vehicles was $24.7 billion. Depreciation reduces the carrying value of each leased asset in GM Financial's operating lease portfolio over time from its original acquisition value to its expected residual value at the end of the lease term. If used vehicle prices weaken compared to estimates,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following table illustrates the effect of a 1% relative change in the estimated residual values at December 31, 2022, which could increase or decrease depreciation expense over the remaining term of the leased vehicle portfolio, holding all other assumptions constant (dollars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Impact to Depreciation</w:t>
            </w:r>
          </w:p>
        </w:tc>
      </w:tr>
      <w:tr>
        <w:trPr>
          <w:trHeight w:val="195"/>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impairment indicators were present at December 31, 2022 and 2021.</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Used vehicle prices decreased since the end of 2021 due to normalization of supply and demand; however, prices remain above pre-pandemic levels. In 2023, GM Financial expects used vehicle prices to continue moderating through the year.</w:t>
      </w:r>
    </w:p>
    <w:p>
      <w:pPr>
        <w:spacing w:after="0" w:line="17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and OPEB Plans </w:t>
      </w:r>
      <w:r>
        <w:rPr>
          <w:rFonts w:ascii="Times New Roman" w:cs="Times New Roman" w:eastAsia="Times New Roman" w:hAnsi="Times New Roman"/>
          <w:sz w:val="18"/>
          <w:szCs w:val="18"/>
          <w:color w:val="auto"/>
        </w:rPr>
        <w:t>Our defined benefit pension plans are accounted for on an actuarial basis, which requires the selection of various assumptions,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2022, an investment policy study was completed for the U.S. pension plans. As a result of changes to our capital market assumptions, the weighted-average long-term rate of return on assets increased from 5.4% at December 31, 2021 to 6.3% at December 31, 2022. The expected long-term rate of return on plan assets used in determining pension expense for non-U.S. plans is determined in a similar manner to the U.S. plans.</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Society of Actuaries (SOA) issued mortality improvement tables in the three months ended December 31, 2022. We reviewed our recent mortality experience and we determined our current mortality assumptions are appropriate to measure our U.S. pension and OPEB plans obligations as of December 31, 2022.</w:t>
      </w:r>
    </w:p>
    <w:p>
      <w:pPr>
        <w:spacing w:after="0" w:line="203"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$3.3 billion and $3.7 billion at December 31, 2022 and 2021. The year-over-year change is primarily due to an increase in discount rates partially offset by lower than expected asset returns.</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funded status of the U.S. pension plans improved in the year ended December 31, 2022 to $0.1 billion overfunded status from $0.3 billion underfunded status primarily due to: (1) the favorable effect of an increase in discount rates of $11.9 billion; and (2) changes in actuarial assumptions, demographic data updates and contributions of $0.3 billion; partially offset by (3) the unfavorable effect of negative actual returns on plan assets of $10.3 billion; and (4) service and interest costs of $1.5 billion.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illustrates the sensitivity to a change in certain assumptions for the pension plans, holding all other assumptions constant: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6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U.S. Plans(a)</w:t>
            </w:r>
          </w:p>
        </w:tc>
        <w:tc>
          <w:tcPr>
            <w:tcW w:w="2520" w:type="dxa"/>
            <w:vAlign w:val="bottom"/>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Non-U.S. Plans(a)</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on 2023</w:t>
            </w:r>
          </w:p>
        </w:tc>
        <w:tc>
          <w:tcPr>
            <w:tcW w:w="12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Effect on</w:t>
            </w:r>
          </w:p>
        </w:tc>
        <w:tc>
          <w:tcPr>
            <w:tcW w:w="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on 2023</w:t>
            </w:r>
          </w:p>
        </w:tc>
        <w:tc>
          <w:tcPr>
            <w:tcW w:w="12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gridSpan w:val="2"/>
            <w:vMerge w:val="continue"/>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PBO</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PBO</w:t>
            </w:r>
          </w:p>
        </w:tc>
        <w:tc>
          <w:tcPr>
            <w:tcW w:w="0" w:type="dxa"/>
            <w:vAlign w:val="bottom"/>
          </w:tcPr>
          <w:p>
            <w:pPr>
              <w:spacing w:after="0"/>
              <w:rPr>
                <w:sz w:val="1"/>
                <w:szCs w:val="1"/>
                <w:color w:val="auto"/>
              </w:rPr>
            </w:pPr>
          </w:p>
        </w:tc>
      </w:tr>
      <w:tr>
        <w:trPr>
          <w:trHeight w:val="22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expected rate of return on assets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expected rate of return on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sensitivity does not include the effects of the individual annual yield curve rates applied for the calculation of the service and interest cost.</w:t>
      </w:r>
    </w:p>
    <w:p>
      <w:pPr>
        <w:spacing w:after="0" w:line="24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9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Deferred Tax Assets </w:t>
      </w:r>
      <w:r>
        <w:rPr>
          <w:rFonts w:ascii="Times New Roman" w:cs="Times New Roman" w:eastAsia="Times New Roman" w:hAnsi="Times New Roman"/>
          <w:sz w:val="18"/>
          <w:szCs w:val="18"/>
          <w:color w:val="auto"/>
        </w:rPr>
        <w:t>The ability to realize deferred tax assets depends on the ability to generate sufficient taxable income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 Refer to Note 17 to our consolidated financial statements for additional information on the composition of valuation allowances.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3" w:lineRule="exact"/>
        <w:rPr>
          <w:sz w:val="20"/>
          <w:szCs w:val="20"/>
          <w:color w:val="auto"/>
        </w:rPr>
      </w:pPr>
    </w:p>
    <w:p>
      <w:pPr>
        <w:jc w:val="both"/>
        <w:ind w:firstLine="7"/>
        <w:spacing w:after="0" w:line="249" w:lineRule="auto"/>
        <w:tabs>
          <w:tab w:leader="none" w:pos="2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electric vehicles, that are able to attract a sufficient number of consumers; (3) our ability to profitably deliver a broad portfolio of electric vehicles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autonomous vehicles; (7) risks associated with climate change, including increased regulation of GHG emissions, our transition to electric vehicles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including the COVID-19 pandemic;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emissions and autonomous vehicles;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For a further discussion of these and other risks and uncertainties, refer to Part I, Item 1A. Risk Factors.</w:t>
      </w:r>
    </w:p>
    <w:p>
      <w:pPr>
        <w:spacing w:after="0" w:line="212" w:lineRule="exact"/>
        <w:rPr>
          <w:sz w:val="20"/>
          <w:szCs w:val="20"/>
          <w:color w:val="auto"/>
        </w:rPr>
      </w:pPr>
    </w:p>
    <w:p>
      <w:pPr>
        <w:jc w:val="both"/>
        <w:ind w:firstLine="201"/>
        <w:spacing w:after="0" w:line="248"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analyses provide quantitative information regarding exposure to foreign currency exchange rate risk and interest rate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which may significantly reduce the potential loss in value.</w:t>
      </w:r>
    </w:p>
    <w:p>
      <w:pPr>
        <w:spacing w:after="0" w:line="207"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We have foreign currency exposures related to buying, selling and financing in currencies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currencies of our operations. At December 31, 2022, our most significant foreign currency exposures were between the U.S. Dollar and the Canadian Dollar, Chinese Yuan, Korean Won, Brazilian Real, and Mexican Peso.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2022.</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net fair value liability of financial instruments with exposure to foreign currency risk was $0.2 billion and $0.7 billion at December 31, 2022 and 2021.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insignificant at December 31, 2022 and 2021.</w:t>
      </w:r>
    </w:p>
    <w:p>
      <w:pPr>
        <w:spacing w:after="0" w:line="20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and remeasurement of the results of certain international operations into U.S. Dollars as part of the consolidation process. We had foreign currency derivatives with notional amounts of $4.1 billion and $4.2 billion at December 31, 2022 and 2021. The fair value of these derivative financial instruments was insignificant. Fluctuations in foreign currency exchange rates can therefore create volatility in the results of operations and may adversely affect our financial condition.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amounts of automotive foreign currency translation and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2860" w:type="dxa"/>
            <w:vAlign w:val="bottom"/>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78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112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95"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market risk from exposure to changes in interest rates related to certain financial instruments, primarily debt,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obligations and certain marketable debt securities. We did not have any interest rate swap positions to manage interest rate exposures in our automotive operations at December 31, 2022 and 2021. The fair value of debt and finance leases was $16.8 billion and $20.6 billion at December 31, 2022 and 2021. The potential increase in fair value resulting from a 10% decrease in quoted interest rates would have been $0.8 billion and $0.6 billion at December 31, 2022 and 2021.</w:t>
      </w:r>
    </w:p>
    <w:p>
      <w:pPr>
        <w:spacing w:after="0" w:line="211" w:lineRule="exact"/>
        <w:rPr>
          <w:sz w:val="20"/>
          <w:szCs w:val="20"/>
          <w:color w:val="auto"/>
        </w:rPr>
      </w:pPr>
    </w:p>
    <w:p>
      <w:pPr>
        <w:jc w:val="both"/>
        <w:ind w:right="20" w:firstLine="161"/>
        <w:spacing w:after="0" w:line="310" w:lineRule="auto"/>
        <w:rPr>
          <w:sz w:val="20"/>
          <w:szCs w:val="20"/>
          <w:color w:val="auto"/>
        </w:rPr>
      </w:pPr>
      <w:r>
        <w:rPr>
          <w:rFonts w:ascii="Times New Roman" w:cs="Times New Roman" w:eastAsia="Times New Roman" w:hAnsi="Times New Roman"/>
          <w:sz w:val="17"/>
          <w:szCs w:val="17"/>
          <w:color w:val="auto"/>
        </w:rPr>
        <w:t>We had marketable debt securities, including those held by Cruise, of $12.2 billion and $8.6 billion classified as available-for-sale at December 31, 2022 and 2021. The potential decrease in fair value from a 50 basis point increase in interest rates would have been insignificant at December 31,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4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Fluctuations in market interest rates can affect GM Financial's gross interest rate spread, which is the difference between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5"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Quantitative Disclosure </w:t>
      </w:r>
      <w:r>
        <w:rPr>
          <w:rFonts w:ascii="Times New Roman" w:cs="Times New Roman" w:eastAsia="Times New Roman" w:hAnsi="Times New Roman"/>
          <w:sz w:val="18"/>
          <w:szCs w:val="18"/>
          <w:color w:val="auto"/>
        </w:rPr>
        <w:t>GM Financial measures the sensitivity of its net interest income to changes in interest rates by using interest rate scenarios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our analysis. Therefore, the actual impact to net interest income could be higher or lower than the results detailed in the table below. These interest rate scenarios are purely hypothetical and do not represent our view of future interest rate movements.</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2022 and 2021, GM Financial was liability-sensitive, meaning that more liabilities than assets were expected to re-price within the next 12 months. During a period of rising interest rates, the interest paid on liabilities would increase more than the interest earned on assets, which would initially decrease net interest income. During a period of falling interest rates, net interest income would be expected to initially increase. GM Financial's hedging strategies approved by its Global Asset Liability Committee are used to manage interest rate risk within policy guidelines.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GM Financial's net interest income sensitivity to interest rate movement: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increase in interest rates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decrease in interest rates(a)</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line="254" w:lineRule="auto"/>
        <w:tabs>
          <w:tab w:leader="none" w:pos="39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215"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Model Assumptions </w:t>
      </w:r>
      <w:r>
        <w:rPr>
          <w:rFonts w:ascii="Times New Roman" w:cs="Times New Roman" w:eastAsia="Times New Roman" w:hAnsi="Times New Roman"/>
          <w:sz w:val="18"/>
          <w:szCs w:val="18"/>
          <w:color w:val="auto"/>
        </w:rPr>
        <w:t>The sensitivity analysis presented is GM Financial's best estimate of the effect of the hypothetical interest rate scenarios;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207"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GM Financial is exposed to foreign currency risk due to the translation and remeasurement of the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20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2022 was insignificant.</w:t>
      </w:r>
    </w:p>
    <w:p>
      <w:pPr>
        <w:spacing w:after="0" w:line="20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GM Financial had foreign currency swaps with notional amounts of $6.9 billion and $8.2 billion at December 31, 2022 and 2021. The net fair value of these derivative financial instruments was a liability of $0.6 billion and $0.2 billion at December 31, 2022 and 2021.</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foreign currency translation and transaction and remeasurement (gains) losses: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44</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General Motors Company and subsidiaries (the Company) as of December 31, 2022 and 2021, the related consolidated statements of income, comprehensive income, cash flows, and equity for each of the three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issued by the Committee of Sponsoring Organizations of the Treadway Commission (2013 framework) and our report dated January 31,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Product warranty and recall campaigns</w:t>
            </w:r>
          </w:p>
        </w:tc>
        <w:tc>
          <w:tcPr>
            <w:tcW w:w="0" w:type="dxa"/>
            <w:vAlign w:val="bottom"/>
          </w:tcPr>
          <w:p>
            <w:pPr>
              <w:spacing w:after="0"/>
              <w:rPr>
                <w:sz w:val="1"/>
                <w:szCs w:val="1"/>
                <w:color w:val="auto"/>
              </w:rPr>
            </w:pPr>
          </w:p>
        </w:tc>
      </w:tr>
      <w:tr>
        <w:trPr>
          <w:trHeight w:val="223"/>
        </w:trPr>
        <w:tc>
          <w:tcPr>
            <w:tcW w:w="2260" w:type="dxa"/>
            <w:vAlign w:val="bottom"/>
            <w:vMerge w:val="continue"/>
          </w:tcPr>
          <w:p>
            <w:pPr>
              <w:spacing w:after="0"/>
              <w:rPr>
                <w:sz w:val="19"/>
                <w:szCs w:val="19"/>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As discussed in Note 12 to the financial statements, the liabilities for product warranty and recall campaigns amount to</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$8.5 billion at December 31, 2022. The Company accrues for costs related to product warranty at the time of vehicle</w:t>
            </w:r>
          </w:p>
        </w:tc>
        <w:tc>
          <w:tcPr>
            <w:tcW w:w="0" w:type="dxa"/>
            <w:vAlign w:val="bottom"/>
          </w:tcPr>
          <w:p>
            <w:pPr>
              <w:spacing w:after="0"/>
              <w:rPr>
                <w:sz w:val="1"/>
                <w:szCs w:val="1"/>
                <w:color w:val="auto"/>
              </w:rPr>
            </w:pPr>
          </w:p>
        </w:tc>
      </w:tr>
      <w:tr>
        <w:trPr>
          <w:trHeight w:val="233"/>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 and accrues the estimated cost of recall campaigns when they are probable and estimable.</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Auditing these liabilities involved a high degree of subjectivity in evaluating management’s estimates, due to the size,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uncertainties, and potential volatility related to the estimated liabilities. Management’s estimates consider historical</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claims experience, including the nature, frequency, and average cost of claims of each vehicle line or each model year</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the vehicle line, and the key assumptions of historical data being predictive of future activity and events, in</w:t>
            </w:r>
          </w:p>
        </w:tc>
        <w:tc>
          <w:tcPr>
            <w:tcW w:w="0" w:type="dxa"/>
            <w:vAlign w:val="bottom"/>
          </w:tcPr>
          <w:p>
            <w:pPr>
              <w:spacing w:after="0"/>
              <w:rPr>
                <w:sz w:val="1"/>
                <w:szCs w:val="1"/>
                <w:color w:val="auto"/>
              </w:rPr>
            </w:pPr>
          </w:p>
        </w:tc>
      </w:tr>
      <w:tr>
        <w:trPr>
          <w:trHeight w:val="233"/>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particular, the number of historical periods used and the weighing of historical data in the reserve studies.</w:t>
            </w:r>
          </w:p>
        </w:tc>
        <w:tc>
          <w:tcPr>
            <w:tcW w:w="0" w:type="dxa"/>
            <w:vAlign w:val="bottom"/>
          </w:tcPr>
          <w:p>
            <w:pPr>
              <w:spacing w:after="0"/>
              <w:rPr>
                <w:sz w:val="1"/>
                <w:szCs w:val="1"/>
                <w:color w:val="auto"/>
              </w:rPr>
            </w:pPr>
          </w:p>
        </w:tc>
      </w:tr>
      <w:tr>
        <w:trPr>
          <w:trHeight w:val="819"/>
        </w:trPr>
        <w:tc>
          <w:tcPr>
            <w:tcW w:w="2260" w:type="dxa"/>
            <w:vAlign w:val="bottom"/>
          </w:tcPr>
          <w:p>
            <w:pPr>
              <w:spacing w:after="0"/>
              <w:rPr>
                <w:sz w:val="24"/>
                <w:szCs w:val="24"/>
                <w:color w:val="auto"/>
              </w:rPr>
            </w:pPr>
          </w:p>
        </w:tc>
        <w:tc>
          <w:tcPr>
            <w:tcW w:w="89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55"/>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 procedures related to product warranty and recall campaigns also included, among others, evaluating the Company’s estimation methodology, the related significant assumptions and underlying data, and performing analytical procedures to corroborate cost per vehicle based on historical claims data.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incentives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Automotive sales and revenue represents the amount of consideration to which the Company expects to be entitled in exchange for transferring goods or providing services, which is net of dealer and customer sales incentives the Company expects to pay. As discussed in Note 2 to the financial statements, provisions for dealer and customer incentives are recorded as a reduction to Automotive net sales and revenue at the time of vehicle sale. The liabilities for dealer and customer allowances, claims and discounts amount to $4.8 billion at December 31, 2022.</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estimate of sales incentives involved a high degree of judgment. Significant factors used by the Company in estimating its liability for retail incentives include type of program, forecasted sales volumes,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sales incentive process, including management’s review of the estimation model, the significant assumptions (e.g., incentive cost per unit, customer take rate, and market conditions), and the data inputs used in the model.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the performance of analytical procedures to develop an independent range of the liability for retail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GM Financial Equipment on Operating Leases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The Company’s estimated residual value of leased vehicles at the end of lease term was $24.7 billion as of December 31, 2022.</w:t>
      </w:r>
    </w:p>
    <w:p>
      <w:pPr>
        <w:spacing w:after="0" w:line="200" w:lineRule="exact"/>
        <w:rPr>
          <w:sz w:val="20"/>
          <w:szCs w:val="20"/>
          <w:color w:val="auto"/>
        </w:rPr>
      </w:pPr>
    </w:p>
    <w:p>
      <w:pPr>
        <w:spacing w:after="0" w:line="36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225425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2380" w:space="280"/>
            <w:col w:w="8520"/>
          </w:cols>
          <w:pgMar w:left="320" w:top="363"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3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estimate of the residual value of leased vehicles involved a high degree of judgment. Management’s estimate is based, in part, on third-party data which considers inputs including recent auction values and significant assumptions regarding the expected future volume of leased vehicles that will be returned to the Company, used car prices, manufacturer incentive programs and fuel prices. Realization of the residual values is dependent on the future ability to market the vehicles under future prevailing market conditions.</w:t>
      </w:r>
    </w:p>
    <w:p>
      <w:pPr>
        <w:spacing w:after="0" w:line="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and data warehouses that are used in the estimation models.</w:t>
      </w:r>
    </w:p>
    <w:p>
      <w:pPr>
        <w:spacing w:after="0" w:line="200" w:lineRule="exact"/>
        <w:rPr>
          <w:sz w:val="20"/>
          <w:szCs w:val="20"/>
          <w:color w:val="auto"/>
        </w:rPr>
      </w:pPr>
    </w:p>
    <w:p>
      <w:pPr>
        <w:sectPr>
          <w:pgSz w:w="11900" w:h="16838" w:orient="portrait"/>
          <w:cols w:equalWidth="0" w:num="2">
            <w:col w:w="2380" w:space="280"/>
            <w:col w:w="8520"/>
          </w:cols>
          <w:pgMar w:left="320" w:top="363" w:right="399" w:bottom="1440" w:gutter="0" w:footer="0" w:header="0"/>
          <w:type w:val="continuous"/>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3" w:right="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General Motors Company and subsidiaries’ internal control over financial reporting as of December 31, 2022, based on criteria established in Internal Control - 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2022, based on the COSO criteria.</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cash flows and equity for each of the three years in the period ended December 31, 2022, and the related notes and our report dated January 31,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8"/>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108,673</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13,812</w:t>
            </w:r>
          </w:p>
        </w:tc>
      </w:tr>
      <w:tr>
        <w:trPr>
          <w:trHeight w:val="21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3)</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122,485</w:t>
            </w: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97,539</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11,274</w:t>
            </w: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w:t>
            </w:r>
          </w:p>
        </w:tc>
      </w:tr>
      <w:tr>
        <w:trPr>
          <w:trHeight w:val="20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117,680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115,851</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6,634</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 (Note 19)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w:t>
            </w:r>
          </w:p>
        </w:tc>
      </w:tr>
      <w:tr>
        <w:trPr>
          <w:trHeight w:val="107"/>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21)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54"/>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9"/>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20)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8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w:t>
            </w: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stockholders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11,303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4,095</w:t>
            </w:r>
          </w:p>
        </w:tc>
      </w:tr>
      <w:tr>
        <w:trPr>
          <w:trHeight w:val="23"/>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8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20,067</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debt securities (Note 4)</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and notes receivable, net of allowance of $260 and $192</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$869 and $703 (Note 5; Note 11 at VIEs)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26,649</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(Note 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 (Note 4; Note 11 at VIEs)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82,103</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$1,227 and $1,183 (Note 5; Note 11 at VIEs)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36,167</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8)</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net (Note 9)</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and intangible assets, net (Note 10)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Equipment on operating leases, net (Note 7; Note 11 at VIEs)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 (Note 17)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 (Note 4; Note 11 at VIEs)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163,586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162,615</w:t>
            </w:r>
          </w:p>
        </w:tc>
        <w:tc>
          <w:tcPr>
            <w:tcW w:w="0" w:type="dxa"/>
            <w:vAlign w:val="bottom"/>
          </w:tcPr>
          <w:p>
            <w:pPr>
              <w:spacing w:after="0"/>
              <w:rPr>
                <w:sz w:val="1"/>
                <w:szCs w:val="1"/>
                <w:color w:val="auto"/>
              </w:rPr>
            </w:pPr>
          </w:p>
        </w:tc>
      </w:tr>
      <w:tr>
        <w:trPr>
          <w:trHeight w:val="233"/>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 at VIEs)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33,257</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w:t>
            </w:r>
          </w:p>
        </w:tc>
        <w:tc>
          <w:tcPr>
            <w:tcW w:w="0" w:type="dxa"/>
            <w:vAlign w:val="bottom"/>
          </w:tcPr>
          <w:p>
            <w:pPr>
              <w:spacing w:after="0"/>
              <w:rPr>
                <w:sz w:val="1"/>
                <w:szCs w:val="1"/>
                <w:color w:val="auto"/>
              </w:rPr>
            </w:pPr>
          </w:p>
        </w:tc>
      </w:tr>
      <w:tr>
        <w:trPr>
          <w:trHeight w:val="206"/>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74,408</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16,355</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 at VIEs)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59,304</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Postretirement benefits other than pensions (Note 15)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Pensions (Note 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100,579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178,903</w:t>
            </w: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 - Cruise stock incentive awards (Note 20)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(Note 20)</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59,744</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65,815</w:t>
            </w:r>
          </w:p>
        </w:tc>
        <w:tc>
          <w:tcPr>
            <w:tcW w:w="0" w:type="dxa"/>
            <w:vAlign w:val="bottom"/>
          </w:tcPr>
          <w:p>
            <w:pPr>
              <w:spacing w:after="0"/>
              <w:rPr>
                <w:sz w:val="1"/>
                <w:szCs w:val="1"/>
                <w:color w:val="auto"/>
              </w:rPr>
            </w:pPr>
          </w:p>
        </w:tc>
      </w:tr>
      <w:tr>
        <w:trPr>
          <w:trHeight w:val="206"/>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264,037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244,718</w:t>
            </w:r>
          </w:p>
        </w:tc>
        <w:tc>
          <w:tcPr>
            <w:tcW w:w="0" w:type="dxa"/>
            <w:vAlign w:val="bottom"/>
          </w:tcPr>
          <w:p>
            <w:pPr>
              <w:spacing w:after="0"/>
              <w:rPr>
                <w:sz w:val="1"/>
                <w:szCs w:val="1"/>
                <w:color w:val="auto"/>
              </w:rPr>
            </w:pPr>
          </w:p>
        </w:tc>
      </w:tr>
      <w:tr>
        <w:trPr>
          <w:trHeight w:val="23"/>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20"/>
          </w:cols>
          <w:pgMar w:left="320" w:top="363" w:right="359" w:bottom="1440" w:gutter="0" w:footer="0" w:header="0"/>
        </w:sect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1"/>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impairment of Equipment on operating leases, net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impairment charges on Property,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5,637</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remeasurement and transaction (gains) losses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Undistributed earnings of nonconsolidated affiliates,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contributions and OPEB payments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and OPEB income,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(benefit) for deferred taxes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other operating assets and liabilities (Note 24)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95"/>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w:t>
            </w:r>
          </w:p>
        </w:tc>
      </w:tr>
      <w:tr>
        <w:trPr>
          <w:trHeight w:val="20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w:t>
            </w:r>
          </w:p>
        </w:tc>
      </w:tr>
      <w:tr>
        <w:trPr>
          <w:trHeight w:val="194"/>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Available-for-sale marketable securities, acquisitions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(16,204)</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Available-for-sale marketable securities, liquidations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finance receivables, net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(30,090)</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collections and recoveries on finance receivables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19,726</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leased vehicles, net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(15,233)</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termination of leased vehicles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13,399</w:t>
            </w:r>
          </w:p>
        </w:tc>
      </w:tr>
      <w:tr>
        <w:trPr>
          <w:trHeight w:val="195"/>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w:t>
            </w:r>
          </w:p>
        </w:tc>
      </w:tr>
      <w:tr>
        <w:trPr>
          <w:trHeight w:val="194"/>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short-term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 (original maturities greater than three months)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78,527</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debt (original maturities greater than three months)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(72,663)</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to purchase common stock</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(redemption) of subsidiary stock (Note 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9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8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w:t>
            </w: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22,943</w:t>
            </w:r>
          </w:p>
        </w:tc>
      </w:tr>
      <w:tr>
        <w:trPr>
          <w:trHeight w:val="18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21,948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1"/>
        </w:trPr>
        <w:tc>
          <w:tcPr>
            <w:tcW w:w="7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94"/>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Non-cash Investing and Financing Activity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property additions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42"/>
              <w:spacing w:after="0" w:line="121"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2"/>
              <w:spacing w:after="0" w:line="134" w:lineRule="exact"/>
              <w:rPr>
                <w:sz w:val="20"/>
                <w:szCs w:val="20"/>
                <w:color w:val="auto"/>
              </w:rPr>
            </w:pPr>
            <w:r>
              <w:rPr>
                <w:rFonts w:ascii="Times New Roman" w:cs="Times New Roman" w:eastAsia="Times New Roman" w:hAnsi="Times New Roman"/>
                <w:sz w:val="13"/>
                <w:szCs w:val="13"/>
                <w:b w:val="1"/>
                <w:bCs w:val="1"/>
                <w:color w:val="auto"/>
                <w:w w:val="95"/>
              </w:rPr>
              <w:t>Cruise Stock</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22"/>
              <w:spacing w:after="0" w:line="121" w:lineRule="exact"/>
              <w:rPr>
                <w:sz w:val="20"/>
                <w:szCs w:val="20"/>
                <w:color w:val="auto"/>
              </w:rPr>
            </w:pPr>
            <w:r>
              <w:rPr>
                <w:rFonts w:ascii="Times New Roman" w:cs="Times New Roman" w:eastAsia="Times New Roman" w:hAnsi="Times New Roman"/>
                <w:sz w:val="13"/>
                <w:szCs w:val="13"/>
                <w:b w:val="1"/>
                <w:bCs w:val="1"/>
                <w:color w:val="auto"/>
                <w:w w:val="93"/>
              </w:rPr>
              <w:t>Incentive Awards</w:t>
            </w: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0" w:type="dxa"/>
            <w:vAlign w:val="bottom"/>
          </w:tcPr>
          <w:p>
            <w:pPr>
              <w:spacing w:after="0"/>
              <w:rPr>
                <w:sz w:val="1"/>
                <w:szCs w:val="1"/>
                <w:color w:val="auto"/>
              </w:rPr>
            </w:pPr>
          </w:p>
        </w:tc>
      </w:tr>
      <w:tr>
        <w:trPr>
          <w:trHeight w:val="21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26,860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Adoption of accounting standards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31,962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41,937</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65,815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1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Additionally, we are investing in and growing an AV business. We also provide automotive financing services through GM Financial. We analyze the results of our operations through the following segments: GMNA, GMI, Cruise and GM Financial. Cruise is our global segment responsible for the development and commercialization of AV technology. Nonsegment operations are classified as Corporate. Corporate includes certain centrally recorded income and costs such as interest, income taxes, corporate expenditures and certain nonsegment-specific revenues and expenses. The consolidated financial statements are prepared in conformity with U.S. GAAP. Except for per share amounts or as otherwise specified, amounts presented within tables are stated in millions. Certain columns and rows may not add due to rounding.</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in the Preparation of the Financial Statements </w:t>
      </w:r>
      <w:r>
        <w:rPr>
          <w:rFonts w:ascii="Times New Roman" w:cs="Times New Roman" w:eastAsia="Times New Roman" w:hAnsi="Times New Roman"/>
          <w:sz w:val="18"/>
          <w:szCs w:val="18"/>
          <w:color w:val="auto"/>
        </w:rPr>
        <w:t>Accounting estimates are an integral part of the consolidated financial statements.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accounting policies that follow are utilized by our automotive, automotive financing and Cruise operations, unless otherwise indicated.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Automotive net sales and revenue represents the amount of consideration to which we expect to be entitled in exchange for vehicle, parts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maintenance, services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20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8"/>
          <w:szCs w:val="18"/>
          <w:i w:val="1"/>
          <w:iCs w:val="1"/>
          <w:color w:val="auto"/>
        </w:rPr>
        <w:t xml:space="preserve">hicle, Parts and Accessories </w:t>
      </w:r>
      <w:r>
        <w:rPr>
          <w:rFonts w:ascii="Times New Roman" w:cs="Times New Roman" w:eastAsia="Times New Roman" w:hAnsi="Times New Roman"/>
          <w:sz w:val="18"/>
          <w:szCs w:val="18"/>
          <w:color w:val="auto"/>
        </w:rPr>
        <w:t>For the majority of vehicle and accessories sales, our customers obtain control and we recognize revenue when the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dealer, which typically occurs either when the vehicle is released to the carrier responsible for transporting it to a dealer or upon delivery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Typically, 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sale and recognize deferred revenue in earnings upon completion of the remarketing service.</w:t>
      </w:r>
    </w:p>
    <w:p>
      <w:pPr>
        <w:spacing w:after="0" w:line="201" w:lineRule="exact"/>
        <w:rPr>
          <w:sz w:val="20"/>
          <w:szCs w:val="20"/>
          <w:color w:val="auto"/>
        </w:rPr>
      </w:pPr>
    </w:p>
    <w:p>
      <w:pPr>
        <w:jc w:val="both"/>
        <w:ind w:firstLine="161"/>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Used Vehicles </w:t>
      </w:r>
      <w:r>
        <w:rPr>
          <w:rFonts w:ascii="Times New Roman" w:cs="Times New Roman" w:eastAsia="Times New Roman" w:hAnsi="Times New Roman"/>
          <w:sz w:val="18"/>
          <w:szCs w:val="18"/>
          <w:color w:val="auto"/>
        </w:rPr>
        <w:t>Proceeds from the auction of vehicles utilized by our employees are recognized in Automotive net sales and revenue upon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vehicle to the customer and the related vehicle carrying value is recognized in Automotive and other cost of sales.</w:t>
      </w:r>
    </w:p>
    <w:p>
      <w:pPr>
        <w:spacing w:after="0" w:line="18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Services and other revenue primarily consists of revenue from vehicle-related service arrangements and after-sale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OnStar, Super Cruise,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seven years.</w:t>
      </w:r>
    </w:p>
    <w:p>
      <w:pPr>
        <w:spacing w:after="0" w:line="20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Finance charge income earned on finance receivables is recognized using the effective interest method.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received (including manufacturer subvention)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1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 expenses.</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Advertising and Promotion Expenditures </w:t>
      </w:r>
      <w:r>
        <w:rPr>
          <w:rFonts w:ascii="Times New Roman" w:cs="Times New Roman" w:eastAsia="Times New Roman" w:hAnsi="Times New Roman"/>
          <w:sz w:val="18"/>
          <w:szCs w:val="18"/>
          <w:color w:val="auto"/>
        </w:rPr>
        <w:t>Advertising and promotion expenditures, which are expensed as incurred in Automotive and other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and administrative expense, were $4.0 billion, $3.3 billion and $2.7 billion in the years ended December 31, 2022, 2021 and 2020.</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Expenditures </w:t>
      </w:r>
      <w:r>
        <w:rPr>
          <w:rFonts w:ascii="Times New Roman" w:cs="Times New Roman" w:eastAsia="Times New Roman" w:hAnsi="Times New Roman"/>
          <w:sz w:val="18"/>
          <w:szCs w:val="18"/>
          <w:color w:val="auto"/>
        </w:rPr>
        <w:t>Research and development expenditures, which are expensed as incurred in Automotive and other cost of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$9.8 billion, $7.9 billion and $6.2 billion in the years ended December 31, 2022, 2021 and 2020. We enter into co-development arrangements with third parties or nonconsolidated affiliates for product-related research, engineering, design and development activities. Cost sharing payments and fees related to these arrangements are presented in Automotive and other cost of sales.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Cash Equivalents and Restricted Cash </w:t>
      </w:r>
      <w:r>
        <w:rPr>
          <w:rFonts w:ascii="Times New Roman" w:cs="Times New Roman" w:eastAsia="Times New Roman" w:hAnsi="Times New Roman"/>
          <w:sz w:val="18"/>
          <w:szCs w:val="18"/>
          <w:color w:val="auto"/>
        </w:rPr>
        <w:t>Cash equivalents are defined as short-term, highly-liquid investments with original maturities of 90 days or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A three-level valuation hierarchy, based upon observable and unobservable inputs, is used for fair value measurements.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active markets, quoted prices for identical or similar instruments in markets that are not active and model-derived valuations whose significant inputs are observable; and Level 3 – Instruments whose significant inputs are unobservable.</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Marketable Debt Securities </w:t>
      </w:r>
      <w:r>
        <w:rPr>
          <w:rFonts w:ascii="Times New Roman" w:cs="Times New Roman" w:eastAsia="Times New Roman" w:hAnsi="Times New Roman"/>
          <w:sz w:val="18"/>
          <w:szCs w:val="18"/>
          <w:color w:val="auto"/>
        </w:rPr>
        <w:t>We generally classify marketable debt securities as available-for-sale. Various factors, including turnover of holdings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guidelines, are considered in determining the classification of securities. Available-for-sale debt securities are recorded at fair value with non-credit related unrealized gains and losses recorded in Accumulated other comprehensive loss until realized. Credit losses are recorded in Interest income and other non-operating income, net. An evaluation is made quarterly to determine if any portion of unrealized losses recorded in Accumulated other comprehensive loss needs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207"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7"/>
          <w:szCs w:val="17"/>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review our pricing service quarterly and believe the prices received from our pricing service are a reliable representation of exit prices.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Accounts and Notes Receivable </w:t>
      </w:r>
      <w:r>
        <w:rPr>
          <w:rFonts w:ascii="Times New Roman" w:cs="Times New Roman" w:eastAsia="Times New Roman" w:hAnsi="Times New Roman"/>
          <w:sz w:val="18"/>
          <w:szCs w:val="18"/>
          <w:color w:val="auto"/>
        </w:rPr>
        <w:t>Accounts and notes receivable primarily consists of amounts that are due and payable from our customers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2022, 2021 and 2020.</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GM Financial Receivables </w:t>
      </w:r>
      <w:r>
        <w:rPr>
          <w:rFonts w:ascii="Times New Roman" w:cs="Times New Roman" w:eastAsia="Times New Roman" w:hAnsi="Times New Roman"/>
          <w:sz w:val="18"/>
          <w:szCs w:val="18"/>
          <w:color w:val="auto"/>
        </w:rPr>
        <w:t>Finance receivables are carried at amortized cost, net of allowance for loan losses. Provisions for loan losses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1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Troubled debt restructurings (TDRs) are grouped separately for purposes of measuring the allowance. The allowance for TDRs uses static pool modeling techniques like non-TDR retail finance receivables to determine the expected loss amount. The expected cash flows of the receivables are then discounted at the original weighted average effective interest rate of the pool. Factors considered when estimating the allowance for TDRs are based on an evaluation of historical and current information, which may be supplemented by management judgment.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Commercial finance receivables are carried at amortized cost, net of allowance for loan losses and amounts held under a cash management program. GM Financial establishes the allowance for loan losses based on historical loss experience, as well as forecasted auto industry conditions, which is the economic indicator believed to have the largest impact on expected losses.</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Net realizable value is the estimated selling price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Productive material, supplies, work in process and service parts are reviewed to determine if inventory quantities are in excess of forecasted usage or if they have become obsolete.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Equipment on Operating Leases </w:t>
      </w:r>
      <w:r>
        <w:rPr>
          <w:rFonts w:ascii="Times New Roman" w:cs="Times New Roman" w:eastAsia="Times New Roman" w:hAnsi="Times New Roman"/>
          <w:sz w:val="18"/>
          <w:szCs w:val="18"/>
          <w:color w:val="auto"/>
        </w:rPr>
        <w:t>Equipment on operating leases, net primarily consists of vehicle leases to retail customers with lease terms of two to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We are exposed to changes in the residual values of these assets. The residual values represent estimates of the values of the leased vehicles at the end of the lease agreements and are determined based 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 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 between the net book value of the leased asset and the proceeds from the disposition of the asset.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color w:val="auto"/>
        </w:rPr>
        <w:t>When events and circumstances warrant, equity investments accounted for under the equity method of accounting are evaluated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or in certain cases adjusted to fair value upon an observable price change, with changes in fair value recorded in Interest income and other non-operating income, net.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Property, net </w:t>
      </w:r>
      <w:r>
        <w:rPr>
          <w:rFonts w:ascii="Times New Roman" w:cs="Times New Roman" w:eastAsia="Times New Roman" w:hAnsi="Times New Roman"/>
          <w:sz w:val="18"/>
          <w:szCs w:val="18"/>
          <w:color w:val="auto"/>
        </w:rPr>
        <w:t>Property, plant and equipment, including internal use software, is recorded at cost. Major improvements that extend the useful life or add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functionality are capitalized. The gross amount of assets under finance leases is included in property, plant and equipment.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Special Tools </w:t>
      </w:r>
      <w:r>
        <w:rPr>
          <w:rFonts w:ascii="Times New Roman" w:cs="Times New Roman" w:eastAsia="Times New Roman" w:hAnsi="Times New Roman"/>
          <w:sz w:val="18"/>
          <w:szCs w:val="18"/>
          <w:color w:val="auto"/>
        </w:rPr>
        <w:t>Special tools represent product-specific propulsion and non-propulsion related tools, dies, molds and other items used in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not amortized but rather tested for impairment annually on October 1 and when events warrant such a review. The impairment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excluding goodwill, primarily include brand names, technology and intellectual property, customer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dealer networks. Intangible assets are amortized on a straight-line or an accelerated method of amortization over their estimated useful lives.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Long-Lived Assets </w:t>
      </w:r>
      <w:r>
        <w:rPr>
          <w:rFonts w:ascii="Times New Roman" w:cs="Times New Roman" w:eastAsia="Times New Roman" w:hAnsi="Times New Roman"/>
          <w:sz w:val="18"/>
          <w:szCs w:val="18"/>
          <w:color w:val="auto"/>
        </w:rPr>
        <w:t>The carrying amount of long-lived assets and finite-lived intangible assets to be held and used in the business is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Government Incentives and Grants </w:t>
      </w:r>
      <w:r>
        <w:rPr>
          <w:rFonts w:ascii="Times New Roman" w:cs="Times New Roman" w:eastAsia="Times New Roman" w:hAnsi="Times New Roman"/>
          <w:sz w:val="18"/>
          <w:szCs w:val="18"/>
          <w:color w:val="auto"/>
        </w:rPr>
        <w:t>We receive incentives from federal, state and local governments in different regions of the world that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us to establish, maintain, or increase investment, employment, or production in the region. We account for government incentives as a reduction of expense, a reduction of the cost of the capital investment, or other income based on the substance of the incentive received. Benefits are generally recorded when there is reasonable assurance of receipt and amounts are recorded in earnings as the expenses in which the incentive is meant to offset are incurred, as we meet the conditions of the grant or as the capital investment is depreciated. At December 31, 2022, cash incentives receivable in Accounts and notes receivable, net of allowance was $300 million, cash incentives receivable in Other assets was $248 million and deferred incentive income in Other liabilities was $250 million. In the year ended December 31, 2022, we recognized $234 million in Automotive and other cost of sales associated with incentives. Current agreements expire at various dates through 2031 and we consider the risk that any amounts recognized will be returned to be remote.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Plans</w:t>
      </w:r>
    </w:p>
    <w:p>
      <w:pPr>
        <w:spacing w:after="0" w:line="249"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Attribution, Methods and Assumptions </w:t>
      </w:r>
      <w:r>
        <w:rPr>
          <w:rFonts w:ascii="Times New Roman" w:cs="Times New Roman" w:eastAsia="Times New Roman" w:hAnsi="Times New Roman"/>
          <w:sz w:val="18"/>
          <w:szCs w:val="18"/>
          <w:color w:val="auto"/>
        </w:rPr>
        <w:t>The cost of benefits provided by defined benefit pension plans is recorded in the period employees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0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19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benefit obligation for pension plans in Canada, the United Kingdom and Germany represents 90% of the non-U.S. pension benefit obligation at December 31, 2022. The discount rates for plans in Canada, the United Kingdom and Germany are determined using a cash flow matching approach like the U.S.</w:t>
      </w:r>
    </w:p>
    <w:p>
      <w:pPr>
        <w:spacing w:after="0" w:line="199"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Asset Valuation </w:t>
      </w:r>
      <w:r>
        <w:rPr>
          <w:rFonts w:ascii="Times New Roman" w:cs="Times New Roman" w:eastAsia="Times New Roman" w:hAnsi="Times New Roman"/>
          <w:sz w:val="18"/>
          <w:szCs w:val="18"/>
          <w:color w:val="auto"/>
        </w:rPr>
        <w:t>Due to the lack of timely available market information for certain investments in the asset classes described below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inherent uncertainty of valuation, reported fair values may differ from fair values that would have been used had timely available market information been available.</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and Preferred Stock </w:t>
      </w:r>
      <w:r>
        <w:rPr>
          <w:rFonts w:ascii="Times New Roman" w:cs="Times New Roman" w:eastAsia="Times New Roman" w:hAnsi="Times New Roman"/>
          <w:sz w:val="18"/>
          <w:szCs w:val="18"/>
          <w:color w:val="auto"/>
        </w:rPr>
        <w:t>Common and preferred stock for which market prices are readily available at the measurement date are valued at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210"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Valuations for debt securities are based on quotations received from independent pricing services or from dealers who make markets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Debt securities priced via pricing services that utilize matrix pricing which considers readily observable inputs such as the yield or price of bonds of comparable quality, coupon, maturity and type as well</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201"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Investment Funds, Private Equity and Debt Investments and Real Estate Investments </w:t>
      </w:r>
      <w:r>
        <w:rPr>
          <w:rFonts w:ascii="Times New Roman" w:cs="Times New Roman" w:eastAsia="Times New Roman" w:hAnsi="Times New Roman"/>
          <w:sz w:val="18"/>
          <w:szCs w:val="18"/>
          <w:color w:val="auto"/>
        </w:rPr>
        <w:t>Investment funds, private equity and debt investments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valued based on the Net Asset Value (NAV) per Share (or its equivalent) as a practical expedient to estimate fair value due to the absence of readily available market prices.</w:t>
      </w:r>
    </w:p>
    <w:p>
      <w:pPr>
        <w:spacing w:after="0" w:line="20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Stock Incentive Plans </w:t>
      </w:r>
      <w:r>
        <w:rPr>
          <w:rFonts w:ascii="Times New Roman" w:cs="Times New Roman" w:eastAsia="Times New Roman" w:hAnsi="Times New Roman"/>
          <w:sz w:val="17"/>
          <w:szCs w:val="17"/>
          <w:color w:val="auto"/>
        </w:rPr>
        <w:t>Our stock incentive plans include RSUs, PSUs, stock options and awards that may be settled in our stock, the stock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subsidiaries or in cash. We measure and record compensation expense based on the fair value of GM or Cruise's common stock on the date of grant for RSUs and PSUs and the grant date fair value, determined utilizing a lattice model or the Black-Scholes formula, for stock options and PSUs. We record compensation cost for service-based RSUs, PSUs and service-based stock options on a straight-line basis over the entire vesting period, or for retirement eligible employees over the requisite service period. In March 2022, all outstanding RSUs that settle in Cruise's common stock were modified to remove the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liquidity vesting condition. Prospectively, RSUs that will settle in Cruise's common stock will vest solely upon satisfaction of a service condition. Compensation cost for awards that do not have an established accounting grant date, but for which the service inception date has been established, or are settled in cash is based on the fair value of GM or Cruise's common stock at the end of each reporting period. Compensation cost is also recorded on stock issued to settle awards based on the fair value of Cruise's common stock until such time that the stock has been issued for more than six months.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Product Warranty and Recall Campaigns </w:t>
      </w:r>
      <w:r>
        <w:rPr>
          <w:rFonts w:ascii="Times New Roman" w:cs="Times New Roman" w:eastAsia="Times New Roman" w:hAnsi="Times New Roman"/>
          <w:sz w:val="18"/>
          <w:szCs w:val="18"/>
          <w:color w:val="auto"/>
        </w:rPr>
        <w:t>The estimated costs related to product warranties are accrued at the time products are sold and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estimated costs related to recall campaigns are accrued when probable and estimable. In GMNA, we estimate the costs related to recall campaigns by applying a paid loss approach that considers the number of historical recall campaigns and the 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liability method is used in accounting for income taxes. Deferred tax assets and liabilities are recorded for temporary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(GILTI) as a current period expense when incurred.</w:t>
      </w:r>
    </w:p>
    <w:p>
      <w:pPr>
        <w:spacing w:after="0" w:line="211"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in recent years. We utilize a rolling three years of actual and current year results as the primary measure of cumulative losses in recent years.</w:t>
      </w:r>
    </w:p>
    <w:p>
      <w:pPr>
        <w:spacing w:after="0" w:line="23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Transactions and Translation </w:t>
      </w:r>
      <w:r>
        <w:rPr>
          <w:rFonts w:ascii="Times New Roman" w:cs="Times New Roman" w:eastAsia="Times New Roman" w:hAnsi="Times New Roman"/>
          <w:sz w:val="18"/>
          <w:szCs w:val="18"/>
          <w:color w:val="auto"/>
        </w:rPr>
        <w:t>The assets and liabilities of foreign subsidiaries that use the local currency as their functional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0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transactions and remeasurements in the years ended December 31, 2022, 2021 and 2020 were $172 million of losses, insignificant gains and $203 million of losses.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Derivative financial instruments are recognized as either assets or liabilities at fair value. The accounting for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spacing w:after="0" w:line="20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We utilize options, swaps and forward contracts to manage foreign currency and commodity price risk. The change in the fair value of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swap and forward contracts not designated as an accounting hedge is recorded in Interest income and other non-operating income, net.</w:t>
      </w:r>
    </w:p>
    <w:p>
      <w:pPr>
        <w:spacing w:after="0" w:line="18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Certain foreign currency and commodity forward contracts have been designated and qualify as cash flow hedges. The risk being hedged is foreign currency and commodity price risk related to forecasted transactions. The change in the fair value of these forward contracts is recorded in Accumulated other comprehensive loss and will be recognized in Automotive net sales and revenue or Automotive and other cost of sales when the hedged transaction impacts earnings. Forward contracts designated as cash flow hedges are evaluated for effectiveness using regression analysis at inception and throughout the hedge period.</w:t>
      </w:r>
    </w:p>
    <w:p>
      <w:pPr>
        <w:spacing w:after="0" w:line="207"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GM Financial utilizes interest rate derivative instruments to manage interest rate risk and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instruments to manage foreign currency risk. The change in fair value of the derivative instruments not designated as an accounting hedge is recorded in GM Financial interest, operating and other expenses.</w:t>
      </w:r>
    </w:p>
    <w:p>
      <w:pPr>
        <w:spacing w:after="0" w:line="20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Standards </w:t>
      </w:r>
      <w:r>
        <w:rPr>
          <w:rFonts w:ascii="Times New Roman" w:cs="Times New Roman" w:eastAsia="Times New Roman" w:hAnsi="Times New Roman"/>
          <w:sz w:val="18"/>
          <w:szCs w:val="18"/>
          <w:color w:val="auto"/>
        </w:rPr>
        <w:t>Effective October 1, 2022, we adopted Accounting Standard Update (ASU) 2022-03, "Fair Value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 820): Fair Value Measurement of Equity Securities Subject to Contractual Sale Restrictions" (ASU 2022-03), which clarifies that a contractual restriction on the sale of an equity security is not considered in measuring fair value. The adoption of ASU 2022-03 was insignificant to our consolidated financial statements.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Accounting Standards Not Yet Adopted </w:t>
      </w:r>
      <w:r>
        <w:rPr>
          <w:rFonts w:ascii="Times New Roman" w:cs="Times New Roman" w:eastAsia="Times New Roman" w:hAnsi="Times New Roman"/>
          <w:sz w:val="18"/>
          <w:szCs w:val="18"/>
          <w:color w:val="auto"/>
        </w:rPr>
        <w:t>In March 2022, the Financial Accounting Standards Board (FASB) issued ASU 2022-02 "Financial Instruments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Losses (Topic 326): Troubled Debt Restructurings and Vintage Disclosures" (ASU 2022-02), which eliminates the accounting guidance for TDRs and enhances certain disclosure requirements. We adopted ASU 2022-02 on a modified retrospective basis on January 1, 2023. The impact of the adoption of ASU 2022-02 was insignificant.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revenue generating segments</w:t>
      </w:r>
      <w:r>
        <w:rPr>
          <w:rFonts w:ascii="Times New Roman" w:cs="Times New Roman" w:eastAsia="Times New Roman" w:hAnsi="Times New Roman"/>
          <w:sz w:val="19"/>
          <w:szCs w:val="19"/>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Automotive</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138,692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138,692</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143,974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143,975</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143,974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Automotive</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108,485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108,485</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101,308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113,584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113,590</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113,584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Automotive</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103,343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103,343</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96,733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108,669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108,673</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13,812</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108,669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during the years ended December 31, 2022, 2021 and 2020.</w:t>
      </w:r>
    </w:p>
    <w:p>
      <w:pPr>
        <w:sectPr>
          <w:pgSz w:w="11900" w:h="16838" w:orient="portrait"/>
          <w:cols w:equalWidth="0" w:num="1">
            <w:col w:w="11240"/>
          </w:cols>
          <w:pgMar w:left="320" w:top="363"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left="20" w:firstLine="161"/>
        <w:spacing w:after="0" w:line="259"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maintenance, extended warranty and other service contracts of $3.3 billion and $2.5 billion at December 31, 2022 and 2021, which are included in Accrued liabilities and Other liabilities. We recognized revenue of $1.3 billion and $1.2 billion related to contract liabilities during the years ended December 31, 2022 and 2021. We expect to recognize revenue of $1.3 billion, $680 million and $1.4 billion in the years ending December 31, 2023, 2024 and thereafter related to contract liabilities at December 31, 2022.</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Marketable and Other Securities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8"/>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8"/>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maturities(c)</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60" w:hanging="333"/>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 billion and $1.6 billion in Cruise at December 31, 2022 and 2021.</w:t>
      </w:r>
    </w:p>
    <w:p>
      <w:pPr>
        <w:spacing w:after="0" w:line="13" w:lineRule="exact"/>
        <w:rPr>
          <w:rFonts w:ascii="Times New Roman" w:cs="Times New Roman" w:eastAsia="Times New Roman" w:hAnsi="Times New Roman"/>
          <w:sz w:val="16"/>
          <w:szCs w:val="16"/>
          <w:color w:val="auto"/>
        </w:rPr>
      </w:pPr>
    </w:p>
    <w:p>
      <w:pPr>
        <w:ind w:left="380" w:hanging="353"/>
        <w:spacing w:after="0"/>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billion and $1.5 billion in Cruise at December 31, 2022 and 2021.</w:t>
      </w:r>
    </w:p>
    <w:p>
      <w:pPr>
        <w:spacing w:after="0" w:line="3" w:lineRule="exact"/>
        <w:rPr>
          <w:rFonts w:ascii="Times New Roman" w:cs="Times New Roman" w:eastAsia="Times New Roman" w:hAnsi="Times New Roman"/>
          <w:sz w:val="16"/>
          <w:szCs w:val="16"/>
          <w:color w:val="auto"/>
        </w:rPr>
      </w:pPr>
    </w:p>
    <w:p>
      <w:pPr>
        <w:ind w:left="360" w:hanging="333"/>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mortgage and asset-backed securities of $538 million at December 31, 2022 as these securities are not due at a single maturity date.</w:t>
      </w:r>
    </w:p>
    <w:p>
      <w:pPr>
        <w:spacing w:after="0" w:line="236" w:lineRule="exact"/>
        <w:rPr>
          <w:sz w:val="20"/>
          <w:szCs w:val="20"/>
          <w:color w:val="auto"/>
        </w:rPr>
      </w:pPr>
    </w:p>
    <w:p>
      <w:pPr>
        <w:jc w:val="both"/>
        <w:ind w:left="20" w:firstLine="161"/>
        <w:spacing w:after="0" w:line="259"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$1.8 billion in the year ended December 31, 2022, and $1.9 billion in the years ended December 31, 2021 and 2020. Net unrealized losses on available-for-sale debt securities were $319 million in the year ended December 31, 2022 and insignificant in the years ended December 31, 2021 and 2020. Cumulative unrealized losses on available-for-sale debt securities were $344 million and insignificant at December 31, 2022 and 2021.</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0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right="20" w:firstLine="161"/>
        <w:spacing w:after="0" w:line="279"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76" w:lineRule="exact"/>
        <w:rPr>
          <w:sz w:val="20"/>
          <w:szCs w:val="20"/>
          <w:color w:val="auto"/>
        </w:rPr>
      </w:pPr>
    </w:p>
    <w:p>
      <w:pPr>
        <w:ind w:left="8080"/>
        <w:spacing w:after="0"/>
        <w:tabs>
          <w:tab w:leader="none" w:pos="9820" w:val="left"/>
        </w:tabs>
        <w:rPr>
          <w:sz w:val="20"/>
          <w:szCs w:val="20"/>
          <w:color w:val="auto"/>
        </w:rPr>
      </w:pPr>
      <w:r>
        <w:rPr>
          <w:rFonts w:ascii="Times New Roman" w:cs="Times New Roman" w:eastAsia="Times New Roman" w:hAnsi="Times New Roman"/>
          <w:sz w:val="14"/>
          <w:szCs w:val="14"/>
          <w:b w:val="1"/>
          <w:bCs w:val="1"/>
          <w:color w:val="auto"/>
        </w:rPr>
        <w:t>December 31, 2022</w:t>
      </w:r>
      <w:r>
        <w:rPr>
          <w:sz w:val="20"/>
          <w:szCs w:val="20"/>
          <w:color w:val="auto"/>
        </w:rPr>
        <w:tab/>
      </w: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6" w:lineRule="exact"/>
        <w:rPr>
          <w:sz w:val="20"/>
          <w:szCs w:val="20"/>
          <w:color w:val="auto"/>
        </w:rPr>
      </w:pPr>
    </w:p>
    <w:p>
      <w:pPr>
        <w:ind w:left="20" w:right="540"/>
        <w:spacing w:after="0" w:line="284" w:lineRule="auto"/>
        <w:rPr>
          <w:sz w:val="20"/>
          <w:szCs w:val="20"/>
          <w:color w:val="auto"/>
        </w:rPr>
      </w:pPr>
      <w:r>
        <w:rPr>
          <w:rFonts w:ascii="Times New Roman" w:cs="Times New Roman" w:eastAsia="Times New Roman" w:hAnsi="Times New Roman"/>
          <w:sz w:val="18"/>
          <w:szCs w:val="18"/>
          <w:color w:val="auto"/>
        </w:rPr>
        <w:t>Restricted cash included in Other current assets Restricted cash included in Other assets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40" w:type="dxa"/>
            <w:vAlign w:val="bottom"/>
            <w:tcBorders>
              <w:top w:val="single" w:sz="8" w:color="auto"/>
            </w:tcBorders>
          </w:tcPr>
          <w:p>
            <w:pPr>
              <w:spacing w:after="0"/>
              <w:rPr>
                <w:sz w:val="20"/>
                <w:szCs w:val="20"/>
                <w:color w:val="auto"/>
              </w:rPr>
            </w:pPr>
          </w:p>
        </w:tc>
      </w:tr>
      <w:tr>
        <w:trPr>
          <w:trHeight w:val="228"/>
        </w:trPr>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40" w:type="dxa"/>
            <w:vAlign w:val="bottom"/>
          </w:tcPr>
          <w:p>
            <w:pPr>
              <w:spacing w:after="0"/>
              <w:rPr>
                <w:sz w:val="19"/>
                <w:szCs w:val="19"/>
                <w:color w:val="auto"/>
              </w:rPr>
            </w:pPr>
          </w:p>
        </w:tc>
      </w:tr>
      <w:tr>
        <w:trPr>
          <w:trHeight w:val="233"/>
        </w:trPr>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0" w:type="dxa"/>
            <w:vAlign w:val="bottom"/>
            <w:tcBorders>
              <w:bottom w:val="single" w:sz="8" w:color="auto"/>
            </w:tcBorders>
          </w:tcPr>
          <w:p>
            <w:pPr>
              <w:spacing w:after="0"/>
              <w:rPr>
                <w:sz w:val="20"/>
                <w:szCs w:val="20"/>
                <w:color w:val="auto"/>
              </w:rPr>
            </w:pPr>
          </w:p>
        </w:tc>
      </w:tr>
      <w:tr>
        <w:trPr>
          <w:trHeight w:val="222"/>
        </w:trPr>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40" w:type="dxa"/>
            <w:vAlign w:val="bottom"/>
            <w:tcBorders>
              <w:bottom w:val="single" w:sz="8" w:color="auto"/>
            </w:tcBorders>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827"/>
        </w:trPr>
        <w:tc>
          <w:tcPr>
            <w:tcW w:w="880" w:type="dxa"/>
            <w:vAlign w:val="bottom"/>
          </w:tcPr>
          <w:p>
            <w:pPr>
              <w:spacing w:after="0"/>
              <w:rPr>
                <w:sz w:val="24"/>
                <w:szCs w:val="24"/>
                <w:color w:val="auto"/>
              </w:rPr>
            </w:pP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
        </w:trPr>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900" w:type="dxa"/>
            <w:vAlign w:val="bottom"/>
            <w:gridSpan w:val="2"/>
          </w:tcPr>
          <w:p>
            <w:pPr>
              <w:spacing w:after="0"/>
              <w:rPr>
                <w:sz w:val="2"/>
                <w:szCs w:val="2"/>
                <w:color w:val="auto"/>
              </w:rPr>
            </w:pPr>
          </w:p>
        </w:tc>
      </w:tr>
      <w:tr>
        <w:trPr>
          <w:trHeight w:val="181"/>
        </w:trPr>
        <w:tc>
          <w:tcPr>
            <w:tcW w:w="8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40" w:type="dxa"/>
            <w:vAlign w:val="bottom"/>
            <w:tcBorders>
              <w:top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-1004570</wp:posOffset>
            </wp:positionV>
            <wp:extent cx="7132955" cy="144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60"/>
            <w:col w:w="692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76,310</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58,093</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r>
      <w:tr>
        <w:trPr>
          <w:trHeight w:val="228"/>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4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74,214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2"/>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10,954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174"/>
        </w:trPr>
        <w:tc>
          <w:tcPr>
            <w:tcW w:w="43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2"/>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57,613</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20" w:right="20" w:hanging="313"/>
        <w:spacing w:after="0" w:line="255" w:lineRule="auto"/>
        <w:tabs>
          <w:tab w:leader="none" w:pos="31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dealer cash management balances of $1.9 billion and $1.0 billion at December 31, 2022 and 2021. Under the cash management program, subject to certain conditions, a dealer may choose to reduce the amount of interest on its floorplan line by making principal payments to GM Financial in advance.</w:t>
      </w:r>
    </w:p>
    <w:tbl>
      <w:tblPr>
        <w:tblLayout w:type="fixed"/>
        <w:tblInd w:w="4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ASU 2016-13</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8"/>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for personal and commercial use. The following tables are consolidated summaries of the retail finance receivables by FICO score or its equivalent, determined at origination, for each vintage of the retail finance receivables portfolio at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 net of fees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3"/>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5"/>
        </w:trPr>
        <w:tc>
          <w:tcPr>
            <w:tcW w:w="3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 net of fees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$685 million and $602 million at December 31, 2022 and 2021. The following tables are consolidated summaries of the delinquency status of the outstanding amortized cost of retail finance receivables for each vintage of the portfolio at December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154"/>
        </w:trPr>
        <w:tc>
          <w:tcPr>
            <w:tcW w:w="2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54"/>
        </w:trPr>
        <w:tc>
          <w:tcPr>
            <w:tcW w:w="2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8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30 days delinquent or in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54"/>
        </w:trPr>
        <w:tc>
          <w:tcPr>
            <w:tcW w:w="22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Retail finance receivables, net</w:t>
            </w: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fees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163"/>
        </w:trPr>
        <w:tc>
          <w:tcPr>
            <w:tcW w:w="22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63"/>
        </w:trPr>
        <w:tc>
          <w:tcPr>
            <w:tcW w:w="22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30 days delinquent or in</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Retail finance receivables, net</w:t>
            </w: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fees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outstanding amortized cost of retail finance receivables that are considered TDRs was $2.1 billion and $1.9 billion, including $241 million and $219 million in nonaccrual loans at December 31, 2022 and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financings, primarily for dealer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models are used to assign a risk rating to each dealer. GM Financial performs periodic credit reviews of each dealership and adjusts the dealership's risk rating, if necessary. There were no commercial finance receivables on nonaccrual status at December 31, 2022 and 2021.</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commercial risk model and risk rating categories are as follows:</w:t>
      </w:r>
    </w:p>
    <w:p>
      <w:pPr>
        <w:sectPr>
          <w:pgSz w:w="11900" w:h="16838" w:orient="portrait"/>
          <w:cols w:equalWidth="0" w:num="1">
            <w:col w:w="11240"/>
          </w:cols>
          <w:pgMar w:left="320" w:top="363" w:right="339" w:bottom="1440" w:gutter="0" w:footer="0" w:header="0"/>
        </w:sect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20320</wp:posOffset>
            </wp:positionV>
            <wp:extent cx="7132955" cy="264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955" cy="264160"/>
                    </a:xfrm>
                    <a:prstGeom prst="rect">
                      <a:avLst/>
                    </a:prstGeom>
                    <a:noFill/>
                  </pic:spPr>
                </pic:pic>
              </a:graphicData>
            </a:graphic>
          </wp:anchor>
        </w:drawing>
      </w:r>
    </w:p>
    <w:p>
      <w:pPr>
        <w:spacing w:after="0" w:line="13" w:lineRule="exact"/>
        <w:rPr>
          <w:sz w:val="20"/>
          <w:szCs w:val="20"/>
          <w:color w:val="auto"/>
        </w:rPr>
      </w:pPr>
    </w:p>
    <w:p>
      <w:pPr>
        <w:ind w:left="160" w:right="58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80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363" w:right="339" w:bottom="1440" w:gutter="0" w:footer="0" w:header="0"/>
          <w:type w:val="continuous"/>
        </w:sectPr>
      </w:pPr>
    </w:p>
    <w:p>
      <w:pPr>
        <w:spacing w:after="0" w:line="131" w:lineRule="exact"/>
        <w:rPr>
          <w:sz w:val="20"/>
          <w:szCs w:val="20"/>
          <w:color w:val="auto"/>
        </w:rPr>
      </w:pPr>
    </w:p>
    <w:p>
      <w:pPr>
        <w:ind w:firstLine="161"/>
        <w:spacing w:after="0" w:line="310" w:lineRule="auto"/>
        <w:rPr>
          <w:sz w:val="20"/>
          <w:szCs w:val="20"/>
          <w:color w:val="auto"/>
        </w:rPr>
      </w:pPr>
      <w:r>
        <w:rPr>
          <w:rFonts w:ascii="Times New Roman" w:cs="Times New Roman" w:eastAsia="Times New Roman" w:hAnsi="Times New Roman"/>
          <w:sz w:val="17"/>
          <w:szCs w:val="17"/>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December 31,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54"/>
        </w:trPr>
        <w:tc>
          <w:tcPr>
            <w:tcW w:w="30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Commercial finance receivables, net of</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5"/>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97% of the total revolving balance. Dealer term loans are presented by year of origination.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0" w:type="dxa"/>
            <w:vAlign w:val="bottom"/>
          </w:tcPr>
          <w:p>
            <w:pPr>
              <w:spacing w:after="0"/>
              <w:rPr>
                <w:sz w:val="1"/>
                <w:szCs w:val="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54"/>
        </w:trPr>
        <w:tc>
          <w:tcPr>
            <w:tcW w:w="304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Commercial finance receivables, net of</w:t>
            </w:r>
          </w:p>
        </w:tc>
        <w:tc>
          <w:tcPr>
            <w:tcW w:w="20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5"/>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94% of the total revolving balance. Dealer term loans are presented by year of origination.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 shows transactions between our Automotive segments and GM Financial. These amounts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in GM Financial's consolidated balance sheets and statements of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Sheets(a)</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net due from GM consolidated dealers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due from Cruise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7" w:lineRule="exact"/>
        <w:rPr>
          <w:rFonts w:ascii="Times New Roman" w:cs="Times New Roman" w:eastAsia="Times New Roman" w:hAnsi="Times New Roman"/>
          <w:sz w:val="16"/>
          <w:szCs w:val="16"/>
          <w:color w:val="auto"/>
        </w:rPr>
      </w:pPr>
    </w:p>
    <w:p>
      <w:pPr>
        <w:ind w:left="320" w:hanging="313"/>
        <w:spacing w:after="0" w:line="272"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$2.4 billion, $3.3 billion and $3.9 billion in the years ended December 31, 2022, 2021 and 2020.</w:t>
      </w:r>
    </w:p>
    <w:p>
      <w:pPr>
        <w:spacing w:after="0" w:line="191"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$1.7 billion, $3.5 billion and $800 million on its common stock in the years ended December 31, 2022, 2021 and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r>
      <w:tr>
        <w:trPr>
          <w:trHeight w:val="228"/>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r>
      <w:tr>
        <w:trPr>
          <w:trHeight w:val="24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Operating Leases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5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portfolio of leases primarily consists of real estate office space, manufacturing and warehousing facilities, land and equipment. Certain leases contain escalation clauses and renewal or purchase options, and generally our leases have no residual value guarantees or material covenants. We exclude leases with a term of one year or less from our balance sheet, and do not separate non-lease components from our real estate leases.</w:t>
      </w:r>
    </w:p>
    <w:p>
      <w:pPr>
        <w:spacing w:after="0" w:line="20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Rent expense under operating leases was $317 million, $294 million and $317 million in the years ended December 31, 2022, 2021 and 2020. Variable lease costs were insignificant in the years ended December 31, 2022, 2021 and 2020. At December 31, 2022 and 2021, operating lease right of use assets in Other assets were $1.1 billion, operating lease liabilities in Accrued liabilities were $247 million and $204 million and non-current operating lease liabilities in Other liabilities were $967 million and $1.0 billion. Operating lease right of use assets obtained in exchange for lease obligations were $252 million and $328 million in the years ended December 31, 2022 and 2021. Our undiscounted future lease obligations related to operating leases having initial terms in excess of one year are $274 million, $240 million, $195 million, $160 million, $122 million and $396 million for the years 2023, 2024, 2025, 2026, 2027 and thereafter, with imputed interest of $173 million as of December 31, 2022. The weighted average discount rate was 4.0% and 3.5% and the weighted-average remaining lease term was 6.7 years and 7.1 years at December 31, 2022 and 2021. Payments for operating leases included in Net cash provided by (used in) operating activities were $314 million, $301 million and $309 million in the years ended December 31, 2022, 2021 and 2020. Lease agreements that have not yet commenced were $198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Equipment on Operating Leases</w:t>
      </w: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primarily consists of leases to retail customers of GM Financial.</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40,919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47,423</w:t>
            </w:r>
          </w:p>
        </w:tc>
      </w:tr>
      <w:tr>
        <w:trPr>
          <w:trHeight w:val="228"/>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(8,218)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(9,494)</w:t>
            </w:r>
          </w:p>
        </w:tc>
      </w:tr>
      <w:tr>
        <w:trPr>
          <w:trHeight w:val="247"/>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32,701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37,929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December 31, 2022, the estimated residual value of our leased assets at the end of the lease term was $24.7 billion.</w:t>
      </w:r>
    </w:p>
    <w:p>
      <w:pPr>
        <w:spacing w:after="0" w:line="249"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$4.8 billion, $6.1 billion and $7.2 billion in the years ended December 31, 2022, 2021 and 2020.</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4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 Net Assets of Nonconsolidated Affiliates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equity income (loss)</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Nonconsolidated Affiliates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6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carrying amount</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carrying amount</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carrying amount</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net assets of nonconsolidated affiliates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carrying amount of our investments in certain joint ventures exceeded our share of the underlying net assets by $4.3 billion at December 31, 2022 and 2021 primarily due to goodwill from the application of fresh-start reporting and the purchase of additional interests in nonconsolidated affiliates.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direct ownership interests in our China JVs: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Automotive China JVs</w:t>
            </w: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0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Corp., Ltd. (SGM)</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 Asia Technical Automotive Center Co., Ltd.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Sales Co., Ltd. (SGMS)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Wuling Automobile Co., Ltd. (SGMW)</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OnStar Telematics Co., Ltd. (Shanghai OnStar)</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(Shenyang) Norsom Motors Co., Ltd. (SGM Norsom)</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GM Dong Yue Motors Co., Ltd. (SGM DY)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Dong Yue Powertrain Co., Ltd. (SGM DYPT)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joint ventures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SAIC-GMAC Automotive Finance Company Limited (SAIC-GMAC)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SAIC-GMF Leasing Co., Ltd.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Data of Nonconsolidated Affiliates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1300" w:type="dxa"/>
            <w:vAlign w:val="bottom"/>
            <w:gridSpan w:val="3"/>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80" w:type="dxa"/>
            <w:vAlign w:val="bottom"/>
          </w:tcPr>
          <w:p>
            <w:pPr>
              <w:spacing w:after="0"/>
              <w:rPr>
                <w:sz w:val="11"/>
                <w:szCs w:val="11"/>
                <w:color w:val="auto"/>
              </w:rPr>
            </w:pPr>
          </w:p>
        </w:tc>
        <w:tc>
          <w:tcPr>
            <w:tcW w:w="860" w:type="dxa"/>
            <w:vAlign w:val="bottom"/>
            <w:gridSpan w:val="2"/>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5"/>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380" w:type="dxa"/>
            <w:vAlign w:val="bottom"/>
          </w:tcPr>
          <w:p>
            <w:pPr>
              <w:spacing w:after="0"/>
              <w:rPr>
                <w:sz w:val="11"/>
                <w:szCs w:val="11"/>
                <w:color w:val="auto"/>
              </w:rPr>
            </w:pP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JVs</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JVs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23,990</w:t>
            </w:r>
          </w:p>
        </w:tc>
        <w:tc>
          <w:tcPr>
            <w:tcW w:w="0" w:type="dxa"/>
            <w:vAlign w:val="bottom"/>
          </w:tcPr>
          <w:p>
            <w:pPr>
              <w:spacing w:after="0"/>
              <w:rPr>
                <w:sz w:val="1"/>
                <w:szCs w:val="1"/>
                <w:color w:val="auto"/>
              </w:rPr>
            </w:pPr>
          </w:p>
        </w:tc>
      </w:tr>
      <w:tr>
        <w:trPr>
          <w:trHeight w:val="24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40,765</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1,223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4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619"/>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35,857</w:t>
            </w:r>
          </w:p>
        </w:tc>
        <w:tc>
          <w:tcPr>
            <w:tcW w:w="4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42,776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sales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4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44,793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income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right="20"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Nonconsolidated Affiliates </w:t>
      </w:r>
      <w:r>
        <w:rPr>
          <w:rFonts w:ascii="Times New Roman" w:cs="Times New Roman" w:eastAsia="Times New Roman" w:hAnsi="Times New Roman"/>
          <w:sz w:val="18"/>
          <w:szCs w:val="18"/>
          <w:color w:val="auto"/>
        </w:rPr>
        <w:t>Our nonconsolidated affiliates are involved in various aspects of the development, production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sales and revenue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Automotive purchases, net</w:t>
            </w: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2,637</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w:t>
            </w: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5"/>
              </w:rPr>
              <w:t>(1,133)</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4"/>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Property</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7"/>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8"/>
              </w:rPr>
              <w:t>Lives in 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center"/>
              <w:ind w:right="14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6"/>
              </w:rPr>
              <w:t>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3-27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tools</w:t>
            </w: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6"/>
              </w:rPr>
              <w:t>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(33,047)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net</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61"/>
        <w:spacing w:after="0" w:line="310" w:lineRule="auto"/>
        <w:rPr>
          <w:sz w:val="20"/>
          <w:szCs w:val="20"/>
          <w:color w:val="auto"/>
        </w:rPr>
      </w:pPr>
      <w:r>
        <w:rPr>
          <w:rFonts w:ascii="Times New Roman" w:cs="Times New Roman" w:eastAsia="Times New Roman" w:hAnsi="Times New Roman"/>
          <w:sz w:val="17"/>
          <w:szCs w:val="17"/>
          <w:color w:val="auto"/>
        </w:rPr>
        <w:t>The amount of capitalized software included in Property, net was $1.8 billion and $1.4 billion at December 31, 2022 and 2021. The amount of interest capitalized and excluded from Automotive interest expense related to Property, net was insignificant in the years ended December 31, 2022, 2021 and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amortization expense(a)</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Included in depreciation and amortization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Goodwill of $1.9 billion consisted of $1.3 billion in GM Financial and $571 million and $574 million in Cruise at December 31, 2022 and 2021.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4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r>
      <w:tr>
        <w:trPr>
          <w:trHeight w:val="130"/>
        </w:trPr>
        <w:tc>
          <w:tcPr>
            <w:tcW w:w="4440" w:type="dxa"/>
            <w:vAlign w:val="bottom"/>
          </w:tcPr>
          <w:p>
            <w:pPr>
              <w:spacing w:after="0"/>
              <w:rPr>
                <w:sz w:val="11"/>
                <w:szCs w:val="11"/>
                <w:color w:val="auto"/>
              </w:rPr>
            </w:pPr>
          </w:p>
        </w:tc>
        <w:tc>
          <w:tcPr>
            <w:tcW w:w="106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top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3"/>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7"/>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intellectual property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2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network, customer relationships and other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Our amortization expense related to intangible assets was $139 million, $141 million and $144 million in the years ended December 31, 2022, 2021 and 2020.</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expense related to intangible assets is estimated to be approximately $166 million in each of the next five years.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5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consolidated financial statements, they are separate legal entities and their assets are legally owned by them and are not available to GM Financial's creditors or creditors of GM Financial's other subsidiaries.</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6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6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net of fees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r>
      <w:tr>
        <w:trPr>
          <w:trHeight w:val="26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net of fees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r>
    </w:tbl>
    <w:p>
      <w:pPr>
        <w:spacing w:after="0" w:line="31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19"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arrangements. The carrying amounts of assets were approximately $1.6 billion and $850 million and liabilities were insignificant related to our nonconsolidated VIEs at December 31, 2022 and 2021. Our maximum exposure to loss as a result of our involvement with these VIEs was $3.3 billion and $2.1 billion, inclusive of $1.4 billion and $1.2 billion in committed capital contributions to Ultium Cells Holdings LLC at December 31, 2022 and 2021. We currently lack the power through voting or similar rights to direct the activities of these entities that most significantly affect their economic performance.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Accrued and Other Liabilities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and customer allowances, claims and discounts</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Payrolls and employee benefits excluding postemployment benefits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7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 excluding postemployment benefits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benefits including facility idling reserves</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4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8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(4,097)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portion of supplier recoveries is recorded in Accounts and notes receivable, net of allowance and the non-current portion is recorded in Other assets.</w:t>
      </w:r>
    </w:p>
    <w:p>
      <w:pPr>
        <w:spacing w:after="0" w:line="200" w:lineRule="exact"/>
        <w:rPr>
          <w:rFonts w:ascii="Times New Roman" w:cs="Times New Roman" w:eastAsia="Times New Roman" w:hAnsi="Times New Roman"/>
          <w:sz w:val="16"/>
          <w:szCs w:val="16"/>
          <w:color w:val="auto"/>
        </w:rPr>
      </w:pPr>
    </w:p>
    <w:p>
      <w:pPr>
        <w:spacing w:after="0" w:line="37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r>
      <w:tr>
        <w:trPr>
          <w:trHeight w:val="25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9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December 31, 2022. Refer to Note 16 to our consolidated financial statements for more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28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w:t>
            </w: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19,995</w:t>
            </w: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362</w:t>
            </w: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16,828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20,569</w:t>
            </w:r>
          </w:p>
        </w:tc>
      </w:tr>
      <w:tr>
        <w:trPr>
          <w:trHeight w:val="46"/>
        </w:trPr>
        <w:tc>
          <w:tcPr>
            <w:tcW w:w="5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8"/>
        </w:trPr>
        <w:tc>
          <w:tcPr>
            <w:tcW w:w="5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15,971</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19,085</w:t>
            </w: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1,484</w:t>
            </w:r>
          </w:p>
        </w:tc>
      </w:tr>
      <w:tr>
        <w:trPr>
          <w:trHeight w:val="54"/>
        </w:trPr>
        <w:tc>
          <w:tcPr>
            <w:tcW w:w="5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15,208</w:t>
            </w: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 of senior notes.</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$525 million and $512 million at December 31, 2022 and 2021.</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designated for exclusive use by GM Financial.</w:t>
      </w:r>
    </w:p>
    <w:p>
      <w:pPr>
        <w:spacing w:after="0" w:line="13"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2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April 2022, we renewed our 364-day, $2.0 billion revolving credit facility allocated for the exclusive use of GM Financial, which now matures on April 4, 2023.</w:t>
      </w:r>
    </w:p>
    <w:p>
      <w:pPr>
        <w:spacing w:after="0" w:line="163"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In August 2022, we issued $2.25 billion in aggregate principal amount of senior unsecured notes under our new Sustainable Finance Framework with a weighted-average interest rate of 5.51% and maturity dates in 2029 and 2032. We intend to allocate an amount equal to the net proceeds from these senior unsecured notes to finance or refinance, in whole or in part, new or existing green projects, assets or activities undertaken or owned by the Company that meet one or more eligibility criteria outlined in our Sustainable Finance Framework.</w:t>
      </w:r>
    </w:p>
    <w:p>
      <w:pPr>
        <w:spacing w:after="0" w:line="20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2022, we early redeemed our $1.0 billion 5.40% senior unsecured notes with a maturity date of October 2023 and recorded an insignificant loss. Additionally, in the year ended December 31, 2022, we paid, prior to maturity, $529 million of unsecured term loans in GMI.</w:t>
      </w:r>
    </w:p>
    <w:p>
      <w:pPr>
        <w:spacing w:after="0" w:line="189" w:lineRule="exact"/>
        <w:rPr>
          <w:sz w:val="20"/>
          <w:szCs w:val="20"/>
          <w:color w:val="auto"/>
        </w:rPr>
      </w:pPr>
    </w:p>
    <w:p>
      <w:pPr>
        <w:jc w:val="both"/>
        <w:ind w:firstLine="161"/>
        <w:spacing w:after="0"/>
        <w:rPr>
          <w:sz w:val="20"/>
          <w:szCs w:val="20"/>
          <w:color w:val="auto"/>
        </w:rPr>
      </w:pPr>
      <w:r>
        <w:rPr>
          <w:rFonts w:ascii="Times New Roman" w:cs="Times New Roman" w:eastAsia="Times New Roman" w:hAnsi="Times New Roman"/>
          <w:sz w:val="18"/>
          <w:szCs w:val="18"/>
          <w:color w:val="auto"/>
        </w:rPr>
        <w:t>In January 2023, we gave notice to early redeem our $1.5 billion 4.875% senior unsecured notes with a maturity date of October 2023. The settlement of the early redemption of these senior unsecured notes is expected to occur during the first quarter of 2023 and is expected to have an immaterial impact on our 2023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214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9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39,401</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54,357</w:t>
            </w:r>
          </w:p>
        </w:tc>
        <w:tc>
          <w:tcPr>
            <w:tcW w:w="0" w:type="dxa"/>
            <w:vAlign w:val="bottom"/>
          </w:tcPr>
          <w:p>
            <w:pPr>
              <w:spacing w:after="0"/>
              <w:rPr>
                <w:sz w:val="1"/>
                <w:szCs w:val="1"/>
                <w:color w:val="auto"/>
              </w:rPr>
            </w:pPr>
          </w:p>
        </w:tc>
      </w:tr>
      <w:tr>
        <w:trPr>
          <w:trHeight w:val="247"/>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92,250</w:t>
            </w: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1.70% at December 31, 2022. The revolving credit facilities have maturity dates ranging from 2023 to 2028 and securitization notes payable have maturity dates ranging from 2023 to 2035. At the end of the revolving period, if not renewed, the debt of revolving credit facilities will amortize over a defined period. In the year ended December 31, 2022, GM Financial renewed revolving credit facilities with total borrowing capacity of $26.3 billion and issued $24.3 billion in aggregate principal amount of securitization notes payable with an initial weighted-average interest rate of 3.40% and maturity dates ranging from 2023 to 2035.</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Senior notes outstanding at December 31, 2022 have maturity dates ranging from 2023 to 2032 and have a weighted-average interest rate of 3.20%. In the year ended December 31, 2022, GM Financial issued $9.0 billion in aggregate principal amount of senior notes with an initial weighted-average interest rate of 3.78% and maturity dates ranging from 2024 to 2032.</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2021, GM Financial redeemed $1.5 billion in aggregate principal amount of 5.20% senior notes due in 2023. The redemption resulted in a $105 million loss on the early extinguishment of debt. The loss is included in GM Financial interest, operating and other expenses.</w:t>
      </w:r>
    </w:p>
    <w:p>
      <w:pPr>
        <w:spacing w:after="0" w:line="190"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Unsecured credit facilities and other unsecured debt have original maturities of up to five years. The weighted-average interest rate on these credit facilities and other unsecured debt was 6.97% at December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28"/>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Financing - GM Financial interest expense</w:t>
            </w:r>
          </w:p>
        </w:tc>
        <w:tc>
          <w:tcPr>
            <w:tcW w:w="1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4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8160" w:type="dxa"/>
            <w:vAlign w:val="bottom"/>
            <w:gridSpan w:val="4"/>
          </w:tcPr>
          <w:p>
            <w:pPr>
              <w:jc w:val="right"/>
              <w:ind w:right="554"/>
              <w:spacing w:after="0"/>
              <w:rPr>
                <w:sz w:val="20"/>
                <w:szCs w:val="20"/>
                <w:color w:val="auto"/>
              </w:rPr>
            </w:pPr>
            <w:r>
              <w:rPr>
                <w:rFonts w:ascii="Times New Roman" w:cs="Times New Roman" w:eastAsia="Times New Roman" w:hAnsi="Times New Roman"/>
                <w:sz w:val="18"/>
                <w:szCs w:val="18"/>
                <w:color w:val="auto"/>
              </w:rPr>
              <w:t>The following table summarizes contractual maturities including finance leases at December 31, 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Automotive Financing</w:t>
            </w:r>
          </w:p>
        </w:tc>
        <w:tc>
          <w:tcPr>
            <w:tcW w:w="34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22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28"/>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0" w:type="dxa"/>
            <w:vAlign w:val="bottom"/>
          </w:tcPr>
          <w:p>
            <w:pPr>
              <w:spacing w:after="0"/>
              <w:rPr>
                <w:sz w:val="1"/>
                <w:szCs w:val="1"/>
                <w:color w:val="auto"/>
              </w:rPr>
            </w:pPr>
          </w:p>
        </w:tc>
      </w:tr>
      <w:tr>
        <w:trPr>
          <w:trHeight w:val="247"/>
        </w:trPr>
        <w:tc>
          <w:tcPr>
            <w:tcW w:w="47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911"/>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7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Compliance with Debt Covenants </w:t>
      </w:r>
      <w:r>
        <w:rPr>
          <w:rFonts w:ascii="Times New Roman" w:cs="Times New Roman" w:eastAsia="Times New Roman" w:hAnsi="Times New Roman"/>
          <w:sz w:val="18"/>
          <w:szCs w:val="18"/>
          <w:color w:val="auto"/>
        </w:rPr>
        <w:t>Several of our loan facilities, including our revolving credit facilities, require compliance with certain financial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Financial Instruments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the notional amounts of derivative financial instruments in our automotive operations: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3"/>
                <w:szCs w:val="13"/>
                <w:color w:val="auto"/>
              </w:rPr>
            </w:pPr>
          </w:p>
        </w:tc>
        <w:tc>
          <w:tcPr>
            <w:tcW w:w="14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2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Stellantis warrants(b)</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financial instruments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line="251" w:lineRule="auto"/>
        <w:tabs>
          <w:tab w:leader="none" w:pos="31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December 31, 2022 and 2021 and the gains/losses included in our consolidated income statements for the years ended December 31, 2022, 2021 and 2020 were insignificant, unless otherwise noted.</w:t>
      </w:r>
    </w:p>
    <w:p>
      <w:pPr>
        <w:jc w:val="both"/>
        <w:ind w:left="320" w:hanging="313"/>
        <w:spacing w:after="0" w:line="25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2021, we held 39.7 million warrants in Stellantis, which we exercised in September 2022. Upon exercise, the warrants converted into 69.1 million common shares of Stellantis, which we immediately sold back to Stellantis. Total net pre-tax proceeds, including dividends received, in connection with this transaction were approximately $1.1 billion. The fair value of these warrants, located in Other assets, was $1.4 billion at December 31, 2021. We recorded a loss in Interest income and other non-operating income of $363 million for the year ended December 31, 2022 and gains of $316 million and $139 million for the years ended December, 2021 and 2020.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6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5"/>
              <w:spacing w:after="0" w:line="136"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6"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swaps(b)</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instruments(c)</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9" w:lineRule="exact"/>
        <w:rPr>
          <w:sz w:val="20"/>
          <w:szCs w:val="20"/>
          <w:color w:val="auto"/>
        </w:rPr>
      </w:pPr>
    </w:p>
    <w:p>
      <w:pPr>
        <w:jc w:val="both"/>
        <w:ind w:left="320" w:hanging="313"/>
        <w:spacing w:after="0" w:line="254" w:lineRule="auto"/>
        <w:tabs>
          <w:tab w:leader="none" w:pos="3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consolidated income statements and statements of comprehensive income for the years ended December 31, 2022</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2021 and 2020 were insignificant, unless otherwise noted. Amounts accrued for interest payments in a net receivable position are included in Other assets. Amounts accrued for interest payments in a net payable position are included in Other liabilities.</w:t>
      </w:r>
    </w:p>
    <w:p>
      <w:pPr>
        <w:jc w:val="both"/>
        <w:ind w:left="320" w:hanging="313"/>
        <w:spacing w:after="0" w:line="255"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in the consolidated statements of comprehensive income include a $529 million loss recognized in Accumulated other comprehensive loss and a $578 million loss reclassified from Accumulated other comprehensive loss into income for the year ended December 31, 2022 and insignificant activity in the years ended December 31, 2021 and 2020.</w:t>
      </w:r>
    </w:p>
    <w:p>
      <w:pPr>
        <w:ind w:left="320" w:hanging="313"/>
        <w:spacing w:after="0" w:line="254" w:lineRule="auto"/>
        <w:tabs>
          <w:tab w:leader="none" w:pos="3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$553 million and $376 million of collateral from counterparties available for netting against GM Financial's asset positions, and posted $1.5 billion and an insignificant amount of collateral to counterparties available for netting against GM Financial's liability positions at December 31, 2022 and 2021.</w:t>
      </w:r>
    </w:p>
    <w:p>
      <w:pPr>
        <w:spacing w:after="0" w:line="219"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0"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The following amounts were recorded in the consolidated balance sheets related to items designated and qualifying as hedged items in fair value hedging relationships: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5"/>
          </w:tcPr>
          <w:p>
            <w:pPr>
              <w:ind w:left="1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3960" w:type="dxa"/>
            <w:vAlign w:val="bottom"/>
            <w:gridSpan w:val="4"/>
          </w:tcPr>
          <w:p>
            <w:pPr>
              <w:jc w:val="right"/>
              <w:ind w:right="137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30"/>
        </w:trPr>
        <w:tc>
          <w:tcPr>
            <w:tcW w:w="2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right"/>
              <w:ind w:right="35"/>
              <w:spacing w:after="0" w:line="130"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right"/>
              <w:ind w:right="55"/>
              <w:spacing w:after="0" w:line="130"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r>
      <w:tr>
        <w:trPr>
          <w:trHeight w:val="193"/>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Value Hedging Adjustments(a)</w:t>
            </w:r>
          </w:p>
        </w:tc>
        <w:tc>
          <w:tcPr>
            <w:tcW w:w="100" w:type="dxa"/>
            <w:vAlign w:val="bottom"/>
          </w:tcPr>
          <w:p>
            <w:pPr>
              <w:spacing w:after="0"/>
              <w:rPr>
                <w:sz w:val="16"/>
                <w:szCs w:val="16"/>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Hedging Adjustments(a)</w:t>
            </w:r>
          </w:p>
        </w:tc>
      </w:tr>
      <w:tr>
        <w:trPr>
          <w:trHeight w:val="227"/>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line="272" w:lineRule="auto"/>
        <w:tabs>
          <w:tab w:leader="none" w:pos="31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insignificant amount and $246 million of unamortized gains remaining on hedged items for which hedge accounting has been discontinued at December 31,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Pensions and Other Postretirement Benefits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and Other Postretirement Benefit Plans</w:t>
      </w:r>
    </w:p>
    <w:p>
      <w:pPr>
        <w:spacing w:after="0" w:line="24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Defined Benefit Pension Plans </w:t>
      </w:r>
      <w:r>
        <w:rPr>
          <w:rFonts w:ascii="Times New Roman" w:cs="Times New Roman" w:eastAsia="Times New Roman" w:hAnsi="Times New Roman"/>
          <w:sz w:val="17"/>
          <w:szCs w:val="17"/>
          <w:color w:val="auto"/>
        </w:rPr>
        <w:t>Defined benefit pension plans covering eligible U.S. hourly employees (hired prior to October 2007) and Canadian hourly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0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2022 all legal funding requirements were met. The following table summarizes contributions made to the defined benefit pension plans: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hourly and salaried</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 expect to contribute approximately $60 million to our U.S. non-qualified plans and approximately $600 million to our non-U.S. pension plans in 2023.</w:t>
      </w:r>
    </w:p>
    <w:p>
      <w:pPr>
        <w:spacing w:after="0" w:line="261"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Based on our current assumptions, over the next five years, we expect no significant mandatory contributions to our U.S. qualified pension plans and mandatory contributions totaling $269 million to our United Kingdom and Canada pension plans.</w:t>
      </w:r>
    </w:p>
    <w:p>
      <w:pPr>
        <w:spacing w:after="0" w:line="186"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Benefit Plans </w:t>
      </w:r>
      <w:r>
        <w:rPr>
          <w:rFonts w:ascii="Times New Roman" w:cs="Times New Roman" w:eastAsia="Times New Roman" w:hAnsi="Times New Roman"/>
          <w:sz w:val="18"/>
          <w:szCs w:val="18"/>
          <w:color w:val="auto"/>
        </w:rPr>
        <w:t>Certain hourly and salaried defined benefit plans provide postretirement medical, dental, legal service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$335 million, $351 million and $343 million in the years ended December 31, 2022, 2021 and 2020. Plan participants' contributions were insignificant in the years ended December 31, 2022, 2021 and 2020.</w:t>
      </w:r>
    </w:p>
    <w:p>
      <w:pPr>
        <w:spacing w:after="0" w:line="207"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We have defined contribution plans for eligible U.S. salaried and hourly employees that provide discretionary matching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Contributions are also made to certain non-U.S. defined contribution plans. We made contributions to our defined contribution plans of $724 million, $606 million and $573 million in the years ended December 31, 2022, 2021 and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Plan Amendments, Benefit Modifications and Related Events</w:t>
      </w:r>
    </w:p>
    <w:p>
      <w:pPr>
        <w:spacing w:after="0" w:line="249"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Remeasurements </w:t>
      </w:r>
      <w:r>
        <w:rPr>
          <w:rFonts w:ascii="Times New Roman" w:cs="Times New Roman" w:eastAsia="Times New Roman" w:hAnsi="Times New Roman"/>
          <w:sz w:val="18"/>
          <w:szCs w:val="18"/>
          <w:color w:val="auto"/>
        </w:rPr>
        <w:t>The SOA issued mortality improvement tables in the three months ended December 31, 2022 and December 31, 2021.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reviewed our recent mortality experience and we determined our current mortality assumptions are appropriate to measure our U.S. pension and OPEB plans obligations as of December 31, 2022. In 2020, we incorporated the SOA mortality improvement tables into our December 31, 2020 measurement of U.S. pension and OPEB plans' benefit obligations. The change in these assumptions decreased U.S. pension and OPEB plans’ obligations by $686 million as of December 31, 2020.</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Obligations and Plan Assets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20" w:type="dxa"/>
            <w:vAlign w:val="bottom"/>
          </w:tcPr>
          <w:p>
            <w:pPr>
              <w:spacing w:after="0"/>
              <w:rPr>
                <w:sz w:val="16"/>
                <w:szCs w:val="16"/>
                <w:color w:val="auto"/>
              </w:rPr>
            </w:pPr>
          </w:p>
        </w:tc>
        <w:tc>
          <w:tcPr>
            <w:tcW w:w="274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Global</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benefit obligation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benefit obligation</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fair value of plan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fair value of plan assets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funded status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the consolidated balance sheets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4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recorded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Accumulated other comprehensive loss</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prior service (cost) credit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recorded in Accumulated other comprehensive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the years ended December 31, 2022 and 2021, the decrease in benefit obligations was primarily due to an increase in actuarial gains experienced by all plans as a result of an increase in discount rates.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23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5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ABO in excess of plan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PBO in excess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PBO</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w:t>
            </w:r>
          </w:p>
        </w:tc>
      </w:tr>
      <w:tr>
        <w:trPr>
          <w:trHeight w:val="22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304"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pension and OPEB expense along with the assumptions used to determine benefit obligations: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c>
          <w:tcPr>
            <w:tcW w:w="200" w:type="dxa"/>
            <w:vAlign w:val="bottom"/>
          </w:tcPr>
          <w:p>
            <w:pPr>
              <w:spacing w:after="0"/>
              <w:rPr>
                <w:sz w:val="16"/>
                <w:szCs w:val="16"/>
                <w:color w:val="auto"/>
              </w:rPr>
            </w:pPr>
          </w:p>
        </w:tc>
        <w:tc>
          <w:tcPr>
            <w:tcW w:w="172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40" w:type="dxa"/>
            <w:vAlign w:val="bottom"/>
          </w:tcPr>
          <w:p>
            <w:pPr>
              <w:spacing w:after="0"/>
              <w:rPr>
                <w:sz w:val="16"/>
                <w:szCs w:val="16"/>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Global</w:t>
            </w:r>
          </w:p>
        </w:tc>
        <w:tc>
          <w:tcPr>
            <w:tcW w:w="220" w:type="dxa"/>
            <w:vAlign w:val="bottom"/>
          </w:tcPr>
          <w:p>
            <w:pPr>
              <w:spacing w:after="0"/>
              <w:rPr>
                <w:sz w:val="16"/>
                <w:szCs w:val="16"/>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2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OPEB Plans</w:t>
            </w: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Plans</w:t>
            </w:r>
          </w:p>
        </w:tc>
        <w:tc>
          <w:tcPr>
            <w:tcW w:w="0" w:type="dxa"/>
            <w:vAlign w:val="bottom"/>
          </w:tcPr>
          <w:p>
            <w:pPr>
              <w:spacing w:after="0"/>
              <w:rPr>
                <w:sz w:val="1"/>
                <w:szCs w:val="1"/>
                <w:color w:val="auto"/>
              </w:rPr>
            </w:pPr>
          </w:p>
        </w:tc>
      </w:tr>
      <w:tr>
        <w:trPr>
          <w:trHeight w:val="21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expense</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60" w:type="dxa"/>
            <w:vAlign w:val="bottom"/>
          </w:tcPr>
          <w:p>
            <w:pPr>
              <w:spacing w:after="0"/>
              <w:rPr>
                <w:sz w:val="19"/>
                <w:szCs w:val="19"/>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3"/>
        </w:trPr>
        <w:tc>
          <w:tcPr>
            <w:tcW w:w="300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Net periodic pension and OPEB</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4"/>
                <w:szCs w:val="14"/>
                <w:color w:val="auto"/>
              </w:rPr>
            </w:pPr>
          </w:p>
        </w:tc>
        <w:tc>
          <w:tcPr>
            <w:tcW w:w="18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4"/>
                <w:szCs w:val="14"/>
                <w:color w:val="auto"/>
              </w:rPr>
            </w:pP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1"/>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expense</w:t>
            </w: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0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Weighted-average assumptions used to</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benefit obligations(a)</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0" w:type="dxa"/>
            <w:vAlign w:val="bottom"/>
          </w:tcPr>
          <w:p>
            <w:pPr>
              <w:spacing w:after="0"/>
              <w:rPr>
                <w:sz w:val="1"/>
                <w:szCs w:val="1"/>
                <w:color w:val="auto"/>
              </w:rPr>
            </w:pPr>
          </w:p>
        </w:tc>
      </w:tr>
      <w:tr>
        <w:trPr>
          <w:trHeight w:val="179"/>
        </w:trPr>
        <w:tc>
          <w:tcPr>
            <w:tcW w:w="30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Weighted-average assumptions used to</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net expense(a)</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The rate of compensation increase and the cash balance interest crediting rates do not have a significant effect on our U.S. pension and OPEB plans.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non-service cost components of the net periodic pension and OPEB income are presented in Interest income and other non-operating income,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for additional information.</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U.S. pension plan service cost, which includes administrative expenses and Pension Benefit Guarantee Corporation premiums, were insignificant for the years ended December 31, 2022, 2021 and 2020. Weighted-average assumptions used to determine net expense are determined at the beginning of the period and updated for remeasurements. Non-U.S. pension plan administrative expenses included in service cost were insignificant in the years ended December 31, 2022, 2021 and 2020.</w:t>
      </w:r>
    </w:p>
    <w:p>
      <w:pPr>
        <w:spacing w:after="0" w:line="20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the three months ended December 31, 2020, we completed a $1.5 billion annuity purchase for salaried retirees in Canada. This resulted in a non-operating pension settlement charge of $130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4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Strategies and Long-Term Rate of Return </w:t>
      </w:r>
      <w:r>
        <w:rPr>
          <w:rFonts w:ascii="Times New Roman" w:cs="Times New Roman" w:eastAsia="Times New Roman" w:hAnsi="Times New Roman"/>
          <w:sz w:val="18"/>
          <w:szCs w:val="18"/>
          <w:color w:val="auto"/>
        </w:rPr>
        <w:t>Detailed periodic studies are conducted by our internal asset management group as well as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2022, an investment policy study was completed for the U.S. pension plans. As a result of changes to our capital market assumptions, the weighted-average long-term rate of return on assets increased from 5.4% at December 31, 2021 to 6.3% at December 31, 2022. The expected long-term rate of return on plan assets used in determining pension expense for non-U.S. plans is determined in a similar manner to the U.S. plans.</w:t>
      </w:r>
    </w:p>
    <w:p>
      <w:pPr>
        <w:spacing w:after="0" w:line="199"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Allocation Percentages </w:t>
      </w:r>
      <w:r>
        <w:rPr>
          <w:rFonts w:ascii="Times New Roman" w:cs="Times New Roman" w:eastAsia="Times New Roman" w:hAnsi="Times New Roman"/>
          <w:sz w:val="18"/>
          <w:szCs w:val="18"/>
          <w:color w:val="auto"/>
        </w:rPr>
        <w:t>The following table summarizes the target allocations by asset category for U.S. and non-U.S. defined benefit pension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tcPr>
          <w:p>
            <w:pPr>
              <w:spacing w:after="0"/>
              <w:rPr>
                <w:sz w:val="16"/>
                <w:szCs w:val="16"/>
                <w:color w:val="auto"/>
              </w:rPr>
            </w:pPr>
          </w:p>
        </w:tc>
        <w:tc>
          <w:tcPr>
            <w:tcW w:w="200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7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40" w:hanging="333"/>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private equity, real estate and absolute return strategies, which mainly consist of hedge funds.</w:t>
      </w:r>
    </w:p>
    <w:p>
      <w:pPr>
        <w:spacing w:after="0" w:line="200" w:lineRule="exact"/>
        <w:rPr>
          <w:rFonts w:ascii="Times New Roman" w:cs="Times New Roman" w:eastAsia="Times New Roman" w:hAnsi="Times New Roman"/>
          <w:sz w:val="16"/>
          <w:szCs w:val="16"/>
          <w:color w:val="auto"/>
        </w:rPr>
      </w:pPr>
    </w:p>
    <w:p>
      <w:pPr>
        <w:spacing w:after="0" w:line="38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right="3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Fair Value Measurements </w:t>
      </w:r>
      <w:r>
        <w:rPr>
          <w:rFonts w:ascii="Times New Roman" w:cs="Times New Roman" w:eastAsia="Times New Roman" w:hAnsi="Times New Roman"/>
          <w:sz w:val="18"/>
          <w:szCs w:val="18"/>
          <w:color w:val="auto"/>
        </w:rPr>
        <w:t>The following tables summarize the fair value of U.S. and non-U.S. defined benefit pension plan assets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class: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Pension Plan Assets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investments, net(b)</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investments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plan assets (liabilities), net(c)</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8"/>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Non-U.S. Pension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investments, net(b)(d)</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plan assets (liabilities), net(c)</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U.S. and sovereign government and agency issues.</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derivative assets (liabilities).</w:t>
      </w:r>
    </w:p>
    <w:p>
      <w:pPr>
        <w:spacing w:after="0" w:line="3"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held by the plans, net of amounts receivable/payable for unsettled security transactions and payables for investment manager fees, custody fees and other expenses.</w:t>
      </w:r>
    </w:p>
    <w:p>
      <w:pPr>
        <w:spacing w:after="0" w:line="3"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Other investments, net includes Canadian repurchase agreements of approximately $150 million and $271 million at December 31, 2022 and 2021.</w:t>
      </w:r>
    </w:p>
    <w:p>
      <w:pPr>
        <w:spacing w:after="0" w:line="22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activity attributable to U.S. and non-U.S. Level 3 defined benefit pension plan investments was insignificant in the years ended December 31, 2022 and 2021.</w:t>
      </w:r>
    </w:p>
    <w:p>
      <w:pPr>
        <w:spacing w:after="0" w:line="186"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Fund Strategies </w:t>
      </w:r>
      <w:r>
        <w:rPr>
          <w:rFonts w:ascii="Times New Roman" w:cs="Times New Roman" w:eastAsia="Times New Roman" w:hAnsi="Times New Roman"/>
          <w:sz w:val="18"/>
          <w:szCs w:val="18"/>
          <w:color w:val="auto"/>
        </w:rPr>
        <w:t>Investment funds include hedge funds, funds of hedge funds, equity funds and fixed income funds. Hedge funds and funds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3" w:lineRule="exact"/>
        <w:rPr>
          <w:sz w:val="20"/>
          <w:szCs w:val="20"/>
          <w:color w:val="auto"/>
        </w:rPr>
      </w:pPr>
    </w:p>
    <w:p>
      <w:pPr>
        <w:jc w:val="both"/>
        <w:ind w:right="20" w:firstLine="161"/>
        <w:spacing w:after="0" w:line="279" w:lineRule="auto"/>
        <w:rPr>
          <w:sz w:val="20"/>
          <w:szCs w:val="20"/>
          <w:color w:val="auto"/>
        </w:rPr>
      </w:pPr>
      <w:r>
        <w:rPr>
          <w:rFonts w:ascii="Times New Roman" w:cs="Times New Roman" w:eastAsia="Times New Roman" w:hAnsi="Times New Roman"/>
          <w:sz w:val="18"/>
          <w:szCs w:val="18"/>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9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Real estate investments include funds that invest in entities that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99"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Concentrations of Risk </w:t>
      </w:r>
      <w:r>
        <w:rPr>
          <w:rFonts w:ascii="Times New Roman" w:cs="Times New Roman" w:eastAsia="Times New Roman" w:hAnsi="Times New Roman"/>
          <w:sz w:val="18"/>
          <w:szCs w:val="18"/>
          <w:color w:val="auto"/>
        </w:rPr>
        <w:t>The assets of the pension plans include certain investment funds, private equity and debt investments and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0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20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Benefit Payments </w:t>
      </w:r>
      <w:r>
        <w:rPr>
          <w:rFonts w:ascii="Times New Roman" w:cs="Times New Roman" w:eastAsia="Times New Roman" w:hAnsi="Times New Roman"/>
          <w:sz w:val="18"/>
          <w:szCs w:val="18"/>
          <w:color w:val="auto"/>
        </w:rPr>
        <w:t>Benefits for most U.S. pension plans and certain non-U.S. pension plans are paid out of plan assets rather than our Cash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The following table summarizes net benefit payments expected to be paid in the future, which include assumptions related to estimated future employee service: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Plans</w:t>
            </w:r>
          </w:p>
        </w:tc>
        <w:tc>
          <w:tcPr>
            <w:tcW w:w="1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Non-U.S. Plans</w:t>
            </w:r>
          </w:p>
        </w:tc>
        <w:tc>
          <w:tcPr>
            <w:tcW w:w="10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Global OPEB Plans</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2022 and 2021, we had accruals of $1.1 billion and $1.4 billion in Accrued liabilities and Other liabilities. In many matters, it is inherently difficult to determine whether loss is probable or reasonably possible or to estimate the size or range of the possible loss.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19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Wage Litigation </w:t>
      </w:r>
      <w:r>
        <w:rPr>
          <w:rFonts w:ascii="Times New Roman" w:cs="Times New Roman" w:eastAsia="Times New Roman" w:hAnsi="Times New Roman"/>
          <w:sz w:val="18"/>
          <w:szCs w:val="18"/>
          <w:color w:val="auto"/>
        </w:rPr>
        <w:t>GM Korea Company (GM Korea) is party to litigation with current and former subcontract workers over allegations that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In June 2020, the Seoul High Court (an intermediate-level appellate court) ruled against GM Korea in one of the subcontract worker claims. Although GM Korea has appealed this decision to the Korea Supreme Court, GM Korea has since hired certain of its subcontract workers as full-time employees. At December 31, 2022, our accrual covering certain asserted claims and claims that we believe are probable of assertion and for which liability is probable was approximately $282 million. We estimate the reasonably possible loss in excess of amounts accrued for other current subcontract workers who may assert similar claims to be approximately $97 million at December 31, 2022. We are currently unable to estimate any reasonably possible material loss or range of loss that may result from additional claims that may be asserted by former subcontract workers.</w:t>
      </w:r>
    </w:p>
    <w:p>
      <w:pPr>
        <w:spacing w:after="0" w:line="216"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0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and one certified class action pending against GM in federal courts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a certified class action proceeding involving three states. We do not believe that the verdict is supported by the evidence and have filed post-trial motions and, if necessary, will appeal. We are currently unable to estimate any reasonably possible material loss or range of loss that may result from the putative class action proceedings and have previously accrued an immaterial amount related to the certified class action proceeding.</w:t>
      </w:r>
    </w:p>
    <w:p>
      <w:pPr>
        <w:spacing w:after="0" w:line="21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Indirect tax-related matters are being litigated globally pertaining to value added taxes, customs, duties, sales taxes and other non-income tax-related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or environmental compliance requirements and claims that, if granted, could require us to pay damages or make other expenditures in amounts that could not be reasonably estimated at December 31, 2022. For indirect tax-related matters we estimate our reasonably possible loss in excess of amounts accrued to be up to approximately $900 million at December 31,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NHTSA directed that we replace the Takata Corporation (Takata) airbag inflators in our GMT900 vehicles,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full-size pickup trucks and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11" w:lineRule="exact"/>
        <w:rPr>
          <w:sz w:val="20"/>
          <w:szCs w:val="20"/>
          <w:color w:val="auto"/>
        </w:rPr>
      </w:pPr>
    </w:p>
    <w:p>
      <w:pPr>
        <w:jc w:val="both"/>
        <w:ind w:firstLine="161"/>
        <w:spacing w:after="0" w:line="286"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federal courts in the U.S., in the Provincial Courts in Canada and in Mexico, arising out of allegations that airbag inflators manufactured by Takata are defective. At this stage of these proceedings, we are unable to provide an estimate of the amounts or range of reasonably possible material loss.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and recorded an additional warranty accrual of $1.2 billion in the three months ended September 30, 2021. In October 2021, we reached an agreement with LG, under which LG will reimburse GM for costs and expenses associated with the recall. As a result, in the three months ended September 30, 2021, we recognized a receivable of $1.9 billion, which substantially offsets the warranty charges we recognized in connection with the recall. These charges reflect our current best estimate for the cost of the recall remedy. The actual costs of the recall and GM's associated recovery from LG could be materially higher or lower. For 2017-2019 model year vehicles, the recall remedy will be to replace the high voltage battery modules in these vehicles with new modules. For 2020-2022 model year vehicles, the recall remedy will be to replace any defective high voltage battery modules in these vehicles with new modules.</w:t>
      </w:r>
    </w:p>
    <w:p>
      <w:pPr>
        <w:spacing w:after="0" w:line="2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federal courts in the U.S. and in the Provincial Courts in Canada alleging that the batteries contained in the Bolt EVs and EUVs included in the recall population are defective. At this stage of these proceedings, we are unable to provide an estimate of the amounts or range of reasonably possible material loss.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Opel/Vauxhall Business to PSA Group (now Stellantis) under a Master Agreement (the Agreement). We also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European financing subsidiaries and branches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The Company entered into a guarantee for the benefit of Stellantis, pursuant to which the Company agreed to guarantee the Seller's obligation to indemnify Stellantis.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and the Netherlands alleging that Opel and Vauxhall vehicles sold by the Seller violated applicable emissions standards. In addition, in the year ended December 31, 2022, we agreed to indemnify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$561 million and $587 million in Accrued liabilities and Other liabilities at December 31, 2022 and 2021,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expected cost of all known product liability claims, plus an estimate of the expected cost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2023 to 2027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$3.1 billion for these guarantees at December 31, 2022 and 2021, the majority of which relates to the indemnification agreements.</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89"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Credit Cards </w:t>
      </w:r>
      <w:r>
        <w:rPr>
          <w:rFonts w:ascii="Times New Roman" w:cs="Times New Roman" w:eastAsia="Times New Roman" w:hAnsi="Times New Roman"/>
          <w:sz w:val="18"/>
          <w:szCs w:val="18"/>
          <w:color w:val="auto"/>
        </w:rPr>
        <w:t>Credit card programs offer rebates that can be applied primarily against the purchase or lease of our vehicles. At December 31, 2022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our redemption liability was insignificant, our deferred revenue was $353 million and $309 million, and qualified cardholders had rebates available, net of deferred program revenue, of $1.1 billion and $1.2 billion. Our redemption liability and deferred revenue are recorded in Accrued liabilities and Other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(loss)</w:t>
            </w:r>
          </w:p>
        </w:tc>
        <w:tc>
          <w:tcPr>
            <w:tcW w:w="1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income (loss)</w:t>
            </w:r>
          </w:p>
        </w:tc>
        <w:tc>
          <w:tcPr>
            <w:tcW w:w="18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income (loss)</w:t>
            </w:r>
          </w:p>
        </w:tc>
        <w:tc>
          <w:tcPr>
            <w:tcW w:w="1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expense (benefit)</w:t>
            </w: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660" w:type="dxa"/>
            <w:vAlign w:val="bottom"/>
            <w:gridSpan w:val="2"/>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8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1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8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8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80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0" w:type="dxa"/>
            <w:vAlign w:val="bottom"/>
            <w:vMerge w:val="restart"/>
          </w:tcPr>
          <w:p>
            <w:pPr>
              <w:jc w:val="right"/>
              <w:ind w:right="911"/>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0"/>
        </w:trPr>
        <w:tc>
          <w:tcPr>
            <w:tcW w:w="49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9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201"/>
        <w:spacing w:after="0" w:line="255" w:lineRule="auto"/>
        <w:rPr>
          <w:sz w:val="20"/>
          <w:szCs w:val="20"/>
          <w:color w:val="auto"/>
        </w:rPr>
      </w:pPr>
      <w:r>
        <w:rPr>
          <w:rFonts w:ascii="Times New Roman" w:cs="Times New Roman" w:eastAsia="Times New Roman" w:hAnsi="Times New Roman"/>
          <w:sz w:val="18"/>
          <w:szCs w:val="18"/>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$3.5 billion and $3.2 billion at December 31, 2022 and 2021. We have indefinitely reinvested basis differences related to investments in non-consolidated China JVs of $3.4 billion at December 31, 2022 and 2021 as a result of fresh-start reporting. Quantification of the deferred tax liability, if any, associated with indefinitely reinvested basis differences is not practicable.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income tax rate</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 expense (benefit)</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income taxed at other than the U.S. federal statutory tax rate</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impact on Non-U.S. income and activities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laws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business credits and manufacturing incentives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of prior year tax matters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Realization of basis differences in affiliates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420" w:type="dxa"/>
            <w:vAlign w:val="bottom"/>
          </w:tcPr>
          <w:p>
            <w:pPr>
              <w:spacing w:after="0"/>
              <w:rPr>
                <w:sz w:val="19"/>
                <w:szCs w:val="19"/>
                <w:color w:val="auto"/>
              </w:rPr>
            </w:pP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20" w:type="dxa"/>
            <w:vAlign w:val="bottom"/>
            <w:vMerge w:val="restart"/>
          </w:tcPr>
          <w:p>
            <w:pPr>
              <w:jc w:val="right"/>
              <w:ind w:right="911"/>
              <w:spacing w:after="0"/>
              <w:rPr>
                <w:sz w:val="20"/>
                <w:szCs w:val="20"/>
                <w:color w:val="auto"/>
              </w:rPr>
            </w:pPr>
            <w:r>
              <w:rPr>
                <w:rFonts w:ascii="Times New Roman" w:cs="Times New Roman" w:eastAsia="Times New Roman" w:hAnsi="Times New Roman"/>
                <w:sz w:val="18"/>
                <w:szCs w:val="18"/>
                <w:color w:val="auto"/>
              </w:rPr>
              <w:t>88</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8"/>
        </w:trPr>
        <w:tc>
          <w:tcPr>
            <w:tcW w:w="53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Deferred Income Tax Assets and Liabilities </w:t>
      </w:r>
      <w:r>
        <w:rPr>
          <w:rFonts w:ascii="Times New Roman" w:cs="Times New Roman" w:eastAsia="Times New Roman" w:hAnsi="Times New Roman"/>
          <w:sz w:val="18"/>
          <w:szCs w:val="18"/>
          <w:color w:val="auto"/>
        </w:rPr>
        <w:t>Deferred income tax assets and liabilities at December 31, 2022 and 2021 reflect the effect of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employee benefit plans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 dealer and customer allowances, claims and discounts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U.S. capitalized research expenditures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operating loss and tax credit carryforwards(a)</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operating loss and tax credit carryforwards(b)</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31,670</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47"/>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7" w:lineRule="exact"/>
        <w:rPr>
          <w:sz w:val="20"/>
          <w:szCs w:val="20"/>
          <w:color w:val="auto"/>
        </w:rPr>
      </w:pPr>
    </w:p>
    <w:p>
      <w:pPr>
        <w:jc w:val="both"/>
        <w:ind w:left="320" w:hanging="313"/>
        <w:spacing w:after="0" w:line="239" w:lineRule="auto"/>
        <w:tabs>
          <w:tab w:leader="none" w:pos="35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2022, U.S. operating loss deferred tax assets were $417 million, where $129 million can be carried forward indefinitely and $288 million will expire by 2040, if not utilized. At December 31, 2022, U.S. tax credit carryforwards were $5.4 billion, where $292 million can be carried forward indefinitely and $5.2 billion will expire by 2042, if not utilized.</w:t>
      </w:r>
    </w:p>
    <w:p>
      <w:pPr>
        <w:jc w:val="both"/>
        <w:ind w:left="320" w:hanging="313"/>
        <w:spacing w:after="0" w:line="241" w:lineRule="auto"/>
        <w:tabs>
          <w:tab w:leader="none" w:pos="35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2022, Non-U.S. operating loss deferred tax assets were $6.1 billion, where $5.1 billion can be carried forward indefinitely and $1.1 billion will expire by 2042, if not utilized. At December 31, 2022, Non-U.S. tax credit carryforwards were $148 million, where $112 million can be carried forward indefinitely and $36 million will expire by 2042, if not utilized.</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Valuation Allowances </w:t>
      </w:r>
      <w:r>
        <w:rPr>
          <w:rFonts w:ascii="Times New Roman" w:cs="Times New Roman" w:eastAsia="Times New Roman" w:hAnsi="Times New Roman"/>
          <w:sz w:val="18"/>
          <w:szCs w:val="18"/>
          <w:color w:val="auto"/>
        </w:rPr>
        <w:t>During the years ended December 31, 2022 and 2021, valuation allowances against deferred tax assets of $7.7 billion and $8.9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were comprised of cumulative losses, credits and other timing differences, primarily in Germany, Spain, South Korea, the U.S. and Brazil.</w:t>
      </w:r>
    </w:p>
    <w:p>
      <w:pPr>
        <w:spacing w:after="0" w:line="18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2022, GM entered into a Share Purchase Agreement with SoftBank, pursuant to which GM acquired SoftBank’s equity ownership stake in Cruise Holdings and, separately, made an additional $1.35 billion investment in Cruise in place of SoftBank. As of March 31, 2022, GM’s ownership in Cruise increased above the 80% threshold which allowed for inclusion of Cruise in our U.S. Federal consolidated income tax return and the release of a valuation allowance of $482 million against certain Cruise deferred tax assets. Refer to Note 20 to our consolidated financial statements for additional information regarding the Share Purchase Agreement with SoftBank.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The following table summarizes activity of the total amounts of unrecognized tax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current year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prior years' tax positions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prior years'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in tax positions due to lapse of statutory limitations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2022 and 2021, there were $356 million and $411 million of unrecognized tax benefits that if recognized would favorably affect our effective tax rate in the future. In the years ended December 31, 2022, 2021 and 2020, income tax related interest and penalties were insignificant. At December 31, 2022 and 2021, we had liabilities of $86 million for income tax related interest and penalties.</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At December 31, 2022, it is not possible to reasonably estimate the expected change to the total amount of unrecognized tax benefits in the next twelve months.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Income tax returns are filed in multiple jurisdictions and are subject to examination by taxing authorities throughout the world.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tax years from 2011 to 2022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 and Other Initiatives</w:t>
      </w:r>
    </w:p>
    <w:p>
      <w:pPr>
        <w:spacing w:after="0" w:line="11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0" w:lineRule="exact"/>
        <w:rPr>
          <w:sz w:val="20"/>
          <w:szCs w:val="20"/>
          <w:color w:val="auto"/>
        </w:rPr>
      </w:pPr>
    </w:p>
    <w:p>
      <w:pPr>
        <w:jc w:val="both"/>
        <w:ind w:right="20" w:firstLine="161"/>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2022, restructuring and other initiatives primarily included strategic activities in GMNA related to Buick dealerships. We recorded charges of $511 million, which are included in the table above, and incurred $120 million in net cash outflows resulting from these dealer restructurings. The remaining $391 million is expected to be paid in 2023.</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 xml:space="preserve">In the year ended December 31, 2020, </w:t>
      </w:r>
      <w:r>
        <w:rPr>
          <w:rFonts w:ascii="Times New Roman" w:cs="Times New Roman" w:eastAsia="Times New Roman" w:hAnsi="Times New Roman"/>
          <w:sz w:val="18"/>
          <w:szCs w:val="18"/>
          <w:color w:val="212529"/>
        </w:rPr>
        <w:t>restructuring and other initiatives primarily included actions in GMI related to</w:t>
      </w:r>
      <w:r>
        <w:rPr>
          <w:rFonts w:ascii="Times New Roman" w:cs="Times New Roman" w:eastAsia="Times New Roman" w:hAnsi="Times New Roman"/>
          <w:sz w:val="18"/>
          <w:szCs w:val="18"/>
          <w:color w:val="auto"/>
        </w:rPr>
        <w:t xml:space="preserve"> the wind-down of GM Holden, Ltd. (Holden) sales, design and engineering operations in Australia and New Zealand, the sale of our vehicle and powertrain manufacturing facilities in Thailand and the execution of a binding term sheet to sell our manufacturing facility in India. We recorded charges of $683 million in the year ended December 31, 2020, primarily consisting of $360 million in dealer restructurings, employee separations and supplier claim charges, which are reflected in the table above, and $323 million in property and intangible asset impairments, inventory provisions, sales allowances and other charges, not reflected in the table above. We also recorded a $236 million charge to Income tax expense due to the establishment of a valuation allowance against deferred tax assets in Australia and New Zealand in the year ended December 31, 2020. We incurred $197 million in net cash outflows in the year ended December 31, 2020 and $254 million in net cash outflows since program inception resulting from these restructuring actions primarily for dealer restructuring payments and employee separation payments, which includes proceeds of $143 million from the sale of our manufacturing facilities in Thailand. Holden and Thailand programs were substantially complete at December 31,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Interest Income and Other Non-Operating Income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and OPEB income (loss)</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agreements income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investments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non-operating income, net</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In the year ended December 31, 2022, we shut down our Russia business and recorded a $657 million charge, included in Other in the table above, to write off our net investment and release accumulated translation losses into earnings.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Stockholders’ Equity and Noncontrolling Interests</w:t>
      </w:r>
    </w:p>
    <w:p>
      <w:pPr>
        <w:spacing w:after="0" w:line="249" w:lineRule="exact"/>
        <w:rPr>
          <w:sz w:val="20"/>
          <w:szCs w:val="20"/>
          <w:color w:val="auto"/>
        </w:rPr>
      </w:pPr>
    </w:p>
    <w:p>
      <w:pPr>
        <w:jc w:val="both"/>
        <w:ind w:firstLine="161"/>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Preferred and Common Stock </w:t>
      </w:r>
      <w:r>
        <w:rPr>
          <w:rFonts w:ascii="Times New Roman" w:cs="Times New Roman" w:eastAsia="Times New Roman" w:hAnsi="Times New Roman"/>
          <w:sz w:val="18"/>
          <w:szCs w:val="18"/>
          <w:color w:val="auto"/>
        </w:rPr>
        <w:t>We have 2.0 billion shares of preferred stock and 5.0 billion shares of common stock authorized for issuance. We had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preferred stock issued and outstanding at December 31, 2022 and 2021. We had 1.4 billion and 1.5 billion shares of common stock issued and outstanding at December 31, 2022 and 2021.</w:t>
      </w:r>
    </w:p>
    <w:p>
      <w:pPr>
        <w:spacing w:after="0" w:line="198"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 were $0.18 and $0.38 and our total dividends paid on common stock were $257 million and $545 million for the years ended December 31, 2022 and 2020. Dividends were not declared or paid on our common stock for the year ended December 31, 2021.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August 2022, our Board of Directors increased the capacity under our previously announced common stock repurchase program to $5.0 billion from the $3.3 billion that remained under the program as of June 30, 2022. In the year ended December 31, 2022, we purchased approximately 64 million shares of our outstanding common stock for $2.5 billion as part of the program. We did not purchase any shares of our outstanding common stock in the year ended December 31, 2021. We purchased approximately three million shares of our outstanding common stock for $90 million in the year ended December 31, 2020.</w:t>
      </w:r>
    </w:p>
    <w:p>
      <w:pPr>
        <w:spacing w:after="0" w:line="194" w:lineRule="exact"/>
        <w:rPr>
          <w:sz w:val="20"/>
          <w:szCs w:val="20"/>
          <w:color w:val="auto"/>
        </w:rPr>
      </w:pPr>
    </w:p>
    <w:p>
      <w:pPr>
        <w:jc w:val="both"/>
        <w:ind w:firstLine="161"/>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Preferred Shares </w:t>
      </w:r>
      <w:r>
        <w:rPr>
          <w:rFonts w:ascii="Times New Roman" w:cs="Times New Roman" w:eastAsia="Times New Roman" w:hAnsi="Times New Roman"/>
          <w:sz w:val="18"/>
          <w:szCs w:val="18"/>
          <w:color w:val="auto"/>
        </w:rPr>
        <w:t>In 2021, Cruise Holdings issued $2.7 billion of Class G Preferred Shares (Cruise Class G Preferred Shares) to Microsoft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Cruise Class G Preferred Shares participate pari passu with holders of Cruise Holdings common stock and Class F Preferred Shares (Cruise Class F Preferred Shares) in any dividends declared. The Cruise Class G and Cruise Class F Preferred Shares convert into the class of shares to be issued to the public in an initial public offering (IPO) at specified exchange ratios. No covenants or other events of default exist that can trigger redemption of the Cruise Class G and Cruise Class F Preferred Shares. The Cruise Class G and Cruise Class F Preferred Shares are entitled to receive the greater of their carrying value or a pro-rata share of any proceeds or distributions upon the occurrence of a merger, sale, liquidation or dissolution of Cruise Holdings, and are classified as noncontrolling interests in our consolidated financial statements.</w:t>
      </w:r>
    </w:p>
    <w:p>
      <w:pPr>
        <w:spacing w:after="0" w:line="21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Cruise Class A-1, Class F and Class G Preferred Shares for $2.1 billion and made an additional $1.35 billion investment in Cruise in place of SoftBank. SoftBank no longer has an ownership interest in or has any rights with respect to Cruise.</w:t>
      </w:r>
    </w:p>
    <w:p>
      <w:pPr>
        <w:spacing w:after="0" w:line="19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During the year ended December 31, 2022, Cruise Holdings issued approximately $0.8 billion of Class B Common Shares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 vested awards under Cruise's 2018 Employee Incentive Plan and issued approximately $0.5 billion of Class B Common Shares, primarily to us, to fund the payment of statutory tax withholding obligations resulting from the settlement or exercise of vested awards. Also, GM conducted quarterly tender offers and paid approximately $0.6 billion in cash to purchase tendered Cruise Class B Common Shares during the year ended December 31, 2022. The Class B Common Shares are classified as noncontrolling interests in our consolidated financial statements except for certain shares that are liability classified that have a recorded value of approximately $60 million at December 31, 2022. Refer to Note 22 for additional information on Cruise stock incentive awards.</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During the year ended December 31, 2022, the effect on the equity attributable to us for changes in our ownership interest in Cruise was insignificant. For the year ended December 31, 2022, net income attributable to shareholders and transfers to the noncontrolling interest in Cruise and other subsidiaries was $9.2 billion, which included a $0.7 billion decrease in equity attributable to us, mainly due to the redemption of Cruise preferred shares.</w:t>
      </w:r>
    </w:p>
    <w:p>
      <w:pPr>
        <w:spacing w:after="0" w:line="19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Preferred Stock </w:t>
      </w:r>
      <w:r>
        <w:rPr>
          <w:rFonts w:ascii="Times New Roman" w:cs="Times New Roman" w:eastAsia="Times New Roman" w:hAnsi="Times New Roman"/>
          <w:sz w:val="18"/>
          <w:szCs w:val="18"/>
          <w:color w:val="auto"/>
        </w:rPr>
        <w:t>In 2020, GM Financial issued $500 million of Fixed-Rate Reset Cumulative Perpetual Preferred Stock,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 $0.01 par value, with a liquidation preference of $1,000 per share. Dividends will be paid semi-annually when declared, which started March 30, 2021 at a fixed rate of 5.70%. The preferred stock is classified as noncontrolling interests in our consolidated financial statements.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Translation Adjustments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r>
        <w:trPr>
          <w:trHeight w:val="161"/>
        </w:trPr>
        <w:tc>
          <w:tcPr>
            <w:tcW w:w="672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Other comprehensive income (loss) and noncontrolling interests, net of reclassification</w:t>
            </w:r>
          </w:p>
        </w:tc>
        <w:tc>
          <w:tcPr>
            <w:tcW w:w="8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adjustment and tax(a)(b)(c)</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Plans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(8,859)</w:t>
            </w:r>
          </w:p>
        </w:tc>
        <w:tc>
          <w:tcPr>
            <w:tcW w:w="0" w:type="dxa"/>
            <w:vAlign w:val="bottom"/>
          </w:tcPr>
          <w:p>
            <w:pPr>
              <w:spacing w:after="0"/>
              <w:rPr>
                <w:sz w:val="1"/>
                <w:szCs w:val="1"/>
                <w:color w:val="auto"/>
              </w:rPr>
            </w:pPr>
          </w:p>
        </w:tc>
      </w:tr>
      <w:tr>
        <w:trPr>
          <w:trHeight w:val="161"/>
        </w:trPr>
        <w:tc>
          <w:tcPr>
            <w:tcW w:w="672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Other comprehensive income (loss) and noncontrolling interests before reclassification</w:t>
            </w:r>
          </w:p>
        </w:tc>
        <w:tc>
          <w:tcPr>
            <w:tcW w:w="8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0" w:type="dxa"/>
            <w:vAlign w:val="bottom"/>
          </w:tcPr>
          <w:p>
            <w:pPr>
              <w:spacing w:after="0"/>
              <w:rPr>
                <w:sz w:val="1"/>
                <w:szCs w:val="1"/>
                <w:color w:val="auto"/>
              </w:rPr>
            </w:pPr>
          </w:p>
        </w:tc>
      </w:tr>
      <w:tr>
        <w:trPr>
          <w:trHeight w:val="224"/>
        </w:trPr>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adjustment(a)</w:t>
            </w:r>
          </w:p>
        </w:tc>
        <w:tc>
          <w:tcPr>
            <w:tcW w:w="8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(expense)</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141"/>
        </w:trPr>
        <w:tc>
          <w:tcPr>
            <w:tcW w:w="672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Other comprehensive income (loss) and noncontrolling interests before reclassification</w:t>
            </w:r>
          </w:p>
        </w:tc>
        <w:tc>
          <w:tcPr>
            <w:tcW w:w="8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0" w:type="dxa"/>
            <w:vAlign w:val="bottom"/>
          </w:tcPr>
          <w:p>
            <w:pPr>
              <w:spacing w:after="0"/>
              <w:rPr>
                <w:sz w:val="1"/>
                <w:szCs w:val="1"/>
                <w:color w:val="auto"/>
              </w:rPr>
            </w:pPr>
          </w:p>
        </w:tc>
      </w:tr>
      <w:tr>
        <w:trPr>
          <w:trHeight w:val="224"/>
        </w:trPr>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 net of tax(a)</w:t>
            </w:r>
          </w:p>
        </w:tc>
        <w:tc>
          <w:tcPr>
            <w:tcW w:w="8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net of tax(c)</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25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period(d)</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6" w:lineRule="exact"/>
        <w:rPr>
          <w:sz w:val="20"/>
          <w:szCs w:val="20"/>
          <w:color w:val="auto"/>
        </w:rPr>
      </w:pPr>
    </w:p>
    <w:p>
      <w:pPr>
        <w:ind w:left="340" w:hanging="333"/>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years ended December 31, 2022, 2021 and 2020.</w:t>
      </w:r>
    </w:p>
    <w:p>
      <w:pPr>
        <w:spacing w:after="0" w:line="1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years ended December 31, 2022, 2021 and 2020.</w:t>
      </w:r>
    </w:p>
    <w:p>
      <w:pPr>
        <w:spacing w:after="0" w:line="13"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years ended December 31, 2022, 2021 and 2020.</w:t>
      </w:r>
    </w:p>
    <w:p>
      <w:pPr>
        <w:spacing w:after="0" w:line="3"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Earnings Per Share</w:t>
      </w:r>
    </w:p>
    <w:p>
      <w:pPr>
        <w:spacing w:after="0" w:line="119"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54"/>
        </w:trPr>
        <w:tc>
          <w:tcPr>
            <w:tcW w:w="6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r>
      <w:tr>
        <w:trPr>
          <w:trHeight w:val="54"/>
        </w:trPr>
        <w:tc>
          <w:tcPr>
            <w:tcW w:w="6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warrants and awards under stock incentive plans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54"/>
        </w:trPr>
        <w:tc>
          <w:tcPr>
            <w:tcW w:w="6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320" w:hanging="313"/>
        <w:spacing w:after="0" w:line="256" w:lineRule="auto"/>
        <w:tabs>
          <w:tab w:leader="none" w:pos="39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$909 million deemed dividend related to the redemption of Cruise preferred shares from SoftBank and an insignificant amount in participating securities income from a subsidiary for the year ended December 31, 2022.</w:t>
      </w:r>
    </w:p>
    <w:p>
      <w:pPr>
        <w:ind w:left="320" w:right="80" w:hanging="313"/>
        <w:spacing w:after="0" w:line="254" w:lineRule="auto"/>
        <w:tabs>
          <w:tab w:leader="none" w:pos="34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at December 31, 2022, 2021 and 2020 and RSUs at December 31, 2022 and 2020, were excluded from the computation of diluted EPS because the securities would have had an antidilutive effect.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Stock Incentive Plans</w:t>
      </w:r>
    </w:p>
    <w:p>
      <w:pPr>
        <w:spacing w:after="0" w:line="11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Stock Incentive Awards </w:t>
      </w:r>
      <w:r>
        <w:rPr>
          <w:rFonts w:ascii="Times New Roman" w:cs="Times New Roman" w:eastAsia="Times New Roman" w:hAnsi="Times New Roman"/>
          <w:sz w:val="18"/>
          <w:szCs w:val="18"/>
          <w:color w:val="auto"/>
        </w:rPr>
        <w:t>We grant to certain employees RSUs, Restricted Stock Awards (RSAs), PSUs and stock options (collectively, stock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under our 2016 Equity Incentive Plan and 2020 LTIP and prior to the 2020 LTIP, under our 2017 and 2014 LTIP. The 2020 LTIP was approved by stockholders in June 2020. Any new awards granted after the approval of the 2020 LTIP in June 2020 will be issued under the 2020 LTIP. To the extent any shares remain available for issuance under the 2017 LTIP, the 2016 Equity Incentive Plan, and/or the 2014 LTIP, such shares will only be used to settle outstanding awards that were previously granted under such plans prior to June 2020. Shares awarded under the plans are subject to forfeiture if the participant leaves the company for reasons other than those permitted under the plans such as retirement, death or disability.</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expire 10 years from the grant date. Our performance-based stock options vest ratably over 55 months based on the performance of our common stock relative to that of a specified peer group. Our service-based stock options vest ratably over three years.</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connection with our acquisition of Cruise Automation, Inc. in May 2016, RSAs and PSUs in common shares of GM were granted to employees of Cruise Holdings. The RSAs vest ratably, generally over a three-year service period. The PSUs are contingent upon achievement of specific technology and commercialization milestones.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6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2022</w:t>
            </w:r>
          </w:p>
        </w:tc>
        <w:tc>
          <w:tcPr>
            <w:tcW w:w="16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w:t>
            </w:r>
          </w:p>
        </w:tc>
        <w:tc>
          <w:tcPr>
            <w:tcW w:w="1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December 31, 2022(a)</w:t>
            </w:r>
          </w:p>
        </w:tc>
        <w:tc>
          <w:tcPr>
            <w:tcW w:w="16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6" w:lineRule="exact"/>
        <w:rPr>
          <w:sz w:val="20"/>
          <w:szCs w:val="20"/>
          <w:color w:val="auto"/>
        </w:rPr>
      </w:pPr>
    </w:p>
    <w:p>
      <w:pPr>
        <w:ind w:left="380" w:hanging="373"/>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target amount of PSUs.</w:t>
      </w:r>
    </w:p>
    <w:p>
      <w:pPr>
        <w:spacing w:after="0" w:line="24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weighted-average assumptions used to value our stock options are a dividend yield of 1.60%, 1.67% and 4.25%, expected volatility of 41.0%, 47.8% and 26.2%, a risk-free interest rate of 1.88%, 0.76% and 1.44%, and an expected option life of 6.00, 6.00 and 5.97 years for options issued during the years ended December 31, 2022, 2021 and 2020. The expected volatility is based on the average of the implied volatility of publicly traded options for our common stock.</w:t>
      </w:r>
    </w:p>
    <w:p>
      <w:pPr>
        <w:spacing w:after="0" w:line="20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Total compensation expense related to the above awards was $419 million, $391 million and $351 million in the years ended December 31, 2022, 2021 and 2020.</w:t>
      </w:r>
    </w:p>
    <w:p>
      <w:pPr>
        <w:spacing w:after="0" w:line="19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2022, the total unrecognized compensation expense for nonvested equity awards granted was $288 million. This expense is expected to be recorded over a weighted-average period of 1.4 years. The total fair value of stock incentive awards vested was $307 million, $258 million and $275 million in the years ended December 31, 2022, 2021 and 2020.</w:t>
      </w:r>
    </w:p>
    <w:p>
      <w:pPr>
        <w:spacing w:after="0" w:line="19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Stock Incentive Awards </w:t>
      </w:r>
      <w:r>
        <w:rPr>
          <w:rFonts w:ascii="Times New Roman" w:cs="Times New Roman" w:eastAsia="Times New Roman" w:hAnsi="Times New Roman"/>
          <w:sz w:val="18"/>
          <w:szCs w:val="18"/>
          <w:color w:val="auto"/>
        </w:rPr>
        <w:t>Cruise granted RSUs that will settle in common shares of Cruise Holdings in the years ended December 31, 2022,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2020. Stock options were granted in common shares of Cruise Holdings in the years ended December 31, 2022 and 2021. In March 2022, Cruise modified its RSUs that settle in Cruise Class B Common Shares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In addition, at Cruise's election, GM intends to conduct quarterly tender offers whereby holders of Cruise Class B Common Shares issued to settle vested awards can tender their shares generally at the fair value of Cruise’s common stock. The planned tenders result in certain awards to be classified as liabilities and other awards to be presented in temporary equity, which triggers the immediate recognition of incremental compensation expense associated with the stock options. These awards were granted under Cruise's 2018 Employee Incentive Plan approved by Cruise Holdings' Board of Directors in August 2018. Shares awarded under the plan are subject to forfeiture if the participant leaves the company for reasons other than those permitted under the plan. Stock options vest ratably over four to 10 years, as defined in the terms of each award. Stock options expire 10 years from the grant date.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3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Cruise Restricted Stock Units</w:t>
            </w:r>
          </w:p>
        </w:tc>
        <w:tc>
          <w:tcPr>
            <w:tcW w:w="1020" w:type="dxa"/>
            <w:vAlign w:val="bottom"/>
          </w:tcPr>
          <w:p>
            <w:pPr>
              <w:spacing w:after="0"/>
              <w:rPr>
                <w:sz w:val="16"/>
                <w:szCs w:val="16"/>
                <w:color w:val="auto"/>
              </w:rPr>
            </w:pPr>
          </w:p>
        </w:tc>
        <w:tc>
          <w:tcPr>
            <w:tcW w:w="13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Cruise Stock Options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6"/>
        </w:trPr>
        <w:tc>
          <w:tcPr>
            <w:tcW w:w="4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4500" w:type="dxa"/>
            <w:vAlign w:val="bottom"/>
          </w:tcPr>
          <w:p>
            <w:pPr>
              <w:spacing w:after="0"/>
              <w:rPr>
                <w:sz w:val="12"/>
                <w:szCs w:val="12"/>
                <w:color w:val="auto"/>
              </w:rPr>
            </w:pPr>
          </w:p>
        </w:tc>
        <w:tc>
          <w:tcPr>
            <w:tcW w:w="10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14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9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 or exercised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December 31, 2022(a)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line="267" w:lineRule="auto"/>
        <w:tabs>
          <w:tab w:leader="none" w:pos="21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fair values include the impact of the remeasurement triggered by the modification. Post modification, certain awards are liability-awards resulting in ongoing remeasurement based on changes to the awards' fair value.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0" w:lineRule="exact"/>
        <w:rPr>
          <w:sz w:val="20"/>
          <w:szCs w:val="20"/>
          <w:color w:val="auto"/>
        </w:rPr>
      </w:pPr>
    </w:p>
    <w:p>
      <w:pPr>
        <w:jc w:val="both"/>
        <w:ind w:firstLine="161"/>
        <w:spacing w:after="0" w:line="262" w:lineRule="auto"/>
        <w:rPr>
          <w:sz w:val="20"/>
          <w:szCs w:val="20"/>
          <w:color w:val="auto"/>
        </w:rPr>
      </w:pPr>
      <w:r>
        <w:rPr>
          <w:rFonts w:ascii="Times New Roman" w:cs="Times New Roman" w:eastAsia="Times New Roman" w:hAnsi="Times New Roman"/>
          <w:sz w:val="17"/>
          <w:szCs w:val="17"/>
          <w:color w:val="auto"/>
        </w:rPr>
        <w:t>Our weighted-average assumptions used to value Cruise stock options are a dividend yield of 0.00% and 0.00%, expected volatility of 57.18% and 57.03%, a risk-free interest rate of 2.37% and 1.31%, and an expected option life of 6.61 and 5.49 years for options issued during the years ended December 31, 2022 and 2021. There were no options issued during the year ended December 31, 2020. The expected volatility is based on the historical volatility of comparable public company data as Cruise Holdings is not publicly traded and therefore, does not have any trading history of its common stock.</w:t>
      </w:r>
    </w:p>
    <w:p>
      <w:pPr>
        <w:spacing w:after="0" w:line="207"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Total compensation expense related to Cruise Holdings' share-based awards was $1.6 billion for the year ended December 31, 2022, which, when excluding the compensation expense for the period April 1, 2022 through December 31, 2022, primarily represents the impact of the modification to outstanding awards, and an insignificant amount for the years ended December 31, 2021 and 2020. GM conducted quarterly tender offers and paid approximately $0.6 billion in cash to settle tendered Cruise Class B Common Shares during the year ended December 31, 2022. No cash was paid to settle share-based awards for the three months ended March 31, 2022. Total unrecognized compensation expense for Cruise Holdings’ nonvested equity awards granted was $1.7 billion at December 31, 2022. Total units outstanding were 86 million at December 31, 2022. The expense related to RSUs and stock options is expected to be recorded over a weighted-average period of 1.7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Reporting</w:t>
      </w:r>
    </w:p>
    <w:p>
      <w:pPr>
        <w:spacing w:after="0" w:line="11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 through EBIT-adjusted, which is presented net of noncontrolling interests. The chief operating decision-maker evaluates GM Financial through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1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automotive interest income and interest expense, legacy costs from the Opel/Vauxhall Business (primarily pension costs), corporate expenditures and certain nonsegment-specific revenues and expenses are recorded centrally in Corporate. Corporate assets primarily consist of cash and cash equivalents, marketable debt securities and intersegment balances. All intersegment balances and transactions have been eliminated in consolidation.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8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2022</w:t>
            </w: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9"/>
              </w:rPr>
              <w:t>GM</w:t>
            </w: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128,378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143,974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12,766</w:t>
            </w: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156,735</w:t>
            </w:r>
          </w:p>
        </w:tc>
        <w:tc>
          <w:tcPr>
            <w:tcW w:w="0" w:type="dxa"/>
            <w:vAlign w:val="bottom"/>
          </w:tcPr>
          <w:p>
            <w:pPr>
              <w:spacing w:after="0"/>
              <w:rPr>
                <w:sz w:val="1"/>
                <w:szCs w:val="1"/>
                <w:color w:val="auto"/>
              </w:rPr>
            </w:pPr>
          </w:p>
        </w:tc>
      </w:tr>
      <w:tr>
        <w:trPr>
          <w:trHeight w:val="121"/>
        </w:trPr>
        <w:tc>
          <w:tcPr>
            <w:tcW w:w="21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12,286</w:t>
            </w:r>
          </w:p>
        </w:tc>
        <w:tc>
          <w:tcPr>
            <w:tcW w:w="1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w:t>
            </w:r>
          </w:p>
        </w:tc>
        <w:tc>
          <w:tcPr>
            <w:tcW w:w="1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14,474</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0" w:type="dxa"/>
            <w:vAlign w:val="bottom"/>
          </w:tcPr>
          <w:p>
            <w:pPr>
              <w:spacing w:after="0"/>
              <w:rPr>
                <w:sz w:val="1"/>
                <w:szCs w:val="1"/>
                <w:color w:val="auto"/>
              </w:rPr>
            </w:pPr>
          </w:p>
        </w:tc>
      </w:tr>
      <w:tr>
        <w:trPr>
          <w:trHeight w:val="121"/>
        </w:trPr>
        <w:tc>
          <w:tcPr>
            <w:tcW w:w="21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7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11,597</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0" w:type="dxa"/>
            <w:vAlign w:val="bottom"/>
          </w:tcPr>
          <w:p>
            <w:pPr>
              <w:spacing w:after="0"/>
              <w:rPr>
                <w:sz w:val="1"/>
                <w:szCs w:val="1"/>
                <w:color w:val="auto"/>
              </w:rPr>
            </w:pPr>
          </w:p>
        </w:tc>
      </w:tr>
      <w:tr>
        <w:trPr>
          <w:trHeight w:val="17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9,708</w:t>
            </w:r>
          </w:p>
        </w:tc>
        <w:tc>
          <w:tcPr>
            <w:tcW w:w="0" w:type="dxa"/>
            <w:vAlign w:val="bottom"/>
          </w:tcPr>
          <w:p>
            <w:pPr>
              <w:spacing w:after="0"/>
              <w:rPr>
                <w:sz w:val="1"/>
                <w:szCs w:val="1"/>
                <w:color w:val="auto"/>
              </w:rPr>
            </w:pPr>
          </w:p>
        </w:tc>
      </w:tr>
      <w:tr>
        <w:trPr>
          <w:trHeight w:val="121"/>
        </w:trPr>
        <w:tc>
          <w:tcPr>
            <w:tcW w:w="212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07"/>
        </w:trPr>
        <w:tc>
          <w:tcPr>
            <w:tcW w:w="21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9,934</w:t>
            </w:r>
          </w:p>
        </w:tc>
        <w:tc>
          <w:tcPr>
            <w:tcW w:w="0" w:type="dxa"/>
            <w:vAlign w:val="bottom"/>
          </w:tcPr>
          <w:p>
            <w:pPr>
              <w:spacing w:after="0"/>
              <w:rPr>
                <w:sz w:val="1"/>
                <w:szCs w:val="1"/>
                <w:color w:val="auto"/>
              </w:rPr>
            </w:pPr>
          </w:p>
        </w:tc>
      </w:tr>
      <w:tr>
        <w:trPr>
          <w:trHeight w:val="181"/>
        </w:trPr>
        <w:tc>
          <w:tcPr>
            <w:tcW w:w="2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w:t>
            </w:r>
          </w:p>
        </w:tc>
        <w:tc>
          <w:tcPr>
            <w:tcW w:w="12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1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10,176</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157,250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60,518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(104,157)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138,419</w:t>
            </w:r>
          </w:p>
        </w:tc>
        <w:tc>
          <w:tcPr>
            <w:tcW w:w="1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121,544</w:t>
            </w: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264,037</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8,280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6,335</w:t>
            </w:r>
          </w:p>
        </w:tc>
        <w:tc>
          <w:tcPr>
            <w:tcW w:w="1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4,888</w:t>
            </w: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11,276</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4"/>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320" w:hanging="313"/>
        <w:spacing w:after="0" w:line="255" w:lineRule="auto"/>
        <w:tabs>
          <w:tab w:leader="none" w:pos="27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and the resolution of substantially all royalty matters accrued with respect to past-year vehicle sales in GMNA; charges related to the shutdown of our Russia business in GMI; and charges related to the one-time modification of Cruise stock incentive awards.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58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20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113,584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13,419</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127,004</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5,036</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14,295</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12,716</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0" w:type="dxa"/>
            <w:vAlign w:val="bottom"/>
          </w:tcPr>
          <w:p>
            <w:pPr>
              <w:spacing w:after="0"/>
              <w:rPr>
                <w:sz w:val="1"/>
                <w:szCs w:val="1"/>
                <w:color w:val="auto"/>
              </w:rPr>
            </w:pPr>
          </w:p>
        </w:tc>
      </w:tr>
      <w:tr>
        <w:trPr>
          <w:trHeight w:val="17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9,945</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07"/>
        </w:trPr>
        <w:tc>
          <w:tcPr>
            <w:tcW w:w="212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10,019</w:t>
            </w:r>
          </w:p>
        </w:tc>
        <w:tc>
          <w:tcPr>
            <w:tcW w:w="0" w:type="dxa"/>
            <w:vAlign w:val="bottom"/>
          </w:tcPr>
          <w:p>
            <w:pPr>
              <w:spacing w:after="0"/>
              <w:rPr>
                <w:sz w:val="1"/>
                <w:szCs w:val="1"/>
                <w:color w:val="auto"/>
              </w:rPr>
            </w:pPr>
          </w:p>
        </w:tc>
      </w:tr>
      <w:tr>
        <w:trPr>
          <w:trHeight w:val="181"/>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7,960</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9,677</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121,735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(56,936)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113,207</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244,718</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7,509</w:t>
            </w: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12,047</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2" w:lineRule="exact"/>
        <w:rPr>
          <w:sz w:val="20"/>
          <w:szCs w:val="20"/>
          <w:color w:val="auto"/>
        </w:rPr>
      </w:pPr>
    </w:p>
    <w:p>
      <w:pPr>
        <w:ind w:left="320" w:hanging="313"/>
        <w:spacing w:after="0" w:line="238" w:lineRule="auto"/>
        <w:tabs>
          <w:tab w:leader="none" w:pos="311"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royalties accrued with respect to past-year vehicle sales and charges for strategic activities related to Cadillac dealerships in GMNA; and a settlement with certain third parties relating to retrospective recoveries of indirect taxes and an adjustment related to the unique events associated with Korea Supreme Court decisions related to our salaried workers in GMI.</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3"/>
                <w:szCs w:val="13"/>
                <w:b w:val="1"/>
                <w:bCs w:val="1"/>
                <w:color w:val="auto"/>
                <w:w w:val="98"/>
              </w:rPr>
              <w:t>At and For the Year Ended December 31, 2020</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96,733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108,669</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122,485</w:t>
            </w: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7,909</w:t>
            </w:r>
          </w:p>
        </w:tc>
        <w:tc>
          <w:tcPr>
            <w:tcW w:w="1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1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9,710</w:t>
            </w: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8,095</w:t>
            </w:r>
          </w:p>
        </w:tc>
        <w:tc>
          <w:tcPr>
            <w:tcW w:w="0" w:type="dxa"/>
            <w:vAlign w:val="bottom"/>
          </w:tcPr>
          <w:p>
            <w:pPr>
              <w:spacing w:after="0"/>
              <w:rPr>
                <w:sz w:val="1"/>
                <w:szCs w:val="1"/>
                <w:color w:val="auto"/>
              </w:rPr>
            </w:pPr>
          </w:p>
        </w:tc>
      </w:tr>
      <w:tr>
        <w:trPr>
          <w:trHeight w:val="169"/>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6,321</w:t>
            </w: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07"/>
        </w:trPr>
        <w:tc>
          <w:tcPr>
            <w:tcW w:w="232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6,427</w:t>
            </w:r>
          </w:p>
        </w:tc>
        <w:tc>
          <w:tcPr>
            <w:tcW w:w="0" w:type="dxa"/>
            <w:vAlign w:val="bottom"/>
          </w:tcPr>
          <w:p>
            <w:pPr>
              <w:spacing w:after="0"/>
              <w:rPr>
                <w:sz w:val="1"/>
                <w:szCs w:val="1"/>
                <w:color w:val="auto"/>
              </w:rPr>
            </w:pPr>
          </w:p>
        </w:tc>
      </w:tr>
      <w:tr>
        <w:trPr>
          <w:trHeight w:val="181"/>
        </w:trPr>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6,825</w:t>
            </w:r>
          </w:p>
        </w:tc>
        <w:tc>
          <w:tcPr>
            <w:tcW w:w="1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8,406</w:t>
            </w: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114,137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(57,464)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119,625</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3,625</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113,410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235,194</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5,388</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12,676</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64"/>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2" w:lineRule="exact"/>
        <w:rPr>
          <w:sz w:val="20"/>
          <w:szCs w:val="20"/>
          <w:color w:val="auto"/>
        </w:rPr>
      </w:pPr>
    </w:p>
    <w:p>
      <w:pPr>
        <w:ind w:left="320" w:hanging="313"/>
        <w:spacing w:after="0" w:line="238" w:lineRule="auto"/>
        <w:tabs>
          <w:tab w:leader="none" w:pos="29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Cadillac dealerships in GMNA; restructuring and other charges primarily in Australia, New Zealand, Thailand and India in GMI; and ignition switch-related legal matters in Corporate.</w:t>
      </w:r>
    </w:p>
    <w:p>
      <w:pPr>
        <w:spacing w:after="0" w:line="226"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At and For the Years Ended December 31,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No individual country other than the U.S. represented more than 10% of our total net sales and revenue or long-lived assets, other than Mexico, whose long-lived assets were approximately 11% and 10% of our total long-lived assets at December 31, 2022 and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Supplemental Information for the Consolidated Statements of Cash Flows</w:t>
      </w:r>
    </w:p>
    <w:p>
      <w:pPr>
        <w:spacing w:after="0" w:line="119"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sources (uses) of cash provided by Change in other operating assets and liabilities and Cash paid for income taxes and interest: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other operating assets and liabilities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receivables funded by GM Financial,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equipment on operating leases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income taxes and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Automotive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GM Financial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interest (net of amounts capitalized)</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8" w:lineRule="exact"/>
        <w:rPr>
          <w:sz w:val="20"/>
          <w:szCs w:val="20"/>
          <w:color w:val="auto"/>
        </w:rPr>
      </w:pPr>
    </w:p>
    <w:p>
      <w:pPr>
        <w:jc w:val="both"/>
        <w:ind w:firstLine="20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December 31, 2022 as required by paragraph (b) of Rules 13a-15 or 15d-15. Based on this evaluation, our CEO and CFO concluded that our disclosure controls and procedures were effective as of December 31, 2022.</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effective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211" w:lineRule="exact"/>
        <w:rPr>
          <w:sz w:val="20"/>
          <w:szCs w:val="20"/>
          <w:color w:val="auto"/>
        </w:rPr>
      </w:pPr>
    </w:p>
    <w:p>
      <w:pPr>
        <w:jc w:val="both"/>
        <w:ind w:firstLine="201"/>
        <w:spacing w:after="0" w:line="259" w:lineRule="auto"/>
        <w:rPr>
          <w:sz w:val="20"/>
          <w:szCs w:val="20"/>
          <w:color w:val="auto"/>
        </w:rPr>
      </w:pPr>
      <w:r>
        <w:rPr>
          <w:rFonts w:ascii="Times New Roman" w:cs="Times New Roman" w:eastAsia="Times New Roman" w:hAnsi="Times New Roman"/>
          <w:sz w:val="18"/>
          <w:szCs w:val="18"/>
          <w:color w:val="auto"/>
        </w:rPr>
        <w:t>Our management performed an assessment of the effectiveness of our internal control over financial reporting at December 31, 2022,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2022. Based on management's assessment, we have concluded that our internal control over financial reporting was effective as of December 31, 2022.</w:t>
      </w:r>
    </w:p>
    <w:p>
      <w:pPr>
        <w:spacing w:after="0" w:line="207" w:lineRule="exact"/>
        <w:rPr>
          <w:sz w:val="20"/>
          <w:szCs w:val="20"/>
          <w:color w:val="auto"/>
        </w:rPr>
      </w:pPr>
    </w:p>
    <w:p>
      <w:pPr>
        <w:jc w:val="both"/>
        <w:ind w:firstLine="201"/>
        <w:spacing w:after="0" w:line="279"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(PCAOB ID: 42), an independent registered public accounting firm, as stated in its report included herein.</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2022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5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Information required by Items 10, 11, 12, 13 and 14 of this Form 10-K is incorporated by reference from our definitive Proxy Statement for our 2023 Annual Meeting of Stockholders, which will be filed with the SEC, pursuant to Regulation 14A, not later than 120 days after the end of the 2022 fiscal year, all of which information is hereby incorporated by reference in, and made part of, this Form 10-K, except disclosure of our executive officers, which is included in Part I, Item 1 of this report.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0" w:lineRule="exact"/>
        <w:rPr>
          <w:sz w:val="20"/>
          <w:szCs w:val="20"/>
          <w:color w:val="auto"/>
        </w:rPr>
      </w:pPr>
    </w:p>
    <w:p>
      <w:pPr>
        <w:ind w:left="640" w:hanging="31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 Financial Statements and Supplemental Information</w:t>
      </w:r>
    </w:p>
    <w:p>
      <w:pPr>
        <w:spacing w:after="0" w:line="26"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 w:lineRule="exact"/>
        <w:rPr>
          <w:rFonts w:ascii="Times New Roman" w:cs="Times New Roman" w:eastAsia="Times New Roman" w:hAnsi="Times New Roman"/>
          <w:sz w:val="18"/>
          <w:szCs w:val="18"/>
          <w:color w:val="auto"/>
        </w:rPr>
      </w:pPr>
    </w:p>
    <w:p>
      <w:pPr>
        <w:ind w:left="82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as the required information is inapplicable or the information is presented in the consolidated financial statements and notes thereto in Item 8.</w:t>
      </w:r>
    </w:p>
    <w:p>
      <w:pPr>
        <w:spacing w:after="0" w:line="1"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40" w:type="dxa"/>
            <w:vAlign w:val="bottom"/>
            <w:gridSpan w:val="28"/>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40" w:type="dxa"/>
            <w:vAlign w:val="bottom"/>
            <w:gridSpan w:val="28"/>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560" w:type="dxa"/>
            <w:vAlign w:val="bottom"/>
            <w:tcBorders>
              <w:top w:val="single" w:sz="8" w:color="auto"/>
            </w:tcBorders>
            <w:gridSpan w:val="32"/>
            <w:shd w:val="clear" w:color="auto" w:fill="CCEEFF"/>
          </w:tcPr>
          <w:p>
            <w:pPr>
              <w:spacing w:after="0" w:line="170"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Master Agreement, dated as of March 5, 2017, between General Motors Holdings LLC and Peugeot S.A., incorporated by</w:t>
              </w:r>
            </w:hyperlink>
          </w:p>
        </w:tc>
        <w:tc>
          <w:tcPr>
            <w:tcW w:w="15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61"/>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240" w:type="dxa"/>
            <w:vAlign w:val="bottom"/>
            <w:tcBorders>
              <w:top w:val="single" w:sz="8" w:color="0000FF"/>
              <w:bottom w:val="single" w:sz="8" w:color="0000FF"/>
            </w:tcBorders>
            <w:gridSpan w:val="14"/>
            <w:shd w:val="clear" w:color="auto" w:fill="CCEEFF"/>
          </w:tcPr>
          <w:p>
            <w:pPr>
              <w:spacing w:after="0" w:line="141"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reference to Exhibit 2.1 to the Quarterly Report on Form 10-Q of General Motors Company filed April 28, 2017</w:t>
              </w:r>
            </w:hyperlink>
          </w:p>
        </w:tc>
        <w:tc>
          <w:tcPr>
            <w:tcW w:w="12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Purchase Agreement dated as of May 31, 2018, by and among General Motors Holdings LLC, GM Cruise Holdings LLC, and</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bottom w:val="single" w:sz="8" w:color="0000FF"/>
            </w:tcBorders>
            <w:gridSpan w:val="21"/>
          </w:tcPr>
          <w:p>
            <w:pPr>
              <w:spacing w:after="0" w:line="141"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Softbank Vision Fund (AIV M1), L.P. incorporated by reference to Exhibit 2.1 to the Quarterly Report on Form 10-Q of</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gridSpan w:val="29"/>
          </w:tcPr>
          <w:p>
            <w:pPr>
              <w:spacing w:after="0" w:line="141"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General Motors Company filed July 25,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Purchase Agreement by and between GM Cruise Holdings LLC and Honda Motor Co., LTD., dated October 3, 2018,</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40" w:type="dxa"/>
            <w:vAlign w:val="bottom"/>
            <w:tcBorders>
              <w:top w:val="single" w:sz="8" w:color="0000FF"/>
            </w:tcBorders>
            <w:gridSpan w:val="16"/>
            <w:shd w:val="clear" w:color="auto" w:fill="CCEEFF"/>
          </w:tcPr>
          <w:p>
            <w:pPr>
              <w:spacing w:after="0" w:line="141"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incorporated by reference to Exhibit 2.3 to the Annual Report on Form 10-K of General Motors Company filed February 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0000FF"/>
            </w:tcBorders>
            <w:gridSpan w:val="2"/>
            <w:shd w:val="clear" w:color="auto" w:fill="CCEEFF"/>
          </w:tcPr>
          <w:p>
            <w:pPr>
              <w:spacing w:after="0" w:line="141"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2019</w:t>
              </w:r>
            </w:hyperlink>
          </w:p>
        </w:tc>
        <w:tc>
          <w:tcPr>
            <w:tcW w:w="2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21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Restated Certificate of Incorporation of General Motors Company dated December 7, 2010, incorporated by reference to</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tcBorders>
              <w:top w:val="single" w:sz="8" w:color="0000FF"/>
            </w:tcBorders>
            <w:gridSpan w:val="15"/>
          </w:tcPr>
          <w:p>
            <w:pPr>
              <w:spacing w:after="0" w:line="141"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Exhibit 3.2 to the Current Report on Form 8-K of General Motors Company filed December 13, 2010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General Motors Company Amended and Restated Bylaws, as amended December 9, 2022, incorporated by reference to Exhibit</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61"/>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40" w:type="dxa"/>
            <w:vAlign w:val="bottom"/>
            <w:tcBorders>
              <w:top w:val="single" w:sz="8" w:color="0000FF"/>
              <w:bottom w:val="single" w:sz="8" w:color="0000FF"/>
            </w:tcBorders>
            <w:gridSpan w:val="12"/>
            <w:shd w:val="clear" w:color="auto" w:fill="CCEEFF"/>
          </w:tcPr>
          <w:p>
            <w:pPr>
              <w:spacing w:after="0" w:line="141"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Current Report on Form 8-K of General Motors Company filed December 14, 2022</w:t>
              </w:r>
            </w:hyperlink>
          </w:p>
        </w:tc>
        <w:tc>
          <w:tcPr>
            <w:tcW w:w="24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Description of Securities, incorporated by reference to Exhibit 4.1 to the Annual Report on Form 10-K of General Motors</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17"/>
          </w:tcPr>
          <w:p>
            <w:pPr>
              <w:spacing w:after="0" w:line="141"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Company filed February 5,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Indenture, dated as of September 27, 2013, between General Motors Company and the Bank of New York Mellon, as Trustee,</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40" w:type="dxa"/>
            <w:vAlign w:val="bottom"/>
            <w:tcBorders>
              <w:top w:val="single" w:sz="8" w:color="0000FF"/>
            </w:tcBorders>
            <w:gridSpan w:val="31"/>
            <w:shd w:val="clear" w:color="auto" w:fill="CCEEFF"/>
          </w:tcPr>
          <w:p>
            <w:pPr>
              <w:spacing w:after="0" w:line="141"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incorporated by reference to Exhibit 4.2 to the Registration Statement on Form S-3 of General Motors Company filed April 30,</w:t>
              </w:r>
            </w:hyperlink>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0000FF"/>
            </w:tcBorders>
            <w:gridSpan w:val="2"/>
            <w:shd w:val="clear" w:color="auto" w:fill="CCEEFF"/>
          </w:tcPr>
          <w:p>
            <w:pPr>
              <w:spacing w:after="0" w:line="141"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2014</w:t>
              </w:r>
            </w:hyperlink>
          </w:p>
        </w:tc>
        <w:tc>
          <w:tcPr>
            <w:tcW w:w="2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21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First Supplemental Indenture, dated as of September 27, 2013 to the Indenture dated as of September 27, 2013 between</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bottom w:val="single" w:sz="8" w:color="0000FF"/>
            </w:tcBorders>
            <w:gridSpan w:val="19"/>
          </w:tcPr>
          <w:p>
            <w:pPr>
              <w:spacing w:after="0" w:line="141"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General Motors Company and the Bank of New York Mellon, as Trustee, incorporated by reference to Exhibit 4.3 to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gridSpan w:val="25"/>
          </w:tcPr>
          <w:p>
            <w:pPr>
              <w:spacing w:after="0" w:line="141"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Registration Statement on Form S-4 of General Motors Company filed May 22,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Second Supplemental Indenture, dated as of November 12, 2014 to the Indenture dated as of September 27, 2013 between</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29"/>
            <w:shd w:val="clear" w:color="auto" w:fill="CCEEFF"/>
          </w:tcPr>
          <w:p>
            <w:pPr>
              <w:spacing w:after="0" w:line="141"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General Motors Company and the Bank of New York Mellon, as Trustee, incorporated by reference to Exhibit 4.4 to the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20" w:type="dxa"/>
            <w:vAlign w:val="bottom"/>
            <w:tcBorders>
              <w:top w:val="single" w:sz="8" w:color="0000FF"/>
            </w:tcBorders>
            <w:gridSpan w:val="25"/>
            <w:shd w:val="clear" w:color="auto" w:fill="CCEEFF"/>
          </w:tcPr>
          <w:p>
            <w:pPr>
              <w:spacing w:after="0" w:line="141"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Current Report on Form 8-K of General Motors Company filed November 12, 2014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Third Supplemental Indenture, dated as of February 23, 2016, to the Indenture, dated as of September 27, 2013, between</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29"/>
          </w:tcPr>
          <w:p>
            <w:pPr>
              <w:spacing w:after="0" w:line="141"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General Motors Company, as issuer, and The Bank of New York Mellon, as Trustee, incorporated by reference to Exhibit 4.1 to</w:t>
              </w:r>
            </w:hyperlink>
          </w:p>
        </w:tc>
        <w:tc>
          <w:tcPr>
            <w:tcW w:w="60" w:type="dxa"/>
            <w:vAlign w:val="bottom"/>
            <w:gridSpan w:val="3"/>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1"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the Current Report on Form 8-K of General Motors Company filed February 23, 2016</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Fourth Supplemental Indenture, dated as of August 7, 2017, to the Indenture, dated as of September 27, 2013, between General</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80" w:type="dxa"/>
            <w:vAlign w:val="bottom"/>
            <w:tcBorders>
              <w:top w:val="single" w:sz="8" w:color="0000FF"/>
            </w:tcBorders>
            <w:gridSpan w:val="23"/>
            <w:shd w:val="clear" w:color="auto" w:fill="CCEEFF"/>
          </w:tcPr>
          <w:p>
            <w:pPr>
              <w:spacing w:after="0" w:line="141"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Motors Company, as issuer, and The Bank of New York Mellon, as Trustee, incorporated by reference to Exhibit 4.1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120" w:type="dxa"/>
            <w:vAlign w:val="bottom"/>
            <w:tcBorders>
              <w:top w:val="single" w:sz="8" w:color="0000FF"/>
              <w:bottom w:val="single" w:sz="8" w:color="0000FF"/>
            </w:tcBorders>
            <w:gridSpan w:val="6"/>
            <w:shd w:val="clear" w:color="auto" w:fill="CCEEFF"/>
          </w:tcPr>
          <w:p>
            <w:pPr>
              <w:spacing w:after="0" w:line="141"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Current Report on Form 8-K of General Motors Company filed August 8, 2017</w:t>
              </w:r>
            </w:hyperlink>
          </w:p>
        </w:tc>
        <w:tc>
          <w:tcPr>
            <w:tcW w:w="32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Fifth Supplemental Indenture, dated as of September 10, 2018, to the Indenture, dated as of September 27, 2013, between</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tcBorders>
              <w:top w:val="single" w:sz="8" w:color="0000FF"/>
            </w:tcBorders>
            <w:gridSpan w:val="24"/>
          </w:tcPr>
          <w:p>
            <w:pPr>
              <w:spacing w:after="0" w:line="141"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1"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the Current Report on Form 8-K of General Motors Company filed September 10, 2018</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Sixth Supplemental Indenture, dated as of May 12, 2020, to the Indenture. dated as of September 27, 2013, between General</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18"/>
            <w:shd w:val="clear" w:color="auto" w:fill="CCEEFF"/>
          </w:tcPr>
          <w:p>
            <w:pPr>
              <w:spacing w:after="0" w:line="141"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Motors Company, as issuer, and The Bank of New York Mellon, as Trustee, incorporated by reference to Exhibit 4.2 to the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60" w:type="dxa"/>
            <w:vAlign w:val="bottom"/>
            <w:tcBorders>
              <w:top w:val="single" w:sz="8" w:color="0000FF"/>
            </w:tcBorders>
            <w:gridSpan w:val="22"/>
            <w:shd w:val="clear" w:color="auto" w:fill="CCEEFF"/>
          </w:tcPr>
          <w:p>
            <w:pPr>
              <w:spacing w:after="0" w:line="141"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Current Report on Form 8-K of General Motors Company filed May 12, 2020</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2"/>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Seventh Supplemental Indenture, dated as of August 2, 2022, to the Indenture. dated as of September 27, 2013, between</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0"/>
          </w:tcPr>
          <w:p>
            <w:pPr>
              <w:spacing w:after="0" w:line="141"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1"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the Current Report on Form 8-K of General Motors Company filed August 2, 2022</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Calculation Agency Agreement, dated as of September 10, 2018 between General Motors Company and the Bank of New York</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60" w:type="dxa"/>
            <w:vAlign w:val="bottom"/>
            <w:tcBorders>
              <w:top w:val="single" w:sz="8" w:color="0000FF"/>
            </w:tcBorders>
            <w:gridSpan w:val="27"/>
            <w:shd w:val="clear" w:color="auto" w:fill="CCEEFF"/>
          </w:tcPr>
          <w:p>
            <w:pPr>
              <w:spacing w:after="0" w:line="141"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Mellon, as calculation agent, incorporated by reference to Exhibit 4.3 to the Current Report on Form 8-K of General Motors</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80" w:type="dxa"/>
            <w:vAlign w:val="bottom"/>
            <w:tcBorders>
              <w:top w:val="single" w:sz="8" w:color="0000FF"/>
            </w:tcBorders>
            <w:gridSpan w:val="23"/>
            <w:shd w:val="clear" w:color="auto" w:fill="CCEEFF"/>
          </w:tcPr>
          <w:p>
            <w:pPr>
              <w:spacing w:after="0" w:line="141"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Company filed September 10, 2018</w:t>
              </w:r>
            </w:hyperlink>
          </w:p>
        </w:tc>
        <w:tc>
          <w:tcPr>
            <w:tcW w:w="180" w:type="dxa"/>
            <w:vAlign w:val="bottom"/>
            <w:tcBorders>
              <w:top w:val="single" w:sz="8" w:color="CCEEFF"/>
            </w:tcBorders>
            <w:gridSpan w:val="9"/>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900" w:type="dxa"/>
            <w:vAlign w:val="bottom"/>
            <w:gridSpan w:val="27"/>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gridSpan w:val="27"/>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520" w:type="dxa"/>
            <w:vAlign w:val="bottom"/>
            <w:tcBorders>
              <w:top w:val="single" w:sz="8" w:color="auto"/>
            </w:tcBorders>
            <w:gridSpan w:val="31"/>
          </w:tcPr>
          <w:p>
            <w:pPr>
              <w:spacing w:after="0" w:line="171"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Compensation Statement, incorporated by reference to Exhibit 10.14 to the Annual Report on Form 10-K of General</w:t>
              </w:r>
            </w:hyperlink>
          </w:p>
        </w:tc>
        <w:tc>
          <w:tcPr>
            <w:tcW w:w="16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1"/>
          </w:tcPr>
          <w:p>
            <w:pPr>
              <w:spacing w:after="0" w:line="141"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Motors Company filed April 7,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General Motors Company Executive Retirement Plan, with modifications through October 10, 2012, incorporated by reference</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61"/>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60" w:type="dxa"/>
            <w:vAlign w:val="bottom"/>
            <w:tcBorders>
              <w:top w:val="single" w:sz="8" w:color="0000FF"/>
              <w:bottom w:val="single" w:sz="8" w:color="0000FF"/>
            </w:tcBorders>
            <w:gridSpan w:val="13"/>
            <w:shd w:val="clear" w:color="auto" w:fill="CCEEFF"/>
          </w:tcPr>
          <w:p>
            <w:pPr>
              <w:spacing w:after="0" w:line="141"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to Exhibit 10.12 to the Annual Report on Form 10-K of General Motors Company filed February 15, 2013</w:t>
              </w:r>
            </w:hyperlink>
          </w:p>
        </w:tc>
        <w:tc>
          <w:tcPr>
            <w:tcW w:w="136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Amendment No. 1 to General Motors Company Executive Retirement Plan, with modifications through October 10, 2012,</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7"/>
          </w:tcPr>
          <w:p>
            <w:pPr>
              <w:spacing w:after="0" w:line="141"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incorporated by reference to Exhibit 10.2 to the Current Report on Form 8-K of General Motors Company filed February 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0000FF"/>
            </w:tcBorders>
          </w:tcPr>
          <w:p>
            <w:pPr>
              <w:spacing w:after="0" w:line="141" w:lineRule="exact"/>
              <w:rPr>
                <w:rFonts w:ascii="Times New Roman" w:cs="Times New Roman" w:eastAsia="Times New Roman" w:hAnsi="Times New Roman"/>
                <w:sz w:val="16"/>
                <w:szCs w:val="16"/>
                <w:color w:val="0000FF"/>
                <w:w w:val="93"/>
              </w:rPr>
            </w:pPr>
            <w:hyperlink r:id="rId151">
              <w:r>
                <w:rPr>
                  <w:rFonts w:ascii="Times New Roman" w:cs="Times New Roman" w:eastAsia="Times New Roman" w:hAnsi="Times New Roman"/>
                  <w:sz w:val="16"/>
                  <w:szCs w:val="16"/>
                  <w:color w:val="0000FF"/>
                  <w:w w:val="93"/>
                </w:rPr>
                <w:t>2016</w:t>
              </w:r>
            </w:hyperlink>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General Motors Company 2014 Long-Term Incentive Plan, incorporated by reference to Exhibit 10.1 to the Current Report on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00" w:type="dxa"/>
            <w:vAlign w:val="bottom"/>
            <w:tcBorders>
              <w:top w:val="single" w:sz="8" w:color="0000FF"/>
            </w:tcBorders>
            <w:gridSpan w:val="25"/>
            <w:shd w:val="clear" w:color="auto" w:fill="CCEEFF"/>
          </w:tcPr>
          <w:p>
            <w:pPr>
              <w:spacing w:after="0" w:line="141"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Form 8-K of General Motors Company filed June 12, 2014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Form of Non-Qualified Stock Option Agreement under the 2014 Long-Term Incentive Plan, incorporated by reference to</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80" w:type="dxa"/>
            <w:vAlign w:val="bottom"/>
            <w:tcBorders>
              <w:top w:val="single" w:sz="8" w:color="0000FF"/>
            </w:tcBorders>
            <w:gridSpan w:val="24"/>
          </w:tcPr>
          <w:p>
            <w:pPr>
              <w:spacing w:after="0" w:line="141"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Exhibit 10.1 to the Current Report on Form 8-K of General Motors Company filed July 30,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General Motors Company 2016 Equity Incentive Plan, incorporated by reference to Exhibit 99.1 to the Registration Statement</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20" w:type="dxa"/>
            <w:vAlign w:val="bottom"/>
            <w:tcBorders>
              <w:top w:val="single" w:sz="8" w:color="0000FF"/>
            </w:tcBorders>
            <w:gridSpan w:val="21"/>
            <w:shd w:val="clear" w:color="auto" w:fill="CCEEFF"/>
          </w:tcPr>
          <w:p>
            <w:pPr>
              <w:spacing w:after="0" w:line="141"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on Form S-8 of General Motors Company filed May 13, 2016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General Motors Company Vehicle Operations - Senior Management Vehicle Program (SMVP) Supplement, revised December</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7"/>
          </w:tcPr>
          <w:p>
            <w:pPr>
              <w:spacing w:after="0" w:line="141"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15, 2005, incorporated by reference to Exhibit 10(g) to the Annual Report on Form 10-K of Motors Liquidation Company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tcBorders>
            <w:gridSpan w:val="22"/>
          </w:tcPr>
          <w:p>
            <w:pPr>
              <w:spacing w:after="0" w:line="141"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March 28, 2006</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Form of Director and Officer Indemnification Agreement, incorporated by reference to Exhibit 10.6 to the Quarterly Report on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61"/>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940" w:type="dxa"/>
            <w:vAlign w:val="bottom"/>
            <w:tcBorders>
              <w:top w:val="single" w:sz="8" w:color="0000FF"/>
              <w:bottom w:val="single" w:sz="8" w:color="0000FF"/>
            </w:tcBorders>
            <w:gridSpan w:val="6"/>
            <w:shd w:val="clear" w:color="auto" w:fill="CCEEFF"/>
          </w:tcPr>
          <w:p>
            <w:pPr>
              <w:spacing w:after="0" w:line="141"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Form 10-Q of General Motors Company filed April 21, 2016</w:t>
              </w:r>
            </w:hyperlink>
          </w:p>
        </w:tc>
        <w:tc>
          <w:tcPr>
            <w:tcW w:w="452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General Motors Company 2017 Short-Term Incentive Plan, incorporated by reference to Exhibit 10.25 to the Annual Report on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30"/>
          </w:tcPr>
          <w:p>
            <w:pPr>
              <w:spacing w:after="0" w:line="141"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Form 10-K of General Motors Company filed February 6, 2018</w:t>
              </w:r>
            </w:hyperlink>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General Motors Company 2017 Long-Term Incentive Plan, incorporated by reference to Exhibit 4.1 to the Registration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30"/>
            <w:shd w:val="clear" w:color="auto" w:fill="CCEEFF"/>
          </w:tcPr>
          <w:p>
            <w:pPr>
              <w:spacing w:after="0" w:line="141"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Statement on Form S-8 of General Motors Company filed June 16, 2017</w:t>
              </w:r>
            </w:hyperlink>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Performance Share Unit Award Agreement under the General Motors Company 2017 Long-Term Incentive Plan,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18"/>
          </w:tcPr>
          <w:p>
            <w:pPr>
              <w:spacing w:after="0" w:line="141"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incorporated by reference to Exhibit 10.1 to the Quarterly Report on Form 10-Q of General Motors Company filed April 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1" w:lineRule="exact"/>
              <w:rPr>
                <w:rFonts w:ascii="Times New Roman" w:cs="Times New Roman" w:eastAsia="Times New Roman" w:hAnsi="Times New Roman"/>
                <w:sz w:val="16"/>
                <w:szCs w:val="16"/>
                <w:color w:val="0000FF"/>
                <w:w w:val="93"/>
              </w:rPr>
            </w:pPr>
            <w:hyperlink r:id="rId159">
              <w:r>
                <w:rPr>
                  <w:rFonts w:ascii="Times New Roman" w:cs="Times New Roman" w:eastAsia="Times New Roman" w:hAnsi="Times New Roman"/>
                  <w:sz w:val="16"/>
                  <w:szCs w:val="16"/>
                  <w:color w:val="0000FF"/>
                  <w:w w:val="93"/>
                </w:rPr>
                <w:t>2018</w:t>
              </w:r>
            </w:hyperlink>
          </w:p>
        </w:tc>
        <w:tc>
          <w:tcPr>
            <w:tcW w:w="7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Form of Non-Qualified Stock Option Award Agreement under the General Motors Company 2017 Long-Term Incentive Plan,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80" w:type="dxa"/>
            <w:vAlign w:val="bottom"/>
            <w:tcBorders>
              <w:top w:val="single" w:sz="8" w:color="0000FF"/>
            </w:tcBorders>
            <w:gridSpan w:val="29"/>
            <w:shd w:val="clear" w:color="auto" w:fill="CCEEFF"/>
          </w:tcPr>
          <w:p>
            <w:pPr>
              <w:spacing w:after="0" w:line="141"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incorporated by reference to Exhibit 10.2 to the Quarterly Report on Form 10-Q of General Motors Company filed April 26,</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0000FF"/>
            </w:tcBorders>
            <w:shd w:val="clear" w:color="auto" w:fill="CCEEFF"/>
          </w:tcPr>
          <w:p>
            <w:pPr>
              <w:spacing w:after="0" w:line="141" w:lineRule="exact"/>
              <w:rPr>
                <w:rFonts w:ascii="Times New Roman" w:cs="Times New Roman" w:eastAsia="Times New Roman" w:hAnsi="Times New Roman"/>
                <w:sz w:val="16"/>
                <w:szCs w:val="16"/>
                <w:color w:val="0000FF"/>
                <w:w w:val="93"/>
              </w:rPr>
            </w:pPr>
            <w:hyperlink r:id="rId160">
              <w:r>
                <w:rPr>
                  <w:rFonts w:ascii="Times New Roman" w:cs="Times New Roman" w:eastAsia="Times New Roman" w:hAnsi="Times New Roman"/>
                  <w:sz w:val="16"/>
                  <w:szCs w:val="16"/>
                  <w:color w:val="0000FF"/>
                  <w:w w:val="93"/>
                </w:rPr>
                <w:t>2018</w:t>
              </w:r>
            </w:hyperlink>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34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8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520" w:type="dxa"/>
            <w:vAlign w:val="bottom"/>
            <w:tcBorders>
              <w:top w:val="single" w:sz="8" w:color="CCEEFF"/>
            </w:tcBorders>
            <w:gridSpan w:val="31"/>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of Performance Share Unit Award Agreement under the General Motors Company 2017 Long-Term Incentive Plan,</w:t>
              </w:r>
            </w:hyperlink>
          </w:p>
        </w:tc>
        <w:tc>
          <w:tcPr>
            <w:tcW w:w="16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31"/>
          </w:tcPr>
          <w:p>
            <w:pPr>
              <w:spacing w:after="0" w:line="15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incorporated by reference to Exhibit 10.1 to the Quarterly Report on Form 10-Q of General Motors Company filed May 6,</w:t>
              </w:r>
            </w:hyperlink>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6"/>
                <w:szCs w:val="16"/>
                <w:color w:val="0000FF"/>
                <w:w w:val="93"/>
              </w:rPr>
            </w:pPr>
            <w:hyperlink r:id="rId161">
              <w:r>
                <w:rPr>
                  <w:rFonts w:ascii="Times New Roman" w:cs="Times New Roman" w:eastAsia="Times New Roman" w:hAnsi="Times New Roman"/>
                  <w:sz w:val="16"/>
                  <w:szCs w:val="16"/>
                  <w:color w:val="0000FF"/>
                  <w:w w:val="93"/>
                </w:rPr>
                <w:t>2020</w:t>
              </w:r>
            </w:hyperlink>
          </w:p>
        </w:tc>
        <w:tc>
          <w:tcPr>
            <w:tcW w:w="70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Form of Non-Qualified Stock Option Award Agreement under the General Motors Company 2017 Long-Term Incentive Plan,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80" w:type="dxa"/>
            <w:vAlign w:val="bottom"/>
            <w:tcBorders>
              <w:top w:val="single" w:sz="8" w:color="0000FF"/>
            </w:tcBorders>
            <w:gridSpan w:val="29"/>
            <w:shd w:val="clear" w:color="auto" w:fill="CCEEFF"/>
          </w:tcPr>
          <w:p>
            <w:pPr>
              <w:spacing w:after="0" w:line="141"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incorporated by reference to Exhibit 10.2 to the Quarterly Report on Form 10-Q of General Motors Company filed May 6,</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0000FF"/>
            </w:tcBorders>
            <w:shd w:val="clear" w:color="auto" w:fill="CCEEFF"/>
          </w:tcPr>
          <w:p>
            <w:pPr>
              <w:spacing w:after="0" w:line="141" w:lineRule="exact"/>
              <w:rPr>
                <w:rFonts w:ascii="Times New Roman" w:cs="Times New Roman" w:eastAsia="Times New Roman" w:hAnsi="Times New Roman"/>
                <w:sz w:val="16"/>
                <w:szCs w:val="16"/>
                <w:color w:val="0000FF"/>
                <w:w w:val="93"/>
              </w:rPr>
            </w:pPr>
            <w:hyperlink r:id="rId162">
              <w:r>
                <w:rPr>
                  <w:rFonts w:ascii="Times New Roman" w:cs="Times New Roman" w:eastAsia="Times New Roman" w:hAnsi="Times New Roman"/>
                  <w:sz w:val="16"/>
                  <w:szCs w:val="16"/>
                  <w:color w:val="0000FF"/>
                  <w:w w:val="93"/>
                </w:rPr>
                <w:t>2020</w:t>
              </w:r>
            </w:hyperlink>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34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8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520" w:type="dxa"/>
            <w:vAlign w:val="bottom"/>
            <w:tcBorders>
              <w:top w:val="single" w:sz="8" w:color="CCEEFF"/>
            </w:tcBorders>
            <w:gridSpan w:val="31"/>
          </w:tcPr>
          <w:p>
            <w:pPr>
              <w:spacing w:after="0" w:line="17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Amended and Restated General Motors LLC U.S. Executive Severance Program, incorporated by reference to Exhibit 10.23 to</w:t>
              </w:r>
            </w:hyperlink>
          </w:p>
        </w:tc>
        <w:tc>
          <w:tcPr>
            <w:tcW w:w="16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20"/>
          </w:tcPr>
          <w:p>
            <w:pPr>
              <w:spacing w:after="0" w:line="141"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the Annual Report on Form 10-K of General Motors Company filed February 6, 2019</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Form of Time Sharing Agreement, incorporated by reference to Exhibit 10.2 to the Quarterly Report on Form 10-Q of General</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19"/>
            <w:shd w:val="clear" w:color="auto" w:fill="CCEEFF"/>
          </w:tcPr>
          <w:p>
            <w:pPr>
              <w:spacing w:after="0" w:line="141"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Motors Company filed October 29, 2019</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The General Motors Company Deferred Compensation Plan for Non-Employee Directors, incorporated by reference to Exhibit</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6"/>
          </w:tcPr>
          <w:p>
            <w:pPr>
              <w:spacing w:after="0" w:line="141"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19</w:t>
              </w:r>
              <w:r>
                <w:rPr>
                  <w:rFonts w:ascii="Times New Roman" w:cs="Times New Roman" w:eastAsia="Times New Roman" w:hAnsi="Times New Roman"/>
                  <w:sz w:val="16"/>
                  <w:szCs w:val="16"/>
                  <w:color w:val="0000FF"/>
                </w:rPr>
                <w:t xml:space="preserve"> to the Annual Report on Form 10-K of General Motors Company filed February 5, 2020</w:t>
              </w:r>
            </w:hyperlink>
          </w:p>
        </w:tc>
        <w:tc>
          <w:tcPr>
            <w:tcW w:w="100" w:type="dxa"/>
            <w:vAlign w:val="bottom"/>
            <w:gridSpan w:val="5"/>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General Motors Company 2020 Long-Term Incentive Plan, incorporated by reference to Exhibit 4.1 to the Registration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30"/>
            <w:shd w:val="clear" w:color="auto" w:fill="CCEEFF"/>
          </w:tcPr>
          <w:p>
            <w:pPr>
              <w:spacing w:after="0" w:line="141"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Statement on Form S-8 of General Motors Company filed June 25, 2020</w:t>
              </w:r>
            </w:hyperlink>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of Performance Share Unit Award Agreement No.1 under the General Motors Company 2020 Long-Term Incentive Plan,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60" w:type="dxa"/>
            <w:vAlign w:val="bottom"/>
            <w:tcBorders>
              <w:top w:val="single" w:sz="8" w:color="0000FF"/>
            </w:tcBorders>
            <w:gridSpan w:val="28"/>
          </w:tcPr>
          <w:p>
            <w:pPr>
              <w:spacing w:after="0" w:line="141"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incorporated by reference to Exhibit 10.1 to the Quarterly Report on Form 10-Q of General Motors Company filed May 5,</w:t>
              </w:r>
            </w:hyperlink>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1" w:lineRule="exact"/>
              <w:rPr>
                <w:rFonts w:ascii="Times New Roman" w:cs="Times New Roman" w:eastAsia="Times New Roman" w:hAnsi="Times New Roman"/>
                <w:sz w:val="16"/>
                <w:szCs w:val="16"/>
                <w:color w:val="0000FF"/>
                <w:w w:val="93"/>
              </w:rPr>
            </w:pPr>
            <w:hyperlink r:id="rId167">
              <w:r>
                <w:rPr>
                  <w:rFonts w:ascii="Times New Roman" w:cs="Times New Roman" w:eastAsia="Times New Roman" w:hAnsi="Times New Roman"/>
                  <w:sz w:val="16"/>
                  <w:szCs w:val="16"/>
                  <w:color w:val="0000FF"/>
                  <w:w w:val="93"/>
                </w:rPr>
                <w:t>2021</w:t>
              </w:r>
            </w:hyperlink>
          </w:p>
        </w:tc>
        <w:tc>
          <w:tcPr>
            <w:tcW w:w="7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Form of Performance Share Unit Award Agreement No.2 under the General Motors Company 2020 Long-Term Incentive Plan,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60" w:type="dxa"/>
            <w:vAlign w:val="bottom"/>
            <w:tcBorders>
              <w:top w:val="single" w:sz="8" w:color="0000FF"/>
            </w:tcBorders>
            <w:gridSpan w:val="28"/>
            <w:shd w:val="clear" w:color="auto" w:fill="CCEEFF"/>
          </w:tcPr>
          <w:p>
            <w:pPr>
              <w:spacing w:after="0" w:line="141"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incorporated by reference to Exhibit 10.22 to the Annual Report on Form 10-K of General Motors Company, filed February 10,</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0000FF"/>
            </w:tcBorders>
            <w:shd w:val="clear" w:color="auto" w:fill="CCEEFF"/>
          </w:tcPr>
          <w:p>
            <w:pPr>
              <w:spacing w:after="0" w:line="141" w:lineRule="exact"/>
              <w:rPr>
                <w:rFonts w:ascii="Times New Roman" w:cs="Times New Roman" w:eastAsia="Times New Roman" w:hAnsi="Times New Roman"/>
                <w:sz w:val="16"/>
                <w:szCs w:val="16"/>
                <w:color w:val="0000FF"/>
                <w:w w:val="93"/>
              </w:rPr>
            </w:pPr>
            <w:hyperlink r:id="rId168">
              <w:r>
                <w:rPr>
                  <w:rFonts w:ascii="Times New Roman" w:cs="Times New Roman" w:eastAsia="Times New Roman" w:hAnsi="Times New Roman"/>
                  <w:sz w:val="16"/>
                  <w:szCs w:val="16"/>
                  <w:color w:val="0000FF"/>
                  <w:w w:val="93"/>
                </w:rPr>
                <w:t>2021</w:t>
              </w:r>
            </w:hyperlink>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34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8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520" w:type="dxa"/>
            <w:vAlign w:val="bottom"/>
            <w:tcBorders>
              <w:top w:val="single" w:sz="8" w:color="CCEEFF"/>
            </w:tcBorders>
            <w:gridSpan w:val="31"/>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Form of Non-Qualified Stock Option Award Agreement under the General Motors Company 2020 Long- Term Incentive Plan,</w:t>
              </w:r>
            </w:hyperlink>
          </w:p>
        </w:tc>
        <w:tc>
          <w:tcPr>
            <w:tcW w:w="16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29"/>
          </w:tcPr>
          <w:p>
            <w:pPr>
              <w:spacing w:after="0" w:line="141"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incorporated by reference to Exhibit 10.2 to the Quarterly Report on Form 10-Q of General Motors Company filed May 5,</w:t>
              </w:r>
            </w:hyperlink>
          </w:p>
        </w:tc>
        <w:tc>
          <w:tcPr>
            <w:tcW w:w="40" w:type="dxa"/>
            <w:vAlign w:val="bottom"/>
            <w:gridSpan w:val="2"/>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1" w:lineRule="exact"/>
              <w:rPr>
                <w:rFonts w:ascii="Times New Roman" w:cs="Times New Roman" w:eastAsia="Times New Roman" w:hAnsi="Times New Roman"/>
                <w:sz w:val="16"/>
                <w:szCs w:val="16"/>
                <w:color w:val="0000FF"/>
                <w:w w:val="93"/>
              </w:rPr>
            </w:pPr>
            <w:hyperlink r:id="rId169">
              <w:r>
                <w:rPr>
                  <w:rFonts w:ascii="Times New Roman" w:cs="Times New Roman" w:eastAsia="Times New Roman" w:hAnsi="Times New Roman"/>
                  <w:sz w:val="16"/>
                  <w:szCs w:val="16"/>
                  <w:color w:val="0000FF"/>
                  <w:w w:val="93"/>
                </w:rPr>
                <w:t>2021</w:t>
              </w:r>
            </w:hyperlink>
          </w:p>
        </w:tc>
        <w:tc>
          <w:tcPr>
            <w:tcW w:w="7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Form of Restricted Stock Unit Award Agreement under the General Motors Company 2020 Long-Term Incentive Plan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60" w:type="dxa"/>
            <w:vAlign w:val="bottom"/>
            <w:tcBorders>
              <w:top w:val="single" w:sz="8" w:color="0000FF"/>
            </w:tcBorders>
            <w:gridSpan w:val="23"/>
            <w:shd w:val="clear" w:color="auto" w:fill="CCEEFF"/>
          </w:tcPr>
          <w:p>
            <w:pPr>
              <w:spacing w:after="0" w:line="141"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incorporated by reference to Exhibit 10.24 to the Annual Report on Form 10-K of General Motors Company, filed February 10,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0000FF"/>
            </w:tcBorders>
            <w:shd w:val="clear" w:color="auto" w:fill="CCEEFF"/>
          </w:tcPr>
          <w:p>
            <w:pPr>
              <w:spacing w:after="0" w:line="141" w:lineRule="exact"/>
              <w:rPr>
                <w:rFonts w:ascii="Times New Roman" w:cs="Times New Roman" w:eastAsia="Times New Roman" w:hAnsi="Times New Roman"/>
                <w:sz w:val="16"/>
                <w:szCs w:val="16"/>
                <w:color w:val="0000FF"/>
                <w:w w:val="93"/>
              </w:rPr>
            </w:pPr>
            <w:hyperlink r:id="rId170">
              <w:r>
                <w:rPr>
                  <w:rFonts w:ascii="Times New Roman" w:cs="Times New Roman" w:eastAsia="Times New Roman" w:hAnsi="Times New Roman"/>
                  <w:sz w:val="16"/>
                  <w:szCs w:val="16"/>
                  <w:color w:val="0000FF"/>
                  <w:w w:val="93"/>
                </w:rPr>
                <w:t>2021</w:t>
              </w:r>
            </w:hyperlink>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34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8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520" w:type="dxa"/>
            <w:vAlign w:val="bottom"/>
            <w:tcBorders>
              <w:top w:val="single" w:sz="8" w:color="CCEEFF"/>
            </w:tcBorders>
            <w:gridSpan w:val="31"/>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Form of Performance Share Unit Award Agreement No.3 under the General Motors Company 2020 Long-Term Incentive Plan,</w:t>
              </w:r>
            </w:hyperlink>
          </w:p>
        </w:tc>
        <w:tc>
          <w:tcPr>
            <w:tcW w:w="160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60" w:type="dxa"/>
            <w:vAlign w:val="bottom"/>
            <w:tcBorders>
              <w:top w:val="single" w:sz="8" w:color="0000FF"/>
            </w:tcBorders>
            <w:gridSpan w:val="28"/>
          </w:tcPr>
          <w:p>
            <w:pPr>
              <w:spacing w:after="0" w:line="141"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incorporated by reference to Exhibit 10.1 to the Quarterly Report on Form 10-Q of General Motors Company, filed April 27,</w:t>
              </w:r>
            </w:hyperlink>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1" w:lineRule="exact"/>
              <w:rPr>
                <w:rFonts w:ascii="Times New Roman" w:cs="Times New Roman" w:eastAsia="Times New Roman" w:hAnsi="Times New Roman"/>
                <w:sz w:val="16"/>
                <w:szCs w:val="16"/>
                <w:color w:val="0000FF"/>
                <w:w w:val="93"/>
              </w:rPr>
            </w:pPr>
            <w:hyperlink r:id="rId171">
              <w:r>
                <w:rPr>
                  <w:rFonts w:ascii="Times New Roman" w:cs="Times New Roman" w:eastAsia="Times New Roman" w:hAnsi="Times New Roman"/>
                  <w:sz w:val="16"/>
                  <w:szCs w:val="16"/>
                  <w:color w:val="0000FF"/>
                  <w:w w:val="93"/>
                </w:rPr>
                <w:t>2022</w:t>
              </w:r>
            </w:hyperlink>
          </w:p>
        </w:tc>
        <w:tc>
          <w:tcPr>
            <w:tcW w:w="7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8620" w:type="dxa"/>
            <w:vAlign w:val="bottom"/>
            <w:gridSpan w:val="8"/>
            <w:vMerge w:val="restart"/>
          </w:tcPr>
          <w:p>
            <w:pPr>
              <w:ind w:left="378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0" w:type="dxa"/>
            <w:vAlign w:val="bottom"/>
          </w:tcPr>
          <w:p>
            <w:pPr>
              <w:spacing w:after="0"/>
              <w:rPr>
                <w:sz w:val="1"/>
                <w:szCs w:val="1"/>
                <w:color w:val="auto"/>
              </w:rPr>
            </w:pPr>
          </w:p>
        </w:tc>
      </w:tr>
      <w:tr>
        <w:trPr>
          <w:trHeight w:val="213"/>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8"/>
                <w:szCs w:val="18"/>
                <w:color w:val="auto"/>
              </w:rPr>
            </w:pPr>
          </w:p>
        </w:tc>
        <w:tc>
          <w:tcPr>
            <w:tcW w:w="862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tcBorders>
              <w:top w:val="single" w:sz="8" w:color="auto"/>
            </w:tcBorders>
          </w:tcPr>
          <w:p>
            <w:pPr>
              <w:jc w:val="right"/>
              <w:ind w:right="439"/>
              <w:spacing w:after="0" w:line="170" w:lineRule="exact"/>
              <w:rPr>
                <w:sz w:val="20"/>
                <w:szCs w:val="20"/>
                <w:color w:val="auto"/>
              </w:rPr>
            </w:pPr>
            <w:r>
              <w:rPr>
                <w:rFonts w:ascii="Times New Roman" w:cs="Times New Roman" w:eastAsia="Times New Roman" w:hAnsi="Times New Roman"/>
                <w:sz w:val="16"/>
                <w:szCs w:val="16"/>
                <w:color w:val="auto"/>
                <w:w w:val="99"/>
              </w:rPr>
              <w:t>10.24*</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20" w:type="dxa"/>
            <w:vAlign w:val="bottom"/>
            <w:tcBorders>
              <w:top w:val="single" w:sz="8" w:color="auto"/>
            </w:tcBorders>
            <w:gridSpan w:val="8"/>
          </w:tcPr>
          <w:p>
            <w:pPr>
              <w:spacing w:after="0" w:line="170"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Non-Qualified Stock Option Award Agreement No.2 under the General Motors Company 2020 Long-Term Incentive Plan</w:t>
              </w:r>
            </w:hyperlink>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2"/>
          </w:tcPr>
          <w:p>
            <w:pPr>
              <w:spacing w:after="0" w:line="141"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incorporated by reference to Exhibit 10.2 to the Quarterly Report on Form 10-Q of General Motors Company, filed April 27, 2022</w:t>
              </w:r>
            </w:hyperlink>
          </w:p>
        </w:tc>
        <w:tc>
          <w:tcPr>
            <w:tcW w:w="1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w w:val="99"/>
              </w:rPr>
              <w:t>10.25†</w:t>
            </w:r>
          </w:p>
        </w:tc>
        <w:tc>
          <w:tcPr>
            <w:tcW w:w="20" w:type="dxa"/>
            <w:vAlign w:val="bottom"/>
          </w:tcPr>
          <w:p>
            <w:pPr>
              <w:spacing w:after="0"/>
              <w:rPr>
                <w:sz w:val="18"/>
                <w:szCs w:val="18"/>
                <w:color w:val="auto"/>
              </w:rPr>
            </w:pPr>
          </w:p>
        </w:tc>
        <w:tc>
          <w:tcPr>
            <w:tcW w:w="8620" w:type="dxa"/>
            <w:vAlign w:val="bottom"/>
            <w:gridSpan w:val="8"/>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Third Amended and Restated 5-Year Revolving Credit Agreement, dated as of April 18, 2018, among General Motors Company,</w:t>
              </w:r>
            </w:hyperlink>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tcBorders>
              <w:top w:val="single" w:sz="8" w:color="0000FF"/>
              <w:bottom w:val="single" w:sz="8" w:color="0000FF"/>
            </w:tcBorders>
            <w:gridSpan w:val="3"/>
          </w:tcPr>
          <w:p>
            <w:pPr>
              <w:spacing w:after="0" w:line="141"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General Motors Financial Company, Inc., GM Global Treasury Centre Limited, General Motors do Brasil Ltda., the subsidiary</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60" w:type="dxa"/>
            <w:vAlign w:val="bottom"/>
            <w:tcBorders>
              <w:bottom w:val="single" w:sz="8" w:color="0000FF"/>
            </w:tcBorders>
            <w:gridSpan w:val="5"/>
          </w:tcPr>
          <w:p>
            <w:pPr>
              <w:spacing w:after="0" w:line="141"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borrowers from time to time parties thereto, the several lenders from time to time parties thereto, JPMorgan Chase Bank, N.A.,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0" w:type="dxa"/>
            <w:vAlign w:val="bottom"/>
            <w:gridSpan w:val="7"/>
          </w:tcPr>
          <w:p>
            <w:pPr>
              <w:spacing w:after="0" w:line="141"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administrative agent, and Citibank, N.A., as syndication agent, incorporated by reference to Exhibit 10.2 to the Current Report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tcBorders>
            <w:gridSpan w:val="6"/>
          </w:tcPr>
          <w:p>
            <w:pPr>
              <w:spacing w:after="0" w:line="141"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8-K of General Motors Company filed April 20,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-783590</wp:posOffset>
            </wp:positionV>
            <wp:extent cx="7115810" cy="247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15810" cy="247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17"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517" w:lineRule="exact"/>
        <w:rPr>
          <w:sz w:val="20"/>
          <w:szCs w:val="20"/>
          <w:color w:val="auto"/>
        </w:rPr>
      </w:pPr>
    </w:p>
    <w:p>
      <w:pPr>
        <w:sectPr>
          <w:pgSz w:w="11900" w:h="16838" w:orient="portrait"/>
          <w:cols w:equalWidth="0" w:num="2">
            <w:col w:w="9660" w:space="120"/>
            <w:col w:w="1440"/>
          </w:cols>
          <w:pgMar w:left="320" w:top="363" w:right="359" w:bottom="1440" w:gutter="0" w:footer="0" w:header="0"/>
        </w:sectPr>
      </w:pPr>
    </w:p>
    <w:tbl>
      <w:tblPr>
        <w:tblLayout w:type="fixed"/>
        <w:tblInd w:w="2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8580" w:type="dxa"/>
            <w:vAlign w:val="bottom"/>
            <w:gridSpan w:val="2"/>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Amendment No. 1 to Third Amended and Restated 5-Year Revolving Credit Agreement, dated as of April 18, 2018, among General</w:t>
              </w:r>
            </w:hyperlink>
          </w:p>
        </w:tc>
        <w:tc>
          <w:tcPr>
            <w:tcW w:w="11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Incorporated by</w:t>
            </w:r>
          </w:p>
        </w:tc>
      </w:tr>
      <w:tr>
        <w:trPr>
          <w:trHeight w:val="145"/>
        </w:trPr>
        <w:tc>
          <w:tcPr>
            <w:tcW w:w="1100" w:type="dxa"/>
            <w:vAlign w:val="bottom"/>
          </w:tcPr>
          <w:p>
            <w:pPr>
              <w:spacing w:after="0"/>
              <w:rPr>
                <w:sz w:val="12"/>
                <w:szCs w:val="12"/>
                <w:color w:val="auto"/>
              </w:rPr>
            </w:pPr>
          </w:p>
        </w:tc>
        <w:tc>
          <w:tcPr>
            <w:tcW w:w="8500" w:type="dxa"/>
            <w:vAlign w:val="bottom"/>
            <w:tcBorders>
              <w:top w:val="single" w:sz="8" w:color="0000FF"/>
            </w:tcBorders>
          </w:tcPr>
          <w:p>
            <w:pPr>
              <w:spacing w:after="0" w:line="145" w:lineRule="exact"/>
              <w:rPr>
                <w:rFonts w:ascii="Times New Roman" w:cs="Times New Roman" w:eastAsia="Times New Roman" w:hAnsi="Times New Roman"/>
                <w:sz w:val="16"/>
                <w:szCs w:val="16"/>
                <w:u w:val="single" w:color="auto"/>
                <w:color w:val="0000FF"/>
              </w:rPr>
            </w:pPr>
            <w:hyperlink r:id="rId176">
              <w:r>
                <w:rPr>
                  <w:rFonts w:ascii="Times New Roman" w:cs="Times New Roman" w:eastAsia="Times New Roman" w:hAnsi="Times New Roman"/>
                  <w:sz w:val="16"/>
                  <w:szCs w:val="16"/>
                  <w:u w:val="single" w:color="auto"/>
                  <w:color w:val="0000FF"/>
                </w:rPr>
                <w:t>Motors Company, General Motors Financial Company, Inc., GM Global Treasury Centre Limited, General Motors do Brazil Ltda.,</w:t>
              </w:r>
            </w:hyperlink>
          </w:p>
        </w:tc>
        <w:tc>
          <w:tcPr>
            <w:tcW w:w="80" w:type="dxa"/>
            <w:vAlign w:val="bottom"/>
          </w:tcPr>
          <w:p>
            <w:pPr>
              <w:spacing w:after="0"/>
              <w:rPr>
                <w:sz w:val="12"/>
                <w:szCs w:val="12"/>
                <w:color w:val="auto"/>
              </w:rPr>
            </w:pPr>
          </w:p>
        </w:tc>
        <w:tc>
          <w:tcPr>
            <w:tcW w:w="1100" w:type="dxa"/>
            <w:vAlign w:val="bottom"/>
          </w:tcPr>
          <w:p>
            <w:pPr>
              <w:ind w:left="80"/>
              <w:spacing w:after="0" w:line="145" w:lineRule="exact"/>
              <w:rPr>
                <w:sz w:val="20"/>
                <w:szCs w:val="20"/>
                <w:color w:val="auto"/>
              </w:rPr>
            </w:pPr>
            <w:r>
              <w:rPr>
                <w:rFonts w:ascii="Times New Roman" w:cs="Times New Roman" w:eastAsia="Times New Roman" w:hAnsi="Times New Roman"/>
                <w:sz w:val="16"/>
                <w:szCs w:val="16"/>
                <w:color w:val="auto"/>
              </w:rPr>
              <w:t>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15810" cy="545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15810" cy="545465"/>
                    </a:xfrm>
                    <a:prstGeom prst="rect">
                      <a:avLst/>
                    </a:prstGeom>
                    <a:noFill/>
                  </pic:spPr>
                </pic:pic>
              </a:graphicData>
            </a:graphic>
          </wp:anchor>
        </w:drawing>
      </w:r>
    </w:p>
    <w:p>
      <w:pPr>
        <w:jc w:val="both"/>
        <w:ind w:left="1120" w:right="1600"/>
        <w:spacing w:after="0" w:line="223" w:lineRule="auto"/>
        <w:rPr>
          <w:rFonts w:ascii="Times New Roman" w:cs="Times New Roman" w:eastAsia="Times New Roman" w:hAnsi="Times New Roman"/>
          <w:sz w:val="16"/>
          <w:szCs w:val="16"/>
          <w:u w:val="single" w:color="auto"/>
          <w:color w:val="0000FF"/>
        </w:rPr>
      </w:pPr>
      <w:hyperlink r:id="rId176">
        <w:r>
          <w:rPr>
            <w:rFonts w:ascii="Times New Roman" w:cs="Times New Roman" w:eastAsia="Times New Roman" w:hAnsi="Times New Roman"/>
            <w:sz w:val="16"/>
            <w:szCs w:val="16"/>
            <w:u w:val="single" w:color="auto"/>
            <w:color w:val="0000FF"/>
          </w:rPr>
          <w:t>the subsidiary borrowers from time to time parties thereto, the several lenders from time to time parties thereto, JPMorgan Chase</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Bank, N.A., as administrative agent, and Citibank, N.A., as syndication agent, incorporated by reference to Exhibit 10.3 to the</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Current Report on Form 8-K of General Motors Company filed April 7, 2021</w:t>
        </w:r>
      </w:hyperlink>
    </w:p>
    <w:p>
      <w:pPr>
        <w:sectPr>
          <w:pgSz w:w="11900" w:h="16838" w:orient="portrait"/>
          <w:cols w:equalWidth="0" w:num="1">
            <w:col w:w="11220"/>
          </w:cols>
          <w:pgMar w:left="320" w:top="363" w:right="359" w:bottom="1440" w:gutter="0" w:footer="0" w:header="0"/>
          <w:type w:val="continuous"/>
        </w:sectPr>
      </w:pPr>
    </w:p>
    <w:p>
      <w:pPr>
        <w:spacing w:after="0" w:line="6" w:lineRule="exact"/>
        <w:rPr>
          <w:rFonts w:ascii="Times New Roman" w:cs="Times New Roman" w:eastAsia="Times New Roman" w:hAnsi="Times New Roman"/>
          <w:sz w:val="16"/>
          <w:szCs w:val="16"/>
          <w:u w:val="single" w:color="auto"/>
          <w:color w:val="0000FF"/>
        </w:rPr>
      </w:pPr>
    </w:p>
    <w:p>
      <w:pPr>
        <w:jc w:val="both"/>
        <w:ind w:left="1120" w:hanging="1086"/>
        <w:spacing w:after="0" w:line="225" w:lineRule="auto"/>
        <w:tabs>
          <w:tab w:leader="none" w:pos="11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10.27†</w:t>
      </w:r>
      <w:r>
        <w:rPr>
          <w:sz w:val="20"/>
          <w:szCs w:val="20"/>
          <w:color w:val="auto"/>
        </w:rPr>
        <w:tab/>
      </w:r>
      <w:hyperlink r:id="rId178">
        <w:r>
          <w:rPr>
            <w:rFonts w:ascii="Times New Roman" w:cs="Times New Roman" w:eastAsia="Times New Roman" w:hAnsi="Times New Roman"/>
            <w:sz w:val="16"/>
            <w:szCs w:val="16"/>
            <w:u w:val="single" w:color="auto"/>
            <w:color w:val="0000FF"/>
          </w:rPr>
          <w:t>Fourth Amended and Restated 3-Year Revolving Credit Agreement among General Motors Company, General Motors Financial</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Company, Inc., General Motors do Brasil Ltda., the subsidiary borrowers from time to time parties thereto, the several lenders from</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time to time parties thereto, JPMorgan Chase Bank, N.A., as administrative agent, and Citibank, N.A., as syndication agent,</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incorporated by reference to Exhibit 10.1 to the Current Report on Form 8-K of General Motors Company filed April 7, 2021</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ind w:right="42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356"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9640" w:space="140"/>
            <w:col w:w="1440"/>
          </w:cols>
          <w:pgMar w:left="320" w:top="363"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8600" w:type="dxa"/>
            <w:vAlign w:val="bottom"/>
            <w:gridSpan w:val="14"/>
            <w:shd w:val="clear" w:color="auto" w:fill="CCEEFF"/>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Fourth Amended and Restated 364-Day Revolving Credit Agreement among General Motors Company, General Motors Financial</w:t>
              </w:r>
            </w:hyperlink>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1120" w:type="dxa"/>
            <w:vAlign w:val="bottom"/>
            <w:tcBorders>
              <w:top w:val="single" w:sz="8" w:color="CCEEFF"/>
            </w:tcBorders>
            <w:shd w:val="clear" w:color="auto" w:fill="CCEEFF"/>
          </w:tcPr>
          <w:p>
            <w:pPr>
              <w:spacing w:after="0"/>
              <w:rPr>
                <w:sz w:val="12"/>
                <w:szCs w:val="12"/>
                <w:color w:val="auto"/>
              </w:rPr>
            </w:pPr>
          </w:p>
        </w:tc>
        <w:tc>
          <w:tcPr>
            <w:tcW w:w="8540" w:type="dxa"/>
            <w:vAlign w:val="bottom"/>
            <w:tcBorders>
              <w:top w:val="single" w:sz="8" w:color="0000FF"/>
            </w:tcBorders>
            <w:gridSpan w:val="11"/>
            <w:shd w:val="clear" w:color="auto" w:fill="CCEEFF"/>
          </w:tcPr>
          <w:p>
            <w:pPr>
              <w:spacing w:after="0" w:line="141"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141"/>
        </w:trPr>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8500" w:type="dxa"/>
            <w:vAlign w:val="bottom"/>
            <w:tcBorders>
              <w:top w:val="single" w:sz="8" w:color="0000FF"/>
              <w:bottom w:val="single" w:sz="8" w:color="0000FF"/>
            </w:tcBorders>
            <w:gridSpan w:val="9"/>
            <w:shd w:val="clear" w:color="auto" w:fill="CCEEFF"/>
          </w:tcPr>
          <w:p>
            <w:pPr>
              <w:spacing w:after="0" w:line="141"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JPMorgan Chase Bank, N.A., as administrative agent, Citibank, N.A., as syndication agent, and Bank of America, N.A., as co-</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20" w:type="dxa"/>
            <w:vAlign w:val="bottom"/>
            <w:shd w:val="clear" w:color="auto" w:fill="CCEEFF"/>
          </w:tcPr>
          <w:p>
            <w:pPr>
              <w:spacing w:after="0"/>
              <w:rPr>
                <w:sz w:val="12"/>
                <w:szCs w:val="12"/>
                <w:color w:val="auto"/>
              </w:rPr>
            </w:pPr>
          </w:p>
        </w:tc>
        <w:tc>
          <w:tcPr>
            <w:tcW w:w="8580" w:type="dxa"/>
            <w:vAlign w:val="bottom"/>
            <w:gridSpan w:val="13"/>
            <w:shd w:val="clear" w:color="auto" w:fill="CCEEFF"/>
          </w:tcPr>
          <w:p>
            <w:pPr>
              <w:spacing w:after="0" w:line="141"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syndication agent, incorporated by reference to Exhibit 10.1 to the Current Report on Form 8-K of General Motors Company filed</w:t>
              </w:r>
            </w:hyperlink>
          </w:p>
        </w:tc>
        <w:tc>
          <w:tcPr>
            <w:tcW w:w="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0000FF"/>
              <w:bottom w:val="single" w:sz="8" w:color="0000FF"/>
            </w:tcBorders>
            <w:shd w:val="clear" w:color="auto" w:fill="CCEEFF"/>
          </w:tcPr>
          <w:p>
            <w:pPr>
              <w:spacing w:after="0" w:line="141" w:lineRule="exact"/>
              <w:rPr>
                <w:rFonts w:ascii="Times New Roman" w:cs="Times New Roman" w:eastAsia="Times New Roman" w:hAnsi="Times New Roman"/>
                <w:sz w:val="16"/>
                <w:szCs w:val="16"/>
                <w:color w:val="0000FF"/>
                <w:w w:val="97"/>
              </w:rPr>
            </w:pPr>
            <w:hyperlink r:id="rId179">
              <w:r>
                <w:rPr>
                  <w:rFonts w:ascii="Times New Roman" w:cs="Times New Roman" w:eastAsia="Times New Roman" w:hAnsi="Times New Roman"/>
                  <w:sz w:val="16"/>
                  <w:szCs w:val="16"/>
                  <w:color w:val="0000FF"/>
                  <w:w w:val="97"/>
                </w:rPr>
                <w:t>April 5, 2022</w:t>
              </w:r>
            </w:hyperlink>
          </w:p>
        </w:tc>
        <w:tc>
          <w:tcPr>
            <w:tcW w:w="766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5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10.29</w:t>
            </w:r>
          </w:p>
        </w:tc>
        <w:tc>
          <w:tcPr>
            <w:tcW w:w="8600" w:type="dxa"/>
            <w:vAlign w:val="bottom"/>
            <w:gridSpan w:val="14"/>
          </w:tcPr>
          <w:p>
            <w:pPr>
              <w:spacing w:after="0" w:line="175"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Eighth Amended and Restated Limited Liability Company Agreement of GM Cruise Holdings LLC, dated March 18, 2022,</w:t>
              </w:r>
            </w:hyperlink>
          </w:p>
        </w:tc>
        <w:tc>
          <w:tcPr>
            <w:tcW w:w="15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8560" w:type="dxa"/>
            <w:vAlign w:val="bottom"/>
            <w:tcBorders>
              <w:top w:val="single" w:sz="8" w:color="0000FF"/>
            </w:tcBorders>
            <w:gridSpan w:val="12"/>
          </w:tcPr>
          <w:p>
            <w:pPr>
              <w:spacing w:after="0" w:line="141"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incorporated by reference to Exhibit 10.2 to the Quarterly Report on Form 10-Q of General Motors Company filed July 26, 2022</w:t>
              </w:r>
            </w:hyperlink>
          </w:p>
        </w:tc>
        <w:tc>
          <w:tcPr>
            <w:tcW w:w="40" w:type="dxa"/>
            <w:vAlign w:val="bottom"/>
            <w:gridSpan w:val="2"/>
          </w:tcPr>
          <w:p>
            <w:pPr>
              <w:spacing w:after="0"/>
              <w:rPr>
                <w:sz w:val="12"/>
                <w:szCs w:val="12"/>
                <w:color w:val="auto"/>
              </w:rPr>
            </w:pPr>
          </w:p>
        </w:tc>
        <w:tc>
          <w:tcPr>
            <w:tcW w:w="1500" w:type="dxa"/>
            <w:vAlign w:val="bottom"/>
          </w:tcPr>
          <w:p>
            <w:pPr>
              <w:ind w:left="60"/>
              <w:spacing w:after="0" w:line="141"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4780" w:type="dxa"/>
            <w:vAlign w:val="bottom"/>
            <w:tcBorders>
              <w:bottom w:val="single" w:sz="8" w:color="0000FF"/>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Subsidiaries and Joint Ventures of the Registrant as of December 31, 2022</w:t>
            </w:r>
          </w:p>
        </w:tc>
        <w:tc>
          <w:tcPr>
            <w:tcW w:w="3820" w:type="dxa"/>
            <w:vAlign w:val="bottom"/>
            <w:tcBorders>
              <w:bottom w:val="single" w:sz="8" w:color="CCEEFF"/>
            </w:tcBorders>
            <w:gridSpan w:val="8"/>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74"/>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860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Consent of Ernst &amp; Young LLP</w:t>
            </w:r>
          </w:p>
        </w:tc>
        <w:tc>
          <w:tcPr>
            <w:tcW w:w="15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24</w:t>
            </w:r>
          </w:p>
        </w:tc>
        <w:tc>
          <w:tcPr>
            <w:tcW w:w="3960" w:type="dxa"/>
            <w:vAlign w:val="bottom"/>
            <w:tcBorders>
              <w:bottom w:val="single" w:sz="8" w:color="0000FF"/>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Power of Attorney for Directors of General Motors Company</w:t>
            </w:r>
          </w:p>
        </w:tc>
        <w:tc>
          <w:tcPr>
            <w:tcW w:w="4640" w:type="dxa"/>
            <w:vAlign w:val="bottom"/>
            <w:tcBorders>
              <w:bottom w:val="single" w:sz="8" w:color="CCEEFF"/>
            </w:tcBorders>
            <w:gridSpan w:val="9"/>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74"/>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860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Executive Officer</w:t>
            </w:r>
          </w:p>
        </w:tc>
        <w:tc>
          <w:tcPr>
            <w:tcW w:w="15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860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Financial Officer</w:t>
            </w:r>
          </w:p>
        </w:tc>
        <w:tc>
          <w:tcPr>
            <w:tcW w:w="1500" w:type="dxa"/>
            <w:vAlign w:val="bottom"/>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32</w:t>
            </w:r>
          </w:p>
        </w:tc>
        <w:tc>
          <w:tcPr>
            <w:tcW w:w="860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150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Furnished with this</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8600" w:type="dxa"/>
            <w:vAlign w:val="bottom"/>
            <w:gridSpan w:val="14"/>
            <w:vMerge w:val="continue"/>
          </w:tcPr>
          <w:p>
            <w:pPr>
              <w:spacing w:after="0"/>
              <w:rPr>
                <w:sz w:val="15"/>
                <w:szCs w:val="15"/>
                <w:color w:val="auto"/>
              </w:rPr>
            </w:pPr>
          </w:p>
        </w:tc>
        <w:tc>
          <w:tcPr>
            <w:tcW w:w="15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Report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101</w:t>
            </w:r>
          </w:p>
        </w:tc>
        <w:tc>
          <w:tcPr>
            <w:tcW w:w="860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The following financial information from the Company’s Annual Report on Form 10-K for the year ended December 31, 2022</w:t>
            </w:r>
          </w:p>
        </w:tc>
        <w:tc>
          <w:tcPr>
            <w:tcW w:w="1500" w:type="dxa"/>
            <w:vAlign w:val="bottom"/>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61"/>
        </w:trPr>
        <w:tc>
          <w:tcPr>
            <w:tcW w:w="1120" w:type="dxa"/>
            <w:vAlign w:val="bottom"/>
            <w:shd w:val="clear" w:color="auto" w:fill="CCEEFF"/>
          </w:tcPr>
          <w:p>
            <w:pPr>
              <w:spacing w:after="0"/>
              <w:rPr>
                <w:sz w:val="14"/>
                <w:szCs w:val="14"/>
                <w:color w:val="auto"/>
              </w:rPr>
            </w:pPr>
          </w:p>
        </w:tc>
        <w:tc>
          <w:tcPr>
            <w:tcW w:w="860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formatted in Inline Extensible Business Reporting Language (iXBRL) includes: (i) the Consolidated Income Statements, (ii) the</w:t>
            </w: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shd w:val="clear" w:color="auto" w:fill="CCEEFF"/>
          </w:tcPr>
          <w:p>
            <w:pPr>
              <w:spacing w:after="0"/>
              <w:rPr>
                <w:sz w:val="14"/>
                <w:szCs w:val="14"/>
                <w:color w:val="auto"/>
              </w:rPr>
            </w:pPr>
          </w:p>
        </w:tc>
        <w:tc>
          <w:tcPr>
            <w:tcW w:w="860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Consolidated Statements of Comprehensive Income, (iii) the Consolidated Balance Sheets, (iv) the Consolidated Statements of</w:t>
            </w: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18"/>
                <w:szCs w:val="18"/>
                <w:color w:val="auto"/>
              </w:rPr>
            </w:pPr>
          </w:p>
        </w:tc>
        <w:tc>
          <w:tcPr>
            <w:tcW w:w="86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(v) the Consolidated Statements of Equity and (vi) Notes to the Consolidated Financial Statements</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104</w:t>
            </w:r>
          </w:p>
        </w:tc>
        <w:tc>
          <w:tcPr>
            <w:tcW w:w="8600" w:type="dxa"/>
            <w:vAlign w:val="bottom"/>
            <w:gridSpan w:val="14"/>
          </w:tcPr>
          <w:p>
            <w:pPr>
              <w:spacing w:after="0" w:line="161" w:lineRule="exact"/>
              <w:rPr>
                <w:sz w:val="20"/>
                <w:szCs w:val="20"/>
                <w:color w:val="auto"/>
              </w:rPr>
            </w:pPr>
            <w:r>
              <w:rPr>
                <w:rFonts w:ascii="Times New Roman" w:cs="Times New Roman" w:eastAsia="Times New Roman" w:hAnsi="Times New Roman"/>
                <w:sz w:val="16"/>
                <w:szCs w:val="16"/>
                <w:color w:val="auto"/>
              </w:rPr>
              <w:t>The cover page from the Company's Annual Report on Form 10-K for the year ended December 31, 2022, formatted as Inline</w:t>
            </w:r>
          </w:p>
        </w:tc>
        <w:tc>
          <w:tcPr>
            <w:tcW w:w="150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86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and contained in Exhibit 101</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120" w:lineRule="exact"/>
        <w:rPr>
          <w:sz w:val="20"/>
          <w:szCs w:val="20"/>
          <w:color w:val="auto"/>
        </w:rPr>
      </w:pPr>
    </w:p>
    <w:p>
      <w:pPr>
        <w:ind w:left="800" w:hanging="775"/>
        <w:spacing w:after="0"/>
        <w:tabs>
          <w:tab w:leader="none" w:pos="8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confidential portions have been omitted pursuant to a granted request for confidential treatment, which has been separately filed with the SEC.</w:t>
      </w:r>
    </w:p>
    <w:p>
      <w:pPr>
        <w:spacing w:after="0" w:line="31" w:lineRule="exact"/>
        <w:rPr>
          <w:sz w:val="20"/>
          <w:szCs w:val="20"/>
          <w:color w:val="auto"/>
        </w:rPr>
      </w:pPr>
    </w:p>
    <w:p>
      <w:pPr>
        <w:ind w:left="800" w:hanging="775"/>
        <w:spacing w:after="0"/>
        <w:tabs>
          <w:tab w:leader="none" w:pos="8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contracts and compensatory plans and arrangements required to be filed as exhibits pursuant to Item 15(b) of this Report.</w:t>
      </w:r>
    </w:p>
    <w:p>
      <w:pPr>
        <w:spacing w:after="0" w:line="93"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3"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9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16510</wp:posOffset>
            </wp:positionV>
            <wp:extent cx="2454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Mary T. Barra</w:t>
      </w:r>
    </w:p>
    <w:p>
      <w:pPr>
        <w:ind w:left="61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1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Date:</w:t>
        <w:tab/>
        <w:t>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5" w:lineRule="exact"/>
        <w:rPr>
          <w:sz w:val="20"/>
          <w:szCs w:val="20"/>
          <w:color w:val="auto"/>
        </w:rPr>
      </w:pPr>
    </w:p>
    <w:p>
      <w:pPr>
        <w:ind w:firstLine="161"/>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31st day of January 2023 by the following persons on behalf of the registrant and in the capacities indicated, including a majority of the directors.</w:t>
      </w:r>
    </w:p>
    <w:p>
      <w:pPr>
        <w:sectPr>
          <w:pgSz w:w="11900" w:h="16838" w:orient="portrait"/>
          <w:cols w:equalWidth="0" w:num="1">
            <w:col w:w="11240"/>
          </w:cols>
          <w:pgMar w:left="320" w:top="363" w:right="339" w:bottom="1440" w:gutter="0" w:footer="0" w:header="0"/>
        </w:sectPr>
      </w:pPr>
    </w:p>
    <w:p>
      <w:pPr>
        <w:spacing w:after="0" w:line="78" w:lineRule="exact"/>
        <w:rPr>
          <w:sz w:val="20"/>
          <w:szCs w:val="20"/>
          <w:color w:val="auto"/>
        </w:rPr>
      </w:pPr>
    </w:p>
    <w:p>
      <w:pPr>
        <w:jc w:val="right"/>
        <w:ind w:right="20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170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1705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T. Barra</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35966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59664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410" w:lineRule="exact"/>
        <w:rPr>
          <w:sz w:val="20"/>
          <w:szCs w:val="20"/>
          <w:color w:val="auto"/>
        </w:rPr>
      </w:pPr>
    </w:p>
    <w:p>
      <w:pPr>
        <w:sectPr>
          <w:pgSz w:w="11900" w:h="16838" w:orient="portrait"/>
          <w:cols w:equalWidth="0" w:num="2">
            <w:col w:w="4880" w:space="720"/>
            <w:col w:w="564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JACOBSON</w:t>
            </w:r>
          </w:p>
        </w:tc>
        <w:tc>
          <w:tcPr>
            <w:tcW w:w="6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A. Jacobson</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HATTO</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Global Business Solutions and Chief</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Hatto</w:t>
            </w:r>
          </w:p>
        </w:tc>
        <w:tc>
          <w:tcPr>
            <w:tcW w:w="6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F. RUSSO*</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Lead 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F. Russo</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ANEEL BHUSRI*</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Aneel Bhusri</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WESLEY G. BUSH*</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G. Bush</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JOANNE C. CREVOISERAT*</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C. Crevoiserat</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R. GOODEN*</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R. Gooden</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JIMENEZ*</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Jimenez</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MCNEILL*</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McNeill</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JUDITH A. MISCIK*</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A. Miscik</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M. SCHOEWE*</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M. Schoewe</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CAROL M. STEPHENSON*</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 M. Stephenson</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TATUM*</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Tatum</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N. WENIG*</w:t>
            </w:r>
          </w:p>
        </w:tc>
        <w:tc>
          <w:tcPr>
            <w:tcW w:w="6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N. Wenig</w:t>
            </w:r>
          </w:p>
        </w:tc>
        <w:tc>
          <w:tcPr>
            <w:tcW w:w="6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24"/>
        </w:trPr>
        <w:tc>
          <w:tcPr>
            <w:tcW w:w="5000" w:type="dxa"/>
            <w:vAlign w:val="bottom"/>
          </w:tcPr>
          <w:p>
            <w:pPr>
              <w:spacing w:after="0"/>
              <w:rPr>
                <w:sz w:val="24"/>
                <w:szCs w:val="24"/>
                <w:color w:val="auto"/>
              </w:rPr>
            </w:pPr>
          </w:p>
        </w:tc>
        <w:tc>
          <w:tcPr>
            <w:tcW w:w="4940" w:type="dxa"/>
            <w:vAlign w:val="bottom"/>
            <w:gridSpan w:val="2"/>
          </w:tcPr>
          <w:p>
            <w:pPr>
              <w:jc w:val="right"/>
              <w:ind w:right="2431"/>
              <w:spacing w:after="0"/>
              <w:rPr>
                <w:sz w:val="20"/>
                <w:szCs w:val="20"/>
                <w:color w:val="auto"/>
              </w:rPr>
            </w:pPr>
            <w:r>
              <w:rPr>
                <w:rFonts w:ascii="Times New Roman" w:cs="Times New Roman" w:eastAsia="Times New Roman" w:hAnsi="Times New Roman"/>
                <w:sz w:val="18"/>
                <w:szCs w:val="18"/>
                <w:color w:val="auto"/>
              </w:rPr>
              <w:t>*By: /s/ CRAIG B. GLIDDEN</w:t>
            </w:r>
          </w:p>
        </w:tc>
      </w:tr>
      <w:tr>
        <w:trPr>
          <w:trHeight w:val="215"/>
        </w:trPr>
        <w:tc>
          <w:tcPr>
            <w:tcW w:w="5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Craig B. Glidden</w:t>
            </w:r>
          </w:p>
        </w:tc>
      </w:tr>
      <w:tr>
        <w:trPr>
          <w:trHeight w:val="235"/>
        </w:trPr>
        <w:tc>
          <w:tcPr>
            <w:tcW w:w="5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Attorney-in-Fact</w:t>
            </w:r>
          </w:p>
        </w:tc>
      </w:tr>
      <w:tr>
        <w:trPr>
          <w:trHeight w:val="658"/>
        </w:trPr>
        <w:tc>
          <w:tcPr>
            <w:tcW w:w="5000" w:type="dxa"/>
            <w:vAlign w:val="bottom"/>
          </w:tcPr>
          <w:p>
            <w:pPr>
              <w:spacing w:after="0"/>
              <w:rPr>
                <w:sz w:val="24"/>
                <w:szCs w:val="24"/>
                <w:color w:val="auto"/>
              </w:rPr>
            </w:pPr>
          </w:p>
        </w:tc>
        <w:tc>
          <w:tcPr>
            <w:tcW w:w="4940" w:type="dxa"/>
            <w:vAlign w:val="bottom"/>
            <w:gridSpan w:val="2"/>
          </w:tcPr>
          <w:p>
            <w:pPr>
              <w:jc w:val="right"/>
              <w:ind w:right="4091"/>
              <w:spacing w:after="0"/>
              <w:rPr>
                <w:sz w:val="20"/>
                <w:szCs w:val="20"/>
                <w:color w:val="auto"/>
              </w:rPr>
            </w:pPr>
            <w:r>
              <w:rPr>
                <w:rFonts w:ascii="Times New Roman" w:cs="Times New Roman" w:eastAsia="Times New Roman" w:hAnsi="Times New Roman"/>
                <w:sz w:val="18"/>
                <w:szCs w:val="18"/>
                <w:color w:val="auto"/>
              </w:rPr>
              <w:t>105</w:t>
            </w:r>
          </w:p>
        </w:tc>
      </w:tr>
    </w:tbl>
    <w:p>
      <w:pPr>
        <w:sectPr>
          <w:pgSz w:w="11900" w:h="16838" w:orient="portrait"/>
          <w:cols w:equalWidth="0" w:num="1">
            <w:col w:w="11240"/>
          </w:cols>
          <w:pgMar w:left="320" w:top="363" w:right="33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5"/>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2140879 Ontario Inc.</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ACAR Leasing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Opel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AFS SenSub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AmeriCredit Financial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Annunciata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APGO Trust</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Argonaut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Astyx,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GM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BOCO (Proprietary)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Boco Trust</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Bowling Green Fast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of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Cadillac Europe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Carve-Out Ownership Cooperative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Deutschland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Otomotiv Ticaret Limited Sirketi</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(Thailand)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India Private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Controladora General Motors,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Corporacion Proauto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Holdings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Trading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Munich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DCJ1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Dealership Liquidations,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DMAX,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GCAR Titling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 Colmotores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Advisory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Uzbekistan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Africa and Middle East FZE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Arabia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33"/>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Pacific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7" w:right="339" w:bottom="1440" w:gutter="0" w:footer="0" w:header="0"/>
        </w:sectPr>
      </w:pPr>
    </w:p>
    <w:bookmarkStart w:id="109" w:name="page110"/>
    <w:bookmarkEnd w:id="109"/>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SUBSIDIARIES AND JOINT VENTURES OF THE REGISTRANT</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General Motors Asia, LLC</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Asset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Australia and New Zealand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Australia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Auto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Automobiles Philippines,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Automotive Holdings, S.L.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Battery Raw Materials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Belgique Automobile NV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Argentina S.R.L.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Mexico,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del Ecuador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do Brasil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Egypt, S.A.E.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Entergy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Europe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Company,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of Canada,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Germany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Global Service Operations,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Holden Australia NSC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India Private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5"/>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Participaçoes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Investments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Israel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IT Services (Ireland)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Japan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New Zealand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33"/>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New Zealand Pensions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10" w:name="page111"/>
    <w:bookmarkEnd w:id="110"/>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SUBSIDIARIES AND JOINT VENTURES OF THE REGISTRANT</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General Motors Norway AS</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of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Distribution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Peru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Research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South Africa (Pty)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Sweden AB</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Taiwan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Treasury Center,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Uruguay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Motors-Holden's Sales Pty.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(UK) Pension Trustees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Administradora de Bens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Asia Pacific Regional Headquarters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AV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Components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para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Recurring Liquidity Opportunity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Eurometals,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Finance Co.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Bank</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Canada Leasing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5"/>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S.A. Compañia de Financiamiento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 Mexico, S.A. de C.V. SOFOM E.R.</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del Peru S.A.C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Mexico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Technology Operations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Tooling Company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Treasury Centre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3"/>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Australia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14"/>
        </w:trPr>
        <w:tc>
          <w:tcPr>
            <w:tcW w:w="8820" w:type="dxa"/>
            <w:vAlign w:val="bottom"/>
            <w:gridSpan w:val="2"/>
            <w:vMerge w:val="continue"/>
          </w:tcPr>
          <w:p>
            <w:pPr>
              <w:spacing w:after="0"/>
              <w:rPr>
                <w:sz w:val="9"/>
                <w:szCs w:val="9"/>
                <w:color w:val="auto"/>
              </w:rPr>
            </w:pPr>
          </w:p>
        </w:tc>
        <w:tc>
          <w:tcPr>
            <w:tcW w:w="17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820" w:type="dxa"/>
            <w:vAlign w:val="bottom"/>
            <w:gridSpan w:val="2"/>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U.K. No.1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Inversiones Santiago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Investment Trustees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Korea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LAAM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Mobility Europe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Personnel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Philippines,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Retirees Pension Trustees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Speciality Vehicles UK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Subsystems Manufacturing,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Technical Center Korea,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GMAC Administradora de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GMCH&amp;SP Private Equity II L.P.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GM-DI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Funding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Global Assignment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Serviços de Mobilidade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Wholesale Receivables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Pointe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Pointe Park Condominium Association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Kinohi Insurance Company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Hawaii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Ownership Cooperative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Lidlington Engineering Company,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Liability Company "General Motors CIS"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Millbrook Pension Management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Monetization of Carve-Out,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Motors Holding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Multi-Use Lease Entity Trust</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American New Cars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Omnibus BB Transportes, S. 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de Mexico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Egypt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Europe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Indemnity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33"/>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Property and Casualty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20" w:type="dxa"/>
            <w:vAlign w:val="bottom"/>
          </w:tcPr>
          <w:p>
            <w:pPr>
              <w:jc w:val="center"/>
              <w:ind w:left="1291"/>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20" w:type="dxa"/>
            <w:vAlign w:val="bottom"/>
            <w:gridSpan w:val="2"/>
            <w:vMerge w:val="continue"/>
          </w:tcPr>
          <w:p>
            <w:pPr>
              <w:spacing w:after="0"/>
              <w:rPr>
                <w:sz w:val="10"/>
                <w:szCs w:val="10"/>
                <w:color w:val="auto"/>
              </w:rPr>
            </w:pPr>
          </w:p>
        </w:tc>
        <w:tc>
          <w:tcPr>
            <w:tcW w:w="170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 M AutoWorld Indonesia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PIMS Co.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Prestadora de Servicios GMF Colombia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 Manufacturing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III,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Phase II,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Corporation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Sales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(Shenyang) Norsom Motors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Motors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Powertrain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Wuling Automobile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SAIC-GMAC Automotive Finance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SAIC-GMF Leasing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Servicios GMAC S.A.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OnStar Telematics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Holding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Asset Universal Leasing Trust</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 Auto,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WRE,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Zona Franca Industrial Colmotores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550"/>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- 199</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Item 601(b)(21) of Regulation S-K, we have omitted certain subsidiaries, which considered in the aggregate as a single subsidiary, would not constitute a significant subsidiary at December 31, 2022. Additionally, 101 subsidiaries of General Motors Financial Company, Inc. have been omitted that operate in the U.S. in the same line of business as General Motors Financial Company, Inc. at December 31, 2022.</w:t>
      </w:r>
    </w:p>
    <w:p>
      <w:pPr>
        <w:sectPr>
          <w:pgSz w:w="11900" w:h="16838" w:orient="portrait"/>
          <w:cols w:equalWidth="0" w:num="1">
            <w:col w:w="11240"/>
          </w:cols>
          <w:pgMar w:left="320" w:top="35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5" w:lineRule="exact"/>
        <w:rPr>
          <w:sz w:val="20"/>
          <w:szCs w:val="20"/>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333-268000) of General Motors Company,</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333-239425) pertaining to the General Motors Company 2020 Long-Term Incentive Plan,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333-218793) pertaining to the General Motors Company 2017 Long-Term Incentive Plan,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333-211344) pertaining to the General Motors Company 2016 Equity Incentive Plan, and</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333-196812) pertaining to the General Motors Company 2014 Long-Term Incentive Plan;</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reports dated January 31, 2023, with respect to the consolidated financial statements of General Motors Company and subsidiaries and the effectiveness of internal control over financial reporting of General Motors Company and subsidiaries included in this Annual Report (Form 10-K) of General Motors Company for the year ended December 31, 2022.</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83"/>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wp:posOffset>
            </wp:positionV>
            <wp:extent cx="254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83"/>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wp:posOffset>
            </wp:positionV>
            <wp:extent cx="254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83"/>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wp:posOffset>
            </wp:positionV>
            <wp:extent cx="254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080" w:right="580" w:hanging="6070"/>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-20955</wp:posOffset>
            </wp:positionV>
            <wp:extent cx="25565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16510</wp:posOffset>
            </wp:positionV>
            <wp:extent cx="25565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16510</wp:posOffset>
            </wp:positionV>
            <wp:extent cx="25565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83"/>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wp:posOffset>
            </wp:positionV>
            <wp:extent cx="254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51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83"/>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wp:posOffset>
            </wp:positionV>
            <wp:extent cx="254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080" w:right="580" w:hanging="6070"/>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-20955</wp:posOffset>
            </wp:positionV>
            <wp:extent cx="25565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16510</wp:posOffset>
            </wp:positionV>
            <wp:extent cx="25565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16510</wp:posOffset>
            </wp:positionV>
            <wp:extent cx="25565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96"/>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-20955</wp:posOffset>
            </wp:positionV>
            <wp:extent cx="25393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100" w:right="580" w:hanging="6083"/>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wp:posOffset>
            </wp:positionV>
            <wp:extent cx="254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16510</wp:posOffset>
            </wp:positionV>
            <wp:extent cx="254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254825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ind w:left="6080" w:right="580" w:hanging="6070"/>
        <w:spacing w:after="0" w:line="326"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-20955</wp:posOffset>
            </wp:positionV>
            <wp:extent cx="25565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16510</wp:posOffset>
            </wp:positionV>
            <wp:extent cx="2556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16510</wp:posOffset>
            </wp:positionV>
            <wp:extent cx="25565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Vince Greene,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3160" w:type="dxa"/>
            <w:vAlign w:val="bottom"/>
          </w:tcPr>
          <w:p>
            <w:pPr>
              <w:spacing w:after="0"/>
              <w:rPr>
                <w:sz w:val="13"/>
                <w:szCs w:val="13"/>
                <w:color w:val="auto"/>
              </w:rPr>
            </w:pP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2022</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16510</wp:posOffset>
            </wp:positionV>
            <wp:extent cx="2539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2"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49" w:lineRule="exact"/>
        <w:rPr>
          <w:sz w:val="20"/>
          <w:szCs w:val="20"/>
          <w:color w:val="auto"/>
        </w:rPr>
      </w:pPr>
    </w:p>
    <w:p>
      <w:pPr>
        <w:ind w:left="380" w:hanging="171"/>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79" w:lineRule="auto"/>
        <w:tabs>
          <w:tab w:leader="none" w:pos="3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firstLine="209"/>
        <w:spacing w:after="0" w:line="279" w:lineRule="auto"/>
        <w:tabs>
          <w:tab w:leader="none" w:pos="3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360" w:firstLine="211"/>
        <w:spacing w:after="0" w:line="264" w:lineRule="auto"/>
        <w:tabs>
          <w:tab w:leader="none" w:pos="7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360" w:firstLine="211"/>
        <w:spacing w:after="0" w:line="264" w:lineRule="auto"/>
        <w:tabs>
          <w:tab w:leader="none" w:pos="7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60" w:firstLine="211"/>
        <w:spacing w:after="0" w:line="279" w:lineRule="auto"/>
        <w:tabs>
          <w:tab w:leader="none" w:pos="7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360" w:firstLine="211"/>
        <w:spacing w:after="0" w:line="264" w:lineRule="auto"/>
        <w:tabs>
          <w:tab w:leader="none" w:pos="7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209"/>
        <w:spacing w:after="0" w:line="279" w:lineRule="auto"/>
        <w:tabs>
          <w:tab w:leader="none" w:pos="3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360" w:right="20" w:firstLine="211"/>
        <w:spacing w:after="0" w:line="279" w:lineRule="auto"/>
        <w:tabs>
          <w:tab w:leader="none" w:pos="7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360" w:firstLine="211"/>
        <w:spacing w:after="0" w:line="279" w:lineRule="auto"/>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16510</wp:posOffset>
            </wp:positionV>
            <wp:extent cx="25736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257365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January 31, 2023</w:t>
      </w:r>
    </w:p>
    <w:p>
      <w:pPr>
        <w:sectPr>
          <w:pgSz w:w="11900" w:h="16838" w:orient="portrait"/>
          <w:cols w:equalWidth="0" w:num="1">
            <w:col w:w="11240"/>
          </w:cols>
          <w:pgMar w:left="320" w:top="35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49" w:lineRule="exact"/>
        <w:rPr>
          <w:sz w:val="20"/>
          <w:szCs w:val="20"/>
          <w:color w:val="auto"/>
        </w:rPr>
      </w:pPr>
    </w:p>
    <w:p>
      <w:pPr>
        <w:ind w:left="380" w:hanging="171"/>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79" w:lineRule="auto"/>
        <w:tabs>
          <w:tab w:leader="none" w:pos="3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firstLine="209"/>
        <w:spacing w:after="0" w:line="279" w:lineRule="auto"/>
        <w:tabs>
          <w:tab w:leader="none" w:pos="3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360" w:firstLine="211"/>
        <w:spacing w:after="0" w:line="264" w:lineRule="auto"/>
        <w:tabs>
          <w:tab w:leader="none" w:pos="76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360" w:firstLine="211"/>
        <w:spacing w:after="0" w:line="264" w:lineRule="auto"/>
        <w:tabs>
          <w:tab w:leader="none" w:pos="79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60" w:firstLine="211"/>
        <w:spacing w:after="0" w:line="279" w:lineRule="auto"/>
        <w:tabs>
          <w:tab w:leader="none" w:pos="7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360" w:firstLine="211"/>
        <w:spacing w:after="0" w:line="264" w:lineRule="auto"/>
        <w:tabs>
          <w:tab w:leader="none" w:pos="7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209"/>
        <w:spacing w:after="0" w:line="279" w:lineRule="auto"/>
        <w:tabs>
          <w:tab w:leader="none" w:pos="3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360" w:right="20" w:firstLine="211"/>
        <w:spacing w:after="0" w:line="279" w:lineRule="auto"/>
        <w:tabs>
          <w:tab w:leader="none" w:pos="75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360" w:firstLine="211"/>
        <w:spacing w:after="0" w:line="279" w:lineRule="auto"/>
        <w:tabs>
          <w:tab w:leader="none" w:pos="7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16510</wp:posOffset>
            </wp:positionV>
            <wp:extent cx="32810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January 31, 2023</w:t>
      </w:r>
    </w:p>
    <w:p>
      <w:pPr>
        <w:sectPr>
          <w:pgSz w:w="11900" w:h="16838" w:orient="portrait"/>
          <w:cols w:equalWidth="0" w:num="1">
            <w:col w:w="11240"/>
          </w:cols>
          <w:pgMar w:left="320" w:top="359"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1"/>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General Motors Company (the “Company”) on Form 10-K for the period ended December 31, 2022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3" w:lineRule="exact"/>
        <w:rPr>
          <w:sz w:val="20"/>
          <w:szCs w:val="20"/>
          <w:color w:val="auto"/>
        </w:rPr>
      </w:pPr>
    </w:p>
    <w:p>
      <w:pPr>
        <w:ind w:left="760" w:hanging="189"/>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9"/>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16510</wp:posOffset>
            </wp:positionV>
            <wp:extent cx="32981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Mary T. Barra</w:t>
      </w:r>
    </w:p>
    <w:p>
      <w:pPr>
        <w:ind w:left="560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16510</wp:posOffset>
            </wp:positionV>
            <wp:extent cx="32981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January 31, 2023</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lvl w:ilvl="1">
      <w:lvlJc w:val="left"/>
      <w:lvlText w:val="*"/>
      <w:numFmt w:val="bullet"/>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4"/>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lvl w:ilvl="1">
      <w:lvlJc w:val="left"/>
      <w:lvlText w:val="%2."/>
      <w:numFmt w:val="decimal"/>
      <w:start w:val="2"/>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lvl w:ilvl="1">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48" Type="http://schemas.openxmlformats.org/officeDocument/2006/relationships/image" Target="media/image125.png"/><Relationship Id="rId172" Type="http://schemas.openxmlformats.org/officeDocument/2006/relationships/image" Target="media/image126.png"/><Relationship Id="rId175" Type="http://schemas.openxmlformats.org/officeDocument/2006/relationships/image" Target="media/image127.png"/><Relationship Id="rId177"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41" Type="http://schemas.openxmlformats.org/officeDocument/2006/relationships/hyperlink" Target="https://www.sec.gov/ix?doc=/Archives/edgar/data/0001467858/000146785822000034/gm-20211231.htm" TargetMode="External"/><Relationship Id="rId133" Type="http://schemas.openxmlformats.org/officeDocument/2006/relationships/hyperlink" Target="http://www.sec.gov/Archives/edgar/data/1467858/000146785817000070/ex-21x03312017.htm" TargetMode="External"/><Relationship Id="rId134" Type="http://schemas.openxmlformats.org/officeDocument/2006/relationships/hyperlink" Target="http://www.sec.gov/Archives/edgar/data/1467858/000146785818000089/ex215312018purchaseagreeme.htm" TargetMode="External"/><Relationship Id="rId135" Type="http://schemas.openxmlformats.org/officeDocument/2006/relationships/hyperlink" Target="https://www.sec.gov/Archives/edgar/data/1467858/000146785819000033/ex-23purchaseagreementgmcr.htm" TargetMode="External"/><Relationship Id="rId136" Type="http://schemas.openxmlformats.org/officeDocument/2006/relationships/hyperlink" Target="http://www.sec.gov/Archives/edgar/data/1467858/000119312510279214/dex32.htm" TargetMode="External"/><Relationship Id="rId137" Type="http://schemas.openxmlformats.org/officeDocument/2006/relationships/hyperlink" Target="https://www.sec.gov/Archives/edgar/data/1467858/000119312522304787/d313387dex31.htm" TargetMode="External"/><Relationship Id="rId138" Type="http://schemas.openxmlformats.org/officeDocument/2006/relationships/hyperlink" Target="https://www.sec.gov/Archives/edgar/data/1467858/000146785820000028/ex-41xdescriptionofsec.htm" TargetMode="External"/><Relationship Id="rId139" Type="http://schemas.openxmlformats.org/officeDocument/2006/relationships/hyperlink" Target="http://www.sec.gov/Archives/edgar/data/1467858/000146785814000133/ex42043014indenture.htm" TargetMode="External"/><Relationship Id="rId140" Type="http://schemas.openxmlformats.org/officeDocument/2006/relationships/hyperlink" Target="http://www.sec.gov/Archives/edgar/data/1467858/000146785814000149/ex43gmsupplementalindenture.htm" TargetMode="External"/><Relationship Id="rId141" Type="http://schemas.openxmlformats.org/officeDocument/2006/relationships/hyperlink" Target="http://www.sec.gov/Archives/edgar/data/1467858/000146785814000251/ex-44secondsupplementalind.htm" TargetMode="External"/><Relationship Id="rId142" Type="http://schemas.openxmlformats.org/officeDocument/2006/relationships/hyperlink" Target="http://www.sec.gov/Archives/edgar/data/1467858/000119312516473749/d52897dex41.htm" TargetMode="External"/><Relationship Id="rId143" Type="http://schemas.openxmlformats.org/officeDocument/2006/relationships/hyperlink" Target="http://www.sec.gov/Archives/edgar/data/1467858/000119312517251403/d429540dex41.htm" TargetMode="External"/><Relationship Id="rId144" Type="http://schemas.openxmlformats.org/officeDocument/2006/relationships/hyperlink" Target="http://www.sec.gov/Archives/edgar/data/1467858/000119312518270117/d616437dex42.htm" TargetMode="External"/><Relationship Id="rId145" Type="http://schemas.openxmlformats.org/officeDocument/2006/relationships/hyperlink" Target="https://www.sec.gov/Archives/edgar/data/1467858/000119312520140520/d893278dex42.htm" TargetMode="External"/><Relationship Id="rId146" Type="http://schemas.openxmlformats.org/officeDocument/2006/relationships/hyperlink" Target="https://www.sec.gov/Archives/edgar/data/1467858/000119312522210038/d380927dex42.htm" TargetMode="External"/><Relationship Id="rId147" Type="http://schemas.openxmlformats.org/officeDocument/2006/relationships/hyperlink" Target="http://www.sec.gov/Archives/edgar/data/1467858/000119312518270117/d616437dex43.htm" TargetMode="External"/><Relationship Id="rId149" Type="http://schemas.openxmlformats.org/officeDocument/2006/relationships/hyperlink" Target="http://www.sec.gov/Archives/edgar/data/1467858/000119312510078119/dex1014.htm" TargetMode="External"/><Relationship Id="rId150" Type="http://schemas.openxmlformats.org/officeDocument/2006/relationships/hyperlink" Target="http://www.sec.gov/Archives/edgar/data/1467858/000146785813000025/ex-1012x12312012.htm" TargetMode="External"/><Relationship Id="rId151" Type="http://schemas.openxmlformats.org/officeDocument/2006/relationships/hyperlink" Target="http://www.sec.gov/Archives/edgar/data/1467858/000119312516449435/d124387dex102.htm" TargetMode="External"/><Relationship Id="rId152" Type="http://schemas.openxmlformats.org/officeDocument/2006/relationships/hyperlink" Target="http://www.sec.gov/Archives/edgar/data/1467858/000146785814000164/ex101-2014longxtermincenti.htm" TargetMode="External"/><Relationship Id="rId153" Type="http://schemas.openxmlformats.org/officeDocument/2006/relationships/hyperlink" Target="http://www.sec.gov/Archives/edgar/data/1467858/000146785815000178/formofawardagreement.htm" TargetMode="External"/><Relationship Id="rId154" Type="http://schemas.openxmlformats.org/officeDocument/2006/relationships/hyperlink" Target="http://www.sec.gov/Archives/edgar/data/1467858/000119312516589990/d169701dex991.htm" TargetMode="External"/><Relationship Id="rId155" Type="http://schemas.openxmlformats.org/officeDocument/2006/relationships/hyperlink" Target="http://www.sec.gov/Archives/edgar/data/40730/000095012406001534/k03376exv10wxgy.htm" TargetMode="External"/><Relationship Id="rId156" Type="http://schemas.openxmlformats.org/officeDocument/2006/relationships/hyperlink" Target="http://www.sec.gov/Archives/edgar/data/1467858/000146785816000317/ex-106xindemnificationagre.htm" TargetMode="External"/><Relationship Id="rId157" Type="http://schemas.openxmlformats.org/officeDocument/2006/relationships/hyperlink" Target="http://www.sec.gov/Archives/edgar/data/1467858/000146785818000022/ex1025-2017stip.htm" TargetMode="External"/><Relationship Id="rId158" Type="http://schemas.openxmlformats.org/officeDocument/2006/relationships/hyperlink" Target="http://www.sec.gov/Archives/edgar/data/1467858/000119312517205999/d405034dex41.htm" TargetMode="External"/><Relationship Id="rId159" Type="http://schemas.openxmlformats.org/officeDocument/2006/relationships/hyperlink" Target="http://www.sec.gov/Archives/edgar/data/1467858/000146785818000068/ex-101x03312018.htm" TargetMode="External"/><Relationship Id="rId160" Type="http://schemas.openxmlformats.org/officeDocument/2006/relationships/hyperlink" Target="http://www.sec.gov/Archives/edgar/data/1467858/000146785818000068/ex-102x03312018.htm" TargetMode="External"/><Relationship Id="rId161" Type="http://schemas.openxmlformats.org/officeDocument/2006/relationships/hyperlink" Target="https://www.sec.gov/Archives/edgar/data/1467858/000146785820000069/exhibit101-formofpsuaw.htm" TargetMode="External"/><Relationship Id="rId162" Type="http://schemas.openxmlformats.org/officeDocument/2006/relationships/hyperlink" Target="https://www.sec.gov/Archives/edgar/data/1467858/000146785820000069/exhibit102-formofoptio.htm" TargetMode="External"/><Relationship Id="rId163" Type="http://schemas.openxmlformats.org/officeDocument/2006/relationships/hyperlink" Target="https://www.sec.gov/Archives/edgar/data/1467858/000146785819000033/ex-1023amendedgmexecutives.htm" TargetMode="External"/><Relationship Id="rId164" Type="http://schemas.openxmlformats.org/officeDocument/2006/relationships/hyperlink" Target="https://www.sec.gov/Archives/edgar/data/1467858/000146785819000121/ex-102xformoftimesharing.htm" TargetMode="External"/><Relationship Id="rId165" Type="http://schemas.openxmlformats.org/officeDocument/2006/relationships/hyperlink" Target="https://www.sec.gov/Archives/edgar/data/1467858/000146785820000028/ex-1019xthegeneralmoto.htm" TargetMode="External"/><Relationship Id="rId166" Type="http://schemas.openxmlformats.org/officeDocument/2006/relationships/hyperlink" Target="https://www.sec.gov/Archives/edgar/data/1467858/000119312520178815/d920608dex41.htm" TargetMode="External"/><Relationship Id="rId167" Type="http://schemas.openxmlformats.org/officeDocument/2006/relationships/hyperlink" Target="https://www.sec.gov/Archives/edgar/data/1467858/000146785821000117/exhibit101formofpsu.htm" TargetMode="External"/><Relationship Id="rId168" Type="http://schemas.openxmlformats.org/officeDocument/2006/relationships/hyperlink" Target="https://www.sec.gov/Archives/edgar/data/1467858/000146785821000037/ex-1022xformofpsuawardno2.htm" TargetMode="External"/><Relationship Id="rId169" Type="http://schemas.openxmlformats.org/officeDocument/2006/relationships/hyperlink" Target="https://www.sec.gov/Archives/edgar/data/1467858/000146785821000117/exhibit102formofoption.htm" TargetMode="External"/><Relationship Id="rId170" Type="http://schemas.openxmlformats.org/officeDocument/2006/relationships/hyperlink" Target="https://www.sec.gov/Archives/edgar/data/1467858/000146785821000037/ex-1024xformofrsuaward.htm" TargetMode="External"/><Relationship Id="rId171" Type="http://schemas.openxmlformats.org/officeDocument/2006/relationships/hyperlink" Target="https://www.sec.gov/Archives/edgar/data/1467858/000146785822000078/exhibit101-formofpsuawarda.htm" TargetMode="External"/><Relationship Id="rId173" Type="http://schemas.openxmlformats.org/officeDocument/2006/relationships/hyperlink" Target="https://www.sec.gov/Archives/edgar/data/1467858/000146785822000078/exhibit102-formofnonxquali.htm" TargetMode="External"/><Relationship Id="rId174" Type="http://schemas.openxmlformats.org/officeDocument/2006/relationships/hyperlink" Target="https://www.sec.gov/Archives/edgar/data/1467858/000119312518122841/d489106dex102.htm" TargetMode="External"/><Relationship Id="rId176" Type="http://schemas.openxmlformats.org/officeDocument/2006/relationships/hyperlink" Target="https://www.sec.gov/Archives/edgar/data/1467858/000119312521109043/d125526dex103.htm" TargetMode="External"/><Relationship Id="rId178" Type="http://schemas.openxmlformats.org/officeDocument/2006/relationships/hyperlink" Target="https://www.sec.gov/Archives/edgar/data/1467858/000119312521109043/d125526dex101.htm" TargetMode="External"/><Relationship Id="rId179" Type="http://schemas.openxmlformats.org/officeDocument/2006/relationships/hyperlink" Target="https://www.sec.gov/Archives/edgar/data/1467858/000119312522096284/d345200dex101.htm" TargetMode="External"/><Relationship Id="rId180" Type="http://schemas.openxmlformats.org/officeDocument/2006/relationships/hyperlink" Target="https://www.sec.gov/Archives/edgar/data/1467858/000146785822000094/exhibit102cruisell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2023-01-31T14:58:27Z</dcterms:created>
  <dcterms:modified xsi:type="dcterms:W3CDTF">2023-01-31T14:58:27Z</dcterms:modified>
</cp:coreProperties>
</file>