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805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8051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7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Harvey Rory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60"/>
        <w:spacing w:after="0" w:line="330" w:lineRule="auto"/>
        <w:rPr>
          <w:sz w:val="20"/>
          <w:szCs w:val="20"/>
          <w:color w:val="auto"/>
        </w:rPr>
      </w:pPr>
      <w:r>
        <w:rPr>
          <w:rFonts w:ascii="Times New Roman" w:cs="Times New Roman" w:eastAsia="Times New Roman" w:hAnsi="Times New Roman"/>
          <w:sz w:val="16"/>
          <w:szCs w:val="16"/>
          <w:color w:val="0000FF"/>
        </w:rPr>
        <w:t>1240 WOODWARD AVENUE M/C: 482-22381-1003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1" w:lineRule="exact"/>
        <w:rPr>
          <w:sz w:val="24"/>
          <w:szCs w:val="24"/>
          <w:color w:val="auto"/>
        </w:rPr>
      </w:pPr>
    </w:p>
    <w:p>
      <w:pPr>
        <w:sectPr>
          <w:pgSz w:w="11900" w:h="16838" w:orient="portrait"/>
          <w:cols w:equalWidth="0" w:num="3">
            <w:col w:w="3200" w:space="720"/>
            <w:col w:w="3103" w:space="720"/>
            <w:col w:w="3337"/>
          </w:cols>
          <w:pgMar w:left="460" w:top="216" w:right="359" w:bottom="7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48265</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jc w:val="center"/>
              <w:ind w:left="55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gridSpan w:val="3"/>
          </w:tcPr>
          <w:p>
            <w:pPr>
              <w:jc w:val="center"/>
              <w:ind w:left="550"/>
              <w:spacing w:after="0"/>
              <w:rPr>
                <w:sz w:val="20"/>
                <w:szCs w:val="20"/>
                <w:color w:val="auto"/>
              </w:rPr>
            </w:pPr>
            <w:r>
              <w:rPr>
                <w:rFonts w:ascii="Times New Roman" w:cs="Times New Roman" w:eastAsia="Times New Roman" w:hAnsi="Times New Roman"/>
                <w:sz w:val="17"/>
                <w:szCs w:val="17"/>
                <w:color w:val="0000FF"/>
              </w:rPr>
              <w:t>05/22/2026</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center"/>
              <w:ind w:left="71"/>
              <w:spacing w:after="0"/>
              <w:rPr>
                <w:sz w:val="20"/>
                <w:szCs w:val="20"/>
                <w:color w:val="auto"/>
              </w:rPr>
            </w:pPr>
            <w:r>
              <w:rPr>
                <w:rFonts w:ascii="Times New Roman" w:cs="Times New Roman" w:eastAsia="Times New Roman" w:hAnsi="Times New Roman"/>
                <w:sz w:val="17"/>
                <w:szCs w:val="17"/>
                <w:color w:val="0000FF"/>
                <w:w w:val="99"/>
              </w:rPr>
              <w:t>5,652</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131,665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gridSpan w:val="3"/>
          </w:tcPr>
          <w:p>
            <w:pPr>
              <w:jc w:val="center"/>
              <w:ind w:left="550"/>
              <w:spacing w:after="0"/>
              <w:rPr>
                <w:sz w:val="20"/>
                <w:szCs w:val="20"/>
                <w:color w:val="auto"/>
              </w:rPr>
            </w:pPr>
            <w:r>
              <w:rPr>
                <w:rFonts w:ascii="Times New Roman" w:cs="Times New Roman" w:eastAsia="Times New Roman" w:hAnsi="Times New Roman"/>
                <w:sz w:val="17"/>
                <w:szCs w:val="17"/>
                <w:color w:val="0000FF"/>
              </w:rPr>
              <w:t>05/22/2026</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ind w:left="71"/>
              <w:spacing w:after="0"/>
              <w:rPr>
                <w:sz w:val="20"/>
                <w:szCs w:val="20"/>
                <w:color w:val="auto"/>
              </w:rPr>
            </w:pPr>
            <w:r>
              <w:rPr>
                <w:rFonts w:ascii="Times New Roman" w:cs="Times New Roman" w:eastAsia="Times New Roman" w:hAnsi="Times New Roman"/>
                <w:sz w:val="17"/>
                <w:szCs w:val="17"/>
                <w:color w:val="0000FF"/>
                <w:w w:val="99"/>
              </w:rPr>
              <w:t>5,652</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79.57</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126,013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50"/>
              <w:spacing w:after="0"/>
              <w:rPr>
                <w:sz w:val="20"/>
                <w:szCs w:val="20"/>
                <w:color w:val="auto"/>
              </w:rPr>
            </w:pPr>
            <w:r>
              <w:rPr>
                <w:rFonts w:ascii="Times New Roman" w:cs="Times New Roman" w:eastAsia="Times New Roman" w:hAnsi="Times New Roman"/>
                <w:sz w:val="17"/>
                <w:szCs w:val="17"/>
                <w:color w:val="0000FF"/>
              </w:rPr>
              <w:t>05/27/2026</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ind w:left="71"/>
              <w:spacing w:after="0"/>
              <w:rPr>
                <w:sz w:val="20"/>
                <w:szCs w:val="20"/>
                <w:color w:val="auto"/>
              </w:rPr>
            </w:pPr>
            <w:r>
              <w:rPr>
                <w:rFonts w:ascii="Times New Roman" w:cs="Times New Roman" w:eastAsia="Times New Roman" w:hAnsi="Times New Roman"/>
                <w:sz w:val="17"/>
                <w:szCs w:val="17"/>
                <w:color w:val="0000FF"/>
                <w:w w:val="91"/>
              </w:rPr>
              <w:t>13,582</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82.97</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112,431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50"/>
              <w:spacing w:after="0"/>
              <w:rPr>
                <w:sz w:val="20"/>
                <w:szCs w:val="20"/>
                <w:color w:val="auto"/>
              </w:rPr>
            </w:pPr>
            <w:r>
              <w:rPr>
                <w:rFonts w:ascii="Times New Roman" w:cs="Times New Roman" w:eastAsia="Times New Roman" w:hAnsi="Times New Roman"/>
                <w:sz w:val="17"/>
                <w:szCs w:val="17"/>
                <w:color w:val="0000FF"/>
              </w:rPr>
              <w:t>05/27/2026</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ind w:left="71"/>
              <w:spacing w:after="0"/>
              <w:rPr>
                <w:sz w:val="20"/>
                <w:szCs w:val="20"/>
                <w:color w:val="auto"/>
              </w:rPr>
            </w:pPr>
            <w:r>
              <w:rPr>
                <w:rFonts w:ascii="Times New Roman" w:cs="Times New Roman" w:eastAsia="Times New Roman" w:hAnsi="Times New Roman"/>
                <w:sz w:val="17"/>
                <w:szCs w:val="17"/>
                <w:color w:val="0000FF"/>
                <w:w w:val="91"/>
              </w:rPr>
              <w:t>65,912</w:t>
            </w:r>
            <w:r>
              <w:rPr>
                <w:rFonts w:ascii="Times New Roman" w:cs="Times New Roman" w:eastAsia="Times New Roman" w:hAnsi="Times New Roman"/>
                <w:sz w:val="21"/>
                <w:szCs w:val="21"/>
                <w:color w:val="008000"/>
                <w:w w:val="91"/>
                <w:vertAlign w:val="superscript"/>
              </w:rPr>
              <w:t>(3)</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83.03</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46,519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0"/>
          </w:tcPr>
          <w:p>
            <w:pPr>
              <w:jc w:val="center"/>
              <w:ind w:left="3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5,652</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41.4</w:t>
            </w:r>
          </w:p>
        </w:tc>
        <w:tc>
          <w:tcPr>
            <w:tcW w:w="220" w:type="dxa"/>
            <w:vAlign w:val="bottom"/>
          </w:tcPr>
          <w:p>
            <w:pPr>
              <w:spacing w:after="0"/>
              <w:rPr>
                <w:sz w:val="11"/>
                <w:szCs w:val="11"/>
                <w:color w:val="auto"/>
              </w:rPr>
            </w:pPr>
          </w:p>
        </w:tc>
        <w:tc>
          <w:tcPr>
            <w:tcW w:w="980" w:type="dxa"/>
            <w:vAlign w:val="bottom"/>
          </w:tcPr>
          <w:p>
            <w:pPr>
              <w:jc w:val="right"/>
              <w:ind w:right="132"/>
              <w:spacing w:after="0" w:line="130" w:lineRule="exact"/>
              <w:rPr>
                <w:sz w:val="20"/>
                <w:szCs w:val="20"/>
                <w:color w:val="auto"/>
              </w:rPr>
            </w:pPr>
            <w:r>
              <w:rPr>
                <w:rFonts w:ascii="Times New Roman" w:cs="Times New Roman" w:eastAsia="Times New Roman" w:hAnsi="Times New Roman"/>
                <w:sz w:val="13"/>
                <w:szCs w:val="13"/>
                <w:color w:val="0000FF"/>
              </w:rPr>
              <w:t>05/22/2026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5,652</w:t>
            </w:r>
          </w:p>
        </w:tc>
        <w:tc>
          <w:tcPr>
            <w:tcW w:w="760" w:type="dxa"/>
            <w:vAlign w:val="bottom"/>
            <w:vMerge w:val="continue"/>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02/07/2033</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7, 2023, the Reporting Person received a grant of Performance Stock Units ("PSUs"). Under the grant, the PSUs could be earned based on the achievement of certain financial targets. The PSUs vested on February 7, 2026, and were awarded in shares of common stock.</w:t>
      </w:r>
    </w:p>
    <w:p>
      <w:pPr>
        <w:spacing w:after="0" w:line="16"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$82.97 to $83.25, inclusive. The Reporting Person undertakes to provide to the SEC, GM and any security holder, upon request, full information regarding the number of shares sold at each price point within the ranges set forth in this footnote.</w:t>
      </w:r>
    </w:p>
    <w:p>
      <w:pPr>
        <w:spacing w:after="0" w:line="16" w:lineRule="exact"/>
        <w:rPr>
          <w:rFonts w:ascii="Times New Roman" w:cs="Times New Roman" w:eastAsia="Times New Roman" w:hAnsi="Times New Roman"/>
          <w:sz w:val="13"/>
          <w:szCs w:val="13"/>
          <w:color w:val="008000"/>
        </w:rPr>
      </w:pPr>
    </w:p>
    <w:p>
      <w:pPr>
        <w:ind w:left="40" w:right="2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3, 2023, the Reporting Person received a grant of PSUs. Under the grant, the PSUs could be earned based on the achievement of certain financial targets. The PSUs vested on February 7, 2026, and were awarded in shares of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7, 2023, and are fully vested.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Tia Y. Turk, Attorney-in-</w:t>
            </w:r>
          </w:p>
        </w:tc>
        <w:tc>
          <w:tcPr>
            <w:tcW w:w="14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05/27/2026</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Fact for Mr. Harvey</w:t>
            </w:r>
          </w:p>
        </w:tc>
        <w:tc>
          <w:tcPr>
            <w:tcW w:w="6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6795"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2026-05-27T17:38:24Z</dcterms:created>
  <dcterms:modified xsi:type="dcterms:W3CDTF">2026-05-27T17:38:24Z</dcterms:modified>
</cp:coreProperties>
</file>