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3250565</wp:posOffset>
            </wp:positionH>
            <wp:positionV relativeFrom="page">
              <wp:posOffset>2199005</wp:posOffset>
            </wp:positionV>
            <wp:extent cx="1247140" cy="1247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7140" cy="1247140"/>
                    </a:xfrm>
                    <a:prstGeom prst="rect">
                      <a:avLst/>
                    </a:prstGeom>
                    <a:noFill/>
                  </pic:spPr>
                </pic:pic>
              </a:graphicData>
            </a:graphic>
          </wp:anchor>
        </w:drawing>
        <w:drawing>
          <wp:anchor simplePos="0" relativeHeight="251657728" behindDoc="1" locked="0" layoutInCell="0" allowOverlap="1">
            <wp:simplePos x="0" y="0"/>
            <wp:positionH relativeFrom="page">
              <wp:posOffset>2364740</wp:posOffset>
            </wp:positionH>
            <wp:positionV relativeFrom="page">
              <wp:posOffset>3888105</wp:posOffset>
            </wp:positionV>
            <wp:extent cx="3125470" cy="395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5470" cy="395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80"/>
        <w:spacing w:after="0"/>
        <w:rPr>
          <w:sz w:val="20"/>
          <w:szCs w:val="20"/>
          <w:color w:val="auto"/>
        </w:rPr>
      </w:pPr>
      <w:r>
        <w:rPr>
          <w:rFonts w:ascii="Arial" w:cs="Arial" w:eastAsia="Arial" w:hAnsi="Arial"/>
          <w:sz w:val="44"/>
          <w:szCs w:val="44"/>
          <w:color w:val="auto"/>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6"/>
          <w:szCs w:val="26"/>
          <w:color w:val="auto"/>
        </w:rPr>
        <w:t>[THIS PAGE INTENTIONALLY LEFT BLANK]</w:t>
      </w:r>
    </w:p>
    <w:p>
      <w:pPr>
        <w:sectPr>
          <w:pgSz w:w="12240" w:h="15840" w:orient="portrait"/>
          <w:cols w:equalWidth="0" w:num="1">
            <w:col w:w="9360"/>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518795</wp:posOffset>
            </wp:positionH>
            <wp:positionV relativeFrom="page">
              <wp:posOffset>596900</wp:posOffset>
            </wp:positionV>
            <wp:extent cx="673417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4175" cy="25400"/>
                    </a:xfrm>
                    <a:prstGeom prst="rect">
                      <a:avLst/>
                    </a:prstGeom>
                    <a:noFill/>
                  </pic:spPr>
                </pic:pic>
              </a:graphicData>
            </a:graphic>
          </wp:anchor>
        </w:drawing>
        <w:t>UNITED STATES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65" w:lineRule="exact"/>
        <w:rPr>
          <w:sz w:val="20"/>
          <w:szCs w:val="20"/>
          <w:color w:val="auto"/>
        </w:rPr>
      </w:pPr>
    </w:p>
    <w:p>
      <w:pPr>
        <w:ind w:left="380" w:hanging="317"/>
        <w:spacing w:after="0"/>
        <w:tabs>
          <w:tab w:leader="none" w:pos="38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44" w:lineRule="exact"/>
        <w:rPr>
          <w:sz w:val="20"/>
          <w:szCs w:val="20"/>
          <w:color w:val="auto"/>
        </w:rPr>
      </w:pPr>
    </w:p>
    <w:p>
      <w:pPr>
        <w:ind w:left="380" w:hanging="317"/>
        <w:spacing w:after="0"/>
        <w:tabs>
          <w:tab w:leader="none" w:pos="380" w:val="left"/>
        </w:tabs>
        <w:numPr>
          <w:ilvl w:val="0"/>
          <w:numId w:val="2"/>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81" w:lineRule="exact"/>
        <w:rPr>
          <w:sz w:val="20"/>
          <w:szCs w:val="20"/>
          <w:color w:val="auto"/>
        </w:rPr>
      </w:pPr>
    </w:p>
    <w:p>
      <w:pPr>
        <w:ind w:left="500"/>
        <w:spacing w:after="0"/>
        <w:tabs>
          <w:tab w:leader="none" w:pos="360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48260</wp:posOffset>
            </wp:positionV>
            <wp:extent cx="521335" cy="52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33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(Exact name of registrant as specified in its charter)</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40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184"/>
        </w:trPr>
        <w:tc>
          <w:tcPr>
            <w:tcW w:w="6400" w:type="dxa"/>
            <w:vAlign w:val="bottom"/>
          </w:tcPr>
          <w:p>
            <w:pPr>
              <w:jc w:val="center"/>
              <w:ind w:right="273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w w:val="97"/>
              </w:rPr>
              <w:t>(State or other jurisdiction of</w:t>
            </w:r>
          </w:p>
        </w:tc>
        <w:tc>
          <w:tcPr>
            <w:tcW w:w="1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w w:val="95"/>
              </w:rPr>
              <w:t>(I.R.S. Employer</w:t>
            </w:r>
          </w:p>
        </w:tc>
      </w:tr>
      <w:tr>
        <w:trPr>
          <w:trHeight w:val="238"/>
        </w:trPr>
        <w:tc>
          <w:tcPr>
            <w:tcW w:w="640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i w:val="1"/>
                <w:iCs w:val="1"/>
                <w:color w:val="auto"/>
                <w:w w:val="97"/>
              </w:rPr>
              <w:t>incorporation or 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Identification No.)</w:t>
            </w:r>
          </w:p>
        </w:tc>
      </w:tr>
      <w:tr>
        <w:trPr>
          <w:trHeight w:val="311"/>
        </w:trPr>
        <w:tc>
          <w:tcPr>
            <w:tcW w:w="640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1240 Woodward Avenue,  Detroit,  Michigan</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48265</w:t>
            </w:r>
          </w:p>
        </w:tc>
      </w:tr>
      <w:tr>
        <w:trPr>
          <w:trHeight w:val="269"/>
        </w:trPr>
        <w:tc>
          <w:tcPr>
            <w:tcW w:w="640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i w:val="1"/>
                <w:iCs w:val="1"/>
                <w:color w:val="auto"/>
                <w:w w:val="97"/>
              </w:rPr>
              <w:t>(Address of principal executive offices)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r>
        <w:trPr>
          <w:trHeight w:val="258"/>
        </w:trPr>
        <w:tc>
          <w:tcPr>
            <w:tcW w:w="640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380" w:type="dxa"/>
            <w:vAlign w:val="bottom"/>
          </w:tcPr>
          <w:p>
            <w:pPr>
              <w:spacing w:after="0"/>
              <w:rPr>
                <w:sz w:val="22"/>
                <w:szCs w:val="22"/>
                <w:color w:val="auto"/>
              </w:rPr>
            </w:pPr>
          </w:p>
        </w:tc>
      </w:tr>
      <w:tr>
        <w:trPr>
          <w:trHeight w:val="238"/>
        </w:trPr>
        <w:tc>
          <w:tcPr>
            <w:tcW w:w="640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i w:val="1"/>
                <w:iCs w:val="1"/>
                <w:color w:val="auto"/>
                <w:w w:val="97"/>
              </w:rPr>
              <w:t>(Registrant’s telephone number, including area code)</w:t>
            </w:r>
          </w:p>
        </w:tc>
        <w:tc>
          <w:tcPr>
            <w:tcW w:w="1380" w:type="dxa"/>
            <w:vAlign w:val="bottom"/>
          </w:tcPr>
          <w:p>
            <w:pPr>
              <w:spacing w:after="0"/>
              <w:rPr>
                <w:sz w:val="20"/>
                <w:szCs w:val="20"/>
                <w:color w:val="auto"/>
              </w:rPr>
            </w:pPr>
          </w:p>
        </w:tc>
      </w:tr>
    </w:tbl>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94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88"/>
        </w:trPr>
        <w:tc>
          <w:tcPr>
            <w:tcW w:w="346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6"/>
              </w:rPr>
              <w:t>GM</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 (g) of the Act: None</w:t>
      </w:r>
    </w:p>
    <w:p>
      <w:pPr>
        <w:spacing w:after="0" w:line="16" w:lineRule="exact"/>
        <w:rPr>
          <w:sz w:val="20"/>
          <w:szCs w:val="20"/>
          <w:color w:val="auto"/>
        </w:rPr>
      </w:pPr>
    </w:p>
    <w:p>
      <w:pPr>
        <w:ind w:left="200" w:right="1800"/>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5" w:lineRule="exact"/>
        <w:rPr>
          <w:sz w:val="20"/>
          <w:szCs w:val="20"/>
          <w:color w:val="auto"/>
        </w:rPr>
      </w:pPr>
    </w:p>
    <w:p>
      <w:pPr>
        <w:jc w:val="both"/>
        <w:ind w:left="20" w:firstLine="1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jc w:val="both"/>
        <w:ind w:left="2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jc w:val="both"/>
        <w:ind w:left="20" w:firstLine="18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0"/>
          <w:szCs w:val="20"/>
          <w:color w:val="auto"/>
        </w:rPr>
      </w:pPr>
    </w:p>
    <w:p>
      <w:pPr>
        <w:ind w:left="200"/>
        <w:spacing w:after="0" w:line="215" w:lineRule="exact"/>
        <w:tabs>
          <w:tab w:leader="none" w:pos="69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Non-accelerated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Smaller reporting company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ab/>
        <w:t xml:space="preserve">Emerging growth company </w:t>
      </w:r>
      <w:r>
        <w:rPr>
          <w:rFonts w:ascii="Arial Unicode MS" w:cs="Arial Unicode MS" w:eastAsia="Arial Unicode MS" w:hAnsi="Arial Unicode MS"/>
          <w:sz w:val="16"/>
          <w:szCs w:val="16"/>
          <w:b w:val="1"/>
          <w:bCs w:val="1"/>
          <w:color w:val="auto"/>
        </w:rPr>
        <w:t>☐</w:t>
      </w:r>
    </w:p>
    <w:p>
      <w:pPr>
        <w:spacing w:after="0" w:line="37" w:lineRule="exact"/>
        <w:rPr>
          <w:sz w:val="20"/>
          <w:szCs w:val="20"/>
          <w:color w:val="auto"/>
        </w:rPr>
      </w:pPr>
    </w:p>
    <w:p>
      <w:pPr>
        <w:ind w:right="42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180" w:firstLine="1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34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8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6"/>
          <w:szCs w:val="16"/>
          <w:b w:val="1"/>
          <w:bCs w:val="1"/>
          <w:color w:val="auto"/>
        </w:rPr>
        <w:t>☐</w:t>
      </w:r>
    </w:p>
    <w:p>
      <w:pPr>
        <w:spacing w:after="0" w:line="35" w:lineRule="exact"/>
        <w:rPr>
          <w:sz w:val="20"/>
          <w:szCs w:val="20"/>
          <w:color w:val="auto"/>
        </w:rPr>
      </w:pPr>
    </w:p>
    <w:p>
      <w:pPr>
        <w:ind w:left="180"/>
        <w:spacing w:after="0" w:line="215"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b w:val="1"/>
          <w:bCs w:val="1"/>
          <w:color w:val="auto"/>
        </w:rPr>
        <w:t>☑</w:t>
      </w:r>
    </w:p>
    <w:p>
      <w:pPr>
        <w:spacing w:after="0" w:line="37" w:lineRule="exact"/>
        <w:rPr>
          <w:sz w:val="20"/>
          <w:szCs w:val="20"/>
          <w:color w:val="auto"/>
        </w:rPr>
      </w:pPr>
    </w:p>
    <w:p>
      <w:pPr>
        <w:ind w:right="20" w:firstLine="180"/>
        <w:spacing w:after="0" w:line="283"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(assuming only for purposes of this computation that directors and executive officers may be affiliates) was approximately $47.0 billion as of June 30, 2025.</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As of January 15, 2026 there were 903,967,853 shares of common stock outstanding.</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2240" w:h="15840" w:orient="portrait"/>
          <w:cols w:equalWidth="0" w:num="1">
            <w:col w:w="10640"/>
          </w:cols>
          <w:pgMar w:left="800" w:top="990" w:right="800" w:bottom="649" w:gutter="0" w:footer="0" w:header="0"/>
        </w:sectPr>
      </w:pPr>
    </w:p>
    <w:p>
      <w:pPr>
        <w:spacing w:after="0" w:line="22" w:lineRule="exact"/>
        <w:rPr>
          <w:sz w:val="20"/>
          <w:szCs w:val="20"/>
          <w:color w:val="auto"/>
        </w:rPr>
      </w:pPr>
    </w:p>
    <w:p>
      <w:pPr>
        <w:ind w:left="20" w:firstLine="180"/>
        <w:spacing w:after="0" w:line="283"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related to the Annual Stockholders Meeting to be filed subsequently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66675</wp:posOffset>
            </wp:positionV>
            <wp:extent cx="66294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9400" cy="25400"/>
                    </a:xfrm>
                    <a:prstGeom prst="rect">
                      <a:avLst/>
                    </a:prstGeom>
                    <a:noFill/>
                  </pic:spPr>
                </pic:pic>
              </a:graphicData>
            </a:graphic>
          </wp:anchor>
        </w:drawing>
      </w:r>
    </w:p>
    <w:p>
      <w:pPr>
        <w:sectPr>
          <w:pgSz w:w="12240" w:h="15840" w:orient="portrait"/>
          <w:cols w:equalWidth="0" w:num="1">
            <w:col w:w="10640"/>
          </w:cols>
          <w:pgMar w:left="800" w:top="990" w:right="800" w:bottom="649"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65"/>
        </w:trPr>
        <w:tc>
          <w:tcPr>
            <w:tcW w:w="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740" w:type="dxa"/>
            <w:vAlign w:val="bottom"/>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52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314"/>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7740" w:type="dxa"/>
            <w:vAlign w:val="bottom"/>
            <w:shd w:val="clear" w:color="auto" w:fill="CCEEFF"/>
          </w:tcPr>
          <w:p>
            <w:pPr>
              <w:spacing w:after="0"/>
              <w:rPr>
                <w:sz w:val="21"/>
                <w:szCs w:val="21"/>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Risk Factors</w:t>
            </w:r>
          </w:p>
        </w:tc>
        <w:tc>
          <w:tcPr>
            <w:tcW w:w="7740" w:type="dxa"/>
            <w:vAlign w:val="bottom"/>
          </w:tcPr>
          <w:p>
            <w:pPr>
              <w:spacing w:after="0"/>
              <w:rPr>
                <w:sz w:val="21"/>
                <w:szCs w:val="21"/>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9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1C.</w:t>
            </w: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Cybersecurity</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7740" w:type="dxa"/>
            <w:vAlign w:val="bottom"/>
            <w:shd w:val="clear" w:color="auto" w:fill="CCEEFF"/>
          </w:tcPr>
          <w:p>
            <w:pPr>
              <w:spacing w:after="0"/>
              <w:rPr>
                <w:sz w:val="21"/>
                <w:szCs w:val="21"/>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Legal Proceedings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Mine Safety Disclosures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25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8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7740" w:type="dxa"/>
            <w:vAlign w:val="bottom"/>
            <w:tcBorders>
              <w:top w:val="single" w:sz="8" w:color="CCEEFF"/>
            </w:tcBorders>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shd w:val="clear" w:color="auto" w:fill="CCEEFF"/>
          </w:tcPr>
          <w:p>
            <w:pPr>
              <w:ind w:left="40"/>
              <w:spacing w:after="0" w:line="221" w:lineRule="exact"/>
              <w:rPr>
                <w:sz w:val="20"/>
                <w:szCs w:val="20"/>
                <w:color w:val="auto"/>
              </w:rPr>
            </w:pPr>
            <w:r>
              <w:rPr>
                <w:rFonts w:ascii="Times New Roman" w:cs="Times New Roman" w:eastAsia="Times New Roman" w:hAnsi="Times New Roman"/>
                <w:sz w:val="20"/>
                <w:szCs w:val="20"/>
                <w:color w:val="auto"/>
              </w:rPr>
              <w:t>Item 5.</w:t>
            </w:r>
          </w:p>
        </w:tc>
        <w:tc>
          <w:tcPr>
            <w:tcW w:w="8860" w:type="dxa"/>
            <w:vAlign w:val="bottom"/>
            <w:gridSpan w:val="2"/>
            <w:shd w:val="clear" w:color="auto" w:fill="CCEEFF"/>
          </w:tcPr>
          <w:p>
            <w:pPr>
              <w:ind w:left="120"/>
              <w:spacing w:after="0" w:line="221"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4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ind w:left="300"/>
              <w:spacing w:after="0" w:line="225" w:lineRule="exact"/>
              <w:rPr>
                <w:sz w:val="20"/>
                <w:szCs w:val="20"/>
                <w:color w:val="auto"/>
              </w:rPr>
            </w:pPr>
            <w:r>
              <w:rPr>
                <w:rFonts w:ascii="Times New Roman" w:cs="Times New Roman" w:eastAsia="Times New Roman" w:hAnsi="Times New Roman"/>
                <w:sz w:val="20"/>
                <w:szCs w:val="20"/>
                <w:color w:val="auto"/>
              </w:rPr>
              <w:t>Securities</w:t>
            </w:r>
          </w:p>
        </w:tc>
        <w:tc>
          <w:tcPr>
            <w:tcW w:w="7740" w:type="dxa"/>
            <w:vAlign w:val="bottom"/>
            <w:shd w:val="clear" w:color="auto" w:fill="CCEEFF"/>
          </w:tcPr>
          <w:p>
            <w:pPr>
              <w:spacing w:after="0"/>
              <w:rPr>
                <w:sz w:val="19"/>
                <w:szCs w:val="19"/>
                <w:color w:val="auto"/>
              </w:rPr>
            </w:pPr>
          </w:p>
        </w:tc>
        <w:tc>
          <w:tcPr>
            <w:tcW w:w="460" w:type="dxa"/>
            <w:vAlign w:val="bottom"/>
            <w:gridSpan w:val="5"/>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7740" w:type="dxa"/>
            <w:vAlign w:val="bottom"/>
          </w:tcPr>
          <w:p>
            <w:pPr>
              <w:spacing w:after="0"/>
              <w:rPr>
                <w:sz w:val="21"/>
                <w:szCs w:val="21"/>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7A.</w:t>
            </w: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Consolidated Income Statements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Consolidated Statements of Comprehensive Income</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Nature of Operations and Basis of Presentation</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2.</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Significant Accounting Policies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3.</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4.</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Marketable and Other Securities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67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5.</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Receivables and Transactions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6.</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Inventories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71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7.</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8.</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Equity in Net Assets of Nonconsolidated Affiliates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9.</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Property</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10.</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Goodwill and Intangible Assets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11.</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Variable Interest Entities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12.</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Accrued and Other Liabilities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13.</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14.</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Derivative Financial Instruments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15.</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Pensions and Other Postretirement Benefits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16.</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Commitments, Contingencies, and Uncertainties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88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17.</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18.</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Restructuring and Other Initiatives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96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19.</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Non-Operating Income</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20.</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Stockholders’ Equity and Noncontrolling Interests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97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21.</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22.</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 Incentive Plans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100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 23.</w:t>
            </w: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Segment Reporting</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Note 24.</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Supplemental Information for the Consolidated Statements of Cash Flows</w:t>
            </w: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105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7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0260"/>
          </w:cols>
          <w:pgMar w:left="1000" w:top="785" w:right="980" w:bottom="460" w:gutter="0" w:footer="0" w:header="0"/>
        </w:sectPr>
      </w:pPr>
    </w:p>
    <w:bookmarkStart w:id="4" w:name="page5"/>
    <w:bookmarkEnd w:id="4"/>
    <w:p>
      <w:pPr>
        <w:spacing w:after="0" w:line="2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36830</wp:posOffset>
                </wp:positionV>
                <wp:extent cx="6514465" cy="1905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6" o:spid="_x0000_s1031" style="position:absolute;margin-left:-2.4499pt;margin-top:2.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36830</wp:posOffset>
                </wp:positionV>
                <wp:extent cx="6514465" cy="1905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7" o:spid="_x0000_s1032" style="position:absolute;margin-left:-2.4499pt;margin-top:2.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p>
    <w:p>
      <w:pPr>
        <w:spacing w:after="0" w:line="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41275</wp:posOffset>
                </wp:positionV>
                <wp:extent cx="6514465" cy="1905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8" o:spid="_x0000_s1033" style="position:absolute;margin-left:-2.4499pt;margin-top:3.2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57" w:lineRule="exact"/>
        <w:rPr>
          <w:sz w:val="20"/>
          <w:szCs w:val="20"/>
          <w:color w:val="auto"/>
        </w:rPr>
      </w:pPr>
    </w:p>
    <w:p>
      <w:pPr>
        <w:ind w:right="3500"/>
        <w:spacing w:after="0" w:line="313" w:lineRule="auto"/>
        <w:rPr>
          <w:sz w:val="20"/>
          <w:szCs w:val="20"/>
          <w:color w:val="auto"/>
        </w:rPr>
      </w:pPr>
      <w:r>
        <w:rPr>
          <w:rFonts w:ascii="Times New Roman" w:cs="Times New Roman" w:eastAsia="Times New Roman" w:hAnsi="Times New Roman"/>
          <w:sz w:val="20"/>
          <w:szCs w:val="20"/>
          <w:color w:val="auto"/>
        </w:rPr>
        <w:t>Item 10. Directors, Executive Officers, and Corporate Governance Item 11.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-6985</wp:posOffset>
                </wp:positionV>
                <wp:extent cx="6514465" cy="1898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9865"/>
                        </a:xfrm>
                        <a:prstGeom prst="rect">
                          <a:avLst/>
                        </a:prstGeom>
                        <a:solidFill>
                          <a:srgbClr val="CCEEFF"/>
                        </a:solidFill>
                      </wps:spPr>
                      <wps:bodyPr/>
                    </wps:wsp>
                  </a:graphicData>
                </a:graphic>
              </wp:anchor>
            </w:drawing>
          </mc:Choice>
          <mc:Fallback>
            <w:pict>
              <v:rect id="Shape 9" o:spid="_x0000_s1034" style="position:absolute;margin-left:-2.4499pt;margin-top:-0.5499pt;width:512.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10" w:lineRule="auto"/>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 Item 13. Certain Relationships and Related Transactions, and Director Independence Item 14. Principal Accountant Fees and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-191770</wp:posOffset>
                </wp:positionV>
                <wp:extent cx="6514465" cy="1905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10" o:spid="_x0000_s1035" style="position:absolute;margin-left:-2.4499pt;margin-top:-15.099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center"/>
        <w:ind w:left="11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41275</wp:posOffset>
                </wp:positionV>
                <wp:extent cx="6514465" cy="1905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11" o:spid="_x0000_s1036" style="position:absolute;margin-left:-2.4499pt;margin-top:3.2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36830</wp:posOffset>
                </wp:positionV>
                <wp:extent cx="6514465" cy="1905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CCEEFF"/>
                        </a:solidFill>
                      </wps:spPr>
                      <wps:bodyPr/>
                    </wps:wsp>
                  </a:graphicData>
                </a:graphic>
              </wp:anchor>
            </w:drawing>
          </mc:Choice>
          <mc:Fallback>
            <w:pict>
              <v:rect id="Shape 12" o:spid="_x0000_s1037" style="position:absolute;margin-left:-2.4499pt;margin-top:2.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110</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111</w:t>
      </w:r>
    </w:p>
    <w:p>
      <w:pPr>
        <w:sectPr>
          <w:pgSz w:w="12240" w:h="15840" w:orient="portrait"/>
          <w:cols w:equalWidth="0" w:num="2">
            <w:col w:w="9060" w:space="640"/>
            <w:col w:w="460"/>
          </w:cols>
          <w:pgMar w:left="1040" w:top="831" w:right="10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7"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segments: GM North America (GMNA) and GM International (GMI) with vehicles developed, manufactured, and/ or marketed under the Buick, Cadillac, Chevrolet, and GMC brands. We also have equity ownership stakes in entities that meet the demands of customers in other countries, primarily in China, with vehicles developed, manufactured, and/or marketed under the Baojun, Buick, Cadillac, Chevrolet, and Wuling brands. In December 2024, we announced that we would no longer fund Cruise's robotaxi development work and will refocus our autonomous driving strategy on personal vehicles and, in February 2025, we completed the acquisition of the noncontrolling interests in Cruise, began to wind down the Cruise robotaxi operations, and combined the GM and Cruise autonomous technical efforts in our GMNA segment.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sum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15"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Our strong product portfolio exemplifies our deep design and engineering expertise, iconic brands, award winning vehicles, and clear outlook for the future, leading the U.S. auto industry in sales. We continue to push the industry forward, with a vision to create the right vehicle for every driver and a world with zero crashes, zero emissions, and zero congestion. Building on a century of innovation, we are leveraging software, hardware, artificial intelligence (AI), and sensors to produce safer, smarter, and more fuel efficient vehicles. We are developing advanced driver assistance and autonomous vehicle (AV) technology to help eliminate human driving error, save lives, and improve mobility for everyone.</w:t>
      </w:r>
    </w:p>
    <w:p>
      <w:pPr>
        <w:spacing w:after="0" w:line="19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Vehicle Portfolio </w:t>
      </w:r>
      <w:r>
        <w:rPr>
          <w:rFonts w:ascii="Times New Roman" w:cs="Times New Roman" w:eastAsia="Times New Roman" w:hAnsi="Times New Roman"/>
          <w:sz w:val="20"/>
          <w:szCs w:val="20"/>
          <w:color w:val="auto"/>
        </w:rPr>
        <w:t>Our internal combustion engine (ICE) portfolio is a key driver of financial and market performance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 loyalty led by our full-size trucks and sport utility vehicles (SUVs). We maintain a strong presence in both the mainstream and luxury categories of the auto industry. We serve the mainstream market with Chevrolet and GMC trucks, SUVs, and crossover utility vehicles, which are driving volume growth in premium-priced market segments. Our Cadillac brand, which continues to grow, services the global luxury segment, while also maintaining strong market presence in North America.</w:t>
      </w:r>
    </w:p>
    <w:p>
      <w:pPr>
        <w:spacing w:after="0" w:line="202"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GM has made significant investments to build a broad portfolio of electric vehicles (EVs) including establishing manufacturing and supply chain capacity for EVs, batteries, and components, in North America. Our EV portfolio has achieved significant market growth with strong positioning in the U.S. market. Our New Energy Vehicles (NEVs) in China have contributed to the turnaround in sales and business performance in China. EVs like the Chevrolet Equinox EV, Cadillac LYRIQ, Cadillac ESCALADE IQ, and the GMC Sierra EV have brought new customers to our brands and helped increase our EV market share.</w:t>
      </w:r>
    </w:p>
    <w:p>
      <w:pPr>
        <w:spacing w:after="0" w:line="19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Despite our recent EV sales growth, U.S. regulatory and economic policy changes have impacted our expectations regarding the pace of EV growth and consumer demand. We have taken actions to strategically realign our EV capacity and manufacturing footprint with the slowing in customer demand for EVs. Due to our broad and diversified portfolio of both ICE and electric vehicles, we believe we are well positioned to respond to changes in demand given our strong market position with ICE vehicles in the U.S. and the success of our Chevrolet, Cadillac, and GMC EVs with customers.</w:t>
      </w:r>
    </w:p>
    <w:p>
      <w:pPr>
        <w:spacing w:after="0" w:line="194"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are prioritizing an overall portfolio that successfully meets customer demand. We continue to invest in ICE vehicles alongside our EVs and plan to introduce new battery chemistries and form factors that will deliver the EV range and performance our customers desire, with even lower pack costs and improved profitability. Our EV portfolio takes advantage of integrated supply chain development, including battery cell production from Ultium Cells Holdings LLC (a joint venture with LG Energy Solution) in plants in Warren, Ohio and Spring Hill, Tennessee.</w:t>
      </w:r>
    </w:p>
    <w:p>
      <w:pPr>
        <w:spacing w:after="0" w:line="194"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We continue to build our vehicle portfolio on a foundation of extensive manufacturing capability. We have a network of 50 U.S. manufacturing plants and parts facilities in 19 states, which includes 11 vehicle assembly plants. In 2025, we announced</w:t>
      </w:r>
    </w:p>
    <w:p>
      <w:pPr>
        <w:sectPr>
          <w:pgSz w:w="12240" w:h="15840" w:orient="portrait"/>
          <w:cols w:equalWidth="0" w:num="1">
            <w:col w:w="10260"/>
          </w:cols>
          <w:pgMar w:left="1000" w:top="447" w:right="980" w:bottom="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60"/>
          </w:cols>
          <w:pgMar w:left="1000" w:top="447" w:right="9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our plan to spend approximately $4.0 billion in capital investments to onshore production at plants in Tennessee, Kansas, and Michigan over the next two years and nearly $1.0 billion to build a new generation of advanced, fuel-efficient V8 engines in New York. These investments in U.S. assembly and propulsion plants will enable us to strengthen domestic manufacturing and ensure flexibility for both ICE and electric vehicles.</w:t>
      </w:r>
    </w:p>
    <w:p>
      <w:pPr>
        <w:spacing w:after="0" w:line="190"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As government policies have evolved, we have acted with urgency and discipline to maintain strong positioning within the industry. In 2025, the U.S. and other governments implemented new import tariffs impacting GM and our suppliers, including tariffs on vehicles and parts imported into the U.S. The tariff environment is highly dynamic and the specific tariffs applicable to goods imported by GM and its suppliers into the U.S., including under the U.S.-Mexico-Canada Agreement, and other countries are likely to evolve further. We will continue to adapt as appropriate.</w:t>
      </w:r>
    </w:p>
    <w:p>
      <w:pPr>
        <w:spacing w:after="0" w:line="199"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Software-Enabled Technology Services </w:t>
      </w:r>
      <w:r>
        <w:rPr>
          <w:rFonts w:ascii="Times New Roman" w:cs="Times New Roman" w:eastAsia="Times New Roman" w:hAnsi="Times New Roman"/>
          <w:sz w:val="20"/>
          <w:szCs w:val="20"/>
          <w:color w:val="auto"/>
        </w:rPr>
        <w:t>Our vehicles are equipped with a suite of software-enabled services, aimed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improving the customer experience and creating vehicles that improve and evolve over time, including OnStar services and Super Cruise. With nearly three decades of experience, OnStar is a global leader in enabling connected vehicle services. OnStar is available in more than 20 markets globally. As GM introduces more software-defined vehicles, OnStar will play a key role as an enabler of safety, infotainment, connectivity, and driver assistance features. OnStar provides one ecosystem for retail and fleet customers to use, engage, and shop through a broader set of service offerings available at and after vehicle purchase. Our end-to-end software platform provides customers with software-defined features, apps, and services over-the-air and empowers customers to update their ownership experiences with desirable features, software services, vehicle performance, and Super Cruise, our hands-free driver assistance technology. With an attentive driver and under proper conditions, Super Cruise enables drivers of equipped vehicles to travel hands-free on more than 600,000 miles of compatible roads in the U.S. and Canada. Many of GM's latest ICE vehicles and EVs are employing this software platform as it rolls out across most products in the coming years.</w:t>
      </w:r>
    </w:p>
    <w:p>
      <w:pPr>
        <w:spacing w:after="0" w:line="211"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Cruise </w:t>
      </w:r>
      <w:r>
        <w:rPr>
          <w:rFonts w:ascii="Times New Roman" w:cs="Times New Roman" w:eastAsia="Times New Roman" w:hAnsi="Times New Roman"/>
          <w:sz w:val="20"/>
          <w:szCs w:val="20"/>
          <w:color w:val="auto"/>
        </w:rPr>
        <w:t>GM Cruise Holdings LLC (Cruise Holdings), our wholly-owned subsidiary, has refocused from robotaxi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to developing our automated driving systems for personal vehicles. We worked with the Cruise leadership team to restructure Cruise's operations and have combined the GM and Cruise technical efforts to build on the success of Super Cruise and prioritize the development of advanced driver-assistance systems (ADAS) on a path to fully autonomous personal vehicles. Refer to Item 1A. Risk Factors for a further discussion of the risks associated with our AV strategy.</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Competitive Position and Vehicle Sales </w:t>
      </w:r>
      <w:r>
        <w:rPr>
          <w:rFonts w:ascii="Times New Roman" w:cs="Times New Roman" w:eastAsia="Times New Roman" w:hAnsi="Times New Roman"/>
          <w:sz w:val="20"/>
          <w:szCs w:val="20"/>
          <w:color w:val="auto"/>
        </w:rPr>
        <w:t>The principal factors that determine consumer vehicle preferences in the markets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we operate include overall vehicle design, price, quality, available options, safety, reliability, fuel economy or range, and functionality. Market leadership in individual countries in which we compete varies widely.</w:t>
      </w:r>
    </w:p>
    <w:p>
      <w:pPr>
        <w:spacing w:after="0" w:line="193"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2025, 27.5% of our wholesale vehicle sales volume was generated outside the U.S. The following table summarizes wholesale vehicle sales by our Automotive operations (vehicles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35"/>
        </w:trPr>
        <w:tc>
          <w:tcPr>
            <w:tcW w:w="53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86.8 %</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3,464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86.4 %</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3,147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83.5 %</w:t>
            </w:r>
          </w:p>
        </w:tc>
      </w:tr>
      <w:tr>
        <w:trPr>
          <w:trHeight w:val="290"/>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GMI</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547</w:t>
            </w:r>
          </w:p>
        </w:tc>
        <w:tc>
          <w:tcPr>
            <w:tcW w:w="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13.6 %</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16.5 %</w:t>
            </w:r>
          </w:p>
        </w:tc>
      </w:tr>
      <w:tr>
        <w:trPr>
          <w:trHeight w:val="280"/>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3,799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4,010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3,768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3381375</wp:posOffset>
            </wp:positionH>
            <wp:positionV relativeFrom="paragraph">
              <wp:posOffset>-43815</wp:posOffset>
            </wp:positionV>
            <wp:extent cx="314007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3140075" cy="50800"/>
                    </a:xfrm>
                    <a:prstGeom prst="rect">
                      <a:avLst/>
                    </a:prstGeom>
                    <a:noFill/>
                  </pic:spPr>
                </pic:pic>
              </a:graphicData>
            </a:graphic>
          </wp:anchor>
        </w:drawing>
      </w:r>
    </w:p>
    <w:p>
      <w:pPr>
        <w:spacing w:after="0" w:line="20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447" w:right="980" w:bottom="0" w:gutter="0" w:footer="0" w:header="0"/>
          <w:type w:val="continuous"/>
        </w:sectPr>
      </w:pPr>
    </w:p>
    <w:bookmarkStart w:id="7" w:name="page8"/>
    <w:bookmarkEnd w:id="7"/>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20"/>
          <w:szCs w:val="20"/>
          <w:color w:val="auto"/>
        </w:rPr>
        <w:t>distributors, and joint ventures; commercially available data sources, such as registration and insurance data; and internal estimates and forecasts when other data is not available.</w:t>
      </w:r>
    </w:p>
    <w:p>
      <w:pPr>
        <w:spacing w:after="0" w:line="178" w:lineRule="exact"/>
        <w:rPr>
          <w:sz w:val="20"/>
          <w:szCs w:val="20"/>
          <w:color w:val="auto"/>
        </w:rPr>
      </w:pPr>
    </w:p>
    <w:p>
      <w:pPr>
        <w:ind w:left="10" w:right="20" w:firstLine="256"/>
        <w:spacing w:after="0" w:line="283" w:lineRule="auto"/>
        <w:rPr>
          <w:sz w:val="20"/>
          <w:szCs w:val="20"/>
          <w:color w:val="auto"/>
        </w:rPr>
      </w:pPr>
      <w:r>
        <w:rPr>
          <w:rFonts w:ascii="Times New Roman" w:cs="Times New Roman" w:eastAsia="Times New Roman" w:hAnsi="Times New Roman"/>
          <w:sz w:val="20"/>
          <w:szCs w:val="20"/>
          <w:color w:val="auto"/>
        </w:rPr>
        <w:t>The following table summarizes industry and GM total vehicle sales and our related competitive position by geographic region (vehicles in thousands):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GM</w:t>
            </w:r>
          </w:p>
        </w:tc>
        <w:tc>
          <w:tcPr>
            <w:tcW w:w="6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68"/>
        </w:trPr>
        <w:tc>
          <w:tcPr>
            <w:tcW w:w="3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North America</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16,631</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2,853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16.2 %</w:t>
            </w:r>
          </w:p>
        </w:tc>
        <w:tc>
          <w:tcPr>
            <w:tcW w:w="0" w:type="dxa"/>
            <w:vAlign w:val="bottom"/>
          </w:tcPr>
          <w:p>
            <w:pPr>
              <w:spacing w:after="0"/>
              <w:rPr>
                <w:sz w:val="1"/>
                <w:szCs w:val="1"/>
                <w:color w:val="auto"/>
              </w:rPr>
            </w:pPr>
          </w:p>
        </w:tc>
      </w:tr>
      <w:tr>
        <w:trPr>
          <w:trHeight w:val="29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4,027</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507</w:t>
            </w:r>
          </w:p>
        </w:tc>
        <w:tc>
          <w:tcPr>
            <w:tcW w:w="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12.6 %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3,904</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13.1 %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12.8 %</w:t>
            </w:r>
          </w:p>
        </w:tc>
        <w:tc>
          <w:tcPr>
            <w:tcW w:w="0" w:type="dxa"/>
            <w:vAlign w:val="bottom"/>
          </w:tcPr>
          <w:p>
            <w:pPr>
              <w:spacing w:after="0"/>
              <w:rPr>
                <w:sz w:val="1"/>
                <w:szCs w:val="1"/>
                <w:color w:val="auto"/>
              </w:rPr>
            </w:pPr>
          </w:p>
        </w:tc>
      </w:tr>
      <w:tr>
        <w:trPr>
          <w:trHeight w:val="298"/>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North America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20,658</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20,260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19,612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15.6 %</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tcPr>
          <w:p>
            <w:pPr>
              <w:ind w:left="40"/>
              <w:spacing w:after="0" w:line="224" w:lineRule="exact"/>
              <w:rPr>
                <w:sz w:val="20"/>
                <w:szCs w:val="20"/>
                <w:color w:val="auto"/>
              </w:rPr>
            </w:pPr>
            <w:r>
              <w:rPr>
                <w:rFonts w:ascii="Times New Roman" w:cs="Times New Roman" w:eastAsia="Times New Roman" w:hAnsi="Times New Roman"/>
                <w:sz w:val="20"/>
                <w:szCs w:val="20"/>
                <w:b w:val="1"/>
                <w:bCs w:val="1"/>
                <w:color w:val="auto"/>
              </w:rPr>
              <w:t>Asia/Pacific, Middle East, and</w:t>
            </w: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1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Africa</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China(a)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26,412</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1,880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26,408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0" w:type="dxa"/>
            <w:vAlign w:val="bottom"/>
          </w:tcPr>
          <w:p>
            <w:pPr>
              <w:spacing w:after="0"/>
              <w:rPr>
                <w:sz w:val="1"/>
                <w:szCs w:val="1"/>
                <w:color w:val="auto"/>
              </w:rPr>
            </w:pPr>
          </w:p>
        </w:tc>
      </w:tr>
      <w:tr>
        <w:trPr>
          <w:trHeight w:val="29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22,368</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538</w:t>
            </w:r>
          </w:p>
        </w:tc>
        <w:tc>
          <w:tcPr>
            <w:tcW w:w="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21,876</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22,189</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40"/>
              <w:spacing w:after="0" w:line="212" w:lineRule="exact"/>
              <w:rPr>
                <w:sz w:val="20"/>
                <w:szCs w:val="20"/>
                <w:color w:val="auto"/>
              </w:rPr>
            </w:pPr>
            <w:r>
              <w:rPr>
                <w:rFonts w:ascii="Times New Roman" w:cs="Times New Roman" w:eastAsia="Times New Roman" w:hAnsi="Times New Roman"/>
                <w:sz w:val="20"/>
                <w:szCs w:val="20"/>
                <w:color w:val="auto"/>
              </w:rPr>
              <w:t>Total Asia/Pacific, Middle East,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48,780</w:t>
            </w:r>
          </w:p>
        </w:tc>
        <w:tc>
          <w:tcPr>
            <w:tcW w:w="80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2,418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48,284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47,156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2,676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0" w:type="dxa"/>
            <w:vAlign w:val="bottom"/>
          </w:tcPr>
          <w:p>
            <w:pPr>
              <w:spacing w:after="0"/>
              <w:rPr>
                <w:sz w:val="1"/>
                <w:szCs w:val="1"/>
                <w:color w:val="auto"/>
              </w:rPr>
            </w:pPr>
          </w:p>
        </w:tc>
      </w:tr>
      <w:tr>
        <w:trPr>
          <w:trHeight w:val="282"/>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Africa</w:t>
            </w:r>
          </w:p>
        </w:tc>
        <w:tc>
          <w:tcPr>
            <w:tcW w:w="720" w:type="dxa"/>
            <w:vAlign w:val="bottom"/>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78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80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1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South America</w:t>
            </w: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2,688</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276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14.2 %</w:t>
            </w:r>
          </w:p>
        </w:tc>
        <w:tc>
          <w:tcPr>
            <w:tcW w:w="0" w:type="dxa"/>
            <w:vAlign w:val="bottom"/>
          </w:tcPr>
          <w:p>
            <w:pPr>
              <w:spacing w:after="0"/>
              <w:rPr>
                <w:sz w:val="1"/>
                <w:szCs w:val="1"/>
                <w:color w:val="auto"/>
              </w:rPr>
            </w:pPr>
          </w:p>
        </w:tc>
      </w:tr>
      <w:tr>
        <w:trPr>
          <w:trHeight w:val="29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1,679</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126</w:t>
            </w:r>
          </w:p>
        </w:tc>
        <w:tc>
          <w:tcPr>
            <w:tcW w:w="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9.0 %</w:t>
            </w:r>
          </w:p>
        </w:tc>
        <w:tc>
          <w:tcPr>
            <w:tcW w:w="0" w:type="dxa"/>
            <w:vAlign w:val="bottom"/>
          </w:tcPr>
          <w:p>
            <w:pPr>
              <w:spacing w:after="0"/>
              <w:rPr>
                <w:sz w:val="1"/>
                <w:szCs w:val="1"/>
                <w:color w:val="auto"/>
              </w:rPr>
            </w:pPr>
          </w:p>
        </w:tc>
      </w:tr>
      <w:tr>
        <w:trPr>
          <w:trHeight w:val="298"/>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South America</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4,367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403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9.2 %</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3,981</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12.2 %</w:t>
            </w: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in GM markets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73,805</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6,182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70,494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0" w:type="dxa"/>
            <w:vAlign w:val="bottom"/>
          </w:tcPr>
          <w:p>
            <w:pPr>
              <w:spacing w:after="0"/>
              <w:rPr>
                <w:sz w:val="1"/>
                <w:szCs w:val="1"/>
                <w:color w:val="auto"/>
              </w:rPr>
            </w:pPr>
          </w:p>
        </w:tc>
      </w:tr>
      <w:tr>
        <w:trPr>
          <w:trHeight w:val="31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Europe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16,925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16,765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16,526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Worldwide(b)</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90,730</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6,184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89,289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87,020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3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2,719</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0" w:type="dxa"/>
            <w:vAlign w:val="bottom"/>
          </w:tcPr>
          <w:p>
            <w:pPr>
              <w:spacing w:after="0"/>
              <w:rPr>
                <w:sz w:val="1"/>
                <w:szCs w:val="1"/>
                <w:color w:val="auto"/>
              </w:rPr>
            </w:pPr>
          </w:p>
        </w:tc>
      </w:tr>
      <w:tr>
        <w:trPr>
          <w:trHeight w:val="30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Trucks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4,592</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1,517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30.7 %</w:t>
            </w:r>
          </w:p>
        </w:tc>
        <w:tc>
          <w:tcPr>
            <w:tcW w:w="0" w:type="dxa"/>
            <w:vAlign w:val="bottom"/>
          </w:tcPr>
          <w:p>
            <w:pPr>
              <w:spacing w:after="0"/>
              <w:rPr>
                <w:sz w:val="1"/>
                <w:szCs w:val="1"/>
                <w:color w:val="auto"/>
              </w:rPr>
            </w:pPr>
          </w:p>
        </w:tc>
      </w:tr>
      <w:tr>
        <w:trPr>
          <w:trHeight w:val="29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Crossovers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9,320</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1,280</w:t>
            </w:r>
          </w:p>
        </w:tc>
        <w:tc>
          <w:tcPr>
            <w:tcW w:w="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13.7 %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9,074</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12.6 %</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8,702</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0" w:type="dxa"/>
            <w:vAlign w:val="bottom"/>
          </w:tcPr>
          <w:p>
            <w:pPr>
              <w:spacing w:after="0"/>
              <w:rPr>
                <w:sz w:val="1"/>
                <w:szCs w:val="1"/>
                <w:color w:val="auto"/>
              </w:rPr>
            </w:pPr>
          </w:p>
        </w:tc>
      </w:tr>
      <w:tr>
        <w:trPr>
          <w:trHeight w:val="280"/>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United States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16,631</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2,853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China(a)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SGMS</w:t>
            </w:r>
          </w:p>
        </w:tc>
        <w:tc>
          <w:tcPr>
            <w:tcW w:w="7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512</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SGMW</w:t>
            </w: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1,368</w:t>
            </w:r>
          </w:p>
        </w:tc>
        <w:tc>
          <w:tcPr>
            <w:tcW w:w="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26,412</w:t>
            </w:r>
          </w:p>
        </w:tc>
        <w:tc>
          <w:tcPr>
            <w:tcW w:w="8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1,880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26,408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-1739265</wp:posOffset>
            </wp:positionV>
            <wp:extent cx="98742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-1739265</wp:posOffset>
            </wp:positionV>
            <wp:extent cx="98742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-1739265</wp:posOffset>
            </wp:positionV>
            <wp:extent cx="98742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-796290</wp:posOffset>
            </wp:positionV>
            <wp:extent cx="98742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-796290</wp:posOffset>
            </wp:positionV>
            <wp:extent cx="9874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-796290</wp:posOffset>
            </wp:positionV>
            <wp:extent cx="98742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987425" cy="508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-43815</wp:posOffset>
            </wp:positionV>
            <wp:extent cx="48260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482600" cy="5080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-43815</wp:posOffset>
            </wp:positionV>
            <wp:extent cx="4826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482600" cy="5080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-43815</wp:posOffset>
            </wp:positionV>
            <wp:extent cx="48260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48260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58"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by the Automotive China Joint Ventures (Automotive China JVs): SAIC General Motors Sales Co., Ltd. (SGMS) and SAIC GM Wuling Automobile Co., Ltd. (SGMW).</w:t>
      </w:r>
    </w:p>
    <w:p>
      <w:pPr>
        <w:ind w:left="370" w:right="20" w:hanging="370"/>
        <w:spacing w:after="0" w:line="268"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and Sudan have been subject to broad economic sanctions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Accordingly, these countries are excluded from industry sales data and corresponding calculation of market share.</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70"/>
          </w:cols>
          <w:pgMar w:left="990" w:top="447"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35"/>
        </w:trPr>
        <w:tc>
          <w:tcPr>
            <w:tcW w:w="56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20"/>
                <w:szCs w:val="20"/>
                <w:color w:val="auto"/>
              </w:rPr>
            </w:pPr>
          </w:p>
        </w:tc>
      </w:tr>
      <w:tr>
        <w:trPr>
          <w:trHeight w:val="290"/>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GMNA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220" w:type="dxa"/>
            <w:vAlign w:val="bottom"/>
            <w:shd w:val="clear" w:color="auto" w:fill="CCEEFF"/>
          </w:tcPr>
          <w:p>
            <w:pPr>
              <w:spacing w:after="0"/>
              <w:rPr>
                <w:sz w:val="24"/>
                <w:szCs w:val="24"/>
                <w:color w:val="auto"/>
              </w:rPr>
            </w:pPr>
          </w:p>
        </w:tc>
      </w:tr>
      <w:tr>
        <w:trPr>
          <w:trHeight w:val="290"/>
        </w:trPr>
        <w:tc>
          <w:tcPr>
            <w:tcW w:w="5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GMI</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220" w:type="dxa"/>
            <w:vAlign w:val="bottom"/>
            <w:tcBorders>
              <w:bottom w:val="single" w:sz="8" w:color="auto"/>
            </w:tcBorders>
          </w:tcPr>
          <w:p>
            <w:pPr>
              <w:spacing w:after="0"/>
              <w:rPr>
                <w:sz w:val="24"/>
                <w:szCs w:val="24"/>
                <w:color w:val="auto"/>
              </w:rPr>
            </w:pPr>
          </w:p>
        </w:tc>
      </w:tr>
      <w:tr>
        <w:trPr>
          <w:trHeight w:val="280"/>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fleet sales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2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220" w:type="dxa"/>
            <w:vAlign w:val="bottom"/>
            <w:shd w:val="clear" w:color="auto" w:fill="CCEEFF"/>
          </w:tcPr>
          <w:p>
            <w:pPr>
              <w:spacing w:after="0"/>
              <w:rPr>
                <w:sz w:val="24"/>
                <w:szCs w:val="24"/>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
        </w:trPr>
        <w:tc>
          <w:tcPr>
            <w:tcW w:w="5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300"/>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Fleet sales as a percentage of total vehicle sales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-262890</wp:posOffset>
            </wp:positionV>
            <wp:extent cx="294957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2949575" cy="50800"/>
                    </a:xfrm>
                    <a:prstGeom prst="rect">
                      <a:avLst/>
                    </a:prstGeom>
                    <a:noFill/>
                  </pic:spPr>
                </pic:pic>
              </a:graphicData>
            </a:graphic>
          </wp:anchor>
        </w:drawing>
      </w:r>
    </w:p>
    <w:p>
      <w:pPr>
        <w:spacing w:after="0" w:line="22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Product Pricing </w:t>
      </w:r>
      <w:r>
        <w:rPr>
          <w:rFonts w:ascii="Times New Roman" w:cs="Times New Roman" w:eastAsia="Times New Roman" w:hAnsi="Times New Roman"/>
          <w:sz w:val="20"/>
          <w:szCs w:val="20"/>
          <w:color w:val="auto"/>
        </w:rPr>
        <w:t>Several methods are used to promote our products, including the use of dealer, retail, and fleet incentives,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as customer rebates and finance rate support. The level of incentives is dependent upon the level of competition in the markets in which we operate and the level of demand for our products.</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Cyclical and Seasonal Nature of Business </w:t>
      </w:r>
      <w:r>
        <w:rPr>
          <w:rFonts w:ascii="Times New Roman" w:cs="Times New Roman" w:eastAsia="Times New Roman" w:hAnsi="Times New Roman"/>
          <w:sz w:val="20"/>
          <w:szCs w:val="20"/>
          <w:color w:val="auto"/>
        </w:rPr>
        <w:t>The market for vehicles can be cyclical and depends in part on general economic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credit availability, and consumer spending. Vehicle markets can also be seasonal. Production varies from month to month. Vehicle model changeovers occur throughout the year as a result of new market entries.</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Relationship with Dealers </w:t>
      </w:r>
      <w:r>
        <w:rPr>
          <w:rFonts w:ascii="Times New Roman" w:cs="Times New Roman" w:eastAsia="Times New Roman" w:hAnsi="Times New Roman"/>
          <w:sz w:val="20"/>
          <w:szCs w:val="20"/>
          <w:color w:val="auto"/>
        </w:rPr>
        <w:t>We market vehicles and automotive parts primarily through a network of independent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retail dealers. These outlets 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4,566 in GMNA and 6,276 in GMI at December 31, 2025.</w:t>
      </w:r>
    </w:p>
    <w:p>
      <w:pPr>
        <w:spacing w:after="0" w:line="20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quality of GM dealerships and our relationship with our dealers are critical to our success,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Research, Product Development, and Intellectual Property </w:t>
      </w:r>
      <w:r>
        <w:rPr>
          <w:rFonts w:ascii="Times New Roman" w:cs="Times New Roman" w:eastAsia="Times New Roman" w:hAnsi="Times New Roman"/>
          <w:sz w:val="20"/>
          <w:szCs w:val="20"/>
          <w:color w:val="auto"/>
        </w:rPr>
        <w:t>Costs for research, manufacturing engineering,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engineering, product engineering, and design and development activities primarily relate to developing new products or services or improving existing products or services, including activities related to vehicle and greenhouse gas (GHG) emissions control, improved fuel economy, EVs, ADAS, and the safety of drivers and passengers. Research and development expenses were $8.5 billion, $9.2 billion, and $9.9 billion in the years ended December 31, 2025, 2024, and 2023.</w:t>
      </w:r>
    </w:p>
    <w:p>
      <w:pPr>
        <w:spacing w:after="0" w:line="19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 Development </w:t>
      </w:r>
      <w:r>
        <w:rPr>
          <w:rFonts w:ascii="Times New Roman" w:cs="Times New Roman" w:eastAsia="Times New Roman" w:hAnsi="Times New Roman"/>
          <w:sz w:val="20"/>
          <w:szCs w:val="20"/>
          <w:color w:val="auto"/>
        </w:rPr>
        <w:t>The Global Product Development organization is responsible for delivering an end-to-end, integrated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and software ecosystem designed to deliver safer, smarter, and more seamless driving experiences across multiple vehicle segments. The work spans advanced driver assistance and autonomy, connected vehicle platforms, and OnStar’s evolution into an intelligent, always-on services layer, combining software, AI, and vehicle platforms to continuously improve the customer experience over time. Our global vehicle architecture development team is headquartered at our Technical Center in Warren, Michigan, where we build experiences to meet customer requirements and maximize global economies of scale.</w:t>
      </w:r>
    </w:p>
    <w:p>
      <w:pPr>
        <w:spacing w:after="0" w:line="196" w:lineRule="exact"/>
        <w:rPr>
          <w:sz w:val="20"/>
          <w:szCs w:val="20"/>
          <w:color w:val="auto"/>
        </w:rPr>
      </w:pPr>
    </w:p>
    <w:p>
      <w:pPr>
        <w:jc w:val="both"/>
        <w:ind w:right="20"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Intellectual Property </w:t>
      </w:r>
      <w:r>
        <w:rPr>
          <w:rFonts w:ascii="Times New Roman" w:cs="Times New Roman" w:eastAsia="Times New Roman" w:hAnsi="Times New Roman"/>
          <w:sz w:val="20"/>
          <w:szCs w:val="20"/>
          <w:color w:val="auto"/>
        </w:rPr>
        <w:t>We are constantly innovating and hold a significant number of patents, copyrights, trade secrets,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intellectual property that protect those innovations in numerous countries. While no single piece of intellectual property is</w:t>
      </w:r>
    </w:p>
    <w:p>
      <w:pPr>
        <w:sectPr>
          <w:pgSz w:w="12240" w:h="15840" w:orient="portrait"/>
          <w:cols w:equalWidth="0" w:num="1">
            <w:col w:w="10260"/>
          </w:cols>
          <w:pgMar w:left="1000" w:top="447" w:right="980" w:bottom="0"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447" w:right="9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Raw Materials, Services, and Supplies </w:t>
      </w:r>
      <w:r>
        <w:rPr>
          <w:rFonts w:ascii="Times New Roman" w:cs="Times New Roman" w:eastAsia="Times New Roman" w:hAnsi="Times New Roman"/>
          <w:sz w:val="20"/>
          <w:szCs w:val="20"/>
          <w:color w:val="auto"/>
        </w:rPr>
        <w:t>We purchase a wide variety of raw materials, systems, components, parts, supplies,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semiconductors, energy, freight, transportation, and other services from numerous suppliers to manufacture our products. The raw materials primarily include steel, aluminum, resins, copper, lead, and precious metals. We do not normally carry substantial inventories of these raw materials in excess of levels reasonably required to meet our production requirements, and while we have not experienced any significant shortages of raw materials, supply disruptions may occur as a result of geopolitical and/or policy actions. Processing and extraction of certain EV battery raw materials is currently concentrated in China and may be subject to import or export restrictions, and/or tariffs. Additionally, to grow and thrive in a competitive global environment will require developing a more resilient, scalable, and sustainable North America-focused supply chain, which includes advancing our strategic sourcing initiatives to secure supply through investments in raw materials suppliers and the execution of strategic, multi-year supply agreements with suppliers throughout the value chain. Focusing on the principle of "buy where we build" will allow the team to work toward greater scalability and stability. This includes securing supply through offtake agreements for raw materials and derivatives thereof, such as lithium, cathode active material, manganese, synthetic and natural graphite, nickel, cobalt, rare earth elements, and permanent motor magnets. These raw material and semiconductor supply agreements may require us to hold higher than normal levels of inventory and to make long-term commitments to purchase materials.</w:t>
      </w:r>
    </w:p>
    <w:p>
      <w:pPr>
        <w:spacing w:after="0" w:line="21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overall were approximately 12% of our total purchases in the year ended December 31, 2025, and approximately 11% of our total purchases in each of the years ended December 31, 2024 and 2023. Refer to Item 1A. Risk Factors for further discussion of these risks.</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Automotive Financing - GM Financial </w:t>
      </w:r>
      <w:r>
        <w:rPr>
          <w:rFonts w:ascii="Times New Roman" w:cs="Times New Roman" w:eastAsia="Times New Roman" w:hAnsi="Times New Roman"/>
          <w:sz w:val="20"/>
          <w:szCs w:val="20"/>
          <w:color w:val="auto"/>
        </w:rPr>
        <w:t>GM Financial is our global captive automotive finance company and our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provider of automobile finance solutions. GM Financial conducts its business in North America, South America, and through joint ventures in China.</w:t>
      </w:r>
    </w:p>
    <w:p>
      <w:pPr>
        <w:spacing w:after="0" w:line="193"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GM Financial provides lending products to commercial vehicle upfitters and advances to certain GM subsidiaries.</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447"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Human Capital </w:t>
      </w:r>
      <w:r>
        <w:rPr>
          <w:rFonts w:ascii="Times New Roman" w:cs="Times New Roman" w:eastAsia="Times New Roman" w:hAnsi="Times New Roman"/>
          <w:sz w:val="20"/>
          <w:szCs w:val="20"/>
          <w:color w:val="auto"/>
        </w:rPr>
        <w:t>The foundation of GM’s business is our purpose: We pioneer the innovations that move and connect people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what matters. Our skilled teams are the heart of GM. Our purpose, strategy, and culture point toward our vision of a world with zero crashes, zero emissions, and zero congestion. Our people are our most valuable asset, and we must continue to attract and retain the best talent to achieve this vision. As a result, we strive to create a Workplace of Choice to attract, retain, motivate, and develop top talent by adhering to a responsible employer philosophy, which includes, among other things, commitments to create job opportunities, paying workers fairly, ensuring safety and well-being, and fostering a work environment in which all employees can perform at their best. Fundamental to these commitments are our Company values.</w:t>
      </w:r>
    </w:p>
    <w:p>
      <w:pPr>
        <w:spacing w:after="0" w:line="3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b w:val="1"/>
          <w:bCs w:val="1"/>
          <w:color w:val="auto"/>
        </w:rPr>
        <w:t>Values</w:t>
      </w:r>
    </w:p>
    <w:p>
      <w:pPr>
        <w:spacing w:after="0" w:line="229" w:lineRule="exact"/>
        <w:rPr>
          <w:sz w:val="20"/>
          <w:szCs w:val="20"/>
          <w:color w:val="auto"/>
        </w:rPr>
      </w:pPr>
    </w:p>
    <w:p>
      <w:pPr>
        <w:ind w:left="540" w:right="1060"/>
        <w:spacing w:after="0" w:line="241" w:lineRule="auto"/>
        <w:rPr>
          <w:sz w:val="20"/>
          <w:szCs w:val="20"/>
          <w:color w:val="auto"/>
        </w:rPr>
      </w:pPr>
      <w:r>
        <w:rPr>
          <w:rFonts w:ascii="Times New Roman" w:cs="Times New Roman" w:eastAsia="Times New Roman" w:hAnsi="Times New Roman"/>
          <w:sz w:val="20"/>
          <w:szCs w:val="20"/>
          <w:color w:val="auto"/>
        </w:rPr>
        <w:t>Our values are the foundational beliefs that guide our actions. They define what we hold most important and inform how we interact with our customers, our partners, and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102235</wp:posOffset>
            </wp:positionV>
            <wp:extent cx="589597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5895975" cy="12700"/>
                    </a:xfrm>
                    <a:prstGeom prst="rect">
                      <a:avLst/>
                    </a:prstGeom>
                    <a:noFill/>
                  </pic:spPr>
                </pic:pic>
              </a:graphicData>
            </a:graphic>
          </wp:anchor>
        </w:drawing>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0956FF"/>
        </w:rPr>
        <w:t>Customers</w:t>
      </w:r>
    </w:p>
    <w:p>
      <w:pPr>
        <w:spacing w:after="0" w:line="69"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0"/>
          <w:szCs w:val="20"/>
          <w:color w:val="auto"/>
        </w:rPr>
        <w:t>We put customers at the center of everything we do-and every interaction matters.</w:t>
      </w:r>
    </w:p>
    <w:p>
      <w:pPr>
        <w:spacing w:after="0" w:line="3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0956FF"/>
        </w:rPr>
        <w:t>Relationships</w:t>
      </w:r>
    </w:p>
    <w:p>
      <w:pPr>
        <w:spacing w:after="0" w:line="69"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0"/>
          <w:szCs w:val="20"/>
          <w:color w:val="auto"/>
        </w:rPr>
        <w:t>Our success depends on our relationships inside and outside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956FF"/>
        </w:rPr>
        <w:t>Excellence</w:t>
      </w:r>
    </w:p>
    <w:p>
      <w:pPr>
        <w:spacing w:after="0" w:line="69" w:lineRule="exact"/>
        <w:rPr>
          <w:sz w:val="20"/>
          <w:szCs w:val="20"/>
          <w:color w:val="auto"/>
        </w:rPr>
      </w:pPr>
    </w:p>
    <w:p>
      <w:pPr>
        <w:ind w:right="940"/>
        <w:spacing w:after="0" w:line="241" w:lineRule="auto"/>
        <w:rPr>
          <w:sz w:val="20"/>
          <w:szCs w:val="20"/>
          <w:color w:val="auto"/>
        </w:rPr>
      </w:pPr>
      <w:r>
        <w:rPr>
          <w:rFonts w:ascii="Times New Roman" w:cs="Times New Roman" w:eastAsia="Times New Roman" w:hAnsi="Times New Roman"/>
          <w:sz w:val="20"/>
          <w:szCs w:val="20"/>
          <w:color w:val="auto"/>
        </w:rPr>
        <w:t>Driven by ingenuity and innovation, we have the tenacity to win.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956FF"/>
        </w:rPr>
        <w:t>Truth</w:t>
      </w:r>
    </w:p>
    <w:p>
      <w:pPr>
        <w:spacing w:after="0" w:line="69" w:lineRule="exact"/>
        <w:rPr>
          <w:sz w:val="20"/>
          <w:szCs w:val="20"/>
          <w:color w:val="auto"/>
        </w:rPr>
      </w:pPr>
    </w:p>
    <w:p>
      <w:pPr>
        <w:ind w:right="1400"/>
        <w:spacing w:after="0" w:line="241" w:lineRule="auto"/>
        <w:rPr>
          <w:sz w:val="20"/>
          <w:szCs w:val="20"/>
          <w:color w:val="auto"/>
        </w:rPr>
      </w:pPr>
      <w:r>
        <w:rPr>
          <w:rFonts w:ascii="Times New Roman" w:cs="Times New Roman" w:eastAsia="Times New Roman" w:hAnsi="Times New Roman"/>
          <w:sz w:val="20"/>
          <w:szCs w:val="20"/>
          <w:color w:val="auto"/>
        </w:rPr>
        <w:t>We pursue facts and respectfully challenge assumptions.</w:t>
      </w:r>
    </w:p>
    <w:p>
      <w:pPr>
        <w:spacing w:after="0" w:line="200" w:lineRule="exact"/>
        <w:rPr>
          <w:sz w:val="20"/>
          <w:szCs w:val="20"/>
          <w:color w:val="auto"/>
        </w:rPr>
      </w:pPr>
    </w:p>
    <w:p>
      <w:pPr>
        <w:sectPr>
          <w:pgSz w:w="12240" w:h="15840" w:orient="portrait"/>
          <w:cols w:equalWidth="0" w:num="2">
            <w:col w:w="4720" w:space="700"/>
            <w:col w:w="4840"/>
          </w:cols>
          <w:pgMar w:left="1000" w:top="447" w:right="980" w:bottom="0" w:gutter="0" w:footer="0" w:header="0"/>
          <w:type w:val="continuous"/>
        </w:sectPr>
      </w:pP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Our eight GM behaviors are the foundation of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515100" cy="3018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651510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Develop and Retain Talented People </w:t>
      </w:r>
      <w:r>
        <w:rPr>
          <w:rFonts w:ascii="Times New Roman" w:cs="Times New Roman" w:eastAsia="Times New Roman" w:hAnsi="Times New Roman"/>
          <w:sz w:val="20"/>
          <w:szCs w:val="20"/>
          <w:color w:val="auto"/>
        </w:rPr>
        <w:t>Today, we compete for talent not only against other automotive companies, but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businesses in sectors such as technology. To win and retain that talent, we must encourage employee behaviors that align with our values and fulfill employees' career aspirations. We have introduced various resources to clarify expectations of our employees at each stage of their career ladder in terms of role scope, skills, and behaviors. Along with providing mentoring and networking opportunities, we offer a vast array of career development resources to employees to make the most of their careers at GM. We have established curricula for each of our functional areas aimed at ensuring that our employees have the skills they need to perform their jobs. We also offer continuing education programs from leading colleges and universities. For example, the Technical Education Program provides employees an opportunity to complete corporate strategically aligned degrees and certificate programs. Employees in some of our technical roles can participate in the GM Technical Learning University, a training and upskilling program designed to expand and update the technical abilities of our workforce.</w:t>
      </w:r>
    </w:p>
    <w:p>
      <w:pPr>
        <w:sectPr>
          <w:pgSz w:w="12240" w:h="15840" w:orient="portrait"/>
          <w:cols w:equalWidth="0" w:num="1">
            <w:col w:w="10260"/>
          </w:cols>
          <w:pgMar w:left="1000" w:top="447"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447" w:right="9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GM recognizes that leadership effectiveness is a critical business need. We continue to expand our leadership development programs, which are designed to deliver skills and behaviors for each level of leadership to effectively lead their teams.</w:t>
      </w:r>
    </w:p>
    <w:p>
      <w:pPr>
        <w:spacing w:after="0" w:line="173"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Safety and Well-Being </w:t>
      </w:r>
      <w:r>
        <w:rPr>
          <w:rFonts w:ascii="Times New Roman" w:cs="Times New Roman" w:eastAsia="Times New Roman" w:hAnsi="Times New Roman"/>
          <w:sz w:val="20"/>
          <w:szCs w:val="20"/>
          <w:color w:val="auto"/>
        </w:rPr>
        <w:t>The safety and well-being of our employees is also a critical component of our ability to transform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future of personal mobility. At GM, we pride ourselves on our commitment to live values that return people home safely, Every Person, Every Site, Every Day. Our unwavering commitment to safety is manifested through empowering employees to “Speak Up for Safety” and the Employee Safety Concern Process. These resources provide clear processes for salaried, hourly, or represented employees and contract workers to report potential vehicle or workplace safety issues, or to suggest safety-related improvements showcasing our dedication to safety leadership and fostering the growth of our safety culture. The well-being of our employees is equally as important to entice and stimulate creativity and innovation.</w:t>
      </w:r>
    </w:p>
    <w:p>
      <w:pPr>
        <w:spacing w:after="0" w:line="208"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Our award-winning Total Rewards package includes support for physical, emotional, and financial wellness. We provide a comprehensive, competitive offering that includes compensation, a 401(k) company contribution and matching program, paid time off for holidays and vacations, a high-quality health care plan, and GM Family First savings on GM vehicles, parts, and services. We are committed to creating safe spaces where people can perform and thrive at work. GM encourages and supports healthy behaviors, attitudes, and actions in our workplaces to improve health outcomes for team members and their families and to contribute to the success of our business.</w:t>
      </w:r>
    </w:p>
    <w:p>
      <w:pPr>
        <w:spacing w:after="0" w:line="197"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Employees </w:t>
      </w:r>
      <w:r>
        <w:rPr>
          <w:rFonts w:ascii="Times New Roman" w:cs="Times New Roman" w:eastAsia="Times New Roman" w:hAnsi="Times New Roman"/>
          <w:sz w:val="20"/>
          <w:szCs w:val="20"/>
          <w:color w:val="auto"/>
        </w:rPr>
        <w:t>At December 31, 2025, we employed approximately 88,000 (56%) hourly employees and approximately 68,000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(44%) salaried employees. At December 31, 2025, substantially all of our hourly U.S. employees (approximately 47,000) were represented by unions, a majority of which were represented by the International Union, United Automobile, Aerospace, and Agricultural Implement Workers of America (UAW). The following table summarizes worldwide employment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75"/>
        </w:trPr>
        <w:tc>
          <w:tcPr>
            <w:tcW w:w="8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GMNA</w:t>
            </w: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119</w:t>
            </w:r>
          </w:p>
        </w:tc>
      </w:tr>
      <w:tr>
        <w:trPr>
          <w:trHeight w:val="27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GMI</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w:t>
            </w:r>
          </w:p>
        </w:tc>
      </w:tr>
      <w:tr>
        <w:trPr>
          <w:trHeight w:val="300"/>
        </w:trPr>
        <w:tc>
          <w:tcPr>
            <w:tcW w:w="8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w:t>
            </w:r>
          </w:p>
        </w:tc>
      </w:tr>
      <w:tr>
        <w:trPr>
          <w:trHeight w:val="227"/>
        </w:trPr>
        <w:tc>
          <w:tcPr>
            <w:tcW w:w="876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Total Worldwide</w:t>
            </w:r>
          </w:p>
        </w:tc>
        <w:tc>
          <w:tcPr>
            <w:tcW w:w="1500" w:type="dxa"/>
            <w:vAlign w:val="bottom"/>
            <w:tcBorders>
              <w:bottom w:val="single" w:sz="8" w:color="auto"/>
            </w:tcBorders>
          </w:tcPr>
          <w:p>
            <w:pPr>
              <w:jc w:val="right"/>
              <w:ind w:right="3"/>
              <w:spacing w:after="0" w:line="227" w:lineRule="exact"/>
              <w:rPr>
                <w:sz w:val="20"/>
                <w:szCs w:val="20"/>
                <w:color w:val="auto"/>
              </w:rPr>
            </w:pPr>
            <w:r>
              <w:rPr>
                <w:rFonts w:ascii="Times New Roman" w:cs="Times New Roman" w:eastAsia="Times New Roman" w:hAnsi="Times New Roman"/>
                <w:sz w:val="20"/>
                <w:szCs w:val="20"/>
                <w:color w:val="auto"/>
              </w:rPr>
              <w:t>155</w:t>
            </w:r>
          </w:p>
        </w:tc>
      </w:tr>
      <w:tr>
        <w:trPr>
          <w:trHeight w:val="20"/>
        </w:trPr>
        <w:tc>
          <w:tcPr>
            <w:tcW w:w="8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5"/>
        </w:trPr>
        <w:tc>
          <w:tcPr>
            <w:tcW w:w="87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85"/>
        </w:trPr>
        <w:tc>
          <w:tcPr>
            <w:tcW w:w="8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 Salaried</w:t>
            </w: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47</w:t>
            </w:r>
          </w:p>
        </w:tc>
      </w:tr>
      <w:tr>
        <w:trPr>
          <w:trHeight w:val="272"/>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 Hourly</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-426085</wp:posOffset>
            </wp:positionV>
            <wp:extent cx="96837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968375" cy="50800"/>
                    </a:xfrm>
                    <a:prstGeom prst="rect">
                      <a:avLst/>
                    </a:prstGeom>
                    <a:noFill/>
                  </pic:spPr>
                </pic:pic>
              </a:graphicData>
            </a:graphic>
          </wp:anchor>
        </w:drawing>
      </w:r>
    </w:p>
    <w:p>
      <w:pPr>
        <w:spacing w:after="0" w:line="26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Information About our Executive Officers </w:t>
      </w:r>
      <w:r>
        <w:rPr>
          <w:rFonts w:ascii="Times New Roman" w:cs="Times New Roman" w:eastAsia="Times New Roman" w:hAnsi="Times New Roman"/>
          <w:sz w:val="20"/>
          <w:szCs w:val="20"/>
          <w:color w:val="auto"/>
        </w:rPr>
        <w:t>As of January 27, 2026, the names and ages of our executive officers,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positions with GM, and their business experiences during the past five years are as follows: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4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Name (Age)</w:t>
            </w:r>
          </w:p>
        </w:tc>
        <w:tc>
          <w:tcPr>
            <w:tcW w:w="80" w:type="dxa"/>
            <w:vAlign w:val="bottom"/>
            <w:tcBorders>
              <w:bottom w:val="single" w:sz="8" w:color="CCEEFF"/>
            </w:tcBorders>
          </w:tcPr>
          <w:p>
            <w:pPr>
              <w:spacing w:after="0"/>
              <w:rPr>
                <w:sz w:val="19"/>
                <w:szCs w:val="19"/>
                <w:color w:val="auto"/>
              </w:rPr>
            </w:pPr>
          </w:p>
        </w:tc>
        <w:tc>
          <w:tcPr>
            <w:tcW w:w="2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Present GM Position (Effective Date)</w:t>
            </w:r>
          </w:p>
        </w:tc>
        <w:tc>
          <w:tcPr>
            <w:tcW w:w="80" w:type="dxa"/>
            <w:vAlign w:val="bottom"/>
            <w:tcBorders>
              <w:bottom w:val="single" w:sz="8" w:color="CCEEFF"/>
            </w:tcBorders>
          </w:tcPr>
          <w:p>
            <w:pPr>
              <w:spacing w:after="0"/>
              <w:rPr>
                <w:sz w:val="19"/>
                <w:szCs w:val="19"/>
                <w:color w:val="auto"/>
              </w:rPr>
            </w:pPr>
          </w:p>
        </w:tc>
        <w:tc>
          <w:tcPr>
            <w:tcW w:w="4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Positions Held During the Past Five Years (Effective Date)</w:t>
            </w:r>
          </w:p>
        </w:tc>
      </w:tr>
      <w:tr>
        <w:trPr>
          <w:trHeight w:val="190"/>
        </w:trPr>
        <w:tc>
          <w:tcPr>
            <w:tcW w:w="2400" w:type="dxa"/>
            <w:vAlign w:val="bottom"/>
            <w:shd w:val="clear" w:color="auto" w:fill="CCEEFF"/>
          </w:tcPr>
          <w:p>
            <w:pPr>
              <w:ind w:left="60"/>
              <w:spacing w:after="0" w:line="190" w:lineRule="exact"/>
              <w:rPr>
                <w:sz w:val="20"/>
                <w:szCs w:val="20"/>
                <w:color w:val="auto"/>
              </w:rPr>
            </w:pPr>
            <w:r>
              <w:rPr>
                <w:rFonts w:ascii="Times New Roman" w:cs="Times New Roman" w:eastAsia="Times New Roman" w:hAnsi="Times New Roman"/>
                <w:sz w:val="18"/>
                <w:szCs w:val="18"/>
                <w:color w:val="auto"/>
              </w:rPr>
              <w:t>Sterling J. Anderson (42)</w:t>
            </w:r>
          </w:p>
        </w:tc>
        <w:tc>
          <w:tcPr>
            <w:tcW w:w="80" w:type="dxa"/>
            <w:vAlign w:val="bottom"/>
            <w:shd w:val="clear" w:color="auto" w:fill="CCEEFF"/>
          </w:tcPr>
          <w:p>
            <w:pPr>
              <w:spacing w:after="0"/>
              <w:rPr>
                <w:sz w:val="16"/>
                <w:szCs w:val="16"/>
                <w:color w:val="auto"/>
              </w:rPr>
            </w:pPr>
          </w:p>
        </w:tc>
        <w:tc>
          <w:tcPr>
            <w:tcW w:w="2660" w:type="dxa"/>
            <w:vAlign w:val="bottom"/>
            <w:shd w:val="clear" w:color="auto" w:fill="CCEEFF"/>
          </w:tcPr>
          <w:p>
            <w:pPr>
              <w:ind w:left="60"/>
              <w:spacing w:after="0" w:line="190" w:lineRule="exact"/>
              <w:rPr>
                <w:sz w:val="20"/>
                <w:szCs w:val="20"/>
                <w:color w:val="auto"/>
              </w:rPr>
            </w:pPr>
            <w:r>
              <w:rPr>
                <w:rFonts w:ascii="Times New Roman" w:cs="Times New Roman" w:eastAsia="Times New Roman" w:hAnsi="Times New Roman"/>
                <w:sz w:val="18"/>
                <w:szCs w:val="18"/>
                <w:color w:val="auto"/>
              </w:rPr>
              <w:t>Executive Vice President, Global</w:t>
            </w:r>
          </w:p>
        </w:tc>
        <w:tc>
          <w:tcPr>
            <w:tcW w:w="80" w:type="dxa"/>
            <w:vAlign w:val="bottom"/>
            <w:shd w:val="clear" w:color="auto" w:fill="CCEEFF"/>
          </w:tcPr>
          <w:p>
            <w:pPr>
              <w:spacing w:after="0"/>
              <w:rPr>
                <w:sz w:val="16"/>
                <w:szCs w:val="16"/>
                <w:color w:val="auto"/>
              </w:rPr>
            </w:pPr>
          </w:p>
        </w:tc>
        <w:tc>
          <w:tcPr>
            <w:tcW w:w="4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color w:val="auto"/>
              </w:rPr>
              <w:t>Aurora Innovation, Co-Founder and Chief Product Officer (2017)</w:t>
            </w: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Product and Chief Product Officer</w:t>
            </w:r>
          </w:p>
        </w:tc>
        <w:tc>
          <w:tcPr>
            <w:tcW w:w="80" w:type="dxa"/>
            <w:vAlign w:val="bottom"/>
            <w:shd w:val="clear" w:color="auto" w:fill="CCEEFF"/>
          </w:tcPr>
          <w:p>
            <w:pPr>
              <w:spacing w:after="0"/>
              <w:rPr>
                <w:sz w:val="15"/>
                <w:szCs w:val="15"/>
                <w:color w:val="auto"/>
              </w:rPr>
            </w:pPr>
          </w:p>
        </w:tc>
        <w:tc>
          <w:tcPr>
            <w:tcW w:w="4980" w:type="dxa"/>
            <w:vAlign w:val="bottom"/>
            <w:shd w:val="clear" w:color="auto" w:fill="CCEEFF"/>
          </w:tcPr>
          <w:p>
            <w:pPr>
              <w:spacing w:after="0"/>
              <w:rPr>
                <w:sz w:val="15"/>
                <w:szCs w:val="15"/>
                <w:color w:val="auto"/>
              </w:rPr>
            </w:pPr>
          </w:p>
        </w:tc>
      </w:tr>
      <w:tr>
        <w:trPr>
          <w:trHeight w:val="245"/>
        </w:trPr>
        <w:tc>
          <w:tcPr>
            <w:tcW w:w="24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1"/>
                <w:szCs w:val="21"/>
                <w:color w:val="auto"/>
              </w:rPr>
            </w:pP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Mary T. Barra (64)</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Chair and Chief Executive Officer</w:t>
            </w:r>
          </w:p>
        </w:tc>
        <w:tc>
          <w:tcPr>
            <w:tcW w:w="80" w:type="dxa"/>
            <w:vAlign w:val="bottom"/>
          </w:tcPr>
          <w:p>
            <w:pPr>
              <w:spacing w:after="0"/>
              <w:rPr>
                <w:sz w:val="17"/>
                <w:szCs w:val="17"/>
                <w:color w:val="auto"/>
              </w:rPr>
            </w:pPr>
          </w:p>
        </w:tc>
        <w:tc>
          <w:tcPr>
            <w:tcW w:w="4980" w:type="dxa"/>
            <w:vAlign w:val="bottom"/>
          </w:tcPr>
          <w:p>
            <w:pPr>
              <w:spacing w:after="0"/>
              <w:rPr>
                <w:sz w:val="17"/>
                <w:szCs w:val="17"/>
                <w:color w:val="auto"/>
              </w:rPr>
            </w:pPr>
          </w:p>
        </w:tc>
      </w:tr>
      <w:tr>
        <w:trPr>
          <w:trHeight w:val="235"/>
        </w:trPr>
        <w:tc>
          <w:tcPr>
            <w:tcW w:w="2400" w:type="dxa"/>
            <w:vAlign w:val="bottom"/>
          </w:tcPr>
          <w:p>
            <w:pPr>
              <w:spacing w:after="0"/>
              <w:rPr>
                <w:sz w:val="20"/>
                <w:szCs w:val="20"/>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45"/>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980" w:type="dxa"/>
            <w:vAlign w:val="bottom"/>
          </w:tcPr>
          <w:p>
            <w:pPr>
              <w:spacing w:after="0"/>
              <w:rPr>
                <w:sz w:val="3"/>
                <w:szCs w:val="3"/>
                <w:color w:val="auto"/>
              </w:rPr>
            </w:pPr>
          </w:p>
        </w:tc>
      </w:tr>
      <w:tr>
        <w:trPr>
          <w:trHeight w:val="200"/>
        </w:trPr>
        <w:tc>
          <w:tcPr>
            <w:tcW w:w="2400" w:type="dxa"/>
            <w:vAlign w:val="bottom"/>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color w:val="auto"/>
              </w:rPr>
              <w:t>Grant M. Dixton (52)</w:t>
            </w:r>
          </w:p>
        </w:tc>
        <w:tc>
          <w:tcPr>
            <w:tcW w:w="80" w:type="dxa"/>
            <w:vAlign w:val="bottom"/>
            <w:shd w:val="clear" w:color="auto" w:fill="CCEEFF"/>
          </w:tcPr>
          <w:p>
            <w:pPr>
              <w:spacing w:after="0"/>
              <w:rPr>
                <w:sz w:val="17"/>
                <w:szCs w:val="17"/>
                <w:color w:val="auto"/>
              </w:rPr>
            </w:pPr>
          </w:p>
        </w:tc>
        <w:tc>
          <w:tcPr>
            <w:tcW w:w="2660" w:type="dxa"/>
            <w:vAlign w:val="bottom"/>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Chief</w:t>
            </w:r>
          </w:p>
        </w:tc>
        <w:tc>
          <w:tcPr>
            <w:tcW w:w="80" w:type="dxa"/>
            <w:vAlign w:val="bottom"/>
            <w:shd w:val="clear" w:color="auto" w:fill="CCEEFF"/>
          </w:tcPr>
          <w:p>
            <w:pPr>
              <w:spacing w:after="0"/>
              <w:rPr>
                <w:sz w:val="17"/>
                <w:szCs w:val="17"/>
                <w:color w:val="auto"/>
              </w:rPr>
            </w:pPr>
          </w:p>
        </w:tc>
        <w:tc>
          <w:tcPr>
            <w:tcW w:w="4980" w:type="dxa"/>
            <w:vAlign w:val="bottom"/>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Activision Blizzard, Chief Legal Officer (2021)</w:t>
            </w: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Legal and Public Policy Officer,</w:t>
            </w:r>
          </w:p>
        </w:tc>
        <w:tc>
          <w:tcPr>
            <w:tcW w:w="80" w:type="dxa"/>
            <w:vAlign w:val="bottom"/>
            <w:shd w:val="clear" w:color="auto" w:fill="CCEEFF"/>
          </w:tcPr>
          <w:p>
            <w:pPr>
              <w:spacing w:after="0"/>
              <w:rPr>
                <w:sz w:val="15"/>
                <w:szCs w:val="15"/>
                <w:color w:val="auto"/>
              </w:rPr>
            </w:pPr>
          </w:p>
        </w:tc>
        <w:tc>
          <w:tcPr>
            <w:tcW w:w="498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Boeing, Senior Vice President, General Counsel, and Corporate</w:t>
            </w:r>
          </w:p>
        </w:tc>
      </w:tr>
      <w:tr>
        <w:trPr>
          <w:trHeight w:val="245"/>
        </w:trPr>
        <w:tc>
          <w:tcPr>
            <w:tcW w:w="2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Corporate Secretary (2024)</w:t>
            </w:r>
          </w:p>
        </w:tc>
        <w:tc>
          <w:tcPr>
            <w:tcW w:w="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Secretary (2020)</w:t>
            </w: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Rory V. Harvey (58)</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80" w:type="dxa"/>
            <w:vAlign w:val="bottom"/>
          </w:tcPr>
          <w:p>
            <w:pPr>
              <w:spacing w:after="0"/>
              <w:rPr>
                <w:sz w:val="17"/>
                <w:szCs w:val="17"/>
                <w:color w:val="auto"/>
              </w:rPr>
            </w:pPr>
          </w:p>
        </w:tc>
        <w:tc>
          <w:tcPr>
            <w:tcW w:w="498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Executive Vice President and President, North America (2023)</w:t>
            </w:r>
          </w:p>
        </w:tc>
      </w:tr>
      <w:tr>
        <w:trPr>
          <w:trHeight w:val="235"/>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Global Markets (2024)</w:t>
            </w:r>
          </w:p>
        </w:tc>
        <w:tc>
          <w:tcPr>
            <w:tcW w:w="80" w:type="dxa"/>
            <w:vAlign w:val="bottom"/>
          </w:tcPr>
          <w:p>
            <w:pPr>
              <w:spacing w:after="0"/>
              <w:rPr>
                <w:sz w:val="20"/>
                <w:szCs w:val="20"/>
                <w:color w:val="auto"/>
              </w:rPr>
            </w:pP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Global Cadillac (2020)</w:t>
            </w:r>
          </w:p>
        </w:tc>
      </w:tr>
      <w:tr>
        <w:trPr>
          <w:trHeight w:val="45"/>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980" w:type="dxa"/>
            <w:vAlign w:val="bottom"/>
          </w:tcPr>
          <w:p>
            <w:pPr>
              <w:spacing w:after="0"/>
              <w:rPr>
                <w:sz w:val="3"/>
                <w:szCs w:val="3"/>
                <w:color w:val="auto"/>
              </w:rPr>
            </w:pPr>
          </w:p>
        </w:tc>
      </w:tr>
      <w:tr>
        <w:trPr>
          <w:trHeight w:val="200"/>
        </w:trPr>
        <w:tc>
          <w:tcPr>
            <w:tcW w:w="2400" w:type="dxa"/>
            <w:vAlign w:val="bottom"/>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color w:val="auto"/>
              </w:rPr>
              <w:t>Christopher T. Hatto (55)</w:t>
            </w:r>
          </w:p>
        </w:tc>
        <w:tc>
          <w:tcPr>
            <w:tcW w:w="80" w:type="dxa"/>
            <w:vAlign w:val="bottom"/>
            <w:shd w:val="clear" w:color="auto" w:fill="CCEEFF"/>
          </w:tcPr>
          <w:p>
            <w:pPr>
              <w:spacing w:after="0"/>
              <w:rPr>
                <w:sz w:val="17"/>
                <w:szCs w:val="17"/>
                <w:color w:val="auto"/>
              </w:rPr>
            </w:pPr>
          </w:p>
        </w:tc>
        <w:tc>
          <w:tcPr>
            <w:tcW w:w="2660" w:type="dxa"/>
            <w:vAlign w:val="bottom"/>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color w:val="auto"/>
              </w:rPr>
              <w:t>Vice President, Global Business</w:t>
            </w:r>
          </w:p>
        </w:tc>
        <w:tc>
          <w:tcPr>
            <w:tcW w:w="8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rPr>
                <w:sz w:val="17"/>
                <w:szCs w:val="17"/>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Solutions and Chief Accounting</w:t>
            </w:r>
          </w:p>
        </w:tc>
        <w:tc>
          <w:tcPr>
            <w:tcW w:w="80" w:type="dxa"/>
            <w:vAlign w:val="bottom"/>
            <w:shd w:val="clear" w:color="auto" w:fill="CCEEFF"/>
          </w:tcPr>
          <w:p>
            <w:pPr>
              <w:spacing w:after="0"/>
              <w:rPr>
                <w:sz w:val="15"/>
                <w:szCs w:val="15"/>
                <w:color w:val="auto"/>
              </w:rPr>
            </w:pPr>
          </w:p>
        </w:tc>
        <w:tc>
          <w:tcPr>
            <w:tcW w:w="4980" w:type="dxa"/>
            <w:vAlign w:val="bottom"/>
            <w:shd w:val="clear" w:color="auto" w:fill="CCEEFF"/>
          </w:tcPr>
          <w:p>
            <w:pPr>
              <w:spacing w:after="0"/>
              <w:rPr>
                <w:sz w:val="15"/>
                <w:szCs w:val="15"/>
                <w:color w:val="auto"/>
              </w:rPr>
            </w:pPr>
          </w:p>
        </w:tc>
      </w:tr>
      <w:tr>
        <w:trPr>
          <w:trHeight w:val="245"/>
        </w:trPr>
        <w:tc>
          <w:tcPr>
            <w:tcW w:w="2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Officer (2020)</w:t>
            </w:r>
          </w:p>
        </w:tc>
        <w:tc>
          <w:tcPr>
            <w:tcW w:w="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1"/>
                <w:szCs w:val="21"/>
                <w:color w:val="auto"/>
              </w:rPr>
            </w:pP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Paul A. Jacobson (54)</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80" w:type="dxa"/>
            <w:vAlign w:val="bottom"/>
          </w:tcPr>
          <w:p>
            <w:pPr>
              <w:spacing w:after="0"/>
              <w:rPr>
                <w:sz w:val="17"/>
                <w:szCs w:val="17"/>
                <w:color w:val="auto"/>
              </w:rPr>
            </w:pPr>
          </w:p>
        </w:tc>
        <w:tc>
          <w:tcPr>
            <w:tcW w:w="4980" w:type="dxa"/>
            <w:vAlign w:val="bottom"/>
          </w:tcPr>
          <w:p>
            <w:pPr>
              <w:spacing w:after="0"/>
              <w:rPr>
                <w:sz w:val="17"/>
                <w:szCs w:val="17"/>
                <w:color w:val="auto"/>
              </w:rPr>
            </w:pPr>
          </w:p>
        </w:tc>
      </w:tr>
      <w:tr>
        <w:trPr>
          <w:trHeight w:val="235"/>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(2020)</w:t>
            </w:r>
          </w:p>
        </w:tc>
        <w:tc>
          <w:tcPr>
            <w:tcW w:w="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45"/>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980" w:type="dxa"/>
            <w:vAlign w:val="bottom"/>
          </w:tcPr>
          <w:p>
            <w:pPr>
              <w:spacing w:after="0"/>
              <w:rPr>
                <w:sz w:val="3"/>
                <w:szCs w:val="3"/>
                <w:color w:val="auto"/>
              </w:rPr>
            </w:pPr>
          </w:p>
        </w:tc>
      </w:tr>
      <w:tr>
        <w:trPr>
          <w:trHeight w:val="254"/>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 L. Reuss (62)</w:t>
            </w:r>
          </w:p>
        </w:tc>
        <w:tc>
          <w:tcPr>
            <w:tcW w:w="80" w:type="dxa"/>
            <w:vAlign w:val="bottom"/>
            <w:shd w:val="clear" w:color="auto" w:fill="CCEEFF"/>
          </w:tcPr>
          <w:p>
            <w:pPr>
              <w:spacing w:after="0"/>
              <w:rPr>
                <w:sz w:val="22"/>
                <w:szCs w:val="22"/>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(2019)</w:t>
            </w:r>
          </w:p>
        </w:tc>
        <w:tc>
          <w:tcPr>
            <w:tcW w:w="80" w:type="dxa"/>
            <w:vAlign w:val="bottom"/>
            <w:shd w:val="clear" w:color="auto" w:fill="CCEEFF"/>
          </w:tcPr>
          <w:p>
            <w:pPr>
              <w:spacing w:after="0"/>
              <w:rPr>
                <w:sz w:val="22"/>
                <w:szCs w:val="22"/>
                <w:color w:val="auto"/>
              </w:rPr>
            </w:pPr>
          </w:p>
        </w:tc>
        <w:tc>
          <w:tcPr>
            <w:tcW w:w="4980" w:type="dxa"/>
            <w:vAlign w:val="bottom"/>
            <w:shd w:val="clear" w:color="auto" w:fill="CCEEFF"/>
          </w:tcPr>
          <w:p>
            <w:pPr>
              <w:spacing w:after="0"/>
              <w:rPr>
                <w:sz w:val="22"/>
                <w:szCs w:val="22"/>
                <w:color w:val="auto"/>
              </w:rPr>
            </w:pPr>
          </w:p>
        </w:tc>
      </w:tr>
      <w:tr>
        <w:trPr>
          <w:trHeight w:val="91"/>
        </w:trPr>
        <w:tc>
          <w:tcPr>
            <w:tcW w:w="2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980" w:type="dxa"/>
            <w:vAlign w:val="bottom"/>
            <w:shd w:val="clear" w:color="auto" w:fill="CCEEFF"/>
          </w:tcPr>
          <w:p>
            <w:pPr>
              <w:spacing w:after="0"/>
              <w:rPr>
                <w:sz w:val="7"/>
                <w:szCs w:val="7"/>
                <w:color w:val="auto"/>
              </w:rPr>
            </w:pPr>
          </w:p>
        </w:tc>
      </w:tr>
    </w:tbl>
    <w:p>
      <w:pPr>
        <w:spacing w:after="0" w:line="253"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There are no family relationships between any of the officers named above and there are no arrangements or understandings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ectPr>
          <w:pgSz w:w="12240" w:h="15840" w:orient="portrait"/>
          <w:cols w:equalWidth="0" w:num="1">
            <w:col w:w="10260"/>
          </w:cols>
          <w:pgMar w:left="1000" w:top="447" w:right="980"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447"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and Regulatory Matters</w:t>
      </w:r>
    </w:p>
    <w:p>
      <w:pPr>
        <w:spacing w:after="0" w:line="25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Criteria Emissions Control </w:t>
      </w:r>
      <w:r>
        <w:rPr>
          <w:rFonts w:ascii="Times New Roman" w:cs="Times New Roman" w:eastAsia="Times New Roman" w:hAnsi="Times New Roman"/>
          <w:sz w:val="20"/>
          <w:szCs w:val="20"/>
          <w:color w:val="auto"/>
        </w:rPr>
        <w:t>Our products are subject to laws and regulations globally that require us to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non-GHG automotive 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varying levels of harmonization. Regulatory authorities may conduct ongoing evaluations of products from all manufacturers. Refer to Item 1A. Risk Factors for additional information.</w:t>
      </w:r>
    </w:p>
    <w:p>
      <w:pPr>
        <w:spacing w:after="0" w:line="202"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The U.S. federal government, through the Environmental Protection Agency (EPA), imposes evolving exhaust and evaporative emission control requirements on vehicles sold in the U.S. The California Air Resources Board (CARB) also imposes stringent exhaust and evaporative emission standards. The Clean Air Act permits other states that have areas with air quality compliance issues to adopt California emission standards in lieu of federal requirements. Various other states have adopted California emission standards, and there is a possibility that additional states could adopt California emission standards in the future. In March 2024, the EPA finalized its Tier 4 Multipollutant Rule that will begin with the 2027 model year. The historically stringent proposal calls for ever-increasing volumes of zero emission vehicles (ZEVs) in order to maintain compliance with progressively stricter standards for air pollutants from new motor vehicles. In March 2025, the EPA announced that it will reconsider the Tier 4 Multipollutant Rule.</w:t>
      </w:r>
    </w:p>
    <w:p>
      <w:pPr>
        <w:spacing w:after="0" w:line="209"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For each model year, we must obtain certification that our vehicles and engines will meet emission requirements of the EPA before we can sell vehicles in the U.S. and Canada, and an executive order from CARB before we can sell vehicles in California and the states that have adopted California emission standards.</w:t>
      </w:r>
    </w:p>
    <w:p>
      <w:pPr>
        <w:spacing w:after="0" w:line="195"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Canadian federal government's current vehicle pollutant emission requirements are generally aligned with U.S. federal requirements.</w:t>
      </w:r>
    </w:p>
    <w:p>
      <w:pPr>
        <w:spacing w:after="0" w:line="178"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was implemented in July 2023. In 2022, China began studies regarding the next generation of vehicle emission standards (China 7), with the final standard expected during the Fifteenth Five-Year Plan (2026–2030). While largely based on Euro 7 (defined below), some divergence and unique requirements are expected regarding pollution abatement and CO2 limits.</w:t>
      </w:r>
    </w:p>
    <w:p>
      <w:pPr>
        <w:spacing w:after="0" w:line="21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2018, Brazil approved a set of national emission standards referred to as L7, implemented in 2022 for new vehicles, and L8, implemented in phases beginning in 2025. L7 standards cover vehicle exhaust emissions, durability for emissions, evaporative emissions, and noise limits, and include additional OBD requirements and a phase-in for onboard refueling vapor recovery systems. L8 standards introduce corporate average emissions targets (fleet average target), which increase in stringency every two years until 2031. Some of the OBD requirements are aligned with those of the EPA.</w:t>
      </w:r>
    </w:p>
    <w:p>
      <w:pPr>
        <w:spacing w:after="0" w:line="204"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As a result of the sale of the Opel and Vauxhall businesses and certain other assets in Europe (the Opel/Vauxhall Business), GM’s vehicle presence in Europe is smaller, but GM may still be affected by actions taken by regulators related both to Opel/ Vauxhall vehicles sold before the sale of the Opel/Vauxhall Business as well as to other vehicles GM continues to sell in Europe. As part of the EU's desire to accelerate the shift to sustainable mobility, the EU has recently rolled out new regulations which will impose more stringent emissions standards on ICE vehicles (Euro 7), with the aim of a 90% reduction in CO2 tail pipe emissions compared to 2021 levels from new vehicles before 2035. These updated standards now include restrictions on non-tail pipe emissions covering both brake and tire emissions. Regulations that are already in place, such as the EU Battery Regulation, and for which technical requirements are currently being shaped will also impact EV battery design, use, and recyclability/recycling. For additional information, refer to Note 16 to our consolidated financial statements.</w:t>
      </w:r>
    </w:p>
    <w:p>
      <w:pPr>
        <w:spacing w:after="0" w:line="205" w:lineRule="exact"/>
        <w:rPr>
          <w:sz w:val="20"/>
          <w:szCs w:val="20"/>
          <w:color w:val="auto"/>
        </w:rPr>
      </w:pPr>
    </w:p>
    <w:p>
      <w:pPr>
        <w:jc w:val="both"/>
        <w:ind w:right="20" w:firstLine="180"/>
        <w:spacing w:after="0" w:line="27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Automotive Fuel Economy and GHG Emissions </w:t>
      </w:r>
      <w:r>
        <w:rPr>
          <w:rFonts w:ascii="Times New Roman" w:cs="Times New Roman" w:eastAsia="Times New Roman" w:hAnsi="Times New Roman"/>
          <w:sz w:val="19"/>
          <w:szCs w:val="19"/>
          <w:color w:val="auto"/>
        </w:rPr>
        <w:t>In the U.S., the National Highway Traffic Safety Administration (NHTSA)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promulgates and enforces Corporate Average Fuel Economy (CAFE) standards for three separate fleets: domestic cars, import cars, and light-duty trucks. Manufacturers may use one or a combination of the following to resolve CAFE fleet deficits: credits from the five prior model years, expected credits for the next three model years, credits obtained from other manufacturers, or payment of civil penalties. In July 2025, the One Big Beautiful Bill Act (the Act) set CAFE civil penalties to zero on a going forward basis for all non-finalized model years. In addition to federal CAFE standards, the EPA promulgates and enforces GHG</w:t>
      </w:r>
    </w:p>
    <w:p>
      <w:pPr>
        <w:sectPr>
          <w:pgSz w:w="12240" w:h="15840" w:orient="portrait"/>
          <w:cols w:equalWidth="0" w:num="1">
            <w:col w:w="10260"/>
          </w:cols>
          <w:pgMar w:left="1000" w:top="447" w:right="980" w:bottom="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447" w:right="9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emission standards. Manufacturers may use one or a combination of the following to resolve EPA GHG fleet deficits: credits from the five prior model years, expected credits for the next three model years, and credits obtained from other manufacturers. NHTSA and the EPA have previously finalized separate standards with differing stringency levels and affected model years, with the CAFE standards addressing the 2024–2026 model years and the GHG standards addressing the 2023–2026 model years, and both standards have been challenged through litigation. In 2024, NHTSA finalized CAFE standards for the 2027– 2031 model years and the EPA finalized GHG standards for the 2027–2032 model years. NHTSA and the EPA have also finalized ongoing fuel efficiency and GHG emissions requirements for medium- and heavy-duty vehicles. These requirements also increase in stringency over time. In June 2025, NHTSA published an interpretive rule indicating that it would revisit its medium- and heavy-duty fuel efficiency program, including related civil penalties, to ensure it is consistent with the agency’s governing statutes. In July 2025, the EPA proposed to remove GHG regulations for light-, medium-, and heavy-duty on-highway vehicles on a retrospective and prospective basis. In December 2025, NHTSA proposed revised CAFE standards for the 2022–2031 model years that reduce the stringency from what were previously finalized. NHTSA also proposed to remove credit trading as a mechanism to resolve deficits, beginning with the 2028 model year.</w:t>
      </w:r>
    </w:p>
    <w:p>
      <w:pPr>
        <w:spacing w:after="0" w:line="20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addition, since 2012, CARB has promulgated and enforces its own light-duty vehicle GHG standards with increasing stringency through model year 2025, and other states have adopted CARB's GHG standards under the Federal Clean Air Act. GM is required to meet state GHG standards in California and the states that have adopted California’s GHG standards. In 2022, CARB began establishing the next phase of regulations beginning with model year 2026. However, CARB has not proposed increases to its GHG standards for the 2026 or later model years.</w:t>
      </w:r>
    </w:p>
    <w:p>
      <w:pPr>
        <w:spacing w:after="0" w:line="20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In 2022, CARB adopted the Advanced Clean Cars II (ACC II) program, which requires the sale of increasing percentages of light-duty ZEVs for the 2026–2035 model years, ending with a 100% ZEV target, which has been adopted by numerous states. CARB received a waiver from the EPA for it and the other adopting states to implement and enforce the ACC II program and that waiver action has been challenged through litigation. CARB has also imposed a ZEV requirement for medium- and heavy-duty vehicles in its Advanced Clean Trucks (ACT) program, requiring increasing percentages of ZEVs for the 2024–2026 model years, ending with a 100% ZEV sales requirement in the 2036 model year. CARB received a waiver from the EPA to enforce ACT. In June 2025, the U.S. Congress passed resolutions of disapproval invalidating EPA’s waivers for ACC II and ACT. These resolutions have been challenged through litigation, which is ongoing.</w:t>
      </w:r>
    </w:p>
    <w:p>
      <w:pPr>
        <w:spacing w:after="0" w:line="205"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In Canada, generally, federal passenger and light truck GHG regulations contain emission standards that are modeled on U.S. EPA passenger and light truck GHG emission standards, as those standards read on February 28, 2022. In December 2023, the Canadian federal government announced the Electric Vehicle Availability Standard (EVAS) as a new, separate requirement within the existing light-duty GHG emission regulation. The EVAS requires a specified percentage of manufacturer's new light-duty vehicles offered for sale in Canada to be ZEV, beginning with model year 2026 and increasing each year to 100% by model year 2035, and potential enforcement actions for non-compliance. On September 5, 2025, the Canadian federal government announced that it would remove the 2026 EVAS target, and launched a 60-day review of the overall regulation. The Canadian federal government has not clarified the status of the EVAS following the 60-day review, but may do so in the future. At the provincial level, Quebec and British Columbia currently maintain ZEV sales requirements, similar to the federal EVAS, including potential monetary penalties for non-compliance. In Quebec, in December 2024, the provincial government additionally legislated a ban on the sale of new light-duty ICE vehicles in Quebec by December 31, 2035. In September 2025, the Quebec government announced that it would lift the ICE ban entirely, and the ZEV sales requirement would be reduced to 90% of total sales in 2035, and reduced annual EV sales targets until 2035. In British Columbia, the provincial ZEV sales requirement remains unchanged since it was last amended in 2023, to require manufacturers to achieve 100% of new EV sales by 2035.</w:t>
      </w:r>
    </w:p>
    <w:p>
      <w:pPr>
        <w:spacing w:after="0" w:line="218"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China has two fuel consumption requirements for passenger vehicles enforced by the Ministry of Industry and Information Technology: an individual vehicle pass-fail type approval requirement and a corporate average fuel consumption (CAFC) requirement. Specific to the CAFC requirement, China introduced Phase 5 in 2021 with full compliance required by 2025 and Phase 6 will span 2026–2030. In addition, China requires passenger car manufacturers to produce a certain volume of plug-in hybrid, battery electric, and fuel cell vehicles, which are referred to as NEVs, from 2019 and beyond. The number of NEV credits per car is based on the electric range, energy efficiency, and battery energy density with the goal of increasing NEV volume penetrations and improving technological sophistication over time. Uncommitted NEV credits may be used to assist compliance with the CAFC requirement. China has finalized NEV credit targets up to 2027. In 2025, China began to study the NEV credit mandates for 2028–2030 with the final standard expected in 2027. These standards increase in stringency, aligned with the trend observed in other key global markets. China is evaluating a transition of these regulations to a carbon system from 2028.</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447"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In Brazil, the National Institute of Metrology, Quality, and Technology, in collaboration with relevant agencies, promulgates and enforces fuel efficiency standards that are comparable to the U.S.' CAFE standards for light-duty and mid-size trucks and SUVs, including diesel vehicles. In 2024, Brazil’s Programa Nacional de Mobilidade Verde e Inovação (MOVER Program) introduced more stringent fuel efficiency and emission requirements between 2024 and 2028.</w:t>
      </w:r>
    </w:p>
    <w:p>
      <w:pPr>
        <w:spacing w:after="0" w:line="200"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Mexico, the Secretariat of Environment and Natural Resources (SEMARNAT) promulgates GHG regulations with the current Phase 1 rule covering vehicles through the 2027 model year. A Phase 2 rule covering 2028–2032 model years is under development and it is expected that SEMARNAT will release a draft by the end of the year.</w:t>
      </w:r>
    </w:p>
    <w:p>
      <w:pPr>
        <w:spacing w:after="0" w:line="195"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We have several options to comply with existing and potential new and amended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evolving fuel economy and GHG regulations. In the years ended December 31, 2025, 2024, and 2023, we paid $0.4 billion, $2.0 billion, and $0.5 billion to purchase credits to facilitate our compliance with regulations. We recorded compliance-related costs of $0.9 billion, $1.0 billion, and $0.7 billion in Automotive and other cost of sales in the years ended December 31, 2025, 2024, and 2023. Our compliance-related costs in the year ended December 31, 2025 include an insignificant charge to write off acquired CAFE credits and $0.4 billion related to the GHG regulations that the EPA has proposed to remove. Refer to Item 1A. Risk Factors for additional information.</w:t>
      </w:r>
    </w:p>
    <w:p>
      <w:pPr>
        <w:spacing w:after="0" w:line="201"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Industrial Environmental Control </w:t>
      </w:r>
      <w:r>
        <w:rPr>
          <w:rFonts w:ascii="Times New Roman" w:cs="Times New Roman" w:eastAsia="Times New Roman" w:hAnsi="Times New Roman"/>
          <w:sz w:val="20"/>
          <w:szCs w:val="20"/>
          <w:color w:val="auto"/>
        </w:rPr>
        <w:t>Our operations are subject to a wide range of environmental protection laws,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regulating air emissions, 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99" w:lineRule="exact"/>
        <w:rPr>
          <w:sz w:val="20"/>
          <w:szCs w:val="20"/>
          <w:color w:val="auto"/>
        </w:rPr>
      </w:pPr>
    </w:p>
    <w:p>
      <w:pPr>
        <w:jc w:val="both"/>
        <w:ind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Chemical Regulations </w:t>
      </w:r>
      <w:r>
        <w:rPr>
          <w:rFonts w:ascii="Times New Roman" w:cs="Times New Roman" w:eastAsia="Times New Roman" w:hAnsi="Times New Roman"/>
          <w:sz w:val="20"/>
          <w:szCs w:val="20"/>
          <w:color w:val="auto"/>
        </w:rPr>
        <w:t>We continually monitor the implementation of chemical regulations to maintain compliance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evaluate their effect on our business, suppliers, and the automotive industry.</w:t>
      </w:r>
    </w:p>
    <w:p>
      <w:pPr>
        <w:spacing w:after="0" w:line="173"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Globally, governments continue to introduce new legislation and regulations related to the selection and use of chemicals by mandating broad prohibitions or restrictions and implementing vehicle interior air quality,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Basel, Rotterdam, and Stockholm Conventions on Chemicals and Waste, the Minamata Convention on Mercury, and EU Registration, Evaluation, Authorization, and Restriction of Chemicals, are driving chemical regulations across signatory countries. Increases in the use of circuit boards and other electronics may require additional assessment under the Restriction of Hazardous Substances and Waste from Electrical and Electronic Equipment directives. New European requirements require suppliers of parts and vehicles to the European market to disclose substances of concern in parts.</w:t>
      </w:r>
    </w:p>
    <w:p>
      <w:pPr>
        <w:spacing w:after="0" w:line="206"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Chemical regulations are evolving in North America. In the U.S., the EPA is moving forward with risk analysis and management of high priority chemicals under the authority of the 2016 Lautenberg Chemical Safety for the 21st Century Act. The EPA has also issued a per- and polyfluoroalkyl substances (PFAS) reporting rule that requires manufacturers to report PFAS use and other data from 2011 to 2022, with certain exemptions proposed in November 2025. In addition, several U.S. states have chemical management regulations that can affect vehicle design and manufacturing, such as chemical restriction and use requirements. For example, Minnesota has adopted PFAS reporting and elimination requirements beginning as early as 2026,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209"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These emerging laws and regulations may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447" w:right="9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Vehicle Safety</w:t>
      </w:r>
    </w:p>
    <w:p>
      <w:pPr>
        <w:spacing w:after="0" w:line="24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 Requirements </w:t>
      </w:r>
      <w:r>
        <w:rPr>
          <w:rFonts w:ascii="Times New Roman" w:cs="Times New Roman" w:eastAsia="Times New Roman" w:hAnsi="Times New Roman"/>
          <w:sz w:val="20"/>
          <w:szCs w:val="20"/>
          <w:color w:val="auto"/>
        </w:rPr>
        <w:t>The National Traffic and Motor Vehicle Safety Act of 1966 (the Safety Act) regulates the vehicles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items of motor vehicle equipment that we manufacture and sell. The Safety Act prohibits the sale in the U.S.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01"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National Requirements </w:t>
      </w:r>
      <w:r>
        <w:rPr>
          <w:rFonts w:ascii="Times New Roman" w:cs="Times New Roman" w:eastAsia="Times New Roman" w:hAnsi="Times New Roman"/>
          <w:sz w:val="20"/>
          <w:szCs w:val="20"/>
          <w:color w:val="auto"/>
        </w:rPr>
        <w:t>Outside of the U.S., many countries have established vehicle safety standards and regulations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are likely to adopt 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UNECE-based regulations with some variations to address local concerns. Any difference between North American and UNECE-based regulations can add complexity and costs to vehicle development, and we continue to support efforts to harmonize regulations to reduce complexity. Safety and recall requirements in various countries around the world, including in China, Brazil, and Gulf Cooperation Council countries, also may add substantial costs and complexity to our safety and field action activities globally. In Canada, vehicle regulatory requirements are generally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Global regulations continue to evolve in scope with new technologies, some of which can be market-specific, that can add complexity and increase our cost of compliance globally.</w:t>
      </w:r>
    </w:p>
    <w:p>
      <w:pPr>
        <w:spacing w:after="0" w:line="208"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Crash Test Ratings and New Car Assessment Programs </w:t>
      </w:r>
      <w:r>
        <w:rPr>
          <w:rFonts w:ascii="Times New Roman" w:cs="Times New Roman" w:eastAsia="Times New Roman" w:hAnsi="Times New Roman"/>
          <w:sz w:val="20"/>
          <w:szCs w:val="20"/>
          <w:color w:val="auto"/>
        </w:rPr>
        <w:t>Organizations in various regions around the world, including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rate and compare motor 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1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Website Access to Our Reports </w:t>
      </w:r>
      <w:r>
        <w:rPr>
          <w:rFonts w:ascii="Times New Roman" w:cs="Times New Roman" w:eastAsia="Times New Roman" w:hAnsi="Times New Roman"/>
          <w:sz w:val="20"/>
          <w:szCs w:val="20"/>
          <w:color w:val="auto"/>
        </w:rPr>
        <w:t>Our internet website address is https://www.gm.com. In addition to the information about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our subsidiaries contained in this 2025 Form 10-K, information about us can be found on our website including information on our corporate governance principles and practices. Our Investor Relations website at https://investor.gm.com and our News website at https://news.gm.com contain a significant amount of information about us, including financial and other information for investors. We encourage investors to visit both websites, as we frequently update and post new information about our Company on these websites and it is possible that this information could be deemed to be material information. Our Investor Relations website and News website and information included in or linked to these websites are not part of this 2025 Form 10-K.</w:t>
      </w:r>
    </w:p>
    <w:p>
      <w:pPr>
        <w:spacing w:after="0" w:line="20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U.S. Securities and Exchange Commission (SEC). The SEC maintains a website that contains reports, proxy and information statements, and other information regarding our filings at https://www.sec.gov.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447"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We have listed below the most material risk factors applicable to us. These risk factors are not necessarily in the order of importance or probability of occurrence:</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competition and strategy</w:t>
      </w:r>
    </w:p>
    <w:p>
      <w:pPr>
        <w:spacing w:after="0" w:line="249"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do not deliver new products, services, technologies, and customer experiences in response to increased competition and changing consumer needs and preferences, our business could suffer. </w:t>
      </w:r>
      <w:r>
        <w:rPr>
          <w:rFonts w:ascii="Times New Roman" w:cs="Times New Roman" w:eastAsia="Times New Roman" w:hAnsi="Times New Roman"/>
          <w:sz w:val="20"/>
          <w:szCs w:val="20"/>
          <w:color w:val="auto"/>
        </w:rPr>
        <w:t>We believe that the automotive industry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continue to experience significant change in the coming years, particularly as traditional automotive original equipment manufacturers (OEMs) shift resources and strategies in response to changes in the regulatory landscape and evolving consumer preferences. In addition to our traditional competitors, we must also be responsive to the entrance of start-ups and other non-traditional competitors in the automotive industry, such as software and ridesharing services supported by large technology companies.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and commercialize new products and services, including products and services that are outside of our historically core ICE business, such as EVs and AV capabilities, software-enabled connected services, future features and services based on AI, and other new businesses.</w:t>
      </w:r>
    </w:p>
    <w:p>
      <w:pPr>
        <w:spacing w:after="0" w:line="207"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The process of designing and developing new technology, products, and services is costly and uncertain and requires extensive capital investment. If our access to capital were to become significantly constrained, if costs of capital increased significantly, or if our ability to raise capital is challenged relative to our peers, our ability to execute on our strategic plans could be adversely affected. Similarly, our ability to execute on our strategic plans could also be adversely affected if we are unable to successfully integrate new technology, including AI, in a timely, cost-effective, compliant, and reasonable manner, or if the methods and processes we use to develop, deploy, or otherwise use such new technology are found to not be in compliance with rapidly evolving regulatory standards.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and preferences, our sales, profitability, and long-term competitiveness may be materially harmed.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attract and retain talented and highly skilled employees is critical to our success and competitiveness.</w:t>
      </w:r>
    </w:p>
    <w:p>
      <w:pPr>
        <w:spacing w:after="0" w:line="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Attracting and retaining employees who are highly skilled in their areas is critical to thriving in an increasingly competitive landscape. In particular, our vehicles and connected services increasingly rely on software and hardware that is highly technical and complex, and our success in this area is dependent upon our ability to retain and recruit the best talent. The market for highly skilled workers and leaders in our industry is extremely competitive. In addition to compensation considerations, current and potential employees are increasingly placing a premium on culture and other various intangibles, such as working for companies with a clear purpose and strong brand reputation, flexible work arrangements, and other considerations. Failure to attract, hire, develop, motivate, and retain highly qualified employees could disrupt our operations and adversely affect our strategic plans.</w:t>
      </w:r>
    </w:p>
    <w:p>
      <w:pPr>
        <w:spacing w:after="0" w:line="19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ability to maintain profitability is dependent upon our ability to timely fund and introduce new and improved vehicle models that are able to attract a sufficient number of consumers. </w:t>
      </w:r>
      <w:r>
        <w:rPr>
          <w:rFonts w:ascii="Times New Roman" w:cs="Times New Roman" w:eastAsia="Times New Roman" w:hAnsi="Times New Roman"/>
          <w:sz w:val="20"/>
          <w:szCs w:val="20"/>
          <w:color w:val="auto"/>
        </w:rPr>
        <w:t>We operate in a very competitive industry with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routinely introducing new and improved vehicle models and features, at decreasing price points,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including tax credits or other government policies in various countries,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 well as other requirements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447"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of our collective bargaining agreements, which limit our flexibility to adjust personnel costs to changes in demands for our products, may further exacerbate the risks associated with incorrectly assessing demand for our vehicles.</w:t>
      </w:r>
    </w:p>
    <w:p>
      <w:pPr>
        <w:spacing w:after="0" w:line="173"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long-term EV strategy is dependent upon our ability to profitably deliver a strategic portfolio of EVs. </w:t>
      </w:r>
      <w:r>
        <w:rPr>
          <w:rFonts w:ascii="Times New Roman" w:cs="Times New Roman" w:eastAsia="Times New Roman" w:hAnsi="Times New Roman"/>
          <w:sz w:val="20"/>
          <w:szCs w:val="20"/>
          <w:color w:val="auto"/>
        </w:rPr>
        <w:t>The production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profitable sale of EVs is an important part of our long-term business strategy. Our EV strategy is dependent on our ability to (1) deliver a strategic portfolio of high-quality EVs that are competitive and meet consumer demands; (2) scale our EV manufacturing capabilities relative to consumer demand; (3) reduce the costs associated with the manufacture of EVs, particularly with respect to battery cells and packs; (4) increase vehicle range and the rate of charge and energy density of our batteries; (5) efficiently source sufficient materials for the manufacture of battery cells; (6) license and monetize our proprietary platforms and related innovations; (7) successfully invest in new technologies relative to our peers; (8) develop new software and services; and (9) leverage our scale, manufacturing capabilities, and synergies with existing ICE vehicles relative to consumer demand. Our progress towards these objectives has impacted, and may continue to impact, the need to record losses on our EV-related inventory, including battery cells. If we are unable to successfully deliver on our EV strategy, it could materially and adversely affect our results of operations, financial condition, and growth prospects, and could negatively impact our brand and reputation.</w:t>
      </w:r>
    </w:p>
    <w:p>
      <w:pPr>
        <w:spacing w:after="0" w:line="211" w:lineRule="exact"/>
        <w:rPr>
          <w:sz w:val="20"/>
          <w:szCs w:val="20"/>
          <w:color w:val="auto"/>
        </w:rPr>
      </w:pPr>
    </w:p>
    <w:p>
      <w:pPr>
        <w:jc w:val="both"/>
        <w:ind w:right="20"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success of our long-term EV strategy is dependent on consumer adoption of EVs. </w:t>
      </w:r>
      <w:r>
        <w:rPr>
          <w:rFonts w:ascii="Times New Roman" w:cs="Times New Roman" w:eastAsia="Times New Roman" w:hAnsi="Times New Roman"/>
          <w:sz w:val="20"/>
          <w:szCs w:val="20"/>
          <w:color w:val="auto"/>
        </w:rPr>
        <w:t>Consumer adoption of EVs has been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slower than anticipated in light of recent U.S. Government policy changes, including the termination of certain consumer tax incentives for EV purchases. EV demand has been and, in the future could be, impacted by numerous additional factors, including the breadth of the portfolio of EVs available; perceptions about EV features, quality, safety, performance, and cost relative to ICE vehicles; the range over which EVs may be driven on a given battery charge; the proliferation and speed of charging infrastructure, in particular with respect to public EV charging stations, and the success of our charging infrastructure programs and strategic joint ventures and other relationships; volatility in energy prices due to increased demand and investments to support electrification efforts; volatility, or a sustained decrease, in the cost of petroleum-based fuel; lack of investments by governments and other third parties to make the necessary infrastructure improvements, such as greater availability of EV charging stations, and lack of meaningful and fully utilizable economic incentives promoting the adoption of EVs; and negative feedback from stakeholders impacting investor and consumer confidence in our Company or industry. For example, in light of the recent U.S. Government policy changes, we have reassessed our EV capacity and manufacturing footprint and completed a strategic realignment to expected consumer demand, and have recorded charges of $1.6 and $6.0 billion in the three months ended September 30, 2025 and December 31, 2025. For the year ended December 31, 2025, we recorded total charges in GMNA of $7.9 billion. If industry-wide adoption rates continue to be slow, we may need to take additional portfolio actions to better match the consumer pace of EV adoption, such as not fully utilizing or reducing the capacity of our existing or future plants or reducing production hours or shifts, and we may become subject to claims by suppliers as a result of such actions. We may be unable to successfully deliver on our EV strategy, which could materially and adversely affect our results of operations, financial condition, and growth prospects, and could negatively impact our brand and reputation.</w:t>
      </w:r>
    </w:p>
    <w:p>
      <w:pPr>
        <w:spacing w:after="0" w:line="20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near-term profitability is dependent upon the success of our current line of vehicles, particularly our full-size ICE SUVs and full-size ICE pickup trucks. </w:t>
      </w:r>
      <w:r>
        <w:rPr>
          <w:rFonts w:ascii="Times New Roman" w:cs="Times New Roman" w:eastAsia="Times New Roman" w:hAnsi="Times New Roman"/>
          <w:sz w:val="20"/>
          <w:szCs w:val="20"/>
          <w:color w:val="auto"/>
        </w:rPr>
        <w:t>While we offer a broad portfolio of cars, crossovers, SUVs, and trucks, along with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strategic portfolio of EVs, we currently recognize the highest profit margins on our full-size ICE SUVs and full-size ICE pickup trucks. As a result, our success is dependent upon our ability to sell higher margin vehicles in sufficient volumes. We are also using the cash generated by our current ICE vehicles to fund our growth strategy, including with respect to the continued development of next-generation ICE vehicles, EVs, autonomous and ADAS technologies, and software-enabled services. Any near-term shift in consumer preferences toward smaller, more fuel-efficient vehicles, whether as a result of increases in the price of oil or any sustained shortage of oil, including as a result of global political instability (such as related to ongoing conflicts globally), concerns about fuel consumption or GHG emissions, or other reasons, could weaken the demand for our higher margin vehicles. More stringent fuel economy regulations could also impact our ability to sell these vehicles or could result in additional costs associated with these vehicles, which could be material. See “Our operations and products are subject to extensive laws, regulations, and policies, including those related to vehicle emissions and fuel economy standards, which can significantly increase our costs and affect how we do business.”</w:t>
      </w:r>
    </w:p>
    <w:p>
      <w:pPr>
        <w:spacing w:after="0" w:line="23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results of operations. </w:t>
      </w:r>
      <w:r>
        <w:rPr>
          <w:rFonts w:ascii="Times New Roman" w:cs="Times New Roman" w:eastAsia="Times New Roman" w:hAnsi="Times New Roman"/>
          <w:sz w:val="20"/>
          <w:szCs w:val="20"/>
          <w:color w:val="auto"/>
        </w:rPr>
        <w:t>The global automotive industry is highly competitive in terms of the quality, innovation, new technologies, pricing,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fuel economy, reliability, safety, customer service, and financial services offered. Additionally, despite the fact that OEMs have experienced supply constraints in recent years due to the COVID-19 pandemic and certain supply chain and logistics challenges, overall manufacturing capacity in the automotive industry has historically far exceeded demand. Supply chain and</w:t>
      </w:r>
    </w:p>
    <w:p>
      <w:pPr>
        <w:sectPr>
          <w:pgSz w:w="12240" w:h="15840" w:orient="portrait"/>
          <w:cols w:equalWidth="0" w:num="1">
            <w:col w:w="10260"/>
          </w:cols>
          <w:pgMar w:left="1000" w:top="447" w:right="980" w:bottom="0" w:gutter="0" w:footer="0" w:header="0"/>
        </w:sectPr>
      </w:pP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447"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logistics challenges may occur as a result of geopolitical and/or policy actions. Our ICE and electric vehicles also require a more resilient, scalable, and sustainable North American-focused supply chain, which includes advancing our strategic sourcing initiatives to secure supply through investments in raw materials suppliers and the execution of strategic, multi-year supply agreements with suppliers throughout the value chain. These agreements may require us to hold higher-than-normal levels of raw materials inventory and to make long-term commitments to purchase raw materials. Expected demand for these raw materials currently exceeds the North American capacity of the existing supply chain. If we are not successful in developing our North American supply chain, our results of operations and profitability could be negatively impacted.</w:t>
      </w:r>
    </w:p>
    <w:p>
      <w:pPr>
        <w:spacing w:after="0" w:line="210"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Many manufacturers, including GM, have relatively high fixed labor costs as well as limitations on their ability to efficiently close facilities and reduce fixed costs, including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or tariffs,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205"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Manufacturers in countries that have lower production costs, such as China and India, have become competitors in key emerging markets and have begun offering their products in established markets, as well as low-cost alternatives to established entry-level automobiles. These actions have had, and are expected to continue to have, a significant negative effect on our vehicle pricing, market share, and results of operations in these markets. In addition, foreign governments may decide to implement tax and other policies that favor their domestic manufacturers at the expense of international manufacturers, including GM and its joint venture partners. Introduction or modification of import tariffs or tariff-related measures may lead to further challenges for GM and our global business.</w:t>
      </w:r>
    </w:p>
    <w:p>
      <w:pPr>
        <w:spacing w:after="0" w:line="201"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refocused our AV strategy on personal vehicles and the execution of this strategy is dependent upon our ability to successfully mitigate unique technological, operational, regulatory, and competitive risks. </w:t>
      </w:r>
      <w:r>
        <w:rPr>
          <w:rFonts w:ascii="Times New Roman" w:cs="Times New Roman" w:eastAsia="Times New Roman" w:hAnsi="Times New Roman"/>
          <w:sz w:val="20"/>
          <w:szCs w:val="20"/>
          <w:color w:val="auto"/>
        </w:rPr>
        <w:t>Cruise Holdings, our wholly-owned subsidiary, had been pursuing the development and commercialization of AV technology for deployment in a robotaxi application. In December 2024, we announced plans to refocus our autonomous driving strategy on personal vehicles and that we would no longer fund Cruise's robotaxi development work. In February 2025, we acquired all of the Cruise equity interests held by noncontrolling shareholders. Following this acquisition, we wound down the Cruise robotaxi operations and combined the GM and Cruise ongoing personal autonomous technical efforts in our GMNA segment. While we expect our refocused AV strategy to be less capital intensive than the Cruise robotaxi plan, we expect that our AV and ADAS development activities will continue to require significant capital investments and remain subject to a variety of risks inherent with the development of new technologies, including our ability to continue to develop self-driving software and hardware; attract and retain key software talent with expertise in AI and machine learning; access sufficient capital; access high-quality data to train the AI models deployed in our AV and ADAS technologies; and respond to significant competition from both established automotive companies and technology companies, some of which may have more resources and capital to devote to AV technologies than we do. In addition, we face risks related to the commercial deployment of AVs, including consumer acceptance, reputation of our brand,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and our relationships with regulators, could impede the successful commercialization of these technologies and impact whether and how these technologies are designed and integrated into our products, and may ultimately subject us to increased costs and uncertainty. To the extent accidents, cybersecurity breaches, or other adverse events associated with our autonomous driving systems occur, we could be subject to liability, reputational harm, government scrutiny, and further regulation, and it could deter consumer adoption of AV and ADAS technology. Any of the foregoing could materially and adversely affect our results of operations, financial condition, and growth prospects.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447"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79"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subject to risks associated with climate change, including evolving regulation of GHG emissions and changing consumer preferences and demand, and the potential increased impacts of severe weather events on our operations and infrastructure. </w:t>
      </w:r>
      <w:r>
        <w:rPr>
          <w:rFonts w:ascii="Times New Roman" w:cs="Times New Roman" w:eastAsia="Times New Roman" w:hAnsi="Times New Roman"/>
          <w:sz w:val="20"/>
          <w:szCs w:val="20"/>
          <w:color w:val="auto"/>
        </w:rPr>
        <w:t>Attention to climate change, societal expectations on companies to address climate change, requirements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 and changes in consumer and investor preferences may result in increased costs, reduced demand for our products, reduced profits, risks associated with new regulatory requirements, risks to our reputation, and the potential for increased litigation and governmental investigations. Despite recent actions taken by the U.S. federal government to reduce the stringency of emissions and fuel economy regulations, we expect such regulations at the federal, state, or local level or in international jurisdictions to continue to evolve and, in the future, such regulations could require us to further limit emissions associated with customer use of products we sell, change our manufacturing processes or product portfolio, or undertake other activities that may require us to incur additional expense, including the purchase of emissions credits or the payment of penalties, which may be material. In addition, the reduction in the stringency of emissions regulations has slowed and may continue to slow consumer demand for EVs in North America.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at the state and federal level in the U.S. and abroad, sustainability-related rules and regulations are facing legal scrutiny. Such regulations may cause disclosure requirements to shift and may increase the risk of litigation or regulatory action, which would result in increased costs (in our operations and supply chain), as well as risks to our reputation or consumer demand for our products if we do not meet demanding stakeholder expectations and standards. Furthermore, our practices are judged against sustainability standards that are continually evolving and not always clear.</w:t>
      </w:r>
    </w:p>
    <w:p>
      <w:pPr>
        <w:spacing w:after="0" w:line="220"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Part of our strategy to address these risks includes the continued scaling of EVs in line with consumer demand, which presents additional risks. See “Our long-term EV strategy is dependent upon our ability to profitably deliver a strategic portfolio of EVs” and “Our near-term profitability is dependent upon the success of our current line of vehicles, particularly our full-size ICE SUVs and full-size ICE pickup trucks.”</w:t>
      </w:r>
    </w:p>
    <w:p>
      <w:pPr>
        <w:spacing w:after="0" w:line="200"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In addition, increased intensity, frequency, or duration of storms, droughts, wildfires, or other severe weather events as a result of climate change may disrupt our production and the production, logistics, cost, and procurement of products from our suppliers, timely delivery of vehicles to customers and operations of our dealers, and could negatively impact working conditions at our plants and those of our suppliers and dealers. Such weather events may also adversely impact the financial condition of our customers, and thereby reduce demand for our products and services. Any of the foregoing could have a material adverse effect on our financial condition and results of operations.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252"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20"/>
          <w:szCs w:val="20"/>
          <w:color w:val="auto"/>
        </w:rPr>
        <w:t>Because we have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 proportion of relatively 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elevated interest rates,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including a moderate to severe recession in any of the markets in which we operate, it could lead to a significant decrease in new vehicle sales, which could materially and adversely affect our results of operations and financial condition.</w:t>
      </w:r>
    </w:p>
    <w:p>
      <w:pPr>
        <w:spacing w:after="0" w:line="203"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Inflationary pressures and persistently high prices and uncertain availability of commodities, raw materials, or other inputs used by us and our suppliers, or instability in logistics and related costs, could negatively impact our profitability.</w:t>
      </w:r>
    </w:p>
    <w:p>
      <w:pPr>
        <w:spacing w:after="0" w:line="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Increases in prices, including as a result of inflation and rising interest rates, for commodities, raw materials, energy, or other inputs that we and our suppliers use in manufacturing products, systems, components, and parts, such as steel, precious metals, non-ferrous metals, critical minerals, or other similar raw materials, or electrical subcomponents, including transistors, diodes, and other semiconductors, or increases in logistics and related costs, have led and may continue to lead to higher production costs for parts, components, and vehicles. In addition, elevated cost, or reduced availability, of critical materials for our EV propulsion systems, including lithium, nickel, cobalt, and certain rare earth metals, may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regulatory, and political factors have created and may continue to create pricing pressure</w:t>
      </w:r>
    </w:p>
    <w:p>
      <w:pPr>
        <w:sectPr>
          <w:pgSz w:w="12240" w:h="15840" w:orient="portrait"/>
          <w:cols w:equalWidth="0" w:num="1">
            <w:col w:w="10260"/>
          </w:cols>
          <w:pgMar w:left="1000" w:top="447" w:right="980" w:bottom="0" w:gutter="0" w:footer="0" w:header="0"/>
        </w:sectPr>
      </w:pP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447"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commodities, raw materials, energy, and other inputs. These inflationary pressures could, in turn, negatively impact our profitability because we may not be able to pass all of those costs on to our customers or require our suppliers to absorb such costs.</w:t>
      </w:r>
    </w:p>
    <w:p>
      <w:pPr>
        <w:spacing w:after="0" w:line="187"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Tariffs applicable to the automotive industry continue to evolve, including in the U.S., where the government has signaled tariff policy may shift in the future. Such tariffs could have a material adverse effect on our financial condition and results of operations. </w:t>
      </w:r>
      <w:r>
        <w:rPr>
          <w:rFonts w:ascii="Times New Roman" w:cs="Times New Roman" w:eastAsia="Times New Roman" w:hAnsi="Times New Roman"/>
          <w:sz w:val="20"/>
          <w:szCs w:val="20"/>
          <w:color w:val="auto"/>
        </w:rPr>
        <w:t>The U.S. and other governments have implemented import tariffs and tariff-related measures—including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parts, raw materials, and other inputs—and have indicated further measures may be under consideration. New or existing trade agreements, including the ongoing review of the U.S.-Mexico-Canada Agreement, may also impact the tariff rate applicable to goods imported by GM or our suppliers. Additionally, certain tariffs are subject to pending legal challenges. In these respects, the global tariff environment remains highly dynamic, and the specific tariffs applicable to goods imported by GM and its suppliers into the U.S. and other countries where we operate continue to evolve.</w:t>
      </w:r>
    </w:p>
    <w:p>
      <w:pPr>
        <w:spacing w:after="0" w:line="206"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We cannot predict with complete precision the breadth of tariffs and related costs that will impact GM in the future. As a result, the ultimate impact of tariffs on our business could exceed our current estimates, which could have a material adverse effect on our financial condition, results of operations and cash flows, and our expected financial results. Our efforts to mitigate the impact of tariffs, including, but not limited to, making changes to our U.S. production plan and reducing or pausing certain imports, may not be successful, and we do not expect such actions to fully offset the impact of tariffs in the near term. We have made and may need to make additional changes to our global production footprint and workforce, which could require significant capital expenditures and could result in asset impairments and other charges, including restructuring charges, any of which could be material. Evolving tariffs globally, along with other trade barriers and trade restrictions, may lead to supply chain disruptions, potentially resulting in increased production costs and the inability to receive certain critical parts.</w:t>
      </w:r>
    </w:p>
    <w:p>
      <w:pPr>
        <w:spacing w:after="0" w:line="204"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in China subjects us to unique operational, competitive, regulatory, and economic risks. </w:t>
      </w:r>
      <w:r>
        <w:rPr>
          <w:rFonts w:ascii="Times New Roman" w:cs="Times New Roman" w:eastAsia="Times New Roman" w:hAnsi="Times New Roman"/>
          <w:sz w:val="20"/>
          <w:szCs w:val="20"/>
          <w:color w:val="auto"/>
        </w:rPr>
        <w:t>Our business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China is subject to aggressive competition from many of the largest global manufacturers and numerous domestic manufacturers, which have experienced significant growth in customer acceptance, as well as non-traditional market participants, such as domestic technology companies. Over the last several years, this intense competition and an increasingly challenging operating environment negatively impacted the profitability of our operations in China, our China JVs' ability to grow vehicle sales in China, and our ability to generate sustainable equity income from our China JVs. As a result of certain restructuring actions previously announced in December 2024, we recorded an other-than-temporary impairment of our equity interests of $2.1 billion and additional equity losses of $2.0 billion in the year ended December 31, 2024, and we recorded charges of $0.6 billion in the year ended December 31, 2025. We expect SAIC General Motors Corp., Ltd. (SGM) will likely incur additional restructuring charges in 2026. We cannot guarantee that the restructuring actions will be successful in our China JVs achieving long-term profitability or that additional, material restructuring actions will not be required.</w:t>
      </w:r>
    </w:p>
    <w:p>
      <w:pPr>
        <w:spacing w:after="0" w:line="208"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addition, our success in China depends upon our ability to adequately address unique market and consumer preferences driven by advancements related to EVs, infotainment, software-enabled connected services, and other new technologies while achieving affordability. Our ability to fully deploy our technologies in China may be impacted by evolving laws and regulations in the U.S. and China and the unique regulatory landscape in China. Increased competition, continued U.S.-China trade tensions, weakening economic conditions in China or China's level of integration with key components of our global supply chain, among other factors, may result in cost increases, price reductions, reduced sales, profitability, and margins, and challenges to gaining or holding market share.</w:t>
      </w:r>
    </w:p>
    <w:p>
      <w:pPr>
        <w:spacing w:after="0" w:line="210"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or the ability of non-Chinese entities to obtain critical materials from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197"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benefit from many ongoing joint ventures and other strategic business relationships, particularly with respect to manufacturing EV battery cells and facilitating access to raw materials necessary for the production of EVs, which we cannot operate solely for our benefit and over which we may have limited control. </w:t>
      </w:r>
      <w:r>
        <w:rPr>
          <w:rFonts w:ascii="Times New Roman" w:cs="Times New Roman" w:eastAsia="Times New Roman" w:hAnsi="Times New Roman"/>
          <w:sz w:val="20"/>
          <w:szCs w:val="20"/>
          <w:color w:val="auto"/>
        </w:rPr>
        <w:t>We are engaged in many strategic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relationships, and we expect that such arrangements will continue to be an important factor in the growth and success of our business, particularly in light of industry consolidation. However, there are no assurances that we will be able to identify or</w:t>
      </w:r>
    </w:p>
    <w:p>
      <w:pPr>
        <w:sectPr>
          <w:pgSz w:w="12240" w:h="15840" w:orient="portrait"/>
          <w:cols w:equalWidth="0" w:num="1">
            <w:col w:w="10260"/>
          </w:cols>
          <w:pgMar w:left="1000" w:top="447" w:right="980" w:bottom="0"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447" w:right="980" w:bottom="0" w:gutter="0" w:footer="0" w:header="0"/>
          <w:type w:val="continuous"/>
        </w:sectPr>
      </w:pPr>
    </w:p>
    <w:bookmarkStart w:id="21" w:name="page22"/>
    <w:bookmarkEnd w:id="21"/>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the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whether as a result of lower than expected EV production volumes, lower than expected rates of consumer adoption, changes in battery technology that reduce the need for certain raw materials, or other reasons, it could materially adversely affect our cash flows and increase our inventory. Further, our investments in raw materials suppliers could expose us to distinct risks not traditionally associated with the automotive sector, and if the raw materials suppliers in which we have invested are unsuccessful, our investments could lose their value.</w:t>
      </w:r>
    </w:p>
    <w:p>
      <w:pPr>
        <w:spacing w:after="0" w:line="211" w:lineRule="exact"/>
        <w:rPr>
          <w:sz w:val="20"/>
          <w:szCs w:val="20"/>
          <w:color w:val="auto"/>
        </w:rPr>
      </w:pPr>
    </w:p>
    <w:p>
      <w:pPr>
        <w:jc w:val="both"/>
        <w:ind w:left="10" w:firstLine="180"/>
        <w:spacing w:after="0" w:line="253" w:lineRule="auto"/>
        <w:rPr>
          <w:sz w:val="20"/>
          <w:szCs w:val="20"/>
          <w:color w:val="auto"/>
        </w:rPr>
      </w:pPr>
      <w:r>
        <w:rPr>
          <w:rFonts w:ascii="Times New Roman" w:cs="Times New Roman" w:eastAsia="Times New Roman" w:hAnsi="Times New Roman"/>
          <w:sz w:val="20"/>
          <w:szCs w:val="20"/>
          <w:color w:val="auto"/>
        </w:rPr>
        <w:t>In addition, many of our operations, primarily in China and Korea as well as certain of our battery manufacturing and raw material sourcing operations in the U.S. and Canada, are carried out by joint ventures. Our primary joint venture agreement for our China JVs expires in 2027, and we are in negotiations with our partner for a new agreement. In joint ventures, we share ownership and management of a company with one or more parties who may not have the same goals, strategies, priorities, business incentives,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because most of the benefits from a successful joint venture are shared among the co-owners, we do not receive all the benefits from our successful joint ventures.</w:t>
      </w:r>
    </w:p>
    <w:p>
      <w:pPr>
        <w:spacing w:after="0" w:line="211" w:lineRule="exact"/>
        <w:rPr>
          <w:sz w:val="20"/>
          <w:szCs w:val="20"/>
          <w:color w:val="auto"/>
        </w:rPr>
      </w:pPr>
    </w:p>
    <w:p>
      <w:pPr>
        <w:jc w:val="both"/>
        <w:ind w:left="10" w:firstLine="180"/>
        <w:spacing w:after="0" w:line="255" w:lineRule="auto"/>
        <w:rPr>
          <w:sz w:val="20"/>
          <w:szCs w:val="20"/>
          <w:color w:val="auto"/>
        </w:rPr>
      </w:pPr>
      <w:r>
        <w:rPr>
          <w:rFonts w:ascii="Times New Roman" w:cs="Times New Roman" w:eastAsia="Times New Roman" w:hAnsi="Times New Roman"/>
          <w:sz w:val="20"/>
          <w:szCs w:val="20"/>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adverse human rights or other impacts, or the failure to satisfy contractual obligations by one or more parties. Moreover, a joint venture may not be subject to the same financial reporting, corporate governance, or compliance approaches that we follow. To the extent another party makes decisions that negatively impact the joint venture or internal control issues arise within the joint venture, we may have to take responsive actions, or we may be subject to penalties, fines, or other punitive actions or suffer reputational harm for these activities.</w:t>
      </w:r>
    </w:p>
    <w:p>
      <w:pPr>
        <w:spacing w:after="0" w:line="205" w:lineRule="exact"/>
        <w:rPr>
          <w:sz w:val="20"/>
          <w:szCs w:val="20"/>
          <w:color w:val="auto"/>
        </w:rPr>
      </w:pPr>
    </w:p>
    <w:p>
      <w:pPr>
        <w:jc w:val="both"/>
        <w:ind w:left="10" w:firstLine="18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20"/>
          <w:szCs w:val="20"/>
          <w:color w:val="auto"/>
        </w:rPr>
        <w:t>We manufacture, sell, and service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globally and rely upon 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(4) political uncertainty, instability, civil unrest, government controls over certain sectors,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or other key markets;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and interest rates; (9) economic downturns or significant changes in macroeconomic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import controls, foreign investment, and other similar measures;</w:t>
      </w:r>
    </w:p>
    <w:p>
      <w:pPr>
        <w:spacing w:after="0" w:line="14" w:lineRule="exact"/>
        <w:rPr>
          <w:sz w:val="20"/>
          <w:szCs w:val="20"/>
          <w:color w:val="auto"/>
        </w:rPr>
      </w:pPr>
    </w:p>
    <w:p>
      <w:pPr>
        <w:jc w:val="both"/>
        <w:ind w:left="10" w:right="20" w:hanging="10"/>
        <w:spacing w:after="0" w:line="283" w:lineRule="auto"/>
        <w:tabs>
          <w:tab w:leader="none" w:pos="40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on our operations or liabilities resulting from U.S. and foreign laws and regulations, including, but not limited to, those related to the Foreign Corrupt Practices Act and certain other anti-corruption laws; (13) differing labor regulations,</w:t>
      </w:r>
    </w:p>
    <w:p>
      <w:pPr>
        <w:sectPr>
          <w:pgSz w:w="12240" w:h="15840" w:orient="portrait"/>
          <w:cols w:equalWidth="0" w:num="1">
            <w:col w:w="10270"/>
          </w:cols>
          <w:pgMar w:left="990" w:top="447" w:right="980" w:bottom="0" w:gutter="0" w:footer="0" w:header="0"/>
        </w:sectPr>
      </w:pPr>
    </w:p>
    <w:p>
      <w:pPr>
        <w:spacing w:after="0" w:line="14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70"/>
          </w:cols>
          <w:pgMar w:left="990" w:top="447"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agreements, requirements, and union relationships; (14) differing dealer and franchise regulations and relationships; (15) difficulties in obtaining financing in foreign countries for local operations; and (16) natural disasters, public health crises, and other catastrophic events.</w:t>
      </w:r>
    </w:p>
    <w:p>
      <w:pPr>
        <w:spacing w:after="0" w:line="190"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20"/>
          <w:szCs w:val="20"/>
          <w:color w:val="auto"/>
        </w:rPr>
        <w:t>We assemble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at various facilities 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and for any number of reasons, including labor disruptions or shortages, supply chain disruptions, the occurrence of a public health crisis,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and applicable labor agreements, need to satisfy our specialized manufacturing requirements, and require specialized equipment.</w:t>
      </w:r>
    </w:p>
    <w:p>
      <w:pPr>
        <w:spacing w:after="0" w:line="216"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addition, substantially all of our hourly employees are represented by unions and covered by collective bargaining agreements that must be negotiated from time-to-time, including at the local facility level. As a result, we may be subject to an increased risk of strikes, work stoppages, or other types of conflicts with labor unions and employees.</w:t>
      </w:r>
    </w:p>
    <w:p>
      <w:pPr>
        <w:spacing w:after="0" w:line="190"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automotive operations are dependent upon the continued ability of our suppliers to deliver the systems, components, raw materials, and parts that we need to manufacture our products. Other than with respect to certain of our offtake agreements with battery raw material suppliers, our use of “just-in-time” manufacturing processes typically allows us to maintain minimal inventory. As a result, our ability to maintain production is dependent upon our suppliers delivering sufficient quantities of systems, components, raw materials, and parts on time to meet our production schedules and specifications.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contractual or other disputes, unfavorable economic or industry conditions, geopolitical conflicts, restrictions on transactions involving certain territories, entities or individuals,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results of operations, and financial condition.</w:t>
      </w:r>
    </w:p>
    <w:p>
      <w:pPr>
        <w:spacing w:after="0" w:line="212"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Pandemics, epidemics, disease outbreaks, and other public health crises have disrupted our business and operations, and future public health crises could materially adversely impact our business, financial condition, liquidity, and results of operations. </w:t>
      </w:r>
      <w:r>
        <w:rPr>
          <w:rFonts w:ascii="Times New Roman" w:cs="Times New Roman" w:eastAsia="Times New Roman" w:hAnsi="Times New Roman"/>
          <w:sz w:val="20"/>
          <w:szCs w:val="20"/>
          <w:color w:val="auto"/>
        </w:rPr>
        <w:t>Pandemics, epidemics, or disease outbreaks in the U.S. or globally, such as the COVID-19 pandemic,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previously disrupted, and may in the future disrupt, our business, which could materially affect our results of operations, financial condition, liquidity, and future expectations. Any such events may adversely impact our global supply chain and global manufacturing operations and cause us to suspend our operations in the affected markets. In particular, we could experience, among other things: (1) continued or additional global supply disruptions; (2) labor disruptions or shortages; (3) an inability to manufacture; (4) an inability to sell to our customers; (5) a decline in showroom traffic and customer demand; (6) customer defaults on automobile loans and leases; (7) lower than expected pricing on vehicles sold at auction; and (8) an impaired ability to access credit and the capital markets. Any new public health crisis could have a material impact on our business, financial condition, and results of operations going forward.</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cybersecurity, information technology, and data management practices</w:t>
      </w:r>
    </w:p>
    <w:p>
      <w:pPr>
        <w:spacing w:after="0" w:line="249"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Competitors may independently develop products and services similar to ours, and there are no guarantees that GM’s intellectual property rights would prevent competitors from independently developing or selling those products and services.</w:t>
      </w:r>
    </w:p>
    <w:p>
      <w:pPr>
        <w:spacing w:after="0" w:line="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There may be instances where, notwithstanding our intellectual property position, competitive products or services may impact the value of our brands and other intangible assets, and our business may be adversely affected. Moreover, although GM takes</w:t>
      </w:r>
    </w:p>
    <w:p>
      <w:pPr>
        <w:sectPr>
          <w:pgSz w:w="12240" w:h="15840" w:orient="portrait"/>
          <w:cols w:equalWidth="0" w:num="1">
            <w:col w:w="10260"/>
          </w:cols>
          <w:pgMar w:left="1000" w:top="447" w:right="980" w:bottom="0" w:gutter="0" w:footer="0" w:header="0"/>
        </w:sectPr>
      </w:pP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447"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and may face increased such risk from the rapid evolution and adoption of AI.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violations of our intellectual property against third parties. Any such action could result in significant costs and diversion of our resources and management’s attention, and there can be no assurance that we will be successful in any such action.</w:t>
      </w:r>
    </w:p>
    <w:p>
      <w:pPr>
        <w:spacing w:after="0" w:line="211"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breaches, cyberattacks, and other disruptions to information technology systems and networked products, including connected vehicles, owned or maintained by us, GM Financial, service providers, such as data processors, or third parties, such as vendors or suppliers, could materially compromise our operations and/or sensitive customer data and proprietary information. </w:t>
      </w:r>
      <w:r>
        <w:rPr>
          <w:rFonts w:ascii="Times New Roman" w:cs="Times New Roman" w:eastAsia="Times New Roman" w:hAnsi="Times New Roman"/>
          <w:sz w:val="20"/>
          <w:szCs w:val="20"/>
          <w:color w:val="auto"/>
        </w:rPr>
        <w:t>We rely upon information technology systems and manufacture networked and connected products,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some of which are managed by third parties, to collect, process, transmit, use, protect, and store electronic information and to manage or support a variety of our business processes, activities, and products. Additionally, we and GM Financial collect, process, transmit, use, protect, and store confidential data, including intellectual property and proprietary business information (including that of our dealers and suppliers), as well as personally identifiable information of our respective customers and employees, in data centers and on information technology networks (including networks that are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service providers or third parties that facilitate our business activities, including vendors, suppliers, customers, counterparties, exchanges, clearing agents, clearinghouses, or other financial intermediaries. Such parties and other third parties who provide us with services or with whom we communicate could also be the source of a cyberattack on, or breach of, our or a provider's operational systems, network, data, or infrastructure. In addition, we regularly identify and track known security vulnerabilities. We are unable to comprehensively apply patches or mitigate all such vulnerabilities before they may be exploited by a threat actor. We have also acquired and in the future may acquire companies with vulnerabilities or unsophisticated security measures, which exposes us to potentially significant cybersecurity risks.</w:t>
      </w:r>
    </w:p>
    <w:p>
      <w:pPr>
        <w:spacing w:after="0" w:line="219"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Despite our and our third-party providers' security measures and business continuity plans, our information technology systems and networked and connected products are vulnerable to intrusions, damage, disruptions, or shutdowns caused by attacks by hackers, computer viruses or worms, malware (including “ransomware”), phishing attacks, spyware, denial of service attacks, and/or breaches due to errors, negligence or malfeasance by employees, contractors, vendors, and others who have access to these systems and products. We and our third-party providers regularly experience cyberattacks and security incidents, such as phishing attacks, and we expect cyberattacks and incidents to continue in varying degrees, including due to the rapid evolution and adoption of AI. While to date no incidents have had a material impact on our operations or financial results, we cannot guarantee that material incidents will not occur in the future. Cybersecurity threat actors are increasingly sophisticated and are targeting employees, contractors, service providers, and third parties through various techniques, including but not limited to, social engineering. Techniques used in cyberattacks to obtain unauthorized access to, disable, or sabotage information technology systems are increasingly diverse and sophisticated, including as a result of emerging technologies, such as AI and machine learning. Significant loss of proprietary data, critical interruptions or delays in our business operations, and damage to our reputation, as well as the risk of claims alleging that we are non-compliant with applicable laws or regulations expose us to potentially substantial liability from private litigation or regulatory actions and related costs under laws protecting the privacy of personal information or unfair or deceptive practices relating to consumer information, reputational damage with customers and business partners, and other risks to our business and competitiveness as a result of accelerating cybersecurity threats.</w:t>
      </w:r>
    </w:p>
    <w:p>
      <w:pPr>
        <w:spacing w:after="0" w:line="207" w:lineRule="exact"/>
        <w:rPr>
          <w:sz w:val="20"/>
          <w:szCs w:val="20"/>
          <w:color w:val="auto"/>
        </w:rPr>
      </w:pPr>
    </w:p>
    <w:p>
      <w:pPr>
        <w:jc w:val="both"/>
        <w:ind w:right="20" w:firstLine="18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of our in-vehicle systems could impact the safety of our customers and reduce confidence in GM and its products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vehicles contain complex information technology systems. These systems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various vehicle functions including engine, transmission, safety, steering, navigation, acceleration, braking, window and door</w:t>
      </w:r>
    </w:p>
    <w:p>
      <w:pPr>
        <w:sectPr>
          <w:pgSz w:w="12240" w:h="15840" w:orient="portrait"/>
          <w:cols w:equalWidth="0" w:num="1">
            <w:col w:w="10260"/>
          </w:cols>
          <w:pgMar w:left="1000" w:top="447" w:right="980" w:bottom="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447"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lock functions, batteries, and electric motors. We have designed, implemented, and tested security measures intended to prevent unauthorized access to these systems. However, hackers and other malicious actors have attempted, and we expect will attempt in the future, to gain unauthorized access to modify, alter, and use networks, vehicle software, or their systems to gain control of, or to change, our vehicles’ functionality, user interface, and performance characteristics, or to gain access to data stored in or generated by the vehicle. Any unauthorized access to, or control of, our vehicles or their systems or any unauthorized access to, acquisition of, or loss of data could adversely impact the safety of our customers or result in failure of our systems, any of which could result in interruptions to our business, legal claims or proceedings, liability, or regulatory penalties. Laws that would permit third-party access to vehicle data and related systems, including "right to repair" laws,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or data, as well as other factors that may result in the perception that our vehicles or their systems or data are capable of being "hacked" and lack appropriate safety controls, could negatively affect our brand and harm our reputation, which could adversely impact our business and results of operations.</w:t>
      </w:r>
    </w:p>
    <w:p>
      <w:pPr>
        <w:spacing w:after="0" w:line="200"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enterprise data practices, including the collection, use, sharing, and security of the personal or other information of our customers, employees, and suppliers, are subject to increasingly complex, restrictive, and punitive regulations in all key market regions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 privacy and protection and unfair and deceptive practice laws and similar regulations, including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 to the use of AI, in many jurisdictions where we do business require that we take significant steps to safeguard such personal information, and these laws and regulations continue to evolve. Under these regulations, which include, but are not limited to, the California Consumer Privacy Act of 2018, as amended by the California Privacy Rights Act, the EU's General Data Protection Regulation 2016/679, the EU's Artificial Intelligence Act, the U.K. Data Protection Act of 2018, and other international data protection, privacy, data security, data localization, and similar national, state, provincial, and local laws, the failure to maintain compliant data practices could result in consumer complaints, private litigation, and regulatory inquiry resulting in civil or criminal penalties, as well as have a negative impact on our brand or result in other harm to our business. In addition, increased consumer sensitivity to real or perceived failures in establishing, implementing, and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The rapid evolution and increased adoption of AI technologies may intensify these risks. Complying with these new laws has significantly increased, and may continue to increase, our operating costs and is driving increased complexity in our operations.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regulations and litigation</w:t>
      </w:r>
    </w:p>
    <w:p>
      <w:pPr>
        <w:spacing w:after="0" w:line="249" w:lineRule="exact"/>
        <w:rPr>
          <w:sz w:val="20"/>
          <w:szCs w:val="20"/>
          <w:color w:val="auto"/>
        </w:rPr>
      </w:pPr>
    </w:p>
    <w:p>
      <w:pPr>
        <w:jc w:val="both"/>
        <w:ind w:right="20"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significantly affected by governmental regulations on a global basis that can increase costs related to the production of our vehicles and affect our product portfolio, particularly regulations relating to fuel economy standards and GHG emissions. Meeting the requirements of these regulations is costly and often technologically challenging,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While the U.S. federal government has taken action to reduce the stringency of fuel economy and GHG emissions regulations, we expect such regulations to continue to evolve across the federal, state, or local level or in international jurisdictions and, in the future, these regulations could require us to further limit the sale of certain profitable ICE products in current and future years, subsidize the sale of less profitable ones, change our manufacturing processes, pay increased penalties, purchase additional credits from our competitors or undertake other activities that may require us to incur additional expense, which may be material. In addition, proposed regulatory changes to the GHG emissions standards could result in an impairment of our emissions credits, similar to the previous impairment we recognized related to our CAFE credits. These requirements and changes in requirements and policies may increase the cost of, and/or 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 affect our revenues and profitability. Refer to the “Environmental and Regulatory Matters” section of Item 1. Business for further information on regulatory and environmental requirements.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447"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with respect to EVs, the availability (or lack thereof) of the raw materials and component supply to make batteries and other elements of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209"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In the current uncertain regulatory framework, compliance costs under existing and potential new regulations for which we may be responsible and that are not reasonably estimable could be substantial. Alleged violations of fuel economy or vehicle emission standards could result in legal proceedings, the recall of one or more of our products, negotiated remedial actions, fines and penalties,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02"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addition, many of our advanced technologies, including AVs, present novel issues with which domestic and foreign regulators have only limited experience and will be subject to evolving regulatory frameworks. Current or any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196"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20"/>
          <w:szCs w:val="20"/>
          <w:color w:val="auto"/>
        </w:rPr>
        <w:t>We are subject to legal proceedings in the U.S. and elsewhere involving various issues, including product liability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lawsuits, warranty litigations, class action litigations alleging product defects, emissions litigations, privacy matters, stockholder litigations, labor and employment litigations, and claims and actions arising from restructurings and divestitures of operations and assets. In addition, we are subject to various governmental proceedings and investigations. A negative outcome in one or more of these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certain of these matters, refer to Note 16 to our consolidated financial statements.</w:t>
      </w:r>
    </w:p>
    <w:p>
      <w:pPr>
        <w:spacing w:after="0" w:line="20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costs and effect on our reputation of product safety recalls and alleged defects in products and services could materially adversely affect our business. </w:t>
      </w:r>
      <w:r>
        <w:rPr>
          <w:rFonts w:ascii="Times New Roman" w:cs="Times New Roman" w:eastAsia="Times New Roman" w:hAnsi="Times New Roman"/>
          <w:sz w:val="20"/>
          <w:szCs w:val="20"/>
          <w:color w:val="auto"/>
        </w:rPr>
        <w:t>Government safety standards require manufacturers to remedy certain product safety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defects through recall campaigns and vehicle repurchases. 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industry with respect to new technologies.</w:t>
      </w:r>
    </w:p>
    <w:p>
      <w:pPr>
        <w:spacing w:after="0" w:line="211"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19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incur additional tax expense, become subject to additional tax exposure, or fail to fully realize available tax incentives. </w:t>
      </w:r>
      <w:r>
        <w:rPr>
          <w:rFonts w:ascii="Times New Roman" w:cs="Times New Roman" w:eastAsia="Times New Roman" w:hAnsi="Times New Roman"/>
          <w:sz w:val="20"/>
          <w:szCs w:val="20"/>
          <w:color w:val="auto"/>
        </w:rPr>
        <w:t>We are subject to the tax laws and regulations of the U.S. and numerous other jurisdictions in which we do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U.S. and other countries in which we do business (for example, the Act and the</w:t>
      </w:r>
    </w:p>
    <w:p>
      <w:pPr>
        <w:sectPr>
          <w:pgSz w:w="12240" w:h="15840" w:orient="portrait"/>
          <w:cols w:equalWidth="0" w:num="1">
            <w:col w:w="10260"/>
          </w:cols>
          <w:pgMar w:left="1000" w:top="447" w:right="980" w:bottom="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447"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Inflation Reduction Act (IRA)), the possibility of tax controversy related to adverse determinations with respect to the application of existing laws (for example, with respect to full realization of the incentives contemplated by the IRA),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results of operations, cash flows, and financial condition could be adversely affected.</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Automotive Financing - GM Financial</w:t>
      </w:r>
    </w:p>
    <w:p>
      <w:pPr>
        <w:spacing w:after="0" w:line="255"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20"/>
          <w:szCs w:val="20"/>
          <w:color w:val="auto"/>
        </w:rPr>
        <w:t>GM Financial faces a number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economic, and financial 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The primary factors that could adversely affect GM Financial’s business and operations and reduce its ability to provide financing services at competitive rates include the sufficiency, availability, and cost of sources of funding,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currency exchange rates; competition for customers from commercial banks, credit unions, and other financing and leasing companies; and changes to regulation, supervision, enforcement, and licensing across various jurisdictions.</w:t>
      </w:r>
    </w:p>
    <w:p>
      <w:pPr>
        <w:spacing w:after="0" w:line="205"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Further, as an entity operating in the financial services sector, GM Financial is required to comply with a wide variety of laws and regulations that may be costly to adhere to and may affect our consolidated results of operations. Compliance with these laws and regulations requires that GM Financial maintain forms, processes, procedures, controls, and the infrastructure to support these requirements. Laws in the financial services industry are designed primarily for the protection of consumers. The failure to comply with these laws could result in significant statutory civil and criminal penalties, monetary damages, attorneys’ fees and costs, revocation of licenses, and damage to reputation, brand, and valued customer relationships.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defined benefit pension plans</w:t>
      </w:r>
    </w:p>
    <w:p>
      <w:pPr>
        <w:spacing w:after="0" w:line="24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the level of benefits provided for by the plans, changes in laws or regulations, or changes in assumptions or investments that do not achieve adequate returns. </w:t>
      </w:r>
      <w:r>
        <w:rPr>
          <w:rFonts w:ascii="Times New Roman" w:cs="Times New Roman" w:eastAsia="Times New Roman" w:hAnsi="Times New Roman"/>
          <w:sz w:val="20"/>
          <w:szCs w:val="20"/>
          <w:color w:val="auto"/>
        </w:rPr>
        <w:t>Our employee benefit plans currently hold a significant amount of equity and fixed income securities.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205"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02"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95"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7" w:right="980" w:bottom="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447" w:right="9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associated with cybersecurity threats. We have implemented cybersecurity policies, procedures, technologies, and controls to aid in our efforts to access, identify, and manage such risks. Material risks from cybersecurity threats are managed across GM, GM Financial, service providers such as data processors, third-party suppliers, dealers, and vendors, and monitoring such risks and threats are integrated into the Company's overall risk management program.</w:t>
      </w:r>
    </w:p>
    <w:p>
      <w:pPr>
        <w:spacing w:after="0" w:line="20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GM has a Cybersecurity Management Board that brings together representatives from senior management across the Company's Software &amp;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incident information are reviewed by the Company's Chief Information Security Officer (CISO), the Risk and Cybersecurity Committee of the Company's Board of Directors, and the Cybersecurity Management Board during standing meetings as well as in impromptu sessions, when appropriate. During the reviews, various topics are discussed, which may include:</w:t>
      </w:r>
    </w:p>
    <w:p>
      <w:pPr>
        <w:spacing w:after="0" w:line="210" w:lineRule="exact"/>
        <w:rPr>
          <w:sz w:val="20"/>
          <w:szCs w:val="20"/>
          <w:color w:val="auto"/>
        </w:rPr>
      </w:pPr>
    </w:p>
    <w:p>
      <w:pPr>
        <w:ind w:left="720" w:right="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and maturity of the Company's cybersecurity program, risk management framework, including cybersecurity risk policies, procedures, and governance;</w:t>
      </w:r>
    </w:p>
    <w:p>
      <w:pPr>
        <w:ind w:left="720" w:right="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and privacy risk, including potential impact to the Company's employees, customers, supply chain, joint ventures, and other stakeholders;</w:t>
      </w: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intelligence briefings on notable cyber events impacting the industry; and</w:t>
      </w:r>
    </w:p>
    <w:p>
      <w:pPr>
        <w:spacing w:after="0" w:line="1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budget and resource allocation, including industry benchmarking and economic modeling of various potential cybersecurity events.</w:t>
      </w:r>
    </w:p>
    <w:p>
      <w:pPr>
        <w:spacing w:after="0" w:line="178"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The Company maintains administrative, physical, technical, and organizational safeguards, including employee training, incident response capability reviews and exercises, cybersecurity insurance, and business continuity mechanisms for the protection of the Company's assets. From time to time, the Company's processes are audited and validated by internal and external experts. The Company leverages a third-party risk management process with the goal of minimizing disruption to the Company's business and production operations, strengthening supply chain resilience in response to cyber-related events, and supporting the integrity of components and systems used in its products and services.</w:t>
      </w:r>
    </w:p>
    <w:p>
      <w:pPr>
        <w:spacing w:after="0" w:line="20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When cybersecurity incidents occur, the GM Cybersecurity team's focus is on responding to and containing the threat and minimizing impact. When we become aware of a cybersecurity incident, we have defined policies and procedures to respond to and recover from such incident as quickly as possible. In the event of a cybersecurity incident, the Cybersecurity team also assesses, among other factors, safety impact, supply chain and manufacturing disruption, data and personal information loss, business operations disruption, projected cost, and potential for reputational harm, with support from external technical, legal, and law enforcement, as appropriate. Our policies and procedures are reviewed periodically for alignment with regulatory requirements and the threat landscape.</w:t>
      </w:r>
    </w:p>
    <w:p>
      <w:pPr>
        <w:spacing w:after="0" w:line="210"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The Company has not experienced any material cybersecurity incidents and expenses incurred from cybersecurity incidents were immaterial (including penalties and settlements, of which there were none). For a discussion of whether and how any risks from cybersecurity threats, including as a result of any previous cybersecurity incidents, have materially affected or, if realized, are reasonably likely to materially affect the Company, including its business strategy, results of operations, or financial condition, see Item 1A. Risk Factors – "Risks related to our intellectual property, cybersecurity, information technology, and data management practices", which are incorporated by reference into this Item 1C.</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447"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The GM Board of Directors is responsible for overseeing the Company's enterprise risk, and has established its Risk and Cybersecurity Committee with specific responsibility for overseeing our cybersecurity program, among other things. The Company's cybersecurity organization is led by the CISO, who is responsible for assessing and managing material risks from cybersecurity threats and reports to the Risk and Cybersecurity Committee. The CISO has served in this role since December 2024 and has more than 20 years of experience in various information technology, cybersecurity, and software engineering roles. The CISO's experience includes building and leading cybersecurity functions at large enterprises, startups, and research and development centers, as well as leading software engineering teams responsible for building and operating large-scale software services. The CISO also has expertise in building and designing secure software, scalable and resilient systems, incident response practices, privacy programs, and other critical security disciplines and practice areas. The CISO holds a master's degree in information security policy and management, has taught information security courses at the graduate level, is an inventor on cybersecurity-related patents, and has been a speaker at leading cybersecurity conferences.</w:t>
      </w:r>
    </w:p>
    <w:p>
      <w:pPr>
        <w:spacing w:after="0" w:line="213"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The CISO and the Cybersecurity Management Board monitor the prevention, mitigation, detection, and remediation of cybersecurity incidents through their management of, and participation in, the cybersecurity risk management and strategy processes described above, including through the operation of the Company's incident response plans, which include periodic reports and escalation to the Risk and Cybersecurity Committee, as appropriate, and simulated exercises.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At December 31, 2025, we had over 100 locations in the U.S. within our GMNA segment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04"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We have manufacturing, assembly, distribution, office, or warehousing operations in 33 countries, including equity interests in associated companies, which perform manufacturing, assembly, or distribution operations. The major facilities outside the U.S., which are principally vehicle manufacturing and assembly operations, are located in Canada and Mexico within our GMNA segment, and Brazil, China, and South Korea within our GMI segment.</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These facilities are used to support our automotive operations and are suitable and adequate for the conduct of our business.</w:t>
      </w:r>
    </w:p>
    <w:p>
      <w:pPr>
        <w:spacing w:after="0" w:line="250"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GM Financial owns or leases facilities for administration and regional credit centers. GM Financial has 32 facilities, of which 20 are located in the U.S. The major facilities outside the U.S. are located in Brazil, Canada, China, and Mexico.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447"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0"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GM's 2023 Annual Report on Form 10-K, GM reported that in February 2023, it had self-disclosed to the EPA potential violations of the Toxic Substances Control Act's (TSCA) requirements applicable to the import of new chemical substances at our Ultium Cells LLC joint venture. In November 2023, these potential violations were settled via consent agreement with the EPA, the terms of which include, among other items, payment of civil penalties based upon import activity prior to receipt of a TSCA 5(e) order. As of December 31, 2025, GM has incurred an estimated $18.2 million in civil penalties. These penalties, which will continue to grow until the EPA issues a TSCA 5(e) order, are assessed jointly and severally to GM and Ultium Cells LLC.</w:t>
      </w:r>
    </w:p>
    <w:p>
      <w:pPr>
        <w:spacing w:after="0" w:line="210" w:lineRule="exact"/>
        <w:rPr>
          <w:sz w:val="20"/>
          <w:szCs w:val="20"/>
          <w:color w:val="auto"/>
        </w:rPr>
      </w:pPr>
    </w:p>
    <w:p>
      <w:pPr>
        <w:jc w:val="center"/>
        <w:ind w:right="160"/>
        <w:spacing w:after="0" w:line="497" w:lineRule="auto"/>
        <w:rPr>
          <w:sz w:val="20"/>
          <w:szCs w:val="20"/>
          <w:color w:val="auto"/>
        </w:rPr>
      </w:pPr>
      <w:r>
        <w:rPr>
          <w:rFonts w:ascii="Times New Roman" w:cs="Times New Roman" w:eastAsia="Times New Roman" w:hAnsi="Times New Roman"/>
          <w:sz w:val="20"/>
          <w:szCs w:val="20"/>
          <w:color w:val="auto"/>
        </w:rPr>
        <w:t>The discussion under Note 16 to our consolidated financial statements is incorporated by reference into this Part I, Item 3.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Market Information </w:t>
      </w:r>
      <w:r>
        <w:rPr>
          <w:rFonts w:ascii="Times New Roman" w:cs="Times New Roman" w:eastAsia="Times New Roman" w:hAnsi="Times New Roman"/>
          <w:sz w:val="20"/>
          <w:szCs w:val="20"/>
          <w:color w:val="auto"/>
        </w:rPr>
        <w:t>Shares of our common stock are publicly traded on the New York Stock Exchange under the symbol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"GM".</w:t>
      </w:r>
    </w:p>
    <w:p>
      <w:pPr>
        <w:spacing w:after="0" w:line="1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Holders </w:t>
      </w:r>
      <w:r>
        <w:rPr>
          <w:rFonts w:ascii="Times New Roman" w:cs="Times New Roman" w:eastAsia="Times New Roman" w:hAnsi="Times New Roman"/>
          <w:sz w:val="20"/>
          <w:szCs w:val="20"/>
          <w:color w:val="auto"/>
        </w:rPr>
        <w:t>At January 15, 2026, we had 904 million issued and outstanding shares of common stock held by 443 holders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w:t>
      </w:r>
    </w:p>
    <w:p>
      <w:pPr>
        <w:spacing w:after="0" w:line="1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In February 2025, our Board of Directors approved an increase in the quarterly common stock dividend of $0.03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$0.15 per share beginning with the quarterly dividend declared in April 2025. In January 2026, our Board of Directors approved an increase in the quarterly common stock dividend of $0.03 to $0.18 per share beginning with the quarterly dividend declared in January 2026. We anticipate that we will 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Item 7. MD&amp;A.</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447" w:right="980" w:bottom="0"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3"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Stock Performance Graph </w:t>
      </w:r>
      <w:r>
        <w:rPr>
          <w:rFonts w:ascii="Times New Roman" w:cs="Times New Roman" w:eastAsia="Times New Roman" w:hAnsi="Times New Roman"/>
          <w:sz w:val="20"/>
          <w:szCs w:val="20"/>
          <w:color w:val="auto"/>
        </w:rPr>
        <w:t>The following graph compares the performance of our common stock to the Standard &amp; Poor's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(S&amp;P) 500 Stock Index and the Dow Jones Automobile &amp; Parts Titans 30 Index for the last five years. It assumes $100 was invested on December 31, 2020, with dividends being reinvested.</w:t>
      </w:r>
    </w:p>
    <w:p>
      <w:pPr>
        <w:spacing w:after="0" w:line="2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6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$250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-58420</wp:posOffset>
                </wp:positionV>
                <wp:extent cx="59912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122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4.5999pt" to="507.75pt,-4.5999pt" o:allowincell="f" strokecolor="#E6E6E6" strokeweight="0.75pt"/>
            </w:pict>
          </mc:Fallback>
        </mc:AlternateContent>
      </w:r>
    </w:p>
    <w:p>
      <w:pPr>
        <w:spacing w:after="0" w:line="14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-53340</wp:posOffset>
            </wp:positionV>
            <wp:extent cx="5991225" cy="147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5991225" cy="1476375"/>
                    </a:xfrm>
                    <a:prstGeom prst="rect">
                      <a:avLst/>
                    </a:prstGeom>
                    <a:noFill/>
                  </pic:spPr>
                </pic:pic>
              </a:graphicData>
            </a:graphic>
          </wp:anchor>
        </w:drawing>
      </w:r>
    </w:p>
    <w:p>
      <w:pPr>
        <w:spacing w:after="0" w:line="125"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$200</w:t>
      </w:r>
    </w:p>
    <w:p>
      <w:pPr>
        <w:spacing w:after="0" w:line="16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$175</w:t>
      </w:r>
    </w:p>
    <w:p>
      <w:pPr>
        <w:spacing w:after="0" w:line="145"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$150</w:t>
      </w:r>
    </w:p>
    <w:p>
      <w:pPr>
        <w:spacing w:after="0" w:line="16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$125</w:t>
      </w:r>
    </w:p>
    <w:p>
      <w:pPr>
        <w:spacing w:after="0" w:line="16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20"/>
          <w:szCs w:val="20"/>
          <w:b w:val="1"/>
          <w:bCs w:val="1"/>
          <w:color w:val="595959"/>
        </w:rPr>
        <w:t>$100</w:t>
      </w:r>
    </w:p>
    <w:p>
      <w:pPr>
        <w:spacing w:after="0" w:line="145"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b w:val="1"/>
          <w:bCs w:val="1"/>
          <w:color w:val="595959"/>
        </w:rPr>
        <w:t>$75</w:t>
      </w:r>
    </w:p>
    <w:p>
      <w:pPr>
        <w:spacing w:after="0" w:line="160"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b w:val="1"/>
          <w:bCs w:val="1"/>
          <w:color w:val="595959"/>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-48895</wp:posOffset>
                </wp:positionV>
                <wp:extent cx="59912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122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8499pt" to="507.75pt,-3.8499pt" o:allowincell="f" strokecolor="#E6E6E6" strokeweight="0.75pt"/>
            </w:pict>
          </mc:Fallback>
        </mc:AlternateContent>
      </w:r>
    </w:p>
    <w:p>
      <w:pPr>
        <w:spacing w:after="0" w:line="125"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b w:val="1"/>
          <w:bCs w:val="1"/>
          <w:color w:val="595959"/>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-48895</wp:posOffset>
                </wp:positionV>
                <wp:extent cx="599122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122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8499pt" to="507.75pt,-3.8499pt" o:allowincell="f" strokecolor="#E6E6E6" strokeweight="0.75pt"/>
            </w:pict>
          </mc:Fallback>
        </mc:AlternateContent>
      </w:r>
    </w:p>
    <w:p>
      <w:pPr>
        <w:spacing w:after="0" w:line="140"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color w:val="595959"/>
        </w:rPr>
        <w:t>$0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-48895</wp:posOffset>
                </wp:positionV>
                <wp:extent cx="59912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122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8499pt" to="507.75pt,-3.8499pt" o:allowincell="f" strokecolor="#E6E6E6" strokeweight="0.75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-48895</wp:posOffset>
                </wp:positionV>
                <wp:extent cx="59912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1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8499pt" to="507.75pt,-3.8499pt" o:allowincell="f" strokecolor="#000000" strokeweight="0.75pt"/>
            </w:pict>
          </mc:Fallback>
        </mc:AlternateContent>
      </w:r>
    </w:p>
    <w:tbl>
      <w:tblPr>
        <w:tblLayout w:type="fixed"/>
        <w:tblInd w:w="810" w:type="dxa"/>
        <w:tblCellMar>
          <w:top w:w="0" w:type="dxa"/>
          <w:left w:w="0" w:type="dxa"/>
          <w:bottom w:w="0" w:type="dxa"/>
          <w:right w:w="0" w:type="dxa"/>
        </w:tblCellMar>
      </w:tblPr>
      <w:tr>
        <w:trPr>
          <w:trHeight w:val="265"/>
        </w:trPr>
        <w:tc>
          <w:tcPr>
            <w:tcW w:w="146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rPr>
              <w:t>2020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595959"/>
              </w:rPr>
              <w:t>2021</w:t>
            </w:r>
          </w:p>
        </w:tc>
        <w:tc>
          <w:tcPr>
            <w:tcW w:w="2100" w:type="dxa"/>
            <w:vAlign w:val="bottom"/>
          </w:tcPr>
          <w:p>
            <w:pPr>
              <w:jc w:val="right"/>
              <w:ind w:right="660"/>
              <w:spacing w:after="0"/>
              <w:rPr>
                <w:sz w:val="20"/>
                <w:szCs w:val="20"/>
                <w:color w:val="auto"/>
              </w:rPr>
            </w:pPr>
            <w:r>
              <w:rPr>
                <w:rFonts w:ascii="Times New Roman" w:cs="Times New Roman" w:eastAsia="Times New Roman" w:hAnsi="Times New Roman"/>
                <w:sz w:val="20"/>
                <w:szCs w:val="20"/>
                <w:b w:val="1"/>
                <w:bCs w:val="1"/>
                <w:color w:val="595959"/>
              </w:rPr>
              <w:t>2022</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rPr>
              <w:t>2023</w:t>
            </w:r>
          </w:p>
        </w:tc>
        <w:tc>
          <w:tcPr>
            <w:tcW w:w="158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595959"/>
              </w:rPr>
              <w:t>2024</w:t>
            </w: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595959"/>
              </w:rPr>
              <w:t>2025</w:t>
            </w:r>
          </w:p>
        </w:tc>
        <w:tc>
          <w:tcPr>
            <w:tcW w:w="0" w:type="dxa"/>
            <w:vAlign w:val="bottom"/>
          </w:tcPr>
          <w:p>
            <w:pPr>
              <w:spacing w:after="0"/>
              <w:rPr>
                <w:sz w:val="1"/>
                <w:szCs w:val="1"/>
                <w:color w:val="auto"/>
              </w:rPr>
            </w:pPr>
          </w:p>
        </w:tc>
      </w:tr>
      <w:tr>
        <w:trPr>
          <w:trHeight w:val="40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595959"/>
              </w:rPr>
              <w:t>General Motors Company</w:t>
            </w:r>
          </w:p>
        </w:tc>
        <w:tc>
          <w:tcPr>
            <w:tcW w:w="300" w:type="dxa"/>
            <w:vAlign w:val="bottom"/>
            <w:tcBorders>
              <w:bottom w:val="single" w:sz="8" w:color="929292"/>
            </w:tcBorders>
          </w:tcPr>
          <w:p>
            <w:pPr>
              <w:spacing w:after="0"/>
              <w:rPr>
                <w:sz w:val="24"/>
                <w:szCs w:val="24"/>
                <w:color w:val="auto"/>
              </w:rPr>
            </w:pPr>
          </w:p>
        </w:tc>
        <w:tc>
          <w:tcPr>
            <w:tcW w:w="21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595959"/>
              </w:rPr>
              <w:t>S&amp;P 500 Stock Index</w:t>
            </w:r>
          </w:p>
        </w:tc>
        <w:tc>
          <w:tcPr>
            <w:tcW w:w="300" w:type="dxa"/>
            <w:vAlign w:val="bottom"/>
            <w:tcBorders>
              <w:bottom w:val="single" w:sz="8" w:color="B6B6B6"/>
            </w:tcBorders>
          </w:tcPr>
          <w:p>
            <w:pPr>
              <w:spacing w:after="0"/>
              <w:rPr>
                <w:sz w:val="24"/>
                <w:szCs w:val="24"/>
                <w:color w:val="auto"/>
              </w:rPr>
            </w:pPr>
          </w:p>
        </w:tc>
        <w:tc>
          <w:tcPr>
            <w:tcW w:w="3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595959"/>
              </w:rPr>
              <w:t>Dow Jones Automobile &amp; Parts Titans 30 Index</w:t>
            </w:r>
          </w:p>
        </w:tc>
        <w:tc>
          <w:tcPr>
            <w:tcW w:w="0" w:type="dxa"/>
            <w:vAlign w:val="bottom"/>
          </w:tcPr>
          <w:p>
            <w:pPr>
              <w:spacing w:after="0"/>
              <w:rPr>
                <w:sz w:val="1"/>
                <w:szCs w:val="1"/>
                <w:color w:val="auto"/>
              </w:rPr>
            </w:pPr>
          </w:p>
        </w:tc>
      </w:tr>
      <w:tr>
        <w:trPr>
          <w:trHeight w:val="86"/>
        </w:trPr>
        <w:tc>
          <w:tcPr>
            <w:tcW w:w="24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-144780</wp:posOffset>
            </wp:positionV>
            <wp:extent cx="190500" cy="152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190500" cy="152400"/>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-144780</wp:posOffset>
            </wp:positionV>
            <wp:extent cx="152400" cy="152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-144780</wp:posOffset>
            </wp:positionV>
            <wp:extent cx="152400"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314"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stock performance graph data points in dollars: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80"/>
        </w:trPr>
        <w:tc>
          <w:tcPr>
            <w:tcW w:w="4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General Motors Company</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93"/>
        </w:trPr>
        <w:tc>
          <w:tcPr>
            <w:tcW w:w="4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500 Stock Index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307"/>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Dow Jones Automobile &amp; Parts Titans 30 Index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Purchases of Equity Securities </w:t>
      </w:r>
      <w:r>
        <w:rPr>
          <w:rFonts w:ascii="Times New Roman" w:cs="Times New Roman" w:eastAsia="Times New Roman" w:hAnsi="Times New Roman"/>
          <w:sz w:val="20"/>
          <w:szCs w:val="20"/>
          <w:color w:val="auto"/>
        </w:rPr>
        <w:t>The following table summarizes our purchases of common stock in the three months ended</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69"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64"/>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as Part of Publicly</w:t>
            </w: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8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44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Purchased(a)</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Share(b)</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90"/>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October 1, 2025 through October 31, 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3,769,823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68.99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3,607,418</w:t>
            </w:r>
          </w:p>
        </w:tc>
        <w:tc>
          <w:tcPr>
            <w:tcW w:w="80" w:type="dxa"/>
            <w:vAlign w:val="bottom"/>
            <w:shd w:val="clear" w:color="auto" w:fill="CCEEFF"/>
          </w:tcPr>
          <w:p>
            <w:pPr>
              <w:spacing w:after="0"/>
              <w:rPr>
                <w:sz w:val="24"/>
                <w:szCs w:val="2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$2.6 billion</w:t>
            </w:r>
          </w:p>
        </w:tc>
        <w:tc>
          <w:tcPr>
            <w:tcW w:w="0" w:type="dxa"/>
            <w:vAlign w:val="bottom"/>
          </w:tcPr>
          <w:p>
            <w:pPr>
              <w:spacing w:after="0"/>
              <w:rPr>
                <w:sz w:val="1"/>
                <w:szCs w:val="1"/>
                <w:color w:val="auto"/>
              </w:rPr>
            </w:pPr>
          </w:p>
        </w:tc>
      </w:tr>
      <w:tr>
        <w:trPr>
          <w:trHeight w:val="294"/>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 2025 through November 30,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12,580,527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12,578,278</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 billion</w:t>
            </w:r>
          </w:p>
        </w:tc>
        <w:tc>
          <w:tcPr>
            <w:tcW w:w="0" w:type="dxa"/>
            <w:vAlign w:val="bottom"/>
          </w:tcPr>
          <w:p>
            <w:pPr>
              <w:spacing w:after="0"/>
              <w:rPr>
                <w:sz w:val="1"/>
                <w:szCs w:val="1"/>
                <w:color w:val="auto"/>
              </w:rPr>
            </w:pPr>
          </w:p>
        </w:tc>
      </w:tr>
      <w:tr>
        <w:trPr>
          <w:trHeight w:val="296"/>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December 1, 2025 through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17,237,459</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79.21</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17,213,187</w:t>
            </w:r>
          </w:p>
        </w:tc>
        <w:tc>
          <w:tcPr>
            <w:tcW w:w="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$0.3 billion</w:t>
            </w:r>
          </w:p>
        </w:tc>
        <w:tc>
          <w:tcPr>
            <w:tcW w:w="0" w:type="dxa"/>
            <w:vAlign w:val="bottom"/>
          </w:tcPr>
          <w:p>
            <w:pPr>
              <w:spacing w:after="0"/>
              <w:rPr>
                <w:sz w:val="1"/>
                <w:szCs w:val="1"/>
                <w:color w:val="auto"/>
              </w:rPr>
            </w:pPr>
          </w:p>
        </w:tc>
      </w:tr>
      <w:tr>
        <w:trPr>
          <w:trHeight w:val="260"/>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33,587,809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33,398,883</w:t>
            </w: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-56515</wp:posOffset>
            </wp:positionV>
            <wp:extent cx="850900" cy="76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850900" cy="7620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-56515</wp:posOffset>
            </wp:positionV>
            <wp:extent cx="965200" cy="76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965200" cy="762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70" w:hanging="370"/>
        <w:spacing w:after="0" w:line="250" w:lineRule="auto"/>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include shares delivered by employees or directors to us for the payment of taxes resulting from issuance of common stock upon the vesting of Restricted Stock Units (RSUs) relating to compensation plans. In June 2020, our shareholders approved the 2020 Long-Term Incentive Plan (LTIP), which authorizes awards of stock options, stock appreciation rights, RSUs, Performance Stock Units (PSUs), or other stock-based awards to selected employees, consultants, advisors, and non-employee Directors of the Company. Refer to Note 22 to our consolidated financial statements for additional details on employee stock incentive plans.</w:t>
      </w:r>
    </w:p>
    <w:p>
      <w:pPr>
        <w:spacing w:after="0" w:line="1"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price paid per share excludes broker commissions.</w:t>
      </w:r>
    </w:p>
    <w:p>
      <w:pPr>
        <w:spacing w:after="0" w:line="242" w:lineRule="exact"/>
        <w:rPr>
          <w:rFonts w:ascii="Times New Roman" w:cs="Times New Roman" w:eastAsia="Times New Roman" w:hAnsi="Times New Roman"/>
          <w:sz w:val="18"/>
          <w:szCs w:val="18"/>
          <w:color w:val="auto"/>
        </w:rPr>
      </w:pPr>
    </w:p>
    <w:p>
      <w:pPr>
        <w:ind w:left="44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70"/>
          </w:cols>
          <w:pgMar w:left="990" w:top="447" w:right="980" w:bottom="0" w:gutter="0" w:footer="0" w:header="0"/>
        </w:sectPr>
      </w:pPr>
    </w:p>
    <w:p>
      <w:pPr>
        <w:spacing w:after="0" w:line="34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70"/>
          </w:cols>
          <w:pgMar w:left="990" w:top="447" w:right="9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7"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2023 included in Item 7. Management's Discussion and Analysis of Financial Condition and Results of Operations in our </w:t>
      </w:r>
      <w:r>
        <w:rPr>
          <w:rFonts w:ascii="Times New Roman" w:cs="Times New Roman" w:eastAsia="Times New Roman" w:hAnsi="Times New Roman"/>
          <w:sz w:val="20"/>
          <w:szCs w:val="20"/>
          <w:u w:val="single" w:color="auto"/>
          <w:color w:val="0000FF"/>
        </w:rPr>
        <w:t>Annual Report on Form 10-K for the year 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December 31, 2024</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incorporated by reference into this MD&amp;A.</w:t>
      </w:r>
    </w:p>
    <w:p>
      <w:pPr>
        <w:spacing w:after="0" w:line="20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Overview </w:t>
      </w:r>
      <w:r>
        <w:rPr>
          <w:rFonts w:ascii="Times New Roman" w:cs="Times New Roman" w:eastAsia="Times New Roman" w:hAnsi="Times New Roman"/>
          <w:sz w:val="20"/>
          <w:szCs w:val="20"/>
          <w:color w:val="auto"/>
        </w:rPr>
        <w:t>Our vision for the future is a world with zero crashes, zero emissions, and zero congestion. We will adapt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preferences while executing our growth-focused strategy to invest in ICE vehicles, EVs, hybrids, personal AV technology, software-enabled services, and other new business opportunities. To support strong margins and cash flow, we continue to strengthen our market position in profitable ICE vehicles, such as trucks and SUVs. We plan to execute our strategy with a steadfast commitment to good corporate citizenship through more sustainable operations and a leading health and safety culture.</w:t>
      </w:r>
    </w:p>
    <w:p>
      <w:pPr>
        <w:spacing w:after="0" w:line="206"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Our financial performance in 2025 was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EV capacity to expected consumer demand. In December 2024, we announced that we will no longer fund Cruise's robotaxi development work and will refocus our autonomous driving strategy on personal vehicles. In February 2025, we completed the acquisition of the noncontrolling interests in Cruise, began to wind down the Cruise robotaxi operations, and combined the GM and Cruise ongoing personal autonomous technical efforts in our GMNA segment. We are monitoring industry pricing pressures, changing interest rates, inflation, warranty claims, consumer demand trends, and changes to the regulatory environment, including with respect to fuel economy standards, GHG emissions regulations, and corporate taxes.</w:t>
      </w:r>
    </w:p>
    <w:p>
      <w:pPr>
        <w:spacing w:after="0" w:line="206"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Over the course of 2025, the U.S. and other governments implemented new tariffs relevant to GM and its suppliers, including tariffs on vehicles and parts imported into the U.S. The tariff environment remains highly dynamic, and the specific tariffs applicable to goods imported by GM and its suppliers continue to evolve, including with respect to imports under the U.S.-Mexico-Canada Agreement and other trade agreements. We have acted with urgency and discipline to maintain strong positioning within the industry. In 2025, impacts to earnings before interest and taxes (EBIT)-adjusted from tariffs were $3.1 billion. Based on the current tariff environment, we estimate that impacts to EBIT-adjusted could range from $3.0 billion to $4.0 billion for the year ending December 31, 2026. Refer to Part I, Item 1A. Risk Factors for a full discussion of the risks associated with the global tariff environment.</w:t>
      </w:r>
    </w:p>
    <w:p>
      <w:pPr>
        <w:spacing w:after="0" w:line="205"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The One Big Beautiful Bill Act (the Act), which was signed into law on July 4, 2025, extends and modifies certain key provisions of the U.S. Tax Cuts and Jobs Act of 2017, modifies certain IRA incentives, accelerates the phase-out of clean vehicle and other clean energy credits, and sets civil penalties to zero for noncompliance with CAFE standards. The Act also introduces a new auto loan interest deductibility provision that allows some individuals to deduct up to $10,000 per year in interest on new, U.S.-assembled personal vehicles purchased between 2025 and 2028. In addition, there are other key provisions with a variety of effective dates in the Act that have an insignificant impact for the year ending December 31, 2025, and have been reflected in our financial statements. In July 2025, the EPA proposed to remove GHG regulations for light-, medium-, and heavy-duty on-highway vehicles on a retrospective and prospective basis. Should the EPA remove GHG regulations, we expect that $1.1 billion of the total $1.4 billion carrying amount of our acquired credits may be subject to impairment in the near term, and our ongoing cost of compliance to the GHG regulations would be favorably impacted.</w:t>
      </w:r>
    </w:p>
    <w:p>
      <w:pPr>
        <w:spacing w:after="0" w:line="206"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Because of these recent U.S. Government policy changes, including the termination of consumer tax incentives for EV purchases and the reduction in stringency of emissions regulations, industry-wide consumer demand for EVs in North America began to slow in 2025. As a result, we reassessed our EV capacity and manufacturing footprint to align to expected consumer demand and recorded charges of $1.6 billion and $6.0 billion in the three months ended September 30, 2025 and December 31,</w:t>
      </w:r>
    </w:p>
    <w:p>
      <w:pPr>
        <w:sectPr>
          <w:pgSz w:w="12240" w:h="15840" w:orient="portrait"/>
          <w:cols w:equalWidth="0" w:num="1">
            <w:col w:w="10260"/>
          </w:cols>
          <w:pgMar w:left="1000" w:top="447" w:right="980" w:bottom="0" w:gutter="0" w:footer="0" w:header="0"/>
        </w:sectPr>
      </w:pP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447"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2025. For the year ended December 31, 2025, we recorded total charges in GMNA of $7.9 billion. The reassessment of our EV capacity and manufacturing footprint is complete. While we have completed the reassessment of our EV capacity and manufacturing footprint, we expect to recognize additional material cash and non-cash charges in 2026 related to continued commercial negotiations with our supply base, which we believe will be significantly less than the EV-related charges incurred in 2025. These charges will be reflected as adjustments in our non-GAAP financial measures.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spacing w:after="0" w:line="205"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0"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automotive industry supply chains, and political uncertainty. Refer to Part I, Item 1A. Risk Factors for a discussion of these challenges.</w:t>
      </w:r>
    </w:p>
    <w:p>
      <w:pPr>
        <w:spacing w:after="0" w:line="135"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For the year ending December 31, 2026, we expect earnings per share (EPS)-diluted and EPS-diluted-adjusted of between $11.00 and $13.00, Net income attributable to stockholders of between $10.3 billion and $11.7 billion, and EBIT-adjusted of between $13.0 billion and $15.0 billion. These expected financial results do not include the potential impact of future adjustments related to special items. Refer to the "Non-GAAP Measures" section of this MD&amp;A for additional information.</w:t>
      </w:r>
    </w:p>
    <w:p>
      <w:pPr>
        <w:spacing w:after="0" w:line="200"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reconciles expected Net income attributable to stockholders under U.S. generally accepted accounting principles (GAAP) to expected EBIT-adjusted (dollars in billions):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0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Year Ending December 31, 2026</w:t>
            </w:r>
          </w:p>
        </w:tc>
      </w:tr>
      <w:tr>
        <w:trPr>
          <w:trHeight w:val="290"/>
        </w:trPr>
        <w:tc>
          <w:tcPr>
            <w:tcW w:w="7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$ 10.3-11.7</w:t>
            </w:r>
          </w:p>
        </w:tc>
      </w:tr>
      <w:tr>
        <w:trPr>
          <w:trHeight w:val="293"/>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w:t>
            </w:r>
          </w:p>
        </w:tc>
      </w:tr>
      <w:tr>
        <w:trPr>
          <w:trHeight w:val="297"/>
        </w:trPr>
        <w:tc>
          <w:tcPr>
            <w:tcW w:w="7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interest expense, net</w:t>
            </w:r>
          </w:p>
        </w:tc>
        <w:tc>
          <w:tcPr>
            <w:tcW w:w="2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0.1</w:t>
            </w:r>
          </w:p>
        </w:tc>
      </w:tr>
      <w:tr>
        <w:trPr>
          <w:trHeight w:val="260"/>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EBIT-adjusted(a)</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$ 13.0-15.0</w:t>
            </w:r>
          </w:p>
        </w:tc>
      </w:tr>
      <w:tr>
        <w:trPr>
          <w:trHeight w:val="20"/>
        </w:trPr>
        <w:tc>
          <w:tcPr>
            <w:tcW w:w="78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-43815</wp:posOffset>
            </wp:positionV>
            <wp:extent cx="158750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1587500"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We do not consider the potential future impact of adjustments on our expected financial results.</w:t>
      </w:r>
    </w:p>
    <w:p>
      <w:pPr>
        <w:spacing w:after="0" w:line="189"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w:t>
      </w:r>
      <w:r>
        <w:rPr>
          <w:rFonts w:ascii="Times New Roman" w:cs="Times New Roman" w:eastAsia="Times New Roman" w:hAnsi="Times New Roman"/>
          <w:sz w:val="20"/>
          <w:szCs w:val="20"/>
          <w:color w:val="auto"/>
        </w:rPr>
        <w:t>Industry sales in North America were 20.7 million units in the year ended December 31, 2025, representing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 of 2.0% compared to the corresponding period in 2024. U.S. industry sales were 16.6 million units in the year ended December 31, 2025, representing an increase of 1.7% compared to the corresponding period in 2024.</w:t>
      </w:r>
    </w:p>
    <w:p>
      <w:pPr>
        <w:spacing w:after="0" w:line="192"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Our total vehicle sales in the U.S., our largest market in North America, were 2.9 million units for a market share of 17.2% in the year ended December 31, 2025, representing an increase of 0.6 percentage points compared to the corresponding period in 2024.</w:t>
      </w:r>
    </w:p>
    <w:p>
      <w:pPr>
        <w:spacing w:after="0" w:line="195"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achieved solid margins in the year ended December 31, 2025 driven by the strength of our product portfolio and ongoing cost discipline. However, the evolving tariff and policy landscape could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returning GMNA to its historical 8.0-10.0% EBIT-adjusted margins as quickly as possible.</w:t>
      </w:r>
    </w:p>
    <w:p>
      <w:pPr>
        <w:spacing w:after="0" w:line="205"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GMI </w:t>
      </w:r>
      <w:r>
        <w:rPr>
          <w:rFonts w:ascii="Times New Roman" w:cs="Times New Roman" w:eastAsia="Times New Roman" w:hAnsi="Times New Roman"/>
          <w:sz w:val="20"/>
          <w:szCs w:val="20"/>
          <w:color w:val="auto"/>
        </w:rPr>
        <w:t>Industry sales in China were 26.4 million units in the year ended December 31, 2025, remaining flat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corresponding period in 2024. Our total vehicle sales in China were 1.9 million units resulting in a market share of 7.1% in the year ended December 31, 2025, representing an increase of 0.1 percentage points compared to the corresponding period in 2024. Our Automotive China JVs generated an equity loss of $0.3 billion in the year ended December 31, 2025, which includes charges of $0.6 billion related to the previously announced restructuring of SGM. We continue to focus on enhancing the</w:t>
      </w:r>
    </w:p>
    <w:p>
      <w:pPr>
        <w:sectPr>
          <w:pgSz w:w="12240" w:h="15840" w:orient="portrait"/>
          <w:cols w:equalWidth="0" w:num="1">
            <w:col w:w="10260"/>
          </w:cols>
          <w:pgMar w:left="1000" w:top="447" w:right="980" w:bottom="0" w:gutter="0" w:footer="0" w:header="0"/>
        </w:sect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447"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competitiveness of our products in the Chinese market and executing restructuring plans. Additional restructuring charges may be incurred going forward.</w:t>
      </w:r>
    </w:p>
    <w:p>
      <w:pPr>
        <w:spacing w:after="0" w:line="178"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Outside of China, industry sales were 26.7 million units in the year ended December 31, 2025, representing an increase of 3.4% compared to the corresponding period in 2024. Our total vehicle sales outside of China were 0.9 million units for a market share of 3.5% in the year ended December 31, 2025, representing a decrease of 0.1 percentage points compared to the corresponding period in 2024.</w:t>
      </w:r>
    </w:p>
    <w:p>
      <w:pPr>
        <w:spacing w:after="0" w:line="195"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Summary and Outlook </w:t>
      </w:r>
      <w:r>
        <w:rPr>
          <w:rFonts w:ascii="Times New Roman" w:cs="Times New Roman" w:eastAsia="Times New Roman" w:hAnsi="Times New Roman"/>
          <w:sz w:val="20"/>
          <w:szCs w:val="20"/>
          <w:color w:val="auto"/>
        </w:rPr>
        <w:t>We believe that offering a comprehensive suite of financing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will generate incremental sales of our vehicles, drive incremental GM Financial earnings, and help support our sales throughout various economic cycles. GM Financial's penetration of our retail sales in the U.S. was 33% in the year ended December 31, 2025 and 39% in the corresponding period in 2024. Penetration levels vary depending on incentive financing programs available and competing third-party financing products in the market. GM Financial's prime loan originations as a percentage of total loan originations in North America was 80% in the year ended December 31, 2025 and 81% in the corresponding period in 2024. In the year ended December 31, 2025, GM Financial's revenue consisted of leased vehicle income of 46%, retail finance charge income of 41%, and commercial finance charge income of 7%.</w:t>
      </w:r>
    </w:p>
    <w:p>
      <w:pPr>
        <w:spacing w:after="0" w:line="210"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Through its leasing program GM Financial is exposed to residual values, which are heavily dependent on used vehicle prices. Gains on terminations of leased vehicles of $0.6 billion and $0.8 billion were included in GM Financial interest, operating, and other expenses in the years ended December 31, 2025 and 2024. The decrease in gains is primarily due to a decrease in the average gain on the sale of leased vehicles as well as fewer terminated leases in 2025. The following table summarizes the estimated residual value based on GM Financial's most recent estimates and the number of units included in GM Financial Equipment on operating leases, net by vehicle segment (units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40" w:type="dxa"/>
            <w:vAlign w:val="bottom"/>
            <w:tcBorders>
              <w:bottom w:val="single" w:sz="8" w:color="auto"/>
            </w:tcBorders>
          </w:tcPr>
          <w:p>
            <w:pPr>
              <w:spacing w:after="0"/>
              <w:rPr>
                <w:sz w:val="19"/>
                <w:szCs w:val="19"/>
                <w:color w:val="auto"/>
              </w:rPr>
            </w:pPr>
          </w:p>
        </w:tc>
      </w:tr>
      <w:tr>
        <w:trPr>
          <w:trHeight w:val="280"/>
        </w:trPr>
        <w:tc>
          <w:tcPr>
            <w:tcW w:w="29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Residual Value</w:t>
            </w: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Residual Value</w:t>
            </w: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9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Crossovers</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64.8 %</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13,184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67.3 %</w:t>
            </w: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Trucks</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23.7 %</w:t>
            </w:r>
          </w:p>
        </w:tc>
      </w:tr>
      <w:tr>
        <w:trPr>
          <w:trHeight w:val="307"/>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SUVs</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5.9 %</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5.6 %</w:t>
            </w:r>
          </w:p>
        </w:tc>
      </w:tr>
      <w:tr>
        <w:trPr>
          <w:trHeight w:val="290"/>
        </w:trPr>
        <w:tc>
          <w:tcPr>
            <w:tcW w:w="2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Cars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28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23,492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-43815</wp:posOffset>
            </wp:positionV>
            <wp:extent cx="464502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4645025" cy="50800"/>
                    </a:xfrm>
                    <a:prstGeom prst="rect">
                      <a:avLst/>
                    </a:prstGeom>
                    <a:noFill/>
                  </pic:spPr>
                </pic:pic>
              </a:graphicData>
            </a:graphic>
          </wp:anchor>
        </w:drawing>
      </w:r>
    </w:p>
    <w:p>
      <w:pPr>
        <w:spacing w:after="0" w:line="2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Consolidated Results </w:t>
      </w:r>
      <w:r>
        <w:rPr>
          <w:rFonts w:ascii="Times New Roman" w:cs="Times New Roman" w:eastAsia="Times New Roman" w:hAnsi="Times New Roman"/>
          <w:sz w:val="20"/>
          <w:szCs w:val="20"/>
          <w:color w:val="auto"/>
        </w:rPr>
        <w:t>We review changes in our results of operations under five categories: Volume, Mix, Price,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447" w:right="9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Total Net Sales and Revenue</w:t>
      </w:r>
    </w:p>
    <w:p>
      <w:pPr>
        <w:spacing w:after="0" w:line="20" w:lineRule="exact"/>
        <w:rPr>
          <w:sz w:val="20"/>
          <w:szCs w:val="20"/>
          <w:color w:val="auto"/>
        </w:r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212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7"/>
              </w:rPr>
              <w:t>Variance Due To</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Mix</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0" w:type="dxa"/>
            <w:vAlign w:val="bottom"/>
          </w:tcPr>
          <w:p>
            <w:pPr>
              <w:spacing w:after="0" w:line="20" w:lineRule="exact"/>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in billions)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GMNA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154,317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157,509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Borders>
              <w:right w:val="single" w:sz="8" w:color="auto"/>
            </w:tcBorders>
            <w:shd w:val="clear" w:color="auto" w:fill="CCEEFF"/>
          </w:tcPr>
          <w:p>
            <w:pPr>
              <w:spacing w:after="0"/>
              <w:rPr>
                <w:sz w:val="24"/>
                <w:szCs w:val="24"/>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3"/>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GMI</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13,890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7"/>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Corporate</w:t>
            </w: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171,605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Cruise</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93"/>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 Financial</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15,875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97"/>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Eliminations/reclassifications</w:t>
            </w: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284</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96.0 %</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30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185,019</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187,442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-43815</wp:posOffset>
            </wp:positionV>
            <wp:extent cx="213042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2130425" cy="50800"/>
                    </a:xfrm>
                    <a:prstGeom prst="rect">
                      <a:avLst/>
                    </a:prstGeom>
                    <a:noFill/>
                  </pic:spPr>
                </pic:pic>
              </a:graphicData>
            </a:graphic>
          </wp:anchor>
        </w:drawing>
      </w:r>
    </w:p>
    <w:p>
      <w:pPr>
        <w:spacing w:after="0" w:line="227" w:lineRule="exact"/>
        <w:rPr>
          <w:sz w:val="20"/>
          <w:szCs w:val="20"/>
          <w:color w:val="auto"/>
        </w:rPr>
      </w:pPr>
    </w:p>
    <w:p>
      <w:pPr>
        <w:ind w:left="180" w:right="1560"/>
        <w:spacing w:after="0" w:line="460" w:lineRule="auto"/>
        <w:rPr>
          <w:sz w:val="20"/>
          <w:szCs w:val="20"/>
          <w:color w:val="auto"/>
        </w:rPr>
      </w:pPr>
      <w:r>
        <w:rPr>
          <w:rFonts w:ascii="Times New Roman" w:cs="Times New Roman" w:eastAsia="Times New Roman" w:hAnsi="Times New Roman"/>
          <w:sz w:val="20"/>
          <w:szCs w:val="20"/>
          <w:color w:val="auto"/>
        </w:rPr>
        <w:t xml:space="preserve">Refer to the regional sections of this MD&amp;A for additional information on Volume, Mix, Price, and Other. </w:t>
      </w:r>
      <w:r>
        <w:rPr>
          <w:rFonts w:ascii="Times New Roman" w:cs="Times New Roman" w:eastAsia="Times New Roman" w:hAnsi="Times New Roman"/>
          <w:sz w:val="20"/>
          <w:szCs w:val="20"/>
          <w:b w:val="1"/>
          <w:bCs w:val="1"/>
          <w:i w:val="1"/>
          <w:iCs w:val="1"/>
          <w:color w:val="auto"/>
        </w:rPr>
        <w:t>Automotive and Other Cost of Sales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2120" w:type="dxa"/>
            <w:vAlign w:val="bottom"/>
            <w:tcBorders>
              <w:bottom w:val="single" w:sz="8" w:color="auto"/>
            </w:tcBorders>
            <w:gridSpan w:val="5"/>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7"/>
              </w:rPr>
              <w:t>Variance Due To</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Mix</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0" w:type="dxa"/>
            <w:vAlign w:val="bottom"/>
          </w:tcPr>
          <w:p>
            <w:pPr>
              <w:spacing w:after="0" w:line="20" w:lineRule="exact"/>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in billions)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GMNA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135,818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Borders>
              <w:right w:val="single" w:sz="8" w:color="auto"/>
            </w:tcBorders>
            <w:shd w:val="clear" w:color="auto" w:fill="CCEEFF"/>
          </w:tcPr>
          <w:p>
            <w:pPr>
              <w:spacing w:after="0"/>
              <w:rPr>
                <w:sz w:val="24"/>
                <w:szCs w:val="24"/>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93"/>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GMI</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Corporate</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Cruise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93.6 %</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Eliminations</w:t>
            </w: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11.8 %</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00" w:type="dxa"/>
            <w:vAlign w:val="bottom"/>
          </w:tcPr>
          <w:p>
            <w:pPr>
              <w:ind w:left="40"/>
              <w:spacing w:after="0" w:line="193" w:lineRule="exact"/>
              <w:rPr>
                <w:sz w:val="20"/>
                <w:szCs w:val="20"/>
                <w:color w:val="auto"/>
              </w:rPr>
            </w:pPr>
            <w:r>
              <w:rPr>
                <w:rFonts w:ascii="Times New Roman" w:cs="Times New Roman" w:eastAsia="Times New Roman" w:hAnsi="Times New Roman"/>
                <w:sz w:val="20"/>
                <w:szCs w:val="20"/>
                <w:color w:val="auto"/>
              </w:rPr>
              <w:t>Total automotive and other cost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159,128</w:t>
            </w:r>
          </w:p>
        </w:tc>
        <w:tc>
          <w:tcPr>
            <w:tcW w:w="80" w:type="dxa"/>
            <w:vAlign w:val="bottom"/>
            <w:vMerge w:val="restart"/>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151,065</w:t>
            </w:r>
          </w:p>
        </w:tc>
        <w:tc>
          <w:tcPr>
            <w:tcW w:w="6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(8,063)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Borders>
              <w:right w:val="single" w:sz="8" w:color="auto"/>
            </w:tcBorders>
          </w:tcPr>
          <w:p>
            <w:pPr>
              <w:spacing w:after="0"/>
              <w:rPr>
                <w:sz w:val="16"/>
                <w:szCs w:val="16"/>
                <w:color w:val="auto"/>
              </w:rPr>
            </w:pP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88"/>
        </w:trPr>
        <w:tc>
          <w:tcPr>
            <w:tcW w:w="2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 sales</w:t>
            </w: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-43815</wp:posOffset>
            </wp:positionV>
            <wp:extent cx="213042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2130425" cy="50800"/>
                    </a:xfrm>
                    <a:prstGeom prst="rect">
                      <a:avLst/>
                    </a:prstGeom>
                    <a:noFill/>
                  </pic:spPr>
                </pic:pic>
              </a:graphicData>
            </a:graphic>
          </wp:anchor>
        </w:drawing>
      </w:r>
    </w:p>
    <w:p>
      <w:pPr>
        <w:spacing w:after="0" w:line="227"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The most significant element of our Automotive and other cost of sales is material cost, which makes up approximately two-thirds of the total amount. The remaining portion includes labor costs, depreciation and amortization, engineering, freight, and product warranty and recall campaigns.</w:t>
      </w:r>
    </w:p>
    <w:p>
      <w:pPr>
        <w:spacing w:after="0" w:line="19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04"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In the year ended December 31, 2025, increased Cost was primarily due to: (1) charges of $7.7 billion due to our EV strategic realignment; (2) increased material and freight costs of $3.3 billion, including $3.1 billion due to tariffs; (3) increased warranty-related costs and campaigns of $1.3 billion; (4) unfavorable net realizable value inventory adjustments, primarily EV-related, of $0.3 billion in the year ended December 31, 2025 compared to similar favorable inventory adjustments of $0.5 billion in the year ended December 31, 2024; (5) charges of $0.5 billion due to legal matters for our former OnStar Smart Driver program; and (6) increased manufacturing costs of $0.5 billion; partially offset by (7) the reduction of charges related to Cruise restructuring of $1.1 billion; and (8) decreased engineering costs of $0.9 billion, driven primarily by the wind down of Cruise robotaxi operations. In the year ended December 31, 2025, favorable Other was primarily due to net foreign currency changes in the Mexican peso.</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447"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180" w:right="2660" w:firstLine="2468"/>
        <w:spacing w:after="0" w:line="496" w:lineRule="auto"/>
        <w:rPr>
          <w:sz w:val="20"/>
          <w:szCs w:val="20"/>
          <w:color w:val="auto"/>
        </w:rPr>
      </w:pPr>
      <w:r>
        <w:rPr>
          <w:rFonts w:ascii="Times New Roman" w:cs="Times New Roman" w:eastAsia="Times New Roman" w:hAnsi="Times New Roman"/>
          <w:sz w:val="20"/>
          <w:szCs w:val="20"/>
          <w:b w:val="1"/>
          <w:bCs w:val="1"/>
          <w:color w:val="auto"/>
        </w:rPr>
        <w:t xml:space="preserve">GENERAL MOTORS COMPANY AND SUBSIDIARIES </w:t>
      </w:r>
      <w:r>
        <w:rPr>
          <w:rFonts w:ascii="Times New Roman" w:cs="Times New Roman" w:eastAsia="Times New Roman" w:hAnsi="Times New Roman"/>
          <w:sz w:val="20"/>
          <w:szCs w:val="20"/>
          <w:b w:val="1"/>
          <w:bCs w:val="1"/>
          <w:i w:val="1"/>
          <w:iCs w:val="1"/>
          <w:color w:val="auto"/>
        </w:rPr>
        <w:t>Automotive and Other Selling, General, and Administrative Expense</w:t>
      </w: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center"/>
              <w:ind w:left="35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left="375"/>
              <w:spacing w:after="0" w:line="165"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2025 vs. 2024 Change</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60"/>
              <w:spacing w:after="0" w:line="212" w:lineRule="exact"/>
              <w:rPr>
                <w:sz w:val="20"/>
                <w:szCs w:val="20"/>
                <w:color w:val="auto"/>
              </w:rPr>
            </w:pPr>
            <w:r>
              <w:rPr>
                <w:rFonts w:ascii="Times New Roman" w:cs="Times New Roman" w:eastAsia="Times New Roman" w:hAnsi="Times New Roman"/>
                <w:sz w:val="20"/>
                <w:szCs w:val="20"/>
                <w:color w:val="auto"/>
              </w:rPr>
              <w:t>Automotive and other selling, general, and administrative</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8,687</w:t>
            </w: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10,621</w:t>
            </w:r>
          </w:p>
        </w:tc>
        <w:tc>
          <w:tcPr>
            <w:tcW w:w="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18.2 %</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expense</w:t>
            </w:r>
          </w:p>
        </w:tc>
        <w:tc>
          <w:tcPr>
            <w:tcW w:w="240" w:type="dxa"/>
            <w:vAlign w:val="bottom"/>
            <w:vMerge w:val="continue"/>
            <w:shd w:val="clear" w:color="auto" w:fill="CCEEFF"/>
          </w:tcPr>
          <w:p>
            <w:pPr>
              <w:spacing w:after="0"/>
              <w:rPr>
                <w:sz w:val="23"/>
                <w:szCs w:val="23"/>
                <w:color w:val="auto"/>
              </w:rPr>
            </w:pPr>
          </w:p>
        </w:tc>
        <w:tc>
          <w:tcPr>
            <w:tcW w:w="780" w:type="dxa"/>
            <w:vAlign w:val="bottom"/>
            <w:vMerge w:val="continue"/>
            <w:shd w:val="clear" w:color="auto" w:fill="CCEEFF"/>
          </w:tcPr>
          <w:p>
            <w:pPr>
              <w:spacing w:after="0"/>
              <w:rPr>
                <w:sz w:val="23"/>
                <w:szCs w:val="23"/>
                <w:color w:val="auto"/>
              </w:rPr>
            </w:pPr>
          </w:p>
        </w:tc>
        <w:tc>
          <w:tcPr>
            <w:tcW w:w="320" w:type="dxa"/>
            <w:vAlign w:val="bottom"/>
            <w:gridSpan w:val="2"/>
            <w:vMerge w:val="continue"/>
            <w:shd w:val="clear" w:color="auto" w:fill="CCEEFF"/>
          </w:tcPr>
          <w:p>
            <w:pPr>
              <w:spacing w:after="0"/>
              <w:rPr>
                <w:sz w:val="23"/>
                <w:szCs w:val="23"/>
                <w:color w:val="auto"/>
              </w:rPr>
            </w:pPr>
          </w:p>
        </w:tc>
        <w:tc>
          <w:tcPr>
            <w:tcW w:w="780" w:type="dxa"/>
            <w:vAlign w:val="bottom"/>
            <w:vMerge w:val="continue"/>
            <w:shd w:val="clear" w:color="auto" w:fill="CCEEFF"/>
          </w:tcPr>
          <w:p>
            <w:pPr>
              <w:spacing w:after="0"/>
              <w:rPr>
                <w:sz w:val="23"/>
                <w:szCs w:val="23"/>
                <w:color w:val="auto"/>
              </w:rPr>
            </w:pPr>
          </w:p>
        </w:tc>
        <w:tc>
          <w:tcPr>
            <w:tcW w:w="420" w:type="dxa"/>
            <w:vAlign w:val="bottom"/>
            <w:gridSpan w:val="2"/>
            <w:vMerge w:val="continue"/>
            <w:shd w:val="clear" w:color="auto" w:fill="CCEEFF"/>
          </w:tcPr>
          <w:p>
            <w:pPr>
              <w:spacing w:after="0"/>
              <w:rPr>
                <w:sz w:val="23"/>
                <w:szCs w:val="23"/>
                <w:color w:val="auto"/>
              </w:rPr>
            </w:pPr>
          </w:p>
        </w:tc>
        <w:tc>
          <w:tcPr>
            <w:tcW w:w="660" w:type="dxa"/>
            <w:vAlign w:val="bottom"/>
            <w:vMerge w:val="continue"/>
            <w:shd w:val="clear" w:color="auto" w:fill="CCEEFF"/>
          </w:tcPr>
          <w:p>
            <w:pPr>
              <w:spacing w:after="0"/>
              <w:rPr>
                <w:sz w:val="23"/>
                <w:szCs w:val="23"/>
                <w:color w:val="auto"/>
              </w:rPr>
            </w:pPr>
          </w:p>
        </w:tc>
        <w:tc>
          <w:tcPr>
            <w:tcW w:w="240" w:type="dxa"/>
            <w:vAlign w:val="bottom"/>
            <w:gridSpan w:val="2"/>
            <w:vMerge w:val="continue"/>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2025, Automotive and other selling, general, and administrative expense decreased primarily due to: (1) the absence of charges related to strategic activities to transition certain Buick dealerships of $1.0 billion; and (2) decreased advertising, selling, and administrative costs of $0.9 billion.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and Other Non-operating Income, net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6"/>
            <w:vMerge w:val="restart"/>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2025 vs. 2024 Change</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2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Interest income and other non-operating income, net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22.1 %</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In the year ended December 31, 2025, Interest income and other non-operating income, net increased primarily due to: (1) $0.5 billion in gains related to revaluation of investments; partially offset by (2) other individually insignificant items.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restart"/>
          </w:tcPr>
          <w:p>
            <w:pPr>
              <w:jc w:val="center"/>
              <w:ind w:left="35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2025 vs. 2024 Change</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86.8 %</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the year ended December 31, 2025, Income tax expense decreased primarily due to lower pre-tax income.</w:t>
      </w:r>
    </w:p>
    <w:p>
      <w:pPr>
        <w:spacing w:after="0" w:line="250" w:lineRule="exact"/>
        <w:rPr>
          <w:sz w:val="20"/>
          <w:szCs w:val="20"/>
          <w:color w:val="auto"/>
        </w:rPr>
      </w:pPr>
    </w:p>
    <w:p>
      <w:pPr>
        <w:jc w:val="both"/>
        <w:ind w:firstLine="180"/>
        <w:spacing w:after="0" w:line="283" w:lineRule="auto"/>
        <w:rPr>
          <w:sz w:val="20"/>
          <w:szCs w:val="20"/>
          <w:color w:val="auto"/>
        </w:rPr>
      </w:pPr>
      <w:r>
        <w:rPr>
          <w:rFonts w:ascii="Times New Roman" w:cs="Times New Roman" w:eastAsia="Times New Roman" w:hAnsi="Times New Roman"/>
          <w:sz w:val="20"/>
          <w:szCs w:val="20"/>
          <w:color w:val="auto"/>
        </w:rPr>
        <w:t>For the year ended December 31, 2025, our effective tax rate was 10.8% and our effective tax rate-adjusted (ETR-adjusted) was 18.9%. We expect our ETR-adjusted to be between 20% and 21% for the year ending December 31, 2026.</w:t>
      </w:r>
    </w:p>
    <w:p>
      <w:pPr>
        <w:spacing w:after="0" w:line="178" w:lineRule="exact"/>
        <w:rPr>
          <w:sz w:val="20"/>
          <w:szCs w:val="20"/>
          <w:color w:val="auto"/>
        </w:rPr>
      </w:pPr>
    </w:p>
    <w:p>
      <w:pPr>
        <w:ind w:right="920" w:firstLine="180"/>
        <w:spacing w:after="0" w:line="443" w:lineRule="auto"/>
        <w:rPr>
          <w:sz w:val="20"/>
          <w:szCs w:val="20"/>
          <w:color w:val="auto"/>
        </w:rPr>
      </w:pPr>
      <w:r>
        <w:rPr>
          <w:rFonts w:ascii="Times New Roman" w:cs="Times New Roman" w:eastAsia="Times New Roman" w:hAnsi="Times New Roman"/>
          <w:sz w:val="20"/>
          <w:szCs w:val="20"/>
          <w:color w:val="auto"/>
        </w:rPr>
        <w:t xml:space="preserve">Refer to Note 17 to our consolidated financial statements for additional information related to Income tax expense. </w:t>
      </w:r>
      <w:r>
        <w:rPr>
          <w:rFonts w:ascii="Times New Roman" w:cs="Times New Roman" w:eastAsia="Times New Roman" w:hAnsi="Times New Roman"/>
          <w:sz w:val="20"/>
          <w:szCs w:val="20"/>
          <w:b w:val="1"/>
          <w:bCs w:val="1"/>
          <w:color w:val="auto"/>
        </w:rPr>
        <w:t>GM North America</w:t>
      </w:r>
    </w:p>
    <w:tbl>
      <w:tblPr>
        <w:tblLayout w:type="fixed"/>
        <w:tblInd w:w="0" w:type="dxa"/>
        <w:tblCellMar>
          <w:top w:w="0" w:type="dxa"/>
          <w:left w:w="0" w:type="dxa"/>
          <w:bottom w:w="0" w:type="dxa"/>
          <w:right w:w="0" w:type="dxa"/>
        </w:tblCellMar>
      </w:tblPr>
      <w:tr>
        <w:trPr>
          <w:trHeight w:val="34"/>
        </w:trPr>
        <w:tc>
          <w:tcPr>
            <w:tcW w:w="2440" w:type="dxa"/>
            <w:vAlign w:val="bottom"/>
          </w:tcPr>
          <w:p>
            <w:pPr>
              <w:spacing w:after="0"/>
              <w:rPr>
                <w:sz w:val="2"/>
                <w:szCs w:val="2"/>
                <w:color w:val="auto"/>
              </w:rPr>
            </w:pPr>
          </w:p>
        </w:tc>
        <w:tc>
          <w:tcPr>
            <w:tcW w:w="2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Variance Due To</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440" w:type="dxa"/>
            <w:vAlign w:val="bottom"/>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020" w:type="dxa"/>
            <w:vAlign w:val="bottom"/>
            <w:vMerge w:val="restart"/>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vMerge w:val="restart"/>
          </w:tcPr>
          <w:p>
            <w:pPr>
              <w:spacing w:after="0" w:line="20" w:lineRule="exact"/>
              <w:rPr>
                <w:sz w:val="1"/>
                <w:szCs w:val="1"/>
                <w:color w:val="auto"/>
              </w:rPr>
            </w:pPr>
          </w:p>
        </w:tc>
        <w:tc>
          <w:tcPr>
            <w:tcW w:w="102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60" w:type="dxa"/>
            <w:vAlign w:val="bottom"/>
            <w:tcBorders>
              <w:right w:val="single" w:sz="8" w:color="auto"/>
            </w:tcBorders>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Mix</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line="20" w:lineRule="exact"/>
              <w:rPr>
                <w:sz w:val="1"/>
                <w:szCs w:val="1"/>
                <w:color w:val="auto"/>
              </w:rPr>
            </w:pPr>
          </w:p>
        </w:tc>
      </w:tr>
      <w:tr>
        <w:trPr>
          <w:trHeight w:val="214"/>
        </w:trPr>
        <w:tc>
          <w:tcPr>
            <w:tcW w:w="244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vMerge w:val="continue"/>
          </w:tcPr>
          <w:p>
            <w:pPr>
              <w:spacing w:after="0"/>
              <w:rPr>
                <w:sz w:val="18"/>
                <w:szCs w:val="18"/>
                <w:color w:val="auto"/>
              </w:rPr>
            </w:pP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(Dollars in billions)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20"/>
                <w:szCs w:val="20"/>
                <w:color w:val="auto"/>
              </w:rPr>
              <w:t>$154,317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$157,509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20"/>
                <w:szCs w:val="20"/>
                <w:color w:val="auto"/>
              </w:rPr>
              <w:t>(3,192)</w:t>
            </w:r>
          </w:p>
        </w:tc>
        <w:tc>
          <w:tcPr>
            <w:tcW w:w="9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3"/>
        </w:trPr>
        <w:tc>
          <w:tcPr>
            <w:tcW w:w="2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EBIT-adjusted</w:t>
            </w:r>
          </w:p>
        </w:tc>
        <w:tc>
          <w:tcPr>
            <w:tcW w:w="1020" w:type="dxa"/>
            <w:vAlign w:val="bottom"/>
          </w:tcPr>
          <w:p>
            <w:pPr>
              <w:jc w:val="right"/>
              <w:ind w:right="169"/>
              <w:spacing w:after="0"/>
              <w:rPr>
                <w:sz w:val="20"/>
                <w:szCs w:val="20"/>
                <w:color w:val="auto"/>
              </w:rPr>
            </w:pPr>
            <w:r>
              <w:rPr>
                <w:rFonts w:ascii="Times New Roman" w:cs="Times New Roman" w:eastAsia="Times New Roman" w:hAnsi="Times New Roman"/>
                <w:sz w:val="20"/>
                <w:szCs w:val="20"/>
                <w:color w:val="auto"/>
              </w:rPr>
              <w:t>$ 10,452</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$ 14,528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(4,077)</w:t>
            </w:r>
          </w:p>
        </w:tc>
        <w:tc>
          <w:tcPr>
            <w:tcW w:w="9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7"/>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EBIT-adjusted margin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9.2 %</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shd w:val="clear" w:color="auto" w:fill="CCEEFF"/>
          </w:tcPr>
          <w:p>
            <w:pPr>
              <w:spacing w:after="0"/>
              <w:rPr>
                <w:sz w:val="24"/>
                <w:szCs w:val="24"/>
                <w:color w:val="auto"/>
              </w:rPr>
            </w:pPr>
          </w:p>
        </w:tc>
        <w:tc>
          <w:tcPr>
            <w:tcW w:w="8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19"/>
                <w:szCs w:val="19"/>
                <w:color w:val="auto"/>
              </w:rPr>
            </w:pPr>
          </w:p>
        </w:tc>
        <w:tc>
          <w:tcPr>
            <w:tcW w:w="3260" w:type="dxa"/>
            <w:vAlign w:val="bottom"/>
            <w:gridSpan w:val="6"/>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(Vehicles in thousands)</w:t>
            </w:r>
          </w:p>
        </w:tc>
        <w:tc>
          <w:tcPr>
            <w:tcW w:w="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Wholesale vehicle sales</w:t>
            </w:r>
          </w:p>
        </w:tc>
        <w:tc>
          <w:tcPr>
            <w:tcW w:w="10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20"/>
                <w:szCs w:val="20"/>
                <w:color w:val="auto"/>
              </w:rPr>
              <w:t>3,296</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3,464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20"/>
                <w:szCs w:val="20"/>
                <w:color w:val="auto"/>
              </w:rPr>
              <w:t>(168)</w:t>
            </w:r>
          </w:p>
        </w:tc>
        <w:tc>
          <w:tcPr>
            <w:tcW w:w="9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52" w:lineRule="exact"/>
        <w:rPr>
          <w:sz w:val="20"/>
          <w:szCs w:val="20"/>
          <w:color w:val="auto"/>
        </w:rPr>
      </w:pPr>
    </w:p>
    <w:p>
      <w:pPr>
        <w:jc w:val="both"/>
        <w:ind w:right="20" w:firstLine="18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Total Net Sales and Revenue </w:t>
      </w:r>
      <w:r>
        <w:rPr>
          <w:rFonts w:ascii="Times New Roman" w:cs="Times New Roman" w:eastAsia="Times New Roman" w:hAnsi="Times New Roman"/>
          <w:sz w:val="20"/>
          <w:szCs w:val="20"/>
          <w:color w:val="auto"/>
        </w:rPr>
        <w:t>In the year ended December 31, 2025, Total net sales and revenue decreased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(1) decreased net wholesale volumes primarily due to decreased sales of cars and full-size pickup trucks, due to lower planned production for product upgrades, partially offset by increased sales of crossover vehicles; partially offset by (2) favorable Mix associated with decreased sales of cars and increased sales of full-size SUVs, partially offset by decreased sales of full-size pick-up trucks and increased sales of crossover vehicles; (3) favorable Price as a result of lean dealer inventory levels due to strong demand for our products; and (4) favorable Other due to increased sales of parts and accessories.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447" w:right="980" w:bottom="0" w:gutter="0" w:footer="0" w:header="0"/>
          <w:type w:val="continuous"/>
        </w:sectPr>
      </w:pPr>
    </w:p>
    <w:bookmarkStart w:id="36" w:name="page37"/>
    <w:bookmarkEnd w:id="36"/>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2" w:lineRule="exact"/>
        <w:rPr>
          <w:sz w:val="20"/>
          <w:szCs w:val="20"/>
          <w:color w:val="auto"/>
        </w:rPr>
      </w:pPr>
    </w:p>
    <w:p>
      <w:pPr>
        <w:jc w:val="both"/>
        <w:ind w:left="1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EBIT-Adjusted </w:t>
      </w:r>
      <w:r>
        <w:rPr>
          <w:rFonts w:ascii="Times New Roman" w:cs="Times New Roman" w:eastAsia="Times New Roman" w:hAnsi="Times New Roman"/>
          <w:sz w:val="20"/>
          <w:szCs w:val="20"/>
          <w:color w:val="auto"/>
        </w:rPr>
        <w:t>The most significant factors that influence profitability are industry volume and market share. While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as significant as industry volume and market share, another factor affecting profitability is the relative mix of vehicles sold. Trucks, crossovers, and cars sold currently have a variable profit of approximately 160%, 40%, and 60% of our GMNA portfolio on a weighted-average basis.</w:t>
      </w:r>
    </w:p>
    <w:p>
      <w:pPr>
        <w:spacing w:after="0" w:line="197" w:lineRule="exact"/>
        <w:rPr>
          <w:sz w:val="20"/>
          <w:szCs w:val="20"/>
          <w:color w:val="auto"/>
        </w:rPr>
      </w:pPr>
    </w:p>
    <w:p>
      <w:pPr>
        <w:jc w:val="both"/>
        <w:ind w:left="10" w:firstLine="180"/>
        <w:spacing w:after="0" w:line="238" w:lineRule="auto"/>
        <w:rPr>
          <w:sz w:val="20"/>
          <w:szCs w:val="20"/>
          <w:color w:val="auto"/>
        </w:rPr>
      </w:pPr>
      <w:r>
        <w:rPr>
          <w:rFonts w:ascii="Times New Roman" w:cs="Times New Roman" w:eastAsia="Times New Roman" w:hAnsi="Times New Roman"/>
          <w:sz w:val="20"/>
          <w:szCs w:val="20"/>
          <w:color w:val="auto"/>
        </w:rPr>
        <w:t>In the year ended December 31, 2025, EBIT-adjusted decreased primarily due to: (1) unfavorable Cost primarily due to increased material and freight costs of $3.0 billion, including $3.1 billion due to tariffs, increased warranty-related costs and campaigns of $1.3 billion, unfavorable net realizable value inventory adjustments, primarily EV-related, of $0.3 billion in the year ended December 31, 2025 compared to similar favorable inventory adjustments of $0.5 billion in the year ended December 31, 2024, and increased manufacturing costs of $0.4 billion, partially offset by decreased advertising, selling, and administrative costs of $0.2 billion; and (2) decreased net wholesale volumes; partially offset by (3) favorable Price; (4) favorable Mix associated with increased sales of full-size SUVs and decreased sales of cars and full-size pickup trucks, including EVs, partially offset by increased sales of crossover vehicles and mid-size pickup trucks and vans; and (5) favorable Other due to net foreign currency changes, primarily in the Mexican peso, and favorable revaluation of investments.</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GM International</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34"/>
        </w:trPr>
        <w:tc>
          <w:tcPr>
            <w:tcW w:w="2440" w:type="dxa"/>
            <w:vAlign w:val="bottom"/>
          </w:tcPr>
          <w:p>
            <w:pPr>
              <w:spacing w:after="0"/>
              <w:rPr>
                <w:sz w:val="2"/>
                <w:szCs w:val="2"/>
                <w:color w:val="auto"/>
              </w:rPr>
            </w:pPr>
          </w:p>
        </w:tc>
        <w:tc>
          <w:tcPr>
            <w:tcW w:w="2120" w:type="dxa"/>
            <w:vAlign w:val="bottom"/>
            <w:gridSpan w:val="5"/>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7"/>
              </w:rPr>
              <w:t>Favorable/</w:t>
            </w: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Variance Due To</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440" w:type="dxa"/>
            <w:vAlign w:val="bottom"/>
          </w:tcPr>
          <w:p>
            <w:pPr>
              <w:spacing w:after="0"/>
              <w:rPr>
                <w:sz w:val="16"/>
                <w:szCs w:val="16"/>
                <w:color w:val="auto"/>
              </w:rPr>
            </w:pPr>
          </w:p>
        </w:tc>
        <w:tc>
          <w:tcPr>
            <w:tcW w:w="2120" w:type="dxa"/>
            <w:vAlign w:val="bottom"/>
            <w:tcBorders>
              <w:bottom w:val="single" w:sz="8" w:color="auto"/>
            </w:tcBorders>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Mix</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line="20" w:lineRule="exact"/>
              <w:rPr>
                <w:sz w:val="1"/>
                <w:szCs w:val="1"/>
                <w:color w:val="auto"/>
              </w:rPr>
            </w:pPr>
          </w:p>
        </w:tc>
      </w:tr>
      <w:tr>
        <w:trPr>
          <w:trHeight w:val="214"/>
        </w:trPr>
        <w:tc>
          <w:tcPr>
            <w:tcW w:w="2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(Dollars in billions)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20"/>
                <w:szCs w:val="20"/>
                <w:color w:val="auto"/>
              </w:rPr>
              <w:t>13,427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13,890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20"/>
                <w:szCs w:val="20"/>
                <w:color w:val="auto"/>
              </w:rPr>
              <w:t>(463)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Borders>
              <w:right w:val="single" w:sz="8" w:color="auto"/>
            </w:tcBorders>
            <w:shd w:val="clear" w:color="auto" w:fill="CCEEFF"/>
          </w:tcPr>
          <w:p>
            <w:pPr>
              <w:spacing w:after="0"/>
              <w:rPr>
                <w:sz w:val="24"/>
                <w:szCs w:val="24"/>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3"/>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737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303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434</w:t>
            </w:r>
          </w:p>
        </w:tc>
        <w:tc>
          <w:tcPr>
            <w:tcW w:w="60" w:type="dxa"/>
            <w:vAlign w:val="bottom"/>
          </w:tcPr>
          <w:p>
            <w:pPr>
              <w:spacing w:after="0"/>
              <w:rPr>
                <w:sz w:val="24"/>
                <w:szCs w:val="24"/>
                <w:color w:val="auto"/>
              </w:rPr>
            </w:pPr>
          </w:p>
        </w:tc>
        <w:tc>
          <w:tcPr>
            <w:tcW w:w="88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20"/>
                <w:szCs w:val="20"/>
                <w:color w:val="auto"/>
              </w:rPr>
              <w:t>n.m.</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307"/>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EBIT-adjusted margin</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4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b w:val="1"/>
                <w:bCs w:val="1"/>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20"/>
                <w:szCs w:val="20"/>
                <w:b w:val="1"/>
                <w:bCs w:val="1"/>
                <w:i w:val="1"/>
                <w:iCs w:val="1"/>
                <w:color w:val="auto"/>
              </w:rPr>
              <w:t>(316)</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b w:val="1"/>
                <w:bCs w:val="1"/>
                <w:i w:val="1"/>
                <w:iCs w:val="1"/>
                <w:color w:val="auto"/>
              </w:rPr>
              <w:t>(4,407)</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w w:val="99"/>
              </w:rPr>
              <w:t>$</w:t>
            </w:r>
          </w:p>
        </w:tc>
        <w:tc>
          <w:tcPr>
            <w:tcW w:w="92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b w:val="1"/>
                <w:bCs w:val="1"/>
                <w:i w:val="1"/>
                <w:iCs w:val="1"/>
                <w:color w:val="auto"/>
              </w:rPr>
              <w:t>4,091</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92.8 %</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Automotive China</w:t>
            </w:r>
          </w:p>
        </w:tc>
        <w:tc>
          <w:tcPr>
            <w:tcW w:w="18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60"/>
              <w:spacing w:after="0" w:line="227" w:lineRule="exact"/>
              <w:rPr>
                <w:sz w:val="20"/>
                <w:szCs w:val="20"/>
                <w:color w:val="auto"/>
              </w:rPr>
            </w:pPr>
            <w:r>
              <w:rPr>
                <w:rFonts w:ascii="Times New Roman" w:cs="Times New Roman" w:eastAsia="Times New Roman" w:hAnsi="Times New Roman"/>
                <w:sz w:val="20"/>
                <w:szCs w:val="20"/>
                <w:b w:val="1"/>
                <w:bCs w:val="1"/>
                <w:i w:val="1"/>
                <w:iCs w:val="1"/>
                <w:color w:val="auto"/>
              </w:rPr>
              <w:t>EBIT-adjusted — excluding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shd w:val="clear" w:color="auto" w:fill="CCEEFF"/>
          </w:tcPr>
          <w:p>
            <w:pPr>
              <w:jc w:val="right"/>
              <w:ind w:right="145"/>
              <w:spacing w:after="0"/>
              <w:rPr>
                <w:sz w:val="20"/>
                <w:szCs w:val="20"/>
                <w:color w:val="auto"/>
              </w:rPr>
            </w:pPr>
            <w:r>
              <w:rPr>
                <w:rFonts w:ascii="Times New Roman" w:cs="Times New Roman" w:eastAsia="Times New Roman" w:hAnsi="Times New Roman"/>
                <w:sz w:val="20"/>
                <w:szCs w:val="20"/>
                <w:b w:val="1"/>
                <w:bCs w:val="1"/>
                <w:i w:val="1"/>
                <w:iCs w:val="1"/>
                <w:color w:val="auto"/>
              </w:rPr>
              <w:t>426</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b w:val="1"/>
                <w:bCs w:val="1"/>
                <w:i w:val="1"/>
                <w:iCs w:val="1"/>
                <w:color w:val="auto"/>
              </w:rPr>
              <w:t>633</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w w:val="99"/>
              </w:rPr>
              <w:t>$</w:t>
            </w:r>
          </w:p>
        </w:tc>
        <w:tc>
          <w:tcPr>
            <w:tcW w:w="92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20"/>
                <w:szCs w:val="20"/>
                <w:b w:val="1"/>
                <w:bCs w:val="1"/>
                <w:i w:val="1"/>
                <w:iCs w:val="1"/>
                <w:color w:val="auto"/>
              </w:rPr>
              <w:t>(208)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(32.8)%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Equity income (loss)(a)</w:t>
            </w:r>
          </w:p>
        </w:tc>
        <w:tc>
          <w:tcPr>
            <w:tcW w:w="180" w:type="dxa"/>
            <w:vAlign w:val="bottom"/>
            <w:vMerge w:val="continue"/>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260" w:type="dxa"/>
            <w:vAlign w:val="bottom"/>
            <w:gridSpan w:val="2"/>
            <w:vMerge w:val="continue"/>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240" w:type="dxa"/>
            <w:vAlign w:val="bottom"/>
            <w:gridSpan w:val="2"/>
            <w:vMerge w:val="continue"/>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840" w:type="dxa"/>
            <w:vAlign w:val="bottom"/>
            <w:gridSpan w:val="2"/>
            <w:vMerge w:val="continue"/>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7"/>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(Vehicles in thousands)</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Wholesale vehicle sales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20"/>
                <w:szCs w:val="20"/>
                <w:color w:val="auto"/>
              </w:rPr>
              <w:t>503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547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20"/>
                <w:szCs w:val="20"/>
                <w:color w:val="auto"/>
              </w:rPr>
              <w:t>(44)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370" w:hanging="370"/>
        <w:spacing w:after="0" w:line="283" w:lineRule="auto"/>
        <w:tabs>
          <w:tab w:leader="none" w:pos="3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related to Automotive China JVs restructuring recorded in GMI. Refer to the "Overview – GMI" section of this MD&amp;A for discussion of these adjustments.</w:t>
      </w:r>
    </w:p>
    <w:p>
      <w:pPr>
        <w:spacing w:after="0" w:line="178" w:lineRule="exact"/>
        <w:rPr>
          <w:sz w:val="20"/>
          <w:szCs w:val="20"/>
          <w:color w:val="auto"/>
        </w:rPr>
      </w:pPr>
    </w:p>
    <w:p>
      <w:pPr>
        <w:jc w:val="both"/>
        <w:ind w:left="10" w:firstLine="180"/>
        <w:spacing w:after="0" w:line="283" w:lineRule="auto"/>
        <w:rPr>
          <w:sz w:val="20"/>
          <w:szCs w:val="20"/>
          <w:color w:val="auto"/>
        </w:rPr>
      </w:pPr>
      <w:r>
        <w:rPr>
          <w:rFonts w:ascii="Times New Roman" w:cs="Times New Roman" w:eastAsia="Times New Roman" w:hAnsi="Times New Roman"/>
          <w:sz w:val="20"/>
          <w:szCs w:val="20"/>
          <w:color w:val="auto"/>
        </w:rPr>
        <w:t>The vehicle sales of our Automotive China JVs are not recorded in Total net sales and revenue. The results of our joint ventures are recorded in Equity income (loss), which is included in EBIT-adjusted above.</w:t>
      </w:r>
    </w:p>
    <w:p>
      <w:pPr>
        <w:spacing w:after="0" w:line="173"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GMI Total Net Sales and Revenue </w:t>
      </w:r>
      <w:r>
        <w:rPr>
          <w:rFonts w:ascii="Times New Roman" w:cs="Times New Roman" w:eastAsia="Times New Roman" w:hAnsi="Times New Roman"/>
          <w:sz w:val="20"/>
          <w:szCs w:val="20"/>
          <w:color w:val="auto"/>
        </w:rPr>
        <w:t>In the year ended December 31, 2025, Total net sales and revenue decreased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(1) decreased net wholesale volumes in Brazil, Korea, and Ecuador due to decreased sales of passenger cars and crossover vehicles, partially offset by increased wholesale volumes in Argentina and Egypt; and (2) unfavorable Other primarily due to net foreign currency changes in the Argentine peso, Brazilian real, and Egyptian pound; partially offset by (3) favorable Mix primarily in Brazil, partially offset by the Middle East and Egypt; and (4) favorable Price across multiple vehicle lines in Argentina, Brazil, and the Middle East.</w:t>
      </w:r>
    </w:p>
    <w:p>
      <w:pPr>
        <w:spacing w:after="0" w:line="19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GMI EBIT-Adjusted </w:t>
      </w:r>
      <w:r>
        <w:rPr>
          <w:rFonts w:ascii="Times New Roman" w:cs="Times New Roman" w:eastAsia="Times New Roman" w:hAnsi="Times New Roman"/>
          <w:sz w:val="20"/>
          <w:szCs w:val="20"/>
          <w:color w:val="auto"/>
        </w:rPr>
        <w:t>In the year ended December 31, 2025, EBIT-adjusted increased primarily due to: (1) favorable Price;</w:t>
      </w:r>
    </w:p>
    <w:p>
      <w:pPr>
        <w:spacing w:after="0" w:line="15" w:lineRule="exact"/>
        <w:rPr>
          <w:sz w:val="20"/>
          <w:szCs w:val="20"/>
          <w:color w:val="auto"/>
        </w:rPr>
      </w:pPr>
    </w:p>
    <w:p>
      <w:pPr>
        <w:jc w:val="both"/>
        <w:ind w:left="10" w:hanging="10"/>
        <w:spacing w:after="0" w:line="258" w:lineRule="auto"/>
        <w:tabs>
          <w:tab w:leader="none" w:pos="30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Mix in Brazil and Argentina, partially offset by the Middle East and Australia; and (3) favorable Other primarily due to increased Automotive China JVs equity income (loss), partially offset by net foreign currency changes in the Argentine peso and Brazilian real; partially offset by (4) decreased net wholesale volumes in Brazil and Korea, partially offset by increased wholesale volumes in Argentina and Egypt; and (5) unfavorable Cost primarily due to increased material and logistics costs in Brazil and the Middle East.</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70"/>
          </w:cols>
          <w:pgMar w:left="990" w:top="447"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Our Automotive China JVs’ ability to grow vehicle sales in China and generate sustainable equity income continues to be a challenge due to intense competition from our domestic competitors in the Chinese market. In the year ended December 31, 2025, we recognized equity losses of $0.3 billion driven primarily by impairment and restructuring charges of $0.6 billion recorded by certain of our Automotive China JVs. Refer to Note 8 to our consolidated financial statements for additional information. The following table summarizes certain key operational and financial data for the Automotive China JVs (vehicles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12"/>
          </w:tcPr>
          <w:p>
            <w:pPr>
              <w:jc w:val="center"/>
              <w:ind w:left="2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35"/>
        </w:trPr>
        <w:tc>
          <w:tcPr>
            <w:tcW w:w="48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20"/>
                <w:szCs w:val="20"/>
                <w:color w:val="auto"/>
              </w:rPr>
            </w:pPr>
          </w:p>
        </w:tc>
      </w:tr>
      <w:tr>
        <w:trPr>
          <w:trHeight w:val="275"/>
        </w:trPr>
        <w:tc>
          <w:tcPr>
            <w:tcW w:w="68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Wholesale vehicle sales including vehicles exported to markets outside of China</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2,334</w:t>
            </w:r>
          </w:p>
        </w:tc>
        <w:tc>
          <w:tcPr>
            <w:tcW w:w="20" w:type="dxa"/>
            <w:vAlign w:val="bottom"/>
            <w:shd w:val="clear" w:color="auto" w:fill="CCEEFF"/>
          </w:tcPr>
          <w:p>
            <w:pPr>
              <w:spacing w:after="0"/>
              <w:rPr>
                <w:sz w:val="23"/>
                <w:szCs w:val="23"/>
                <w:color w:val="auto"/>
              </w:rPr>
            </w:pPr>
          </w:p>
        </w:tc>
      </w:tr>
      <w:tr>
        <w:trPr>
          <w:trHeight w:val="278"/>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21,740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31,435</w:t>
            </w:r>
          </w:p>
        </w:tc>
        <w:tc>
          <w:tcPr>
            <w:tcW w:w="20" w:type="dxa"/>
            <w:vAlign w:val="bottom"/>
          </w:tcPr>
          <w:p>
            <w:pPr>
              <w:spacing w:after="0"/>
              <w:rPr>
                <w:sz w:val="24"/>
                <w:szCs w:val="24"/>
                <w:color w:val="auto"/>
              </w:rPr>
            </w:pPr>
          </w:p>
        </w:tc>
      </w:tr>
      <w:tr>
        <w:trPr>
          <w:trHeight w:val="292"/>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1,122</w:t>
            </w:r>
          </w:p>
        </w:tc>
        <w:tc>
          <w:tcPr>
            <w:tcW w:w="20" w:type="dxa"/>
            <w:vAlign w:val="bottom"/>
            <w:shd w:val="clear" w:color="auto" w:fill="CCEEFF"/>
          </w:tcPr>
          <w:p>
            <w:pPr>
              <w:spacing w:after="0"/>
              <w:rPr>
                <w:sz w:val="24"/>
                <w:szCs w:val="24"/>
                <w:color w:val="auto"/>
              </w:rPr>
            </w:pPr>
          </w:p>
        </w:tc>
      </w:tr>
      <w:tr>
        <w:trPr>
          <w:trHeight w:val="445"/>
        </w:trPr>
        <w:tc>
          <w:tcPr>
            <w:tcW w:w="48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r>
      <w:tr>
        <w:trPr>
          <w:trHeight w:val="275"/>
        </w:trPr>
        <w:tc>
          <w:tcPr>
            <w:tcW w:w="4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5"/>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7,688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6,389</w:t>
            </w:r>
          </w:p>
        </w:tc>
        <w:tc>
          <w:tcPr>
            <w:tcW w:w="20" w:type="dxa"/>
            <w:vAlign w:val="bottom"/>
          </w:tcPr>
          <w:p>
            <w:pPr>
              <w:spacing w:after="0"/>
              <w:rPr>
                <w:sz w:val="23"/>
                <w:szCs w:val="23"/>
                <w:color w:val="auto"/>
              </w:rPr>
            </w:pPr>
          </w:p>
        </w:tc>
      </w:tr>
      <w:tr>
        <w:trPr>
          <w:trHeight w:val="272"/>
        </w:trPr>
        <w:tc>
          <w:tcPr>
            <w:tcW w:w="4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Debt</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45"/>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 w:type="dxa"/>
            <w:vAlign w:val="bottom"/>
          </w:tcPr>
          <w:p>
            <w:pPr>
              <w:spacing w:after="0"/>
              <w:rPr>
                <w:sz w:val="23"/>
                <w:szCs w:val="23"/>
                <w:color w:val="auto"/>
              </w:rPr>
            </w:pPr>
          </w:p>
        </w:tc>
      </w:tr>
      <w:tr>
        <w:trPr>
          <w:trHeight w:val="548"/>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GM Financial</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4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2025 vs. 2024 Change</w:t>
            </w:r>
          </w:p>
        </w:tc>
      </w:tr>
      <w:tr>
        <w:trPr>
          <w:trHeight w:val="265"/>
        </w:trPr>
        <w:tc>
          <w:tcPr>
            <w:tcW w:w="48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23"/>
                <w:szCs w:val="23"/>
                <w:color w:val="auto"/>
              </w:rPr>
            </w:pPr>
          </w:p>
        </w:tc>
      </w:tr>
      <w:tr>
        <w:trPr>
          <w:trHeight w:val="290"/>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17,060</w:t>
            </w: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15,875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20" w:type="dxa"/>
            <w:vAlign w:val="bottom"/>
            <w:shd w:val="clear" w:color="auto" w:fill="CCEEFF"/>
          </w:tcPr>
          <w:p>
            <w:pPr>
              <w:spacing w:after="0"/>
              <w:rPr>
                <w:sz w:val="24"/>
                <w:szCs w:val="24"/>
                <w:color w:val="auto"/>
              </w:rPr>
            </w:pPr>
          </w:p>
        </w:tc>
      </w:tr>
      <w:tr>
        <w:trPr>
          <w:trHeight w:val="29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 for loan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17.3 %</w:t>
            </w:r>
          </w:p>
        </w:tc>
        <w:tc>
          <w:tcPr>
            <w:tcW w:w="20" w:type="dxa"/>
            <w:vAlign w:val="bottom"/>
          </w:tcPr>
          <w:p>
            <w:pPr>
              <w:spacing w:after="0"/>
              <w:rPr>
                <w:sz w:val="24"/>
                <w:szCs w:val="24"/>
                <w:color w:val="auto"/>
              </w:rPr>
            </w:pPr>
          </w:p>
        </w:tc>
      </w:tr>
      <w:tr>
        <w:trPr>
          <w:trHeight w:val="307"/>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EBT-adjusted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6"/>
              </w:rPr>
              <w:t>(163)</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shd w:val="clear" w:color="auto" w:fill="CCEEFF"/>
          </w:tcPr>
          <w:p>
            <w:pPr>
              <w:spacing w:after="0"/>
              <w:rPr>
                <w:sz w:val="24"/>
                <w:szCs w:val="24"/>
                <w:color w:val="auto"/>
              </w:rPr>
            </w:pPr>
          </w:p>
        </w:tc>
      </w:tr>
      <w:tr>
        <w:trPr>
          <w:trHeight w:val="29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Average debt outstanding (dollars in billions)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20" w:type="dxa"/>
            <w:vAlign w:val="bottom"/>
          </w:tcPr>
          <w:p>
            <w:pPr>
              <w:spacing w:after="0"/>
              <w:rPr>
                <w:sz w:val="24"/>
                <w:szCs w:val="24"/>
                <w:color w:val="auto"/>
              </w:rPr>
            </w:pPr>
          </w:p>
        </w:tc>
      </w:tr>
      <w:tr>
        <w:trPr>
          <w:trHeight w:val="307"/>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Effective rate of interest paid</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4.7 %</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272"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Financial Revenue </w:t>
      </w:r>
      <w:r>
        <w:rPr>
          <w:rFonts w:ascii="Times New Roman" w:cs="Times New Roman" w:eastAsia="Times New Roman" w:hAnsi="Times New Roman"/>
          <w:sz w:val="20"/>
          <w:szCs w:val="20"/>
          <w:color w:val="auto"/>
        </w:rPr>
        <w:t>In the year ended December 31, 2025, total revenue increased primarily due to: (1) increased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finance charge income of $0.5 billion primarily due to increases in the effective yield and average balance of the portfolio; (2) increased leased vehicle income of $0.5 billion primarily due to an increase in the average balance of the leased vehicles portfolio; and (3) increased other income of $0.2 billion primarily due to an increase in earned premiums and fees on vehicle protection contracts.</w:t>
      </w:r>
    </w:p>
    <w:p>
      <w:pPr>
        <w:spacing w:after="0" w:line="199" w:lineRule="exact"/>
        <w:rPr>
          <w:sz w:val="20"/>
          <w:szCs w:val="20"/>
          <w:color w:val="auto"/>
        </w:rPr>
      </w:pPr>
    </w:p>
    <w:p>
      <w:pPr>
        <w:jc w:val="both"/>
        <w:ind w:firstLine="18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GM Financial EBT-Adjusted </w:t>
      </w:r>
      <w:r>
        <w:rPr>
          <w:rFonts w:ascii="Times New Roman" w:cs="Times New Roman" w:eastAsia="Times New Roman" w:hAnsi="Times New Roman"/>
          <w:sz w:val="19"/>
          <w:szCs w:val="19"/>
          <w:color w:val="auto"/>
        </w:rPr>
        <w:t>In the year ended December 31, 2025, earnings before income taxes-adjusted (EBT-adjusted)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decreased primarily due to: (1) increased interest expense of $0.5 billion primarily due to an increase in average debt outstanding; (2) increased operating expenses of $0.4 billion primarily due to investments in the insurance and vehicle protection businesses and increases in the related claims expense, as well as a nonrecurring reserve release in 2024; (3) increased leased vehicle expenses of $0.3 billion primarily due to a decrease in lease termination gains and increased depreciation resulting from an increase in the average balance of the leased vehicles portfolio; and (4) increased provision for loan losses of $0.2 billion primarily due to a shift in the credit mix of loan originations; partially offset by (5) increased finance charge income of $0.5 billion primarily due to increases in the effective yield and average balance of the portfolio; (6) increased leased vehicle income of $0.5 billion primarily due to an increase in the average balance of the leased vehicles portfolio; and (7) increased other income of $0.2 billion primarily due to an increase in earned premiums and fees on vehicle protection contracts.</w:t>
      </w:r>
    </w:p>
    <w:p>
      <w:pPr>
        <w:spacing w:after="0" w:line="19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Liquidity and Capital Resources </w:t>
      </w:r>
      <w:r>
        <w:rPr>
          <w:rFonts w:ascii="Times New Roman" w:cs="Times New Roman" w:eastAsia="Times New Roman" w:hAnsi="Times New Roman"/>
          <w:sz w:val="20"/>
          <w:szCs w:val="20"/>
          <w:color w:val="auto"/>
        </w:rPr>
        <w:t>We believe our current levels of cash, cash equivalents, marketable debt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borrowing capacity under 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26"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Our known current material uses of cash include, among other possible demands: (1) capital spending and our investments in our battery cell manufacturing joint ventures of approximately $10.0 billion to $12.0 billion in 2026; (2) payments for engineering and product development activities</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 xml:space="preserve"> including the development of AV technology and software-enabled services; (3) payments associated with previously announced warranty claims, vehicle recalls, and any other recall-related contingencies;</w:t>
      </w:r>
    </w:p>
    <w:p>
      <w:pPr>
        <w:sectPr>
          <w:pgSz w:w="12240" w:h="15840" w:orient="portrait"/>
          <w:cols w:equalWidth="0" w:num="1">
            <w:col w:w="10260"/>
          </w:cols>
          <w:pgMar w:left="1000" w:top="447" w:right="980" w:bottom="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447" w:right="980" w:bottom="0" w:gutter="0" w:footer="0" w:header="0"/>
          <w:type w:val="continuous"/>
        </w:sectPr>
      </w:pPr>
    </w:p>
    <w:bookmarkStart w:id="38" w:name="page39"/>
    <w:bookmarkEnd w:id="38"/>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left="10" w:right="20" w:hanging="10"/>
        <w:spacing w:after="0" w:line="253" w:lineRule="auto"/>
        <w:tabs>
          <w:tab w:leader="none" w:pos="33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if the current regulations in the U.S. are not amended, payments of emissions-related regulatory compliance costs. Refer to Note 7, Note 13, and Note 15 to our consolidated financial statements for additional funding requirements for our operating leases, debt, and pension plans.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spacing w:after="0" w:line="213" w:lineRule="exact"/>
        <w:rPr>
          <w:sz w:val="20"/>
          <w:szCs w:val="20"/>
          <w:color w:val="auto"/>
        </w:rPr>
      </w:pPr>
    </w:p>
    <w:p>
      <w:pPr>
        <w:jc w:val="both"/>
        <w:ind w:left="10" w:firstLine="180"/>
        <w:spacing w:after="0" w:line="252" w:lineRule="auto"/>
        <w:rPr>
          <w:sz w:val="20"/>
          <w:szCs w:val="20"/>
          <w:color w:val="auto"/>
        </w:rPr>
      </w:pPr>
      <w:r>
        <w:rPr>
          <w:rFonts w:ascii="Times New Roman" w:cs="Times New Roman" w:eastAsia="Times New Roman" w:hAnsi="Times New Roman"/>
          <w:sz w:val="20"/>
          <w:szCs w:val="20"/>
          <w:color w:val="auto"/>
        </w:rPr>
        <w:t>Following recent U.S. Government policy changes, including the termination of certain consumer tax incentives for EV purchases and the reduction in the stringency of emissions regulations, industry-wide consumer demand for EVs in North America began to slow in 2025. In the three months ended September 30, 2025 and December 31, 2025, to realign our EV capacity and manufacturing footprint to consumer demand, we recorded charges of $1.6 billion and $6.0 billion. For the year ended December 31, 2025, we recorded charges in GMNA of $7.9 billion. These charges include supplier commercial settlements, contract cancellation fees, battery cell JV settlements, and other charges of approximately $4.7 billion, which will have a cash impact when paid. It is reasonably possible that we will recognize additional future material contract cancellation fees and commercial settlements associated with EV-related investments that may adversely affect our cash flows in the period in which they are paid. In addition, we have entered, and plan to continue to enter, into offtake agreements that generally obligate us to purchase defined quantities of output. These arrangements could have a short-term adverse impact on our cash and increase our inventory.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spacing w:after="0" w:line="219"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78" w:lineRule="exact"/>
        <w:rPr>
          <w:sz w:val="20"/>
          <w:szCs w:val="20"/>
          <w:color w:val="auto"/>
        </w:rPr>
      </w:pPr>
    </w:p>
    <w:p>
      <w:pPr>
        <w:jc w:val="both"/>
        <w:ind w:left="10" w:right="20" w:firstLine="180"/>
        <w:spacing w:after="0" w:line="255" w:lineRule="auto"/>
        <w:rPr>
          <w:sz w:val="20"/>
          <w:szCs w:val="20"/>
          <w:color w:val="auto"/>
        </w:rPr>
      </w:pPr>
      <w:r>
        <w:rPr>
          <w:rFonts w:ascii="Times New Roman" w:cs="Times New Roman" w:eastAsia="Times New Roman" w:hAnsi="Times New Roman"/>
          <w:sz w:val="20"/>
          <w:szCs w:val="20"/>
          <w:color w:val="auto"/>
        </w:rPr>
        <w:t>In February 2025, our Board of Directors increased the capacity under our existing share repurchase program by $6.0 billion to an aggregate of $6.3 billion, which was used to execute an accelerated share repurchase (ASR) program to repurchase an aggregate amount of $2.0 billion of our outstanding common stock. In the year ended December 31, 2025, we received and retired 43 million shares upon settlement of the transactions contemplated under these ASR agreements. In addition to shares received under the ASR program, we purchased approximately 61 million shares of our outstanding common stock for $4.0 billion in the year ended December 31, 2025. We had $0.3 billion in capacity remaining under our share repurchase program as of December 31, 2025, with no expiration date. In January 2026, our Board of Directors increased the capacity under our existing share repurchase program by $6.0 billion to an aggregate of $6.3 billion.</w:t>
      </w:r>
    </w:p>
    <w:p>
      <w:pPr>
        <w:spacing w:after="0" w:line="205"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In the year ended December 31, 2025, we paid dividends of $0.5 billion to holders of our common stock. In February 2025, our Board of Directors approved an increase in the quarterly common stock dividend of $0.03 to $0.15 per share beginning with the quarterly dividend declared in April 2025. In January 2026, our Board of Directors approved an increase in the quarterly common stock dividend of $0.03 to $0.18 per share beginning with the quarterly dividend declared in January 2026.</w:t>
      </w:r>
    </w:p>
    <w:p>
      <w:pPr>
        <w:spacing w:after="0" w:line="200"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In May 2025, we loaned $1.8 billion to Ultium Cells LLC to facilitate full voluntary prepayment of loans Ultium Cells LLC received under the Department of Energy's Advanced Technology Vehicles Manufacturing program. Our loan to Ultium Cells LLC accrues interest at a rate of 5.7% per year, matures in April 2030, and is prepayable without penalties.</w:t>
      </w:r>
    </w:p>
    <w:p>
      <w:pPr>
        <w:spacing w:after="0" w:line="195" w:lineRule="exact"/>
        <w:rPr>
          <w:sz w:val="20"/>
          <w:szCs w:val="20"/>
          <w:color w:val="auto"/>
        </w:rPr>
      </w:pPr>
    </w:p>
    <w:p>
      <w:pPr>
        <w:jc w:val="both"/>
        <w:ind w:left="10" w:firstLine="180"/>
        <w:spacing w:after="0" w:line="255" w:lineRule="auto"/>
        <w:rPr>
          <w:sz w:val="20"/>
          <w:szCs w:val="20"/>
          <w:color w:val="auto"/>
        </w:rPr>
      </w:pPr>
      <w:r>
        <w:rPr>
          <w:rFonts w:ascii="Times New Roman" w:cs="Times New Roman" w:eastAsia="Times New Roman" w:hAnsi="Times New Roman"/>
          <w:sz w:val="20"/>
          <w:szCs w:val="20"/>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The Cruise restructuring activities are substantially complete as of December 31, 2025. Net cash used in operating activities by Cruise was $1.0 billion, $2.2 billion, and $1.9</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70"/>
          </w:cols>
          <w:pgMar w:left="990" w:top="447"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billion in the years ended December 31, 2025, 2024, and 2023. We expect future operating cash flows for Cruise to be insignificant.</w:t>
      </w:r>
    </w:p>
    <w:p>
      <w:pPr>
        <w:spacing w:after="0" w:line="173"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Liquidity </w:t>
      </w:r>
      <w:r>
        <w:rPr>
          <w:rFonts w:ascii="Times New Roman" w:cs="Times New Roman" w:eastAsia="Times New Roman" w:hAnsi="Times New Roman"/>
          <w:sz w:val="20"/>
          <w:szCs w:val="20"/>
          <w:color w:val="auto"/>
        </w:rPr>
        <w:t>Total available liquidity includes cash, cash equivalents, marketable debt securities, and funds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available under credit facilities. The amount of available liquidity is subject to seasonal fluctuations and includes balances held by various business units and subsidiaries worldwide that are needed to fund their operations.</w:t>
      </w:r>
    </w:p>
    <w:p>
      <w:pPr>
        <w:spacing w:after="0" w:line="192"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We manage our liquidity primarily at our treasury centers as well as at certain of our significant consolidated overseas subsidiaries. Over 83% of our cash and marketable debt securities were managed within North America and at our regional treasury centers at December 31, 2025. We have used, and will continue to use, other methods, including intercompany loans to utilize these funds across our global operations as needed.</w:t>
      </w:r>
    </w:p>
    <w:p>
      <w:pPr>
        <w:spacing w:after="0" w:line="20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19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use credit facilities as a mechanism to provide additional flexibility in managing our global liquidity. Our Automotive borrowing capacity under credit facilities totaled $14.4 billion and $14.3 billion at December 31, 2025 and 2024,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at December 31, 2025 and 2024.</w:t>
      </w:r>
    </w:p>
    <w:p>
      <w:pPr>
        <w:spacing w:after="0" w:line="204"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If available capacity permits, GM Financial has access to our automotive credit facilities. GM Financial did not have borrowings outstanding against any of these facilities at December 31, 2025 and 2024. We had intercompany loans from GM Financial of $0.4 billion and $0.3 billion at December 31, 2025 and 2024, which primarily consisted of commercial loans to dealers we consolidate. We did not have intercompany loans to GM Financial at December 31, 2025 and 2024. Refer to Note 5 to our consolidated financial statements for additional information.</w:t>
      </w:r>
    </w:p>
    <w:p>
      <w:pPr>
        <w:spacing w:after="0" w:line="204"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Several of our loan facilities, including our credit facilities, require compliance with certain financial and operational covenants as well as regular reporting to lenders. We have reviewed our covenants in effect as of December 31, 2025 and determined we are in compliance and expect to remain in compliance in the future.</w:t>
      </w:r>
    </w:p>
    <w:p>
      <w:pPr>
        <w:spacing w:after="0" w:line="195"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GM Financial's Board of Directors declared and paid dividends on its common stock of $1.5 billion in the year ended December 31, 2025 and $1.8 billion in the years ended December 31, 2024 and 2023. Future dividends from GM Financial will depend on several factors including business and economic conditions, its financial condition, earnings, liquidity requirements, and leverage ratio.</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447" w:right="980" w:bottom="0" w:gutter="0" w:footer="0" w:header="0"/>
          <w:type w:val="continuous"/>
        </w:sectPr>
      </w:pPr>
    </w:p>
    <w:bookmarkStart w:id="40" w:name="page41"/>
    <w:bookmarkEnd w:id="4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our Automotive available liquidity (dollars in billions):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8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9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cash and cash equivalents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15.1</w:t>
            </w: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cash, cash equivalents, and marketable debt securities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21.7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Available under credit facilities(a)</w:t>
            </w:r>
          </w:p>
        </w:tc>
        <w:tc>
          <w:tcPr>
            <w:tcW w:w="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Automotive available liquidity</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35.7</w:t>
            </w: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We had letters of credit outstanding under our sub-facility of $0.5 billion at December 31, 2025 and 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The following table summarizes the changes in our Automotive available liquidity (dollars in billions):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9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Operating cash flow</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ASR program, shares repurchased, and dividends paid</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Issuance of senior unsecured notes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Payment of senior unsecured notes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Loan to Ultium Cells LLC, net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Cruise robotaxi operations wind down</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in nonconsolidated affiliates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Increase in available credit facilities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 non-operating</w:t>
            </w:r>
          </w:p>
        </w:tc>
        <w:tc>
          <w:tcPr>
            <w:tcW w:w="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change in automotive available liquidity</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Cash Flow (Dollars in billions)</w:t>
            </w: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8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1"/>
              </w:rPr>
              <w:t>10.1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amortization, and impairment charges</w:t>
            </w:r>
          </w:p>
        </w:tc>
        <w:tc>
          <w:tcPr>
            <w:tcW w:w="26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Pension and OPEB activities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Working capital</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Accrued and other liabilities and income taxes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Other(a)</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automotive cash provided by (used in) operating activities(b)</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18.7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1"/>
              </w:rPr>
              <w:t>20.8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-5318760</wp:posOffset>
            </wp:positionV>
            <wp:extent cx="197802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1978025" cy="5080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-2250440</wp:posOffset>
            </wp:positionV>
            <wp:extent cx="10541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1054100" cy="5080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-43815</wp:posOffset>
            </wp:positionV>
            <wp:extent cx="279717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27971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70" w:hanging="370"/>
        <w:spacing w:after="0" w:line="250"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billion in dividends received from our nonconsolidated affiliates in the year ended December 31, 2025; $1.5 billion in dividends received from GM Financial in the year ended December 31, 2025 and $1.8 billion in dividends received from GM Financial in the years ended December 31, 2024, and 2023; $0.6 billion and $4.1 billion for the Automotive China JVs impairment and restructuring-related equity losses in the years ended December 31, 2025 and 2024; and changes in other assets and liabilities.</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66"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 billion, $8.2 billion, and $4.8 billion in the years ended December 31, 2025, 2024, and 2023, which are eliminated within the consolidated statements of cash flows. Amounts eliminated primarily relate to purchases of, and collections on, wholesale finance receivables provided by GM Financial to our dealers and dividends issued by GM Financial to us.</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70"/>
          </w:cols>
          <w:pgMar w:left="990" w:top="447" w:right="980" w:bottom="0" w:gutter="0" w:footer="0" w:header="0"/>
          <w:type w:val="continuous"/>
        </w:sectPr>
      </w:pPr>
    </w:p>
    <w:bookmarkStart w:id="41" w:name="page42"/>
    <w:bookmarkEnd w:id="41"/>
    <w:p>
      <w:pPr>
        <w:ind w:left="2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8"/>
        </w:trPr>
        <w:tc>
          <w:tcPr>
            <w:tcW w:w="5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3"/>
        </w:trPr>
        <w:tc>
          <w:tcPr>
            <w:tcW w:w="5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Acquisitions and liquidations of marketable securities, net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Other(a)</w:t>
            </w:r>
          </w:p>
        </w:tc>
        <w:tc>
          <w:tcPr>
            <w:tcW w:w="2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60"/>
        </w:trPr>
        <w:tc>
          <w:tcPr>
            <w:tcW w:w="5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automotive cash provided by (used in) investing activities(b)</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-43815</wp:posOffset>
            </wp:positionV>
            <wp:extent cx="279717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2797175" cy="5080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w:t>
      </w:r>
    </w:p>
    <w:p>
      <w:pPr>
        <w:spacing w:after="0" w:line="19" w:lineRule="exact"/>
        <w:rPr>
          <w:sz w:val="20"/>
          <w:szCs w:val="20"/>
          <w:color w:val="auto"/>
        </w:rPr>
      </w:pPr>
    </w:p>
    <w:p>
      <w:pPr>
        <w:jc w:val="both"/>
        <w:ind w:left="380" w:hanging="37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billion term loan to and $0.4 billion loan repayments from Ultium Cells LLC, $(1.1) billion funding to wind down Cruise robotaxi operations, and $(0.8) billion investment in nonconsolidated affiliates in the year ended December 31, 2025; $(1.3) billion and $(0.5) billion investment in Cruise in the years ended December 31, 2024 and 2023, which is inclusive of a $(0.9) billion convertible note issued by Cruise to us in the year ended December 31, 2024; $(0.7) billion investment in Ultium Cells Holdings LLC in the years ended December 31, 2024, and 2023; $(0.3) billion investment in Lithium Americas in the years ended December 31, 2024 and 2023; and $(0.1) billion for the purchase of Cruise common and preferred shares from noncontrolling shareholders in the year ended December 31, 2024.</w:t>
      </w:r>
    </w:p>
    <w:p>
      <w:pPr>
        <w:spacing w:after="0" w:line="2" w:lineRule="exact"/>
        <w:rPr>
          <w:rFonts w:ascii="Times New Roman" w:cs="Times New Roman" w:eastAsia="Times New Roman" w:hAnsi="Times New Roman"/>
          <w:sz w:val="18"/>
          <w:szCs w:val="18"/>
          <w:color w:val="auto"/>
        </w:rPr>
      </w:pPr>
    </w:p>
    <w:p>
      <w:pPr>
        <w:jc w:val="both"/>
        <w:ind w:left="380" w:hanging="37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Cruise are eliminated within the consolidated statements of cash flows. The redemption of Cruise common and preferred shares from noncontrolling shareholders in 2025 and 2024 are reclassified to financing activities within the consolidated statements of cash flows.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0"/>
        </w:trPr>
        <w:tc>
          <w:tcPr>
            <w:tcW w:w="58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5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Net proceeds (payments) from short-term debt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93"/>
        </w:trPr>
        <w:tc>
          <w:tcPr>
            <w:tcW w:w="5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Issuance of senior notes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97"/>
        </w:trPr>
        <w:tc>
          <w:tcPr>
            <w:tcW w:w="5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Other(a)</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0"/>
        </w:trPr>
        <w:tc>
          <w:tcPr>
            <w:tcW w:w="5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automotive cash provided by (used in) financing activities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-43815</wp:posOffset>
            </wp:positionV>
            <wp:extent cx="279717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2797175" cy="508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80" w:hanging="37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 billion, $(7.1) billion, and $(1.1) billion for payments to purchase common stock in the years ended December 31, 2025, 2024, and 2023; $(2.0) billion and $(10.0) billion in payments related to the ASR programs in the years ended December 31, 2025 and 2023; and $(0.5) billion for dividends paid in the years ended December 31, 2025, 2024, and 2023.</w:t>
      </w:r>
    </w:p>
    <w:p>
      <w:pPr>
        <w:spacing w:after="0" w:line="190" w:lineRule="exact"/>
        <w:rPr>
          <w:sz w:val="20"/>
          <w:szCs w:val="20"/>
          <w:color w:val="auto"/>
        </w:rPr>
      </w:pPr>
    </w:p>
    <w:p>
      <w:pPr>
        <w:jc w:val="both"/>
        <w:ind w:left="20" w:righ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Automotive Free Cash Flow </w:t>
      </w:r>
      <w:r>
        <w:rPr>
          <w:rFonts w:ascii="Times New Roman" w:cs="Times New Roman" w:eastAsia="Times New Roman" w:hAnsi="Times New Roman"/>
          <w:sz w:val="20"/>
          <w:szCs w:val="20"/>
          <w:color w:val="auto"/>
        </w:rPr>
        <w:t>We measure adjusted automotive free cash flow as automotive operating cash flow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operations less capital expenditures adjusted for management actions. For the year ended December 31, 2025, net automotive cash provided by operating activities was $18.7 billion, capital expenditures were $9.2 billion, and adjustments for management actions were $1.1 billion. For the year ended December 31, 2024, net automotive cash provided by operating activities was $23.9 billion, capital expenditures were $10.7 billion, and adjustments for management actions were $0.8 billion. Refer to the "Non-GAAP Measures" section of this MD&amp;A for additional information.</w:t>
      </w:r>
    </w:p>
    <w:p>
      <w:pPr>
        <w:spacing w:after="0" w:line="202" w:lineRule="exact"/>
        <w:rPr>
          <w:sz w:val="20"/>
          <w:szCs w:val="20"/>
          <w:color w:val="auto"/>
        </w:rPr>
      </w:pPr>
    </w:p>
    <w:p>
      <w:pPr>
        <w:jc w:val="both"/>
        <w:ind w:left="20" w:right="20"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Status of Credit Ratings </w:t>
      </w:r>
      <w:r>
        <w:rPr>
          <w:rFonts w:ascii="Times New Roman" w:cs="Times New Roman" w:eastAsia="Times New Roman" w:hAnsi="Times New Roman"/>
          <w:sz w:val="20"/>
          <w:szCs w:val="20"/>
          <w:color w:val="auto"/>
        </w:rPr>
        <w:t>We receive ratings from four independent credit rating agencies: DBRS Limited (DBRS), Fitch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Ratings (Fitch), Moody's Investor Service (Moody's), and S&amp;P. All four credit rating agencies currently rate our corporate credit at investment grade. The following table summarizes our credit ratings at January 20, 2026:</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56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Senior Unsecured</w:t>
            </w: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w:t>
            </w:r>
          </w:p>
        </w:tc>
      </w:tr>
      <w:tr>
        <w:trPr>
          <w:trHeight w:val="275"/>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DBRS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BBB (high)</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r>
      <w:tr>
        <w:trPr>
          <w:trHeight w:val="279"/>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Fitch</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Positive</w:t>
            </w:r>
          </w:p>
        </w:tc>
      </w:tr>
      <w:tr>
        <w:trPr>
          <w:trHeight w:val="291"/>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Moody's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Investment Grade</w:t>
            </w: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Baa2</w:t>
            </w: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r>
      <w:tr>
        <w:trPr>
          <w:trHeight w:val="274"/>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S&amp;P</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r>
    </w:tbl>
    <w:p>
      <w:pPr>
        <w:spacing w:after="0" w:line="200" w:lineRule="exact"/>
        <w:rPr>
          <w:sz w:val="20"/>
          <w:szCs w:val="20"/>
          <w:color w:val="auto"/>
        </w:rPr>
      </w:pPr>
    </w:p>
    <w:p>
      <w:pPr>
        <w:sectPr>
          <w:pgSz w:w="12240" w:h="15840" w:orient="portrait"/>
          <w:cols w:equalWidth="0" w:num="1">
            <w:col w:w="10280"/>
          </w:cols>
          <w:pgMar w:left="98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80"/>
          </w:cols>
          <w:pgMar w:left="980" w:top="447" w:right="980" w:bottom="0" w:gutter="0" w:footer="0" w:header="0"/>
          <w:type w:val="continuous"/>
        </w:sectPr>
      </w:pPr>
    </w:p>
    <w:bookmarkStart w:id="42" w:name="page43"/>
    <w:bookmarkEnd w:id="42"/>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2" w:lineRule="exact"/>
        <w:rPr>
          <w:sz w:val="20"/>
          <w:szCs w:val="20"/>
          <w:color w:val="auto"/>
        </w:rPr>
      </w:pPr>
    </w:p>
    <w:p>
      <w:pPr>
        <w:jc w:val="both"/>
        <w:ind w:left="10" w:right="2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Liquidity </w:t>
      </w:r>
      <w:r>
        <w:rPr>
          <w:rFonts w:ascii="Times New Roman" w:cs="Times New Roman" w:eastAsia="Times New Roman" w:hAnsi="Times New Roman"/>
          <w:sz w:val="20"/>
          <w:szCs w:val="20"/>
          <w:color w:val="auto"/>
        </w:rPr>
        <w:t>GM Financial's primary sources of cash are finance charge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leasing income and proceeds from 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0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GM Financial's available liquidity (dollars in billions):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75"/>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 cash equivalents, and marketable securities</w:t>
            </w:r>
          </w:p>
        </w:tc>
        <w:tc>
          <w:tcPr>
            <w:tcW w:w="6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78"/>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Available capacity under secured credit facilities</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92"/>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Available under committed unsecured credit facilities</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75"/>
        </w:trPr>
        <w:tc>
          <w:tcPr>
            <w:tcW w:w="7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Available under revolving credit facility, exclusive to GM Financial</w:t>
            </w: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5"/>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GM Financial available liquidity</w:t>
            </w:r>
          </w:p>
        </w:tc>
        <w:tc>
          <w:tcPr>
            <w:tcW w:w="6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-43815</wp:posOffset>
            </wp:positionV>
            <wp:extent cx="197802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pacing w:after="0" w:line="167" w:lineRule="exact"/>
        <w:rPr>
          <w:sz w:val="20"/>
          <w:szCs w:val="20"/>
          <w:color w:val="auto"/>
        </w:rPr>
      </w:pPr>
    </w:p>
    <w:p>
      <w:pPr>
        <w:jc w:val="both"/>
        <w:ind w:left="10" w:firstLine="360"/>
        <w:spacing w:after="0" w:line="255" w:lineRule="auto"/>
        <w:rPr>
          <w:sz w:val="20"/>
          <w:szCs w:val="20"/>
          <w:color w:val="auto"/>
        </w:rPr>
      </w:pPr>
      <w:r>
        <w:rPr>
          <w:rFonts w:ascii="Times New Roman" w:cs="Times New Roman" w:eastAsia="Times New Roman" w:hAnsi="Times New Roman"/>
          <w:sz w:val="20"/>
          <w:szCs w:val="20"/>
          <w:color w:val="auto"/>
        </w:rPr>
        <w:t>GM Financial's available liquidity varies quarterly based on factors including near-term debt issuances and maturities, as well as changes in its earning assets. GM Financial's available liquidity increased, primarily due to increased available capacity under secured credit facilities and an increase in cash and cash equivalents. Available capacity under secured credit facilities increased due to paydowns resulting from the issuance of securitization transactions and unsecured debt. GM Financial generally targets liquidity levels to support at least six months of GM Financial's expected net cash flows, including new originations, without access to new debt financing transactions or other capital markets activity. At December 31, 2025, available liquidity exceeded GM Financial's liquidity targets.</w:t>
      </w:r>
    </w:p>
    <w:p>
      <w:pPr>
        <w:spacing w:after="0" w:line="20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b w:val="1"/>
          <w:bCs w:val="1"/>
          <w:i w:val="1"/>
          <w:iCs w:val="1"/>
          <w:color w:val="auto"/>
        </w:rPr>
        <w:t>GM Financial Cash Flow (Dollars in billions)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9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8.0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investing activities(a)</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307"/>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financing activities(b)</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5.7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19" w:lineRule="exact"/>
        <w:rPr>
          <w:sz w:val="20"/>
          <w:szCs w:val="20"/>
          <w:color w:val="auto"/>
        </w:rPr>
      </w:pPr>
    </w:p>
    <w:p>
      <w:pPr>
        <w:jc w:val="both"/>
        <w:ind w:left="370" w:hanging="370"/>
        <w:spacing w:after="0" w:line="254" w:lineRule="auto"/>
        <w:tabs>
          <w:tab w:leader="none" w:pos="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 billion in the year ended December 31, 2025 driven primarily by purchases of, and collections on, wholesale finance receivables and collection of intercompany loans to Cruise; and $(6.4) billion and $(3.0) billion in the years ended December 31, 2024 and 2023 driven primarily by purchases of, and collections on, wholesale finance receivables, which are eliminated within the consolidated statements of cash flows.</w:t>
      </w:r>
    </w:p>
    <w:p>
      <w:pPr>
        <w:spacing w:after="0" w:line="1" w:lineRule="exact"/>
        <w:rPr>
          <w:rFonts w:ascii="Times New Roman" w:cs="Times New Roman" w:eastAsia="Times New Roman" w:hAnsi="Times New Roman"/>
          <w:sz w:val="18"/>
          <w:szCs w:val="18"/>
          <w:color w:val="auto"/>
        </w:rPr>
      </w:pPr>
    </w:p>
    <w:p>
      <w:pPr>
        <w:ind w:left="370" w:right="20" w:hanging="370"/>
        <w:spacing w:after="0" w:line="268" w:lineRule="auto"/>
        <w:tabs>
          <w:tab w:leader="none" w:pos="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$(1.5) billion </w:t>
      </w:r>
      <w:r>
        <w:rPr>
          <w:rFonts w:ascii="Times New Roman" w:cs="Times New Roman" w:eastAsia="Times New Roman" w:hAnsi="Times New Roman"/>
          <w:sz w:val="20"/>
          <w:szCs w:val="20"/>
          <w:color w:val="auto"/>
        </w:rPr>
        <w:t>i</w:t>
      </w:r>
      <w:r>
        <w:rPr>
          <w:rFonts w:ascii="Times New Roman" w:cs="Times New Roman" w:eastAsia="Times New Roman" w:hAnsi="Times New Roman"/>
          <w:sz w:val="18"/>
          <w:szCs w:val="18"/>
          <w:color w:val="auto"/>
        </w:rPr>
        <w:t>n the year ended December 31, 2025 and $(1.8) billion in the years ended December 31, 2024 and 2023 for dividends to GM, which are eliminated within the consolidated statements of cash flows.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Accretion and amortization of loan and leasing fees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 for loan losses</w:t>
            </w:r>
          </w:p>
        </w:tc>
        <w:tc>
          <w:tcPr>
            <w:tcW w:w="26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30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 non-cash income</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94"/>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26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96"/>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Deferred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6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-43815</wp:posOffset>
            </wp:positionV>
            <wp:extent cx="279717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2797175" cy="50800"/>
                    </a:xfrm>
                    <a:prstGeom prst="rect">
                      <a:avLst/>
                    </a:prstGeom>
                    <a:noFill/>
                  </pic:spPr>
                </pic:pic>
              </a:graphicData>
            </a:graphic>
          </wp:anchor>
        </w:drawing>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70"/>
          </w:cols>
          <w:pgMar w:left="990" w:top="447"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4" w:lineRule="exact"/>
        <w:rPr>
          <w:sz w:val="20"/>
          <w:szCs w:val="20"/>
          <w:color w:val="auto"/>
        </w:rPr>
      </w:pPr>
    </w:p>
    <w:p>
      <w:pPr>
        <w:jc w:val="both"/>
        <w:ind w:right="20" w:firstLine="1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Credit Facilities </w:t>
      </w:r>
      <w:r>
        <w:rPr>
          <w:rFonts w:ascii="Times New Roman" w:cs="Times New Roman" w:eastAsia="Times New Roman" w:hAnsi="Times New Roman"/>
          <w:sz w:val="20"/>
          <w:szCs w:val="20"/>
          <w:color w:val="auto"/>
        </w:rPr>
        <w:t>In the normal course of business, in addition to using its available cash, GM Financial utilizes borrowings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its credit facilities, which may be secured or unsecured, and GM Financial repays these borrowings as appropriate under its cash management strategy. At December 31, 2025, secured and unsecured credit facilities totaled $27.8 billion and $3.8 billion with advances outstanding of $1.9 billion and $2.9 billion.</w:t>
      </w:r>
    </w:p>
    <w:p>
      <w:pPr>
        <w:spacing w:after="0" w:line="199"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did not have any borrowings outstanding against our credit facility designated for their exclusive use or the remainder of our revolving credit facilities at December 31, 2025 and 2024. Refer to the "Automotive Liquidity" section of this MD&amp;A for additional details.</w:t>
      </w:r>
    </w:p>
    <w:p>
      <w:pPr>
        <w:spacing w:after="0" w:line="24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Critical Accounting Estimates </w:t>
      </w:r>
      <w:r>
        <w:rPr>
          <w:rFonts w:ascii="Times New Roman" w:cs="Times New Roman" w:eastAsia="Times New Roman" w:hAnsi="Times New Roman"/>
          <w:sz w:val="20"/>
          <w:szCs w:val="20"/>
          <w:color w:val="auto"/>
        </w:rPr>
        <w:t>The consolidated financial statements are prepared in conformity with U.S. GAAP,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2"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 Warranty and Recall Campaigns </w:t>
      </w:r>
      <w:r>
        <w:rPr>
          <w:rFonts w:ascii="Times New Roman" w:cs="Times New Roman" w:eastAsia="Times New Roman" w:hAnsi="Times New Roman"/>
          <w:sz w:val="20"/>
          <w:szCs w:val="20"/>
          <w:color w:val="auto"/>
        </w:rPr>
        <w:t>The estimates related to product warranties are established using historical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9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We accrue the costs related to product warranty at the time of vehicle sale and we accrue the estimated cost of recall campaigns when they are probable and estimable.</w:t>
      </w:r>
    </w:p>
    <w:p>
      <w:pPr>
        <w:spacing w:after="0" w:line="178"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05"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$0.5 billion.</w:t>
      </w:r>
    </w:p>
    <w:p>
      <w:pPr>
        <w:spacing w:after="0" w:line="202"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90"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Sales Incentives </w:t>
      </w:r>
      <w:r>
        <w:rPr>
          <w:rFonts w:ascii="Times New Roman" w:cs="Times New Roman" w:eastAsia="Times New Roman" w:hAnsi="Times New Roman"/>
          <w:sz w:val="20"/>
          <w:szCs w:val="20"/>
          <w:color w:val="auto"/>
        </w:rPr>
        <w:t>The estimated effect of sales incentives offered to dealers and end customers is recorded as a reduction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Automotive net sales and 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approximately $0.3 billion. Subsequent adjustments to incentive estimates are possible as facts and circumstances change over time, which could affect the revenue previously recognized in Automotive net sales and revenue.</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447"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Financial Allowance for Loan Losses </w:t>
      </w:r>
      <w:r>
        <w:rPr>
          <w:rFonts w:ascii="Times New Roman" w:cs="Times New Roman" w:eastAsia="Times New Roman" w:hAnsi="Times New Roman"/>
          <w:sz w:val="20"/>
          <w:szCs w:val="20"/>
          <w:color w:val="auto"/>
        </w:rPr>
        <w:t>The GM Financial retail finance receivables portfolio consists of smaller-balance, homogeneous loans that are carried at amortized cost basis, net of allowance for loan losses. The allowance for loan losses on retail finance receivables reflects net credit losses expected to be incurred over the remaining life of the retail finance receivables, which have a weighted-average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ultimate charge-off amounts will not exceed such estimates or that our credit loss assumptions will not increase.</w:t>
      </w:r>
    </w:p>
    <w:p>
      <w:pPr>
        <w:spacing w:after="0" w:line="210"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The severity of net credit losses is determined by the amounts GM Financial is able to recover when selling collateral underlying loans that have been charged off. The recovery rate is the percentage of the unpaid principal balance that GM Financial collects, primarily through auction proceeds. GM Financial incorporates its outlook on recovery rates in its retail allowance estimate. Each 5% relative decrease/increase in the forecast recovery rates would increase/decrease the allowance for loan losses by $0.1 billion.</w:t>
      </w:r>
    </w:p>
    <w:p>
      <w:pPr>
        <w:spacing w:after="0" w:line="204"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GM Financial also incorporates its outlook on overall economic performance, based on weightings applied to several scenarios, in its retail allowance estimate. If the forecast economic conditions were based entirely on the weakest scenario considered, the allowance for loan losses would increase by $0.2 billion. Actual economic data and recovery rates that are lower than those forecasted by GM Financial could result in an increase to the allowance for loan losses.</w:t>
      </w:r>
    </w:p>
    <w:p>
      <w:pPr>
        <w:spacing w:after="0" w:line="200"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The GM Financial commercial finance receivables portfolio consists of financing products for dealers and other businesses. GM Financial provides commercial lending products to its dealer customers that include floorplan financing, also known as wholesale or inventory financing, which is lending to finance vehicle inventory. GM Financial also provides dealer loans, which are loans to finance improvements to dealership facilities, to provide working capital, or to purchase and/or finance dealership real estate. Additionally, GM Financial provides lending products to commercial vehicle upfitters and advances to certain of our subsidiaries. The allowance for loan losses on commercial finance receivables is based on historical loss experience for the consolidated portfolio, in addition to forecasted industry conditions. There can be no assurance that ultimate charge-off amounts will not exceed such estimates or that GM Financial's credit loss assumptions will not increase.</w:t>
      </w:r>
    </w:p>
    <w:p>
      <w:pPr>
        <w:spacing w:after="0" w:line="200"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GM Financial Equipment on Operating Lease Assets and Residuals </w:t>
      </w:r>
      <w:r>
        <w:rPr>
          <w:rFonts w:ascii="Times New Roman" w:cs="Times New Roman" w:eastAsia="Times New Roman" w:hAnsi="Times New Roman"/>
          <w:sz w:val="20"/>
          <w:szCs w:val="20"/>
          <w:color w:val="auto"/>
        </w:rPr>
        <w:t>GM Financial has investments in leased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recorded as operating leases. Each leased asset in the portfolio represents a vehicle that GM Financial owns and has leased to a customer. At the inception of a lease, an estimate is made of the expected residual value for the vehicle at the end of the lease term, which typically ranges from one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0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pacing w:after="0" w:line="195"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the inception of the lease. Realization of the residual values is dependent on GM Financial's future ability to market the vehicles under prevailing market conditions.</w:t>
      </w:r>
    </w:p>
    <w:p>
      <w:pPr>
        <w:spacing w:after="0" w:line="20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At December 31, 2025, the estimated residual value of GM Financial's leased vehicles was $25.0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447"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following table illustrates the effect of a 1% relative change in the estimated residual values at December 31, 2025, which could increase or decrease depreciation expense over the remaining term of the leased vehicle portfolio, holding all other assumptions constant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Impact to</w:t>
            </w:r>
          </w:p>
        </w:tc>
      </w:tr>
      <w:tr>
        <w:trPr>
          <w:trHeight w:val="214"/>
        </w:trPr>
        <w:tc>
          <w:tcPr>
            <w:tcW w:w="864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 Expense</w:t>
            </w:r>
          </w:p>
        </w:tc>
      </w:tr>
      <w:tr>
        <w:trPr>
          <w:trHeight w:val="290"/>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174</w:t>
            </w:r>
          </w:p>
        </w:tc>
      </w:tr>
      <w:tr>
        <w:trPr>
          <w:trHeight w:val="293"/>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w:t>
            </w:r>
          </w:p>
        </w:tc>
      </w:tr>
      <w:tr>
        <w:trPr>
          <w:trHeight w:val="307"/>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15</w:t>
            </w:r>
          </w:p>
        </w:tc>
      </w:tr>
      <w:tr>
        <w:trPr>
          <w:trHeight w:val="290"/>
        </w:trPr>
        <w:tc>
          <w:tcPr>
            <w:tcW w:w="8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2029 and thereafter</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8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250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-43815</wp:posOffset>
            </wp:positionV>
            <wp:extent cx="10541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1054100" cy="50800"/>
                    </a:xfrm>
                    <a:prstGeom prst="rect">
                      <a:avLst/>
                    </a:prstGeom>
                    <a:noFill/>
                  </pic:spPr>
                </pic:pic>
              </a:graphicData>
            </a:graphic>
          </wp:anchor>
        </w:drawing>
      </w:r>
    </w:p>
    <w:p>
      <w:pPr>
        <w:spacing w:after="0" w:line="227"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material impairment indicators were present at December 31, 2025 or 2024.</w:t>
      </w:r>
    </w:p>
    <w:p>
      <w:pPr>
        <w:spacing w:after="0" w:line="219"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and OPEB Plans </w:t>
      </w:r>
      <w:r>
        <w:rPr>
          <w:rFonts w:ascii="Times New Roman" w:cs="Times New Roman" w:eastAsia="Times New Roman" w:hAnsi="Times New Roman"/>
          <w:sz w:val="20"/>
          <w:szCs w:val="20"/>
          <w:color w:val="auto"/>
        </w:rPr>
        <w:t>Our defined benefit pension plans are accounted for on an actuarial basis, which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selection of various assumptions, including an expected long-term rate of return on plan assets, a discount rate, mortality rates of participants, and expectation of mortality improvement.</w:t>
      </w:r>
    </w:p>
    <w:p>
      <w:pPr>
        <w:spacing w:after="0" w:line="19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 In December 2025, an investment policy study was completed for the U.S. pension plans. As a result, the weighted-average long-term rate of Return on Assets (ROA) decreased to 6.0% at December 31, 2025 from 6.5% at December 31, 2024. The expected long-term rate of return on plan assets used in determining pension expense for non-U.S. plans is determined in a similar manner to the U.S. plans.</w:t>
      </w:r>
    </w:p>
    <w:p>
      <w:pPr>
        <w:spacing w:after="0" w:line="205"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Another key assumption in determining net pension and other postretirement benefits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0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20"/>
          <w:szCs w:val="20"/>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$5.7 billion and $6.2 billion at December 31, 2025 and 2024. The year-over-year change is primarily due to higher than expected asset returns partially offset by a decrease in discount rates.</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funded status of the U.S. pension plans improved in the year ended December 31, 2025 to $0.7 billion underfunded status from $1.8 billion underfunded status primarily due to: (1) favorable effect of actual return on plan assets of $4.4 billion; partially offset by (2) service and interest costs of $2.1 billion and (3) decrease in discount rates of $1.2 billion.</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447" w:right="980" w:bottom="0" w:gutter="0" w:footer="0" w:header="0"/>
          <w:type w:val="continuous"/>
        </w:sectPr>
      </w:pPr>
    </w:p>
    <w:bookmarkStart w:id="46" w:name="page47"/>
    <w:bookmarkEnd w:id="46"/>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illustrates the sensitivity to a change in certain assumptions for the pension plans, holding all other assumptions constant:</w:t>
      </w:r>
    </w:p>
    <w:p>
      <w:pPr>
        <w:spacing w:after="0" w:line="127" w:lineRule="exact"/>
        <w:rPr>
          <w:sz w:val="20"/>
          <w:szCs w:val="20"/>
          <w:color w:val="auto"/>
        </w:rPr>
      </w:pPr>
    </w:p>
    <w:tbl>
      <w:tblPr>
        <w:tblLayout w:type="fixed"/>
        <w:tblInd w:w="30" w:type="dxa"/>
        <w:tblCellMar>
          <w:top w:w="0" w:type="dxa"/>
          <w:left w:w="0" w:type="dxa"/>
          <w:bottom w:w="0" w:type="dxa"/>
          <w:right w:w="0" w:type="dxa"/>
        </w:tblCellMar>
      </w:tblPr>
      <w:tr>
        <w:trPr>
          <w:trHeight w:val="219"/>
        </w:trPr>
        <w:tc>
          <w:tcPr>
            <w:tcW w:w="560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U.S. Plans(a)</w:t>
            </w:r>
          </w:p>
        </w:tc>
        <w:tc>
          <w:tcPr>
            <w:tcW w:w="8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Non-U.S. Plans(a)</w:t>
            </w:r>
          </w:p>
        </w:tc>
      </w:tr>
      <w:tr>
        <w:trPr>
          <w:trHeight w:val="191"/>
        </w:trPr>
        <w:tc>
          <w:tcPr>
            <w:tcW w:w="56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 2026</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 2026</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w:t>
            </w:r>
          </w:p>
        </w:tc>
      </w:tr>
      <w:tr>
        <w:trPr>
          <w:trHeight w:val="160"/>
        </w:trPr>
        <w:tc>
          <w:tcPr>
            <w:tcW w:w="56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Pension</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Pension</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 PBO</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 PBO</w:t>
            </w:r>
          </w:p>
        </w:tc>
      </w:tr>
      <w:tr>
        <w:trPr>
          <w:trHeight w:val="290"/>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25 basis point decrease in discount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93"/>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25 basis point increase in discount rate</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307"/>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25 basis point decrease in expected rate of ROA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87"/>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25 basis point increase in expected rate of ROA</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bl>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does not include the effects of the individual annual yield curve rates applied for the calculation of the service and interest cost.</w:t>
      </w:r>
    </w:p>
    <w:p>
      <w:pPr>
        <w:spacing w:after="0" w:line="178"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95" w:lineRule="exact"/>
        <w:rPr>
          <w:sz w:val="20"/>
          <w:szCs w:val="20"/>
          <w:color w:val="auto"/>
        </w:rPr>
      </w:pPr>
    </w:p>
    <w:p>
      <w:pPr>
        <w:jc w:val="both"/>
        <w:ind w:left="1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Deferred Tax Assets </w:t>
      </w:r>
      <w:r>
        <w:rPr>
          <w:rFonts w:ascii="Times New Roman" w:cs="Times New Roman" w:eastAsia="Times New Roman" w:hAnsi="Times New Roman"/>
          <w:sz w:val="20"/>
          <w:szCs w:val="20"/>
          <w:color w:val="auto"/>
        </w:rPr>
        <w:t>The ability to realize deferred tax assets depends on the ability to generate sufficient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taxable income within the 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8"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At December 31, 2025, valuation allowances against deferred tax assets were $6.8 billion. Refer to Note 17 to our consolidated financial statements for additional information on the composition of these valuation allowances.</w:t>
      </w:r>
    </w:p>
    <w:p>
      <w:pPr>
        <w:spacing w:after="0" w:line="174"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Non-GAAP Measures </w:t>
      </w:r>
      <w:r>
        <w:rPr>
          <w:rFonts w:ascii="Times New Roman" w:cs="Times New Roman" w:eastAsia="Times New Roman" w:hAnsi="Times New Roman"/>
          <w:sz w:val="20"/>
          <w:szCs w:val="20"/>
          <w:color w:val="auto"/>
        </w:rPr>
        <w:t>We use both GAAP and non-GAAP financial measures for operational and financial decision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assess Company and 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7" w:lineRule="exact"/>
        <w:rPr>
          <w:sz w:val="20"/>
          <w:szCs w:val="20"/>
          <w:color w:val="auto"/>
        </w:rPr>
      </w:pPr>
    </w:p>
    <w:p>
      <w:pPr>
        <w:jc w:val="both"/>
        <w:ind w:left="10" w:right="20" w:firstLine="180"/>
        <w:spacing w:after="0" w:line="254" w:lineRule="auto"/>
        <w:rPr>
          <w:sz w:val="20"/>
          <w:szCs w:val="20"/>
          <w:color w:val="auto"/>
        </w:rPr>
      </w:pPr>
      <w:r>
        <w:rPr>
          <w:rFonts w:ascii="Times New Roman" w:cs="Times New Roman" w:eastAsia="Times New Roman" w:hAnsi="Times New Roman"/>
          <w:sz w:val="20"/>
          <w:szCs w:val="20"/>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5" w:lineRule="exact"/>
        <w:rPr>
          <w:sz w:val="20"/>
          <w:szCs w:val="20"/>
          <w:color w:val="auto"/>
        </w:rPr>
      </w:pPr>
    </w:p>
    <w:p>
      <w:pPr>
        <w:jc w:val="both"/>
        <w:ind w:left="1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EBIT-adjusted (Most comparable GAAP measure: Net income attributable to stockholders) </w:t>
      </w:r>
      <w:r>
        <w:rPr>
          <w:rFonts w:ascii="Times New Roman" w:cs="Times New Roman" w:eastAsia="Times New Roman" w:hAnsi="Times New Roman"/>
          <w:sz w:val="20"/>
          <w:szCs w:val="20"/>
          <w:color w:val="auto"/>
        </w:rPr>
        <w:t>EBIT-adjusted is presented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70"/>
          </w:cols>
          <w:pgMar w:left="990" w:top="447" w:right="9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measure in any future periods in which there is an impact from the item. Our corresponding measure for our GM Financial segment is EBT-adjusted because interest income and interest expense are an integral part of its financial performance.</w:t>
      </w:r>
    </w:p>
    <w:p>
      <w:pPr>
        <w:spacing w:after="0" w:line="173"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EPS-diluted-adjusted (Most comparable GAAP measure: Diluted earnings per common share) </w:t>
      </w:r>
      <w:r>
        <w:rPr>
          <w:rFonts w:ascii="Times New Roman" w:cs="Times New Roman" w:eastAsia="Times New Roman" w:hAnsi="Times New Roman"/>
          <w:sz w:val="20"/>
          <w:szCs w:val="20"/>
          <w:color w:val="auto"/>
        </w:rPr>
        <w:t>EPS-diluted-adjusted is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19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ETR-adjusted (Most comparable GAAP measure: Effective tax rate) </w:t>
      </w:r>
      <w:r>
        <w:rPr>
          <w:rFonts w:ascii="Times New Roman" w:cs="Times New Roman" w:eastAsia="Times New Roman" w:hAnsi="Times New Roman"/>
          <w:sz w:val="20"/>
          <w:szCs w:val="20"/>
          <w:color w:val="auto"/>
        </w:rPr>
        <w:t>ETR-adjusted is used by management and can be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197"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ROIC-adjusted (Most comparable GAAP measure: Return on equity) </w:t>
      </w:r>
      <w:r>
        <w:rPr>
          <w:rFonts w:ascii="Times New Roman" w:cs="Times New Roman" w:eastAsia="Times New Roman" w:hAnsi="Times New Roman"/>
          <w:sz w:val="20"/>
          <w:szCs w:val="20"/>
          <w:color w:val="auto"/>
        </w:rPr>
        <w:t>ROIC-adjusted is used by management and can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spacing w:after="0" w:line="19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automotive free cash flow (Most comparable GAAP measure: Net automotive cash provided by operating activities) </w:t>
      </w:r>
      <w:r>
        <w:rPr>
          <w:rFonts w:ascii="Times New Roman" w:cs="Times New Roman" w:eastAsia="Times New Roman" w:hAnsi="Times New Roman"/>
          <w:sz w:val="20"/>
          <w:szCs w:val="20"/>
          <w:color w:val="auto"/>
        </w:rPr>
        <w:t>Adjusted automotive free cash flow is used by management and can be used by investors to review the liquidity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447" w:right="980" w:bottom="0" w:gutter="0" w:footer="0" w:header="0"/>
          <w:type w:val="continuous"/>
        </w:sectPr>
      </w:pPr>
    </w:p>
    <w:bookmarkStart w:id="48" w:name="page49"/>
    <w:bookmarkEnd w:id="48"/>
    <w:p>
      <w:pPr>
        <w:ind w:left="36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reconciles Net income (loss) attributable to stockholders to EBIT-adjusted:</w:t>
      </w: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2,697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6,008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10,127</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2,556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563</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interest expense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727</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846</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911</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 interest income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Adjustments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3"/>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EV strategic realignment(a)</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7,914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China restructuring actions(b)</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842</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4,010</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Legal matters(c)</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Cruise restructuring(d)</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223</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1,103</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478</w:t>
            </w:r>
          </w:p>
        </w:tc>
      </w:tr>
      <w:tr>
        <w:trPr>
          <w:trHeight w:val="293"/>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Separation costs(e)</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1,035</w:t>
            </w:r>
          </w:p>
        </w:tc>
      </w:tr>
      <w:tr>
        <w:trPr>
          <w:trHeight w:val="307"/>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GMI exit costs(f)</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93"/>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Headquarters relocation(g)</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Buick dealer strategy(h)</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964</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569</w:t>
            </w:r>
          </w:p>
        </w:tc>
      </w:tr>
      <w:tr>
        <w:trPr>
          <w:trHeight w:val="290"/>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GM Korea wage litigation(i)</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8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adjustments</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9,839</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6,491</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1,865</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EBIT-adjusted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12,747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12,357</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-43815</wp:posOffset>
            </wp:positionV>
            <wp:extent cx="26066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our strategic realignment of our EV capacity and manufacturing footprint. These adjustments include $0.3 billion that was recorded in the three months ended June 30, 2025 associated with Ultium's strategic realignment.</w:t>
      </w:r>
    </w:p>
    <w:p>
      <w:pPr>
        <w:spacing w:after="0" w:line="1" w:lineRule="exact"/>
        <w:rPr>
          <w:rFonts w:ascii="Times New Roman" w:cs="Times New Roman" w:eastAsia="Times New Roman" w:hAnsi="Times New Roman"/>
          <w:sz w:val="18"/>
          <w:szCs w:val="18"/>
          <w:color w:val="auto"/>
        </w:rPr>
      </w:pP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investigations and litigation associated with our former OnStar Smart Driver product and an indemnification charge for a European-wide Takata Corporation (Takata) related recall.</w:t>
      </w:r>
    </w:p>
    <w:p>
      <w:pPr>
        <w:jc w:val="both"/>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Times New Roman" w:cs="Times New Roman" w:eastAsia="Times New Roman" w:hAnsi="Times New Roman"/>
          <w:sz w:val="18"/>
          <w:szCs w:val="18"/>
          <w:color w:val="auto"/>
        </w:rPr>
      </w:pP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employee separation charges including the acceleration of attrition as part of the cost reduction program announced in January 2023, primarily in the U.S.</w:t>
      </w: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primarily relate to the wind down of our manufacturing operations in Colombia and Ecuador and an asset sale resulting from our strategic decision in 2020 to exit India.</w:t>
      </w: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GM headquarters relocation, primarily consisting of accelerated depreciation and other relocation expenditures.</w:t>
      </w:r>
    </w:p>
    <w:p>
      <w:pPr>
        <w:ind w:left="720" w:hanging="370"/>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strategic activities to transition certain Buick dealers out of our dealer network as part of Buick’s EV strategy.</w:t>
      </w:r>
    </w:p>
    <w:p>
      <w:pPr>
        <w:ind w:left="720" w:hanging="370"/>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partial resolution of subcontractor matters in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w:t>
      </w:r>
    </w:p>
    <w:p>
      <w:pPr>
        <w:sectPr>
          <w:pgSz w:w="12240" w:h="15840" w:orient="portrait"/>
          <w:cols w:equalWidth="0" w:num="1">
            <w:col w:w="10620"/>
          </w:cols>
          <w:pgMar w:left="64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620"/>
          </w:cols>
          <w:pgMar w:left="640" w:top="447" w:right="980" w:bottom="0" w:gutter="0" w:footer="0" w:header="0"/>
          <w:type w:val="continuous"/>
        </w:sectPr>
      </w:pPr>
    </w:p>
    <w:bookmarkStart w:id="49" w:name="page50"/>
    <w:bookmarkEnd w:id="49"/>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reconciles diluted earnings per common share to EPS-diluted-adjusted:</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35"/>
        </w:trPr>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20"/>
                <w:szCs w:val="20"/>
                <w:color w:val="auto"/>
              </w:rPr>
            </w:pPr>
          </w:p>
        </w:tc>
      </w:tr>
      <w:tr>
        <w:trPr>
          <w:trHeight w:val="280"/>
        </w:trPr>
        <w:tc>
          <w:tcPr>
            <w:tcW w:w="40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9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7,189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10,022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w:t>
            </w:r>
          </w:p>
        </w:tc>
      </w:tr>
      <w:tr>
        <w:trPr>
          <w:trHeight w:val="293"/>
        </w:trPr>
        <w:tc>
          <w:tcPr>
            <w:tcW w:w="4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Adjustments(a)</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07"/>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Tax effect on adjustments(b)</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(0.37)</w:t>
            </w:r>
          </w:p>
        </w:tc>
      </w:tr>
      <w:tr>
        <w:trPr>
          <w:trHeight w:val="293"/>
        </w:trPr>
        <w:tc>
          <w:tcPr>
            <w:tcW w:w="4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adjustments(c)</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r>
      <w:tr>
        <w:trPr>
          <w:trHeight w:val="297"/>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Return to (return from) preferred shareholders(d)</w:t>
            </w: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EPS-diluted-adjusted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-43815</wp:posOffset>
            </wp:positionV>
            <wp:extent cx="397827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39782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right="20" w:hanging="370"/>
        <w:spacing w:after="0" w:line="250" w:lineRule="auto"/>
        <w:tabs>
          <w:tab w:leader="none" w:pos="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(loss) attributable to stockholders to EBIT-adjusted within this section of MD&amp;A for adjustment details.</w:t>
      </w:r>
    </w:p>
    <w:p>
      <w:pPr>
        <w:ind w:left="370" w:hanging="370"/>
        <w:spacing w:after="0" w:line="250" w:lineRule="auto"/>
        <w:tabs>
          <w:tab w:leader="none" w:pos="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each adjustment is determined based on the tax laws and valuation allowance status of the jurisdiction to which the adjustment relates.</w:t>
      </w:r>
    </w:p>
    <w:p>
      <w:pPr>
        <w:jc w:val="both"/>
        <w:ind w:left="370" w:hanging="370"/>
        <w:spacing w:after="0" w:line="250" w:lineRule="auto"/>
        <w:tabs>
          <w:tab w:leader="none" w:pos="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2023, the adjustment consists of tax benefit related to the release of a valuation allowance against deferred tax assets considered realizable in Korea. This adjustment was excluded because significant impacts of valuation allowances are not considered part of our core operations.</w:t>
      </w:r>
    </w:p>
    <w:p>
      <w:pPr>
        <w:spacing w:after="0" w:line="1" w:lineRule="exact"/>
        <w:rPr>
          <w:rFonts w:ascii="Times New Roman" w:cs="Times New Roman" w:eastAsia="Times New Roman" w:hAnsi="Times New Roman"/>
          <w:sz w:val="18"/>
          <w:szCs w:val="18"/>
          <w:color w:val="auto"/>
        </w:rPr>
      </w:pPr>
    </w:p>
    <w:p>
      <w:pPr>
        <w:ind w:left="370" w:right="20" w:hanging="370"/>
        <w:spacing w:after="0" w:line="283" w:lineRule="auto"/>
        <w:tabs>
          <w:tab w:leader="none" w:pos="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consists of a return from the preferred shareholders related to the redemption of Cruise preferred shares from noncontrolling interest holders in the years ended December 31, 2025 and 2024.</w:t>
      </w:r>
    </w:p>
    <w:p>
      <w:pPr>
        <w:spacing w:after="0" w:line="17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reconciles our effective tax rate to ETR-adjusted:</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74"/>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Effective tax rate</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Adjustments(a)</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Tax adjustments(b)</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ETR-adjusted</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w w:val="97"/>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-189865</wp:posOffset>
            </wp:positionV>
            <wp:extent cx="488315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4883150" cy="50800"/>
                    </a:xfrm>
                    <a:prstGeom prst="rect">
                      <a:avLst/>
                    </a:prstGeom>
                    <a:noFill/>
                  </pic:spPr>
                </pic:pic>
              </a:graphicData>
            </a:graphic>
          </wp:anchor>
        </w:drawing>
      </w:r>
    </w:p>
    <w:p>
      <w:pPr>
        <w:jc w:val="both"/>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Times New Roman" w:cs="Times New Roman" w:eastAsia="Times New Roman" w:hAnsi="Times New Roman"/>
          <w:sz w:val="18"/>
          <w:szCs w:val="18"/>
          <w:color w:val="auto"/>
        </w:rPr>
      </w:pPr>
    </w:p>
    <w:p>
      <w:pPr>
        <w:ind w:left="370" w:hanging="370"/>
        <w:spacing w:after="0" w:line="283"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diluted earnings per common share to EPS-diluted-adjusted within this section of MD&amp;A for adjustment details.</w:t>
      </w:r>
    </w:p>
    <w:p>
      <w:pPr>
        <w:spacing w:after="0" w:line="178"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20"/>
                <w:szCs w:val="20"/>
                <w:color w:val="auto"/>
              </w:rPr>
              <w:t>6.0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10.1</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Average equity(a)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68.9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72.0</w:t>
            </w: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ROE</w:t>
            </w:r>
          </w:p>
        </w:tc>
        <w:tc>
          <w:tcPr>
            <w:tcW w:w="3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8.7 %</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14.1 %</w:t>
            </w:r>
          </w:p>
        </w:tc>
      </w:tr>
    </w:tbl>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of noncontrolling interests where the corresponding earnings (loss) are included in Net income attributable to stockholders.</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70"/>
          </w:cols>
          <w:pgMar w:left="990" w:top="447" w:right="980" w:bottom="0" w:gutter="0" w:footer="0" w:header="0"/>
          <w:type w:val="continuous"/>
        </w:sectPr>
      </w:pPr>
    </w:p>
    <w:bookmarkStart w:id="50" w:name="page51"/>
    <w:bookmarkEnd w:id="5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the calculation of ROIC-adjusted (dollars in billions):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EBIT-adjusted(a)</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20"/>
                <w:szCs w:val="20"/>
                <w:color w:val="auto"/>
              </w:rPr>
              <w:t>12.7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14.9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Average equity(b)</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64.6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68.9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72.0</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40"/>
              <w:spacing w:after="0" w:line="229" w:lineRule="exact"/>
              <w:rPr>
                <w:sz w:val="20"/>
                <w:szCs w:val="20"/>
                <w:color w:val="auto"/>
              </w:rPr>
            </w:pPr>
            <w:r>
              <w:rPr>
                <w:rFonts w:ascii="Times New Roman" w:cs="Times New Roman" w:eastAsia="Times New Roman" w:hAnsi="Times New Roman"/>
                <w:sz w:val="20"/>
                <w:szCs w:val="20"/>
                <w:color w:val="auto"/>
              </w:rPr>
              <w:t>Add: Average automotive debt and interest liabilities (excluding finance</w:t>
            </w:r>
          </w:p>
        </w:tc>
        <w:tc>
          <w:tcPr>
            <w:tcW w:w="3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64"/>
              <w:spacing w:after="0"/>
              <w:rPr>
                <w:sz w:val="20"/>
                <w:szCs w:val="20"/>
                <w:color w:val="auto"/>
              </w:rPr>
            </w:pPr>
            <w:r>
              <w:rPr>
                <w:rFonts w:ascii="Times New Roman" w:cs="Times New Roman" w:eastAsia="Times New Roman" w:hAnsi="Times New Roman"/>
                <w:sz w:val="20"/>
                <w:szCs w:val="20"/>
                <w:color w:val="auto"/>
              </w:rPr>
              <w:t>16.2</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7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leases)</w:t>
            </w:r>
          </w:p>
        </w:tc>
        <w:tc>
          <w:tcPr>
            <w:tcW w:w="320" w:type="dxa"/>
            <w:vAlign w:val="bottom"/>
            <w:shd w:val="clear" w:color="auto" w:fill="CCEEFF"/>
          </w:tcPr>
          <w:p>
            <w:pPr>
              <w:spacing w:after="0"/>
              <w:rPr>
                <w:sz w:val="23"/>
                <w:szCs w:val="23"/>
                <w:color w:val="auto"/>
              </w:rPr>
            </w:pPr>
          </w:p>
        </w:tc>
        <w:tc>
          <w:tcPr>
            <w:tcW w:w="100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 Average automotive net pension and OPEB liability</w:t>
            </w:r>
          </w:p>
        </w:tc>
        <w:tc>
          <w:tcPr>
            <w:tcW w:w="320" w:type="dxa"/>
            <w:vAlign w:val="bottom"/>
          </w:tcPr>
          <w:p>
            <w:pPr>
              <w:spacing w:after="0"/>
              <w:rPr>
                <w:sz w:val="24"/>
                <w:szCs w:val="24"/>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Less: Average automotive net income tax asset</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ROIC-adjusted average net assets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66.0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71.8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ROIC-adjusted</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19.3 %</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20.8 %</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-215265</wp:posOffset>
            </wp:positionV>
            <wp:extent cx="260667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(loss) attributable to stockholders to EBIT-adjusted within this section of MD&amp;A.</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of noncontrolling interests where the corresponding earnings (loss) are included in EBIT-adjusted.</w:t>
      </w:r>
    </w:p>
    <w:p>
      <w:pPr>
        <w:spacing w:after="0" w:line="239" w:lineRule="exact"/>
        <w:rPr>
          <w:sz w:val="20"/>
          <w:szCs w:val="20"/>
          <w:color w:val="auto"/>
        </w:rPr>
      </w:pPr>
    </w:p>
    <w:p>
      <w:pPr>
        <w:jc w:val="both"/>
        <w:ind w:left="10"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Forward-Looking Statements </w:t>
      </w:r>
      <w:r>
        <w:rPr>
          <w:rFonts w:ascii="Times New Roman" w:cs="Times New Roman" w:eastAsia="Times New Roman" w:hAnsi="Times New Roman"/>
          <w:sz w:val="20"/>
          <w:szCs w:val="20"/>
          <w:color w:val="auto"/>
        </w:rPr>
        <w:t>This report and the other reports filed by us with the SEC from time to time,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that are able to attract a sufficient number of consumers; (4) our ability to profitably deliver a strategic portfolio of EVs; (5) adoption of EVs by consumers; (6) the success of our current line of ICE vehicles, particularly our full-size ICE SUVs and full-size ICE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evolving regulation of GHG emissions, changing consumer preferences and demand, and the potential increased impacts of severe weather events; (10) global automobile market sales volume, which can be volatile; (11) inflationary pressures and persistently high prices and uncertain availability of commodities, raw materials, and other inputs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components, and raw materials without disruption and at such times to allow us to meet production schedules;</w:t>
      </w:r>
    </w:p>
    <w:p>
      <w:pPr>
        <w:spacing w:after="0" w:line="20" w:lineRule="exact"/>
        <w:rPr>
          <w:sz w:val="20"/>
          <w:szCs w:val="20"/>
          <w:color w:val="auto"/>
        </w:rPr>
      </w:pPr>
    </w:p>
    <w:p>
      <w:pPr>
        <w:jc w:val="both"/>
        <w:ind w:left="10" w:right="20" w:hanging="10"/>
        <w:spacing w:after="0" w:line="283" w:lineRule="auto"/>
        <w:tabs>
          <w:tab w:leader="none" w:pos="44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epidemics, disease outbreaks, and other public health crises; (18) the possibility that competitors may independently develop products and services similar to ours, or that our intellectual property rights are not sufficient to prevent</w:t>
      </w:r>
    </w:p>
    <w:p>
      <w:pPr>
        <w:sectPr>
          <w:pgSz w:w="12240" w:h="15840" w:orient="portrait"/>
          <w:cols w:equalWidth="0" w:num="1">
            <w:col w:w="10270"/>
          </w:cols>
          <w:pgMar w:left="990" w:top="447" w:right="980" w:bottom="0" w:gutter="0" w:footer="0" w:header="0"/>
        </w:sectPr>
      </w:pPr>
    </w:p>
    <w:p>
      <w:pPr>
        <w:spacing w:after="0" w:line="9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70"/>
          </w:cols>
          <w:pgMar w:left="990" w:top="447"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Act and/or relating to fuel economy, emissions, and AVs; (23) costs and risks associated with litigation, governmental investigations, and other proceedings;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Part 1, Item 1A. Risk Factors.</w:t>
      </w:r>
    </w:p>
    <w:p>
      <w:pPr>
        <w:spacing w:after="0" w:line="196"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9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large adverse market movements on our key exposures.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analyses provide quantitative information regarding exposure to foreign currency exchange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risk, interest rate risk, and commodity risk. Sensitivity analysis is used to measure the potential loss in the fair value of financial 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and commodity prices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and commodity prices, which may significantly reduce the potential loss in value.</w:t>
      </w:r>
    </w:p>
    <w:p>
      <w:pPr>
        <w:spacing w:after="0" w:line="20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Exchange Rate Risk </w:t>
      </w:r>
      <w:r>
        <w:rPr>
          <w:rFonts w:ascii="Times New Roman" w:cs="Times New Roman" w:eastAsia="Times New Roman" w:hAnsi="Times New Roman"/>
          <w:sz w:val="20"/>
          <w:szCs w:val="20"/>
          <w:color w:val="auto"/>
        </w:rPr>
        <w:t>We have foreign currency exposures related to buying, selling, and financing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currencies other than the functional currencies of our operations. At December 31, 2025, our most significant foreign currency exposures were between the U.S. dollar and the Canadian dollar, Chinese yuan, and Korean won.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2025.</w:t>
      </w:r>
    </w:p>
    <w:p>
      <w:pPr>
        <w:spacing w:after="0" w:line="202"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net fair value liability of financial instruments with exposure to foreign currency risk was $0.3 billion and $0.2 billion at December 31, 2025 and 2024.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$0.8 billion and $0.3 billion at December 31, 2025 and 2024.</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447"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amounts of automotive foreign currency translation, transaction, and remeasurement (gains) losses: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2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20" w:type="dxa"/>
            <w:vAlign w:val="bottom"/>
            <w:tcBorders>
              <w:bottom w:val="single" w:sz="8" w:color="auto"/>
            </w:tcBorders>
          </w:tcPr>
          <w:p>
            <w:pPr>
              <w:spacing w:after="0"/>
              <w:rPr>
                <w:sz w:val="19"/>
                <w:szCs w:val="19"/>
                <w:color w:val="auto"/>
              </w:rPr>
            </w:pPr>
          </w:p>
        </w:tc>
      </w:tr>
      <w:tr>
        <w:trPr>
          <w:trHeight w:val="235"/>
        </w:trPr>
        <w:tc>
          <w:tcPr>
            <w:tcW w:w="7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Translation (gains) losses recorded in Accumulated other comprehensive loss</w:t>
            </w:r>
          </w:p>
        </w:tc>
        <w:tc>
          <w:tcPr>
            <w:tcW w:w="10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765</w:t>
            </w:r>
          </w:p>
        </w:tc>
      </w:tr>
      <w:tr>
        <w:trPr>
          <w:trHeight w:val="287"/>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Transaction and remeasurement (gains) losses recorded in earnings</w:t>
            </w:r>
          </w:p>
        </w:tc>
        <w:tc>
          <w:tcPr>
            <w:tcW w:w="100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r>
    </w:tbl>
    <w:p>
      <w:pPr>
        <w:spacing w:after="0" w:line="28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Risk </w:t>
      </w:r>
      <w:r>
        <w:rPr>
          <w:rFonts w:ascii="Times New Roman" w:cs="Times New Roman" w:eastAsia="Times New Roman" w:hAnsi="Times New Roman"/>
          <w:sz w:val="20"/>
          <w:szCs w:val="20"/>
          <w:color w:val="auto"/>
        </w:rPr>
        <w:t>We are subject to market risk from exposure to changes in interest rates related to certain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instruments, primarily debt, finance lease obligations, and certain marketable debt securities. At December 31, 2025, interest rate swap positions were used to manage interest rate exposures in our automotive operations and were insignificant. The fair value of debt and finance leases was $16.2 billion and $15.2 billion at December 31, 2025 and 2024. The potential increase in fair value resulting from a 10% decrease in quoted interest rates would have been $0.6 billion and $0.7 billion at December 31, 2025 and 2024.</w:t>
      </w:r>
    </w:p>
    <w:p>
      <w:pPr>
        <w:spacing w:after="0" w:line="202"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had marketable debt securities of $6.7 billion and $7.3 billion classified as available-for-sale at December 31, 2025 and 2024. The potential decrease in fair value from a 50 basis point increase in interest rates would have been insignificant at December 31, 2025 and 2024.</w:t>
      </w:r>
    </w:p>
    <w:p>
      <w:pPr>
        <w:spacing w:after="0" w:line="190"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Commodity Risk </w:t>
      </w:r>
      <w:r>
        <w:rPr>
          <w:rFonts w:ascii="Times New Roman" w:cs="Times New Roman" w:eastAsia="Times New Roman" w:hAnsi="Times New Roman"/>
          <w:sz w:val="20"/>
          <w:szCs w:val="20"/>
          <w:color w:val="auto"/>
        </w:rPr>
        <w:t>We have commodity price risk which could have an impact on our financial results as a result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fluctuations in the prices of commodities used in vehicle production. At December 31, 2025 we used derivative instruments such as commodity forwards, swaps, and options to hedge a portion of our exposures with respect to forecasted commodity purchases of steel, copper, aluminum, palladium, lithium, and nickel.</w:t>
      </w:r>
    </w:p>
    <w:p>
      <w:pPr>
        <w:spacing w:after="0" w:line="19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net fair value of financial instruments with exposure to commodity price movements was an asset of $0.4 billion and an insignificant liability at December 31, 2025 and 2024. The potential change in fair value for such financial instruments from a 10% adverse change in the underlying commodity prices would have been $0.2 billion at December 31,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Automotive Financing - GM Financial</w:t>
      </w:r>
    </w:p>
    <w:p>
      <w:pPr>
        <w:spacing w:after="0" w:line="252"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Risk </w:t>
      </w:r>
      <w:r>
        <w:rPr>
          <w:rFonts w:ascii="Times New Roman" w:cs="Times New Roman" w:eastAsia="Times New Roman" w:hAnsi="Times New Roman"/>
          <w:sz w:val="20"/>
          <w:szCs w:val="20"/>
          <w:color w:val="auto"/>
        </w:rPr>
        <w:t>Fluctuations in market interest rates can affect GM Financial's gross interest rate spread, which is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difference between interest 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Quantitative Disclosure </w:t>
      </w:r>
      <w:r>
        <w:rPr>
          <w:rFonts w:ascii="Times New Roman" w:cs="Times New Roman" w:eastAsia="Times New Roman" w:hAnsi="Times New Roman"/>
          <w:sz w:val="20"/>
          <w:szCs w:val="20"/>
          <w:color w:val="auto"/>
        </w:rPr>
        <w:t>GM Financial measures the sensitivity of its net interest income to changes in interest rates by using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interest rate scenarios that 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GM Financial's analysis. Therefore, the actual impact to net interest income could be higher or lower than the results detailed in the table below. These interest rate scenarios are purely hypothetical and do not represent GM Financial's view of future interest rate movements.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447" w:right="980" w:bottom="0" w:gutter="0" w:footer="0" w:header="0"/>
          <w:type w:val="continuous"/>
        </w:sectPr>
      </w:pPr>
    </w:p>
    <w:bookmarkStart w:id="53" w:name="page54"/>
    <w:bookmarkEnd w:id="53"/>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At December 31, 2025 and 2024, GM Financial was asset-sensitive, meaning that more assets than liabilities were expected to reprice within the next 12 months. During a period of rising interest rates, the interest earned on assets would increase more than the interest paid on liabilities, which would initially increase net interest income. During a period of falling interest rates, net interest income would be expected to initially decrease.</w:t>
      </w:r>
    </w:p>
    <w:p>
      <w:pPr>
        <w:spacing w:after="0" w:line="200"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presents GM Financial's net interest income sensitivity to interest rate movement:</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Borders>
              <w:bottom w:val="single" w:sz="8" w:color="auto"/>
            </w:tcBorders>
          </w:tcPr>
          <w:p>
            <w:pPr>
              <w:spacing w:after="0"/>
              <w:rPr>
                <w:sz w:val="19"/>
                <w:szCs w:val="19"/>
                <w:color w:val="auto"/>
              </w:rPr>
            </w:pPr>
          </w:p>
        </w:tc>
      </w:tr>
      <w:tr>
        <w:trPr>
          <w:trHeight w:val="235"/>
        </w:trPr>
        <w:tc>
          <w:tcPr>
            <w:tcW w:w="7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One hundred basis points instantaneous increase in interest rates</w:t>
            </w:r>
          </w:p>
        </w:tc>
        <w:tc>
          <w:tcPr>
            <w:tcW w:w="10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87"/>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One hundred basis points instantaneous decrease in interest rates(a)</w:t>
            </w:r>
          </w:p>
        </w:tc>
        <w:tc>
          <w:tcPr>
            <w:tcW w:w="100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8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bl>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sensitivity given a one hundred basis point decrease in interest rates requires an assumption of negative interest rates in markets where existing interest rates are below one percent.</w:t>
      </w:r>
    </w:p>
    <w:p>
      <w:pPr>
        <w:spacing w:after="0" w:line="173"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Additional Model Assumptions </w:t>
      </w:r>
      <w:r>
        <w:rPr>
          <w:rFonts w:ascii="Times New Roman" w:cs="Times New Roman" w:eastAsia="Times New Roman" w:hAnsi="Times New Roman"/>
          <w:sz w:val="20"/>
          <w:szCs w:val="20"/>
          <w:color w:val="auto"/>
        </w:rPr>
        <w:t>The sensitivity analysis presented is GM Financial's best estimate of the effect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hypothetical interest rate scenarios; 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197"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Counterparty Risk </w:t>
      </w:r>
      <w:r>
        <w:rPr>
          <w:rFonts w:ascii="Times New Roman" w:cs="Times New Roman" w:eastAsia="Times New Roman" w:hAnsi="Times New Roman"/>
          <w:sz w:val="20"/>
          <w:szCs w:val="20"/>
          <w:color w:val="auto"/>
        </w:rPr>
        <w:t>Counterparty risk relates to the financial loss GM Financial could incur if an obligor or counterparty to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is unable to meet its financial obligations. Typical sources of exposure include balances maintained in bank accounts, investments, and derivative instruments. Investments are typically securities representing high quality monetary instruments that are easily accessible, and derivative instruments are used for managing interest rate and foreign currency exchange rate risk. GM Financial, together with us, establishes exposure limits for each counterparty to minimize risk and provide counterparty diversification.</w:t>
      </w:r>
    </w:p>
    <w:p>
      <w:pPr>
        <w:spacing w:after="0" w:line="202"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GM Financial enters into arrangements with individual counterparties that they believe are creditworthy and generally settles on a net basis. In addition, GM Financial's Global Asset Liability Committee performs a quarterly assessment of their counterparty credit risk, including a review of credit ratings, credit default swap rates, and potential nonperformance of the counterparty.</w:t>
      </w:r>
    </w:p>
    <w:p>
      <w:pPr>
        <w:spacing w:after="0" w:line="195"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Exchange Rate Risk </w:t>
      </w:r>
      <w:r>
        <w:rPr>
          <w:rFonts w:ascii="Times New Roman" w:cs="Times New Roman" w:eastAsia="Times New Roman" w:hAnsi="Times New Roman"/>
          <w:sz w:val="20"/>
          <w:szCs w:val="20"/>
          <w:color w:val="auto"/>
        </w:rPr>
        <w:t>GM Financial is exposed to foreign currency risk due to the translation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remeasurement of the results of 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197"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2025 was insignificant.</w:t>
      </w:r>
    </w:p>
    <w:p>
      <w:pPr>
        <w:spacing w:after="0" w:line="200"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had foreign currency swaps with notional amounts of $9.2 billion and $8.4 billion at December 31, 2025 and 2024. The net fair value of these derivative financial instruments was an asset of $0.5 billion and a liability of $0.4 billion at December 31, 2025 and 2024.</w:t>
      </w:r>
    </w:p>
    <w:p>
      <w:pPr>
        <w:spacing w:after="0" w:line="1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The following table summarizes GM Financial's foreign currency translation, transaction and remeasurement (gains) losses: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5"/>
        </w:trPr>
        <w:tc>
          <w:tcPr>
            <w:tcW w:w="7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Translation (gains) losses recorded in Accumulated other comprehensive loss</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403</w:t>
            </w:r>
          </w:p>
        </w:tc>
      </w:tr>
      <w:tr>
        <w:trPr>
          <w:trHeight w:val="287"/>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Transaction and remeasurement (gains) losses recorded in earnings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2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70"/>
          </w:cols>
          <w:pgMar w:left="990" w:top="447" w:right="980" w:bottom="0" w:gutter="0" w:footer="0" w:header="0"/>
        </w:sectPr>
      </w:pPr>
    </w:p>
    <w:p>
      <w:pPr>
        <w:spacing w:after="0" w:line="3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70"/>
          </w:cols>
          <w:pgMar w:left="990" w:top="447" w:right="9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1720" w:firstLine="1704"/>
        <w:spacing w:after="0" w:line="50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General Motors Company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General Motors Company and subsidiaries (the Company) as of December 31, 2025 and 2024, the related consolidated income statements and consolidated statements of comprehensive income, cash flows and equity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January 27, 2026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color w:val="auto"/>
        </w:rPr>
        <w:t>Product warranty and recall campaigns</w:t>
      </w:r>
    </w:p>
    <w:p>
      <w:pPr>
        <w:spacing w:after="0" w:line="52" w:lineRule="exact"/>
        <w:rPr>
          <w:sz w:val="20"/>
          <w:szCs w:val="20"/>
          <w:color w:val="auto"/>
        </w:rPr>
      </w:pPr>
    </w:p>
    <w:p>
      <w:pPr>
        <w:jc w:val="both"/>
        <w:ind w:left="2460" w:right="100" w:hanging="2414"/>
        <w:spacing w:after="0" w:line="261" w:lineRule="auto"/>
        <w:tabs>
          <w:tab w:leader="none" w:pos="244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As discussed in Note 12 to the financial statements, the liabilities for product warranty and recall campaigns amount to $13.6 billion at December 31, 2025. The Company accrues for costs related to product warranty at the time of vehicle sale and accrues the estimated cost of recall campaigns when they are probable and estimable.</w:t>
      </w:r>
    </w:p>
    <w:p>
      <w:pPr>
        <w:spacing w:after="0" w:line="73" w:lineRule="exact"/>
        <w:rPr>
          <w:sz w:val="20"/>
          <w:szCs w:val="20"/>
          <w:color w:val="auto"/>
        </w:rPr>
      </w:pPr>
    </w:p>
    <w:p>
      <w:pPr>
        <w:jc w:val="both"/>
        <w:ind w:left="2460" w:right="100"/>
        <w:spacing w:after="0" w:line="255" w:lineRule="auto"/>
        <w:rPr>
          <w:sz w:val="20"/>
          <w:szCs w:val="20"/>
          <w:color w:val="auto"/>
        </w:rPr>
      </w:pPr>
      <w:r>
        <w:rPr>
          <w:rFonts w:ascii="Times New Roman" w:cs="Times New Roman" w:eastAsia="Times New Roman" w:hAnsi="Times New Roman"/>
          <w:sz w:val="20"/>
          <w:szCs w:val="20"/>
          <w:color w:val="auto"/>
        </w:rPr>
        <w:t>Auditing these liabilities involved a high degree of subjectivity in evaluating management’s estimates due to the size, uncertainties, and potential volatility related to the estimated liabilities. Management’s estimates consider historical claims experience, including the nature, frequency, and average cost of claims of each vehicle line or each model year of the vehicle line, and the key assumptions of historical data being predictive of future activity and events, specifically the number of historical periods used and the weighting of historical data in the reserve studies.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447"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campaigns,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 procedures related to product warranty and recall campaigns also included, among others, evaluating the Company’s estimation methodology, the related significant assumptions and underlying data, and performing tests of actual claims and claims analytical procedures to corroborate trends in cost per vehicle.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Retail sales incentives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discussed in Note 2 to the financial statements, Automotive net sales and revenue represents the amount of consideration to which the Company expects to be entitled in exchange for transferring goods or providing services, which is net of estimated dealer and customer sales incentives the Company reasonably expects to pay. Provisions for dealer and customer sales incentives are recorded as a reduction to Automotive net sales and revenue at the time of vehicle sale and are included as a component of accrued dealer and customer allowances, claims, and discounts (Note 12).</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Auditing the estimate of certain sales incentives, specifically sales incentives for retail sales to end customers (retail sales incentives), involved a high degree of judgment. Significant factors used by the Company in estimating its liability for retail sales incentives include type of program, forecasted sales volume,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internal controls over the Company’s retail sales incentive process, including management’s review of the estimation model, the significant assumptions (e.g., incentive cost per unit and market conditions), and the data inputs used in the model.</w:t>
      </w:r>
    </w:p>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audit procedures included, among others, the performance of analytical procedures to develop an independent range of the liability for retail sales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of GM Financial equipment on operating leases</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During the term of a lease, management periodically evaluates the estimated residual value and may adjust the value downward or upward. The Company’s estimated residual value of leased vehicles at the end of lease term was $25.0 billion as of December 31, 2025.</w:t>
      </w:r>
    </w:p>
    <w:p>
      <w:pPr>
        <w:spacing w:after="0" w:line="200" w:lineRule="exact"/>
        <w:rPr>
          <w:sz w:val="20"/>
          <w:szCs w:val="20"/>
          <w:color w:val="auto"/>
        </w:rPr>
      </w:pPr>
    </w:p>
    <w:p>
      <w:pPr>
        <w:sectPr>
          <w:pgSz w:w="12240" w:h="15840" w:orient="portrait"/>
          <w:cols w:equalWidth="0" w:num="2">
            <w:col w:w="2100" w:space="360"/>
            <w:col w:w="7700"/>
          </w:cols>
          <w:pgMar w:left="1000" w:top="44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160"/>
          </w:cols>
          <w:pgMar w:left="1000" w:top="447" w:right="10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ectPr>
          <w:pgSz w:w="12240" w:h="15840" w:orient="portrait"/>
          <w:cols w:equalWidth="0" w:num="1">
            <w:col w:w="10160"/>
          </w:cols>
          <w:pgMar w:left="1000" w:top="44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Auditing management’s estimate of the residual value of leased vehicles involved a high degree of judgment. Management’s estimate is based, in part, on third-party data which considers inputs including recent auction values and assumptions regarding the expected future volume of leased vehicles that will be returned to the Company, used vehicle prices, manufacturer incentive programs and fuel prices. Realization of the residual values is dependent on the future ability to market the vehicles under future prevailing market conditions.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data warehouses and third parties that are used in the estimation models.</w:t>
      </w:r>
    </w:p>
    <w:p>
      <w:pPr>
        <w:spacing w:after="0" w:line="200" w:lineRule="exact"/>
        <w:rPr>
          <w:sz w:val="20"/>
          <w:szCs w:val="20"/>
          <w:color w:val="auto"/>
        </w:rPr>
      </w:pPr>
    </w:p>
    <w:p>
      <w:pPr>
        <w:sectPr>
          <w:pgSz w:w="12240" w:h="15840" w:orient="portrait"/>
          <w:cols w:equalWidth="0" w:num="2">
            <w:col w:w="1860" w:space="600"/>
            <w:col w:w="7700"/>
          </w:cols>
          <w:pgMar w:left="1000" w:top="447" w:right="1080" w:bottom="0" w:gutter="0" w:footer="0" w:header="0"/>
          <w:type w:val="continuous"/>
        </w:sectPr>
      </w:pP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Ernst &amp; Young LLP</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We have served as the Company's auditor since 2017.</w:t>
      </w: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Detroit, Michigan</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January 27, 2026</w:t>
      </w:r>
    </w:p>
    <w:p>
      <w:pPr>
        <w:sectPr>
          <w:pgSz w:w="12240" w:h="15840" w:orient="portrait"/>
          <w:cols w:equalWidth="0" w:num="1">
            <w:col w:w="10160"/>
          </w:cols>
          <w:pgMar w:left="1000" w:top="447"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160"/>
          </w:cols>
          <w:pgMar w:left="1000" w:top="447" w:right="10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1720" w:firstLine="1704"/>
        <w:spacing w:after="0" w:line="50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General Motors Company </w:t>
      </w:r>
      <w:r>
        <w:rPr>
          <w:rFonts w:ascii="Times New Roman" w:cs="Times New Roman" w:eastAsia="Times New Roman" w:hAnsi="Times New Roman"/>
          <w:sz w:val="20"/>
          <w:szCs w:val="20"/>
          <w:b w:val="1"/>
          <w:bCs w:val="1"/>
          <w:color w:val="auto"/>
        </w:rPr>
        <w:t>Opinion on Internal Control Over Financial Reporting</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audited General Motors Company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2025, based on the COSO criteria.</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income statements and consolidated statements of comprehensive income, cash flows, and equity for each of the three years in the period ended December 31, 2025, and the related notes and our report dated January 27, 2026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Ernst &amp; Young LLP</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Detroit, Michigan</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January 27, 2026</w:t>
      </w:r>
    </w:p>
    <w:p>
      <w:pPr>
        <w:sectPr>
          <w:pgSz w:w="12240" w:h="15840" w:orient="portrait"/>
          <w:cols w:equalWidth="0" w:num="1">
            <w:col w:w="10260"/>
          </w:cols>
          <w:pgMar w:left="1000" w:top="447" w:right="980" w:bottom="0" w:gutter="0" w:footer="0" w:header="0"/>
        </w:sect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447"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INCOME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r>
      <w:tr>
        <w:trPr>
          <w:trHeight w:val="220"/>
        </w:trPr>
        <w:tc>
          <w:tcPr>
            <w:tcW w:w="6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2"/>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171,606</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157,658</w:t>
            </w:r>
          </w:p>
        </w:tc>
      </w:tr>
      <w:tr>
        <w:trPr>
          <w:trHeight w:val="23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GM Financial</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4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 and revenue (Note 3)</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185,019</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171,842</w:t>
            </w:r>
          </w:p>
        </w:tc>
      </w:tr>
      <w:tr>
        <w:trPr>
          <w:trHeight w:val="210"/>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Automotive and other cost of sales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159,128</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141,330</w:t>
            </w:r>
          </w:p>
        </w:tc>
      </w:tr>
      <w:tr>
        <w:trPr>
          <w:trHeight w:val="24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GM Financial interest, operating, and other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3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2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182,110</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162,544</w:t>
            </w:r>
          </w:p>
        </w:tc>
      </w:tr>
      <w:tr>
        <w:trPr>
          <w:trHeight w:val="230"/>
        </w:trPr>
        <w:tc>
          <w:tcPr>
            <w:tcW w:w="6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40"/>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40"/>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and other non-operating income, net (Note 19)</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6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Equity income (loss) (Note 8)</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r>
      <w:tr>
        <w:trPr>
          <w:trHeight w:val="230"/>
        </w:trPr>
        <w:tc>
          <w:tcPr>
            <w:tcW w:w="6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expense (benefit) (Note 17)</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30"/>
        </w:trPr>
        <w:tc>
          <w:tcPr>
            <w:tcW w:w="6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5"/>
        </w:trPr>
        <w:tc>
          <w:tcPr>
            <w:tcW w:w="682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260" w:type="dxa"/>
            <w:vAlign w:val="bottom"/>
            <w:tcBorders>
              <w:bottom w:val="single" w:sz="8" w:color="auto"/>
            </w:tcBorders>
            <w:shd w:val="clear" w:color="auto" w:fill="CCEEFF"/>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2,697</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6,008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10,127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6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8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135"/>
        </w:trPr>
        <w:tc>
          <w:tcPr>
            <w:tcW w:w="6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(Note 21)</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5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5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75"/>
        </w:trPr>
        <w:tc>
          <w:tcPr>
            <w:tcW w:w="6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55"/>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5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-1233170</wp:posOffset>
            </wp:positionV>
            <wp:extent cx="220662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2206625" cy="5080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r>
      <w:tr>
        <w:trPr>
          <w:trHeight w:val="220"/>
        </w:trPr>
        <w:tc>
          <w:tcPr>
            <w:tcW w:w="6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51"/>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(Note 20)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4"/>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85"/>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8"/>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30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hedges</w:t>
            </w: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68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7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r>
      <w:tr>
        <w:trPr>
          <w:trHeight w:val="275"/>
        </w:trPr>
        <w:tc>
          <w:tcPr>
            <w:tcW w:w="6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6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-43815</wp:posOffset>
            </wp:positionV>
            <wp:extent cx="220662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2206625" cy="5080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447" w:right="9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6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7"/>
        </w:trPr>
        <w:tc>
          <w:tcPr>
            <w:tcW w:w="72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(Note 4)</w:t>
            </w:r>
          </w:p>
        </w:tc>
        <w:tc>
          <w:tcPr>
            <w:tcW w:w="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5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debt securities (Note 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notes receivable, net of allowance of $244 and $313</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GM Financial receivables, net of allowance of $1,168 and $991 (Note 5;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(Note 6)</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assets (Note 4; Note 11)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108,545</w:t>
            </w:r>
          </w:p>
        </w:tc>
        <w:tc>
          <w:tcPr>
            <w:tcW w:w="0" w:type="dxa"/>
            <w:vAlign w:val="bottom"/>
          </w:tcPr>
          <w:p>
            <w:pPr>
              <w:spacing w:after="0"/>
              <w:rPr>
                <w:sz w:val="1"/>
                <w:szCs w:val="1"/>
                <w:color w:val="auto"/>
              </w:rPr>
            </w:pPr>
          </w:p>
        </w:tc>
      </w:tr>
      <w:tr>
        <w:trPr>
          <w:trHeight w:val="24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GM Financial receivables, net of allowance of $1,557 and $1,467 (Note 5; Note 11)</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assets of nonconsolidated affiliates (Note 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net (Note 9)</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intangible assets, net (Note 10)</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 on operating leases, net (Note 7; Note 11)</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(Note 17)</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 (Note 4; Note 11; Note 15)</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2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non-current assets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171,216</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auto"/>
            </w:tcBorders>
            <w:shd w:val="clear" w:color="auto" w:fill="CCEEFF"/>
          </w:tcPr>
          <w:p>
            <w:pPr>
              <w:jc w:val="right"/>
              <w:ind w:right="232"/>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281,284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33"/>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279,761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(principally trade)</w:t>
            </w:r>
          </w:p>
        </w:tc>
        <w:tc>
          <w:tcPr>
            <w:tcW w:w="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5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debt and current portion of long-term debt (Note 13)</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Automotive</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40"/>
        </w:trPr>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GM Financial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(Note 12)</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0" w:type="dxa"/>
            <w:vAlign w:val="bottom"/>
          </w:tcPr>
          <w:p>
            <w:pPr>
              <w:spacing w:after="0"/>
              <w:rPr>
                <w:sz w:val="1"/>
                <w:szCs w:val="1"/>
                <w:color w:val="auto"/>
              </w:rPr>
            </w:pPr>
          </w:p>
        </w:tc>
      </w:tr>
      <w:tr>
        <w:trPr>
          <w:trHeight w:val="23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(Note 13)</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Automotive</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0" w:type="dxa"/>
            <w:vAlign w:val="bottom"/>
          </w:tcPr>
          <w:p>
            <w:pPr>
              <w:spacing w:after="0"/>
              <w:rPr>
                <w:sz w:val="1"/>
                <w:szCs w:val="1"/>
                <w:color w:val="auto"/>
              </w:rPr>
            </w:pPr>
          </w:p>
        </w:tc>
      </w:tr>
      <w:tr>
        <w:trPr>
          <w:trHeight w:val="240"/>
        </w:trPr>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GM Financial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76,973</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Postretirement benefits other than pensions (Note 15)</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Pensions (Note 15)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 (Note 12)</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0" w:type="dxa"/>
            <w:vAlign w:val="bottom"/>
          </w:tcPr>
          <w:p>
            <w:pPr>
              <w:spacing w:after="0"/>
              <w:rPr>
                <w:sz w:val="1"/>
                <w:szCs w:val="1"/>
                <w:color w:val="auto"/>
              </w:rPr>
            </w:pPr>
          </w:p>
        </w:tc>
      </w:tr>
      <w:tr>
        <w:trPr>
          <w:trHeight w:val="22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214,171</w:t>
            </w:r>
          </w:p>
        </w:tc>
        <w:tc>
          <w:tcPr>
            <w:tcW w:w="0" w:type="dxa"/>
            <w:vAlign w:val="bottom"/>
          </w:tcPr>
          <w:p>
            <w:pPr>
              <w:spacing w:after="0"/>
              <w:rPr>
                <w:sz w:val="1"/>
                <w:szCs w:val="1"/>
                <w:color w:val="auto"/>
              </w:rPr>
            </w:pPr>
          </w:p>
        </w:tc>
      </w:tr>
      <w:tr>
        <w:trPr>
          <w:trHeight w:val="238"/>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 contingencies, and uncertainties (Note 16)</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Equity (Note 20)</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4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0" w:type="dxa"/>
            <w:vAlign w:val="bottom"/>
          </w:tcPr>
          <w:p>
            <w:pPr>
              <w:spacing w:after="0"/>
              <w:rPr>
                <w:sz w:val="1"/>
                <w:szCs w:val="1"/>
                <w:color w:val="auto"/>
              </w:rPr>
            </w:pPr>
          </w:p>
        </w:tc>
      </w:tr>
      <w:tr>
        <w:trPr>
          <w:trHeight w:val="23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00"/>
        </w:trPr>
        <w:tc>
          <w:tcPr>
            <w:tcW w:w="7260" w:type="dxa"/>
            <w:vAlign w:val="bottom"/>
            <w:tcBorders>
              <w:bottom w:val="single" w:sz="8" w:color="CCEEFF"/>
            </w:tcBorders>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63,168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65,590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shd w:val="clear" w:color="auto" w:fill="CCEEFF"/>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60" w:type="dxa"/>
            <w:vAlign w:val="bottom"/>
            <w:tcBorders>
              <w:bottom w:val="single" w:sz="8" w:color="auto"/>
            </w:tcBorders>
            <w:shd w:val="clear" w:color="auto" w:fill="CCEEFF"/>
          </w:tcPr>
          <w:p>
            <w:pPr>
              <w:jc w:val="right"/>
              <w:ind w:right="232"/>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281,284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33"/>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279,761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-4206240</wp:posOffset>
            </wp:positionV>
            <wp:extent cx="192087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-43815</wp:posOffset>
            </wp:positionV>
            <wp:extent cx="192087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1920875" cy="5080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447" w:right="100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0"/>
        </w:trPr>
        <w:tc>
          <w:tcPr>
            <w:tcW w:w="6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impairment of Equipment on operating leases, net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 charges on Property, net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remeasurement and transaction (gains) losses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 and impairment of nonconsolidated affiliates, net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contributions and OPEB payments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OPEB (income) expense, net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deferred taxes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operating assets and liabilities (Note 24)</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w:t>
            </w:r>
          </w:p>
        </w:tc>
      </w:tr>
      <w:tr>
        <w:trPr>
          <w:trHeight w:val="24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 for property</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marketable securities, acquisitions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marketable securities, liquidations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collections and recoveries on finance receivables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finance receivables (Note 5)</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leased vehicles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termination of leased vehicles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1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4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short-term debt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(original maturities greater than three months)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50,963</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debt (original maturities greater than three months)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(44,675)</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to purchase common stock (Note 20)</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r>
      <w:tr>
        <w:trPr>
          <w:trHeight w:val="24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3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r>
      <w:tr>
        <w:trPr>
          <w:trHeight w:val="225"/>
        </w:trPr>
        <w:tc>
          <w:tcPr>
            <w:tcW w:w="678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80" w:type="dxa"/>
            <w:vAlign w:val="bottom"/>
            <w:tcBorders>
              <w:bottom w:val="single" w:sz="8" w:color="auto"/>
            </w:tcBorders>
            <w:shd w:val="clear" w:color="auto" w:fill="CCEEFF"/>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24,284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22,964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21,917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70"/>
        </w:trPr>
        <w:tc>
          <w:tcPr>
            <w:tcW w:w="6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4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Non-cash Investing and Financing Activity</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4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property additions</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2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Ultium loan receivable reduction</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-548640</wp:posOffset>
            </wp:positionV>
            <wp:extent cx="219710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2197100" cy="50800"/>
                    </a:xfrm>
                    <a:prstGeom prst="rect">
                      <a:avLst/>
                    </a:prstGeom>
                    <a:noFill/>
                  </pic:spPr>
                </pic:pic>
              </a:graphicData>
            </a:graphic>
          </wp:anchor>
        </w:drawing>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20"/>
          </w:cols>
          <w:pgMar w:left="1000" w:top="447"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20"/>
          </w:cols>
          <w:pgMar w:left="1000" w:top="447" w:right="102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50"/>
        </w:trPr>
        <w:tc>
          <w:tcPr>
            <w:tcW w:w="38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Cruise Stock</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0"/>
        </w:trPr>
        <w:tc>
          <w:tcPr>
            <w:tcW w:w="384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71"/>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0"/>
        </w:trPr>
        <w:tc>
          <w:tcPr>
            <w:tcW w:w="38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94"/>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w w:val="98"/>
              </w:rPr>
              <w:t>(Temporary</w:t>
            </w:r>
          </w:p>
        </w:tc>
        <w:tc>
          <w:tcPr>
            <w:tcW w:w="0" w:type="dxa"/>
            <w:vAlign w:val="bottom"/>
          </w:tcPr>
          <w:p>
            <w:pPr>
              <w:spacing w:after="0"/>
              <w:rPr>
                <w:sz w:val="1"/>
                <w:szCs w:val="1"/>
                <w:color w:val="auto"/>
              </w:rPr>
            </w:pPr>
          </w:p>
        </w:tc>
      </w:tr>
      <w:tr>
        <w:trPr>
          <w:trHeight w:val="190"/>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7"/>
              </w:rPr>
              <w:t>Equity)</w:t>
            </w:r>
          </w:p>
        </w:tc>
        <w:tc>
          <w:tcPr>
            <w:tcW w:w="0" w:type="dxa"/>
            <w:vAlign w:val="bottom"/>
          </w:tcPr>
          <w:p>
            <w:pPr>
              <w:spacing w:after="0"/>
              <w:rPr>
                <w:sz w:val="1"/>
                <w:szCs w:val="1"/>
                <w:color w:val="auto"/>
              </w:rPr>
            </w:pPr>
          </w:p>
        </w:tc>
      </w:tr>
      <w:tr>
        <w:trPr>
          <w:trHeight w:val="245"/>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$ 26,428</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$49,251</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5"/>
        </w:trPr>
        <w:tc>
          <w:tcPr>
            <w:tcW w:w="3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6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55,391</w:t>
            </w: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68,189</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5"/>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0"/>
        </w:trPr>
        <w:tc>
          <w:tcPr>
            <w:tcW w:w="38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6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65,590</w:t>
            </w: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$51,524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-43815</wp:posOffset>
            </wp:positionV>
            <wp:extent cx="409257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a:extLst>
                        <a:ext uri="{28A0092B-C50C-407E-A947-70E740481C1C}"/>
                      </a:extLst>
                    </a:blip>
                    <a:srcRect/>
                    <a:stretch>
                      <a:fillRect/>
                    </a:stretch>
                  </pic:blipFill>
                  <pic:spPr bwMode="auto">
                    <a:xfrm>
                      <a:off x="0" y="0"/>
                      <a:ext cx="4092575" cy="5080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447" w:right="9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2500" w:firstLine="2487"/>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Note 1. Nature of Operations and Basis of Presentation</w:t>
      </w:r>
    </w:p>
    <w:p>
      <w:pPr>
        <w:spacing w:after="0" w:line="57"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GM Financial. We analyze the results of our operations through the following segments: GMNA, GMI, and GM Financial. In December 2024, we announced that we will no longer fund Cruise's robotaxi development work and in February 2025, began to wind down the Cruise robotaxi operations and combined the GM and Cruise autonomous technical efforts in our GMNA segment to focus on autonomous technology for personal vehicles. Corporate includes certain centrally recorded income and costs such as interest, income taxes, corporate expenditures, and certain revenues and expenses that are not part of a reportable segment.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0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Principles of Consolidation </w:t>
      </w:r>
      <w:r>
        <w:rPr>
          <w:rFonts w:ascii="Times New Roman" w:cs="Times New Roman" w:eastAsia="Times New Roman" w:hAnsi="Times New Roman"/>
          <w:sz w:val="20"/>
          <w:szCs w:val="20"/>
          <w:color w:val="auto"/>
        </w:rPr>
        <w:t>We consolidate entities that we control due to ownership of a majority voting interest and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 variable interest 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Use of Estimates in the Preparation of the Financial Statements </w:t>
      </w:r>
      <w:r>
        <w:rPr>
          <w:rFonts w:ascii="Times New Roman" w:cs="Times New Roman" w:eastAsia="Times New Roman" w:hAnsi="Times New Roman"/>
          <w:sz w:val="20"/>
          <w:szCs w:val="20"/>
          <w:color w:val="auto"/>
        </w:rPr>
        <w:t>Accounting estimates are an integral part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amounts presented for GM Financial are adjusted to reflect the impact on GM Financial's deferred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positions and provision for 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25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accounting policies that follow are utilized by our automotive, automotive financing, and Cruise operations, unless otherwise indicated.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52"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w:t>
      </w:r>
      <w:r>
        <w:rPr>
          <w:rFonts w:ascii="Times New Roman" w:cs="Times New Roman" w:eastAsia="Times New Roman" w:hAnsi="Times New Roman"/>
          <w:sz w:val="20"/>
          <w:szCs w:val="20"/>
          <w:color w:val="auto"/>
        </w:rPr>
        <w:t>Automotive net sales and revenue represents the amount of consideration to which we expect to be entitled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exchange for vehicle, parts, accessories,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software-enabled services and subscriptions, vehicle connectivity, customer rewards programs, maintenance, and extended warranty,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ectPr>
          <w:pgSz w:w="12240" w:h="15840" w:orient="portrait"/>
          <w:cols w:equalWidth="0" w:num="1">
            <w:col w:w="10260"/>
          </w:cols>
          <w:pgMar w:left="1000" w:top="447" w:right="980" w:bottom="0" w:gutter="0" w:footer="0" w:header="0"/>
        </w:sectPr>
      </w:pP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447" w:right="9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27"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V</w:t>
      </w:r>
      <w:r>
        <w:rPr>
          <w:rFonts w:ascii="Times New Roman" w:cs="Times New Roman" w:eastAsia="Times New Roman" w:hAnsi="Times New Roman"/>
          <w:sz w:val="22"/>
          <w:szCs w:val="22"/>
          <w:b w:val="1"/>
          <w:bCs w:val="1"/>
          <w:i w:val="1"/>
          <w:iCs w:val="1"/>
          <w:color w:val="auto"/>
        </w:rPr>
        <w:t>e</w:t>
      </w:r>
      <w:r>
        <w:rPr>
          <w:rFonts w:ascii="Times New Roman" w:cs="Times New Roman" w:eastAsia="Times New Roman" w:hAnsi="Times New Roman"/>
          <w:sz w:val="20"/>
          <w:szCs w:val="20"/>
          <w:b w:val="1"/>
          <w:bCs w:val="1"/>
          <w:i w:val="1"/>
          <w:iCs w:val="1"/>
          <w:color w:val="auto"/>
        </w:rPr>
        <w:t xml:space="preserve">hicle, Parts, and Accessories </w:t>
      </w:r>
      <w:r>
        <w:rPr>
          <w:rFonts w:ascii="Times New Roman" w:cs="Times New Roman" w:eastAsia="Times New Roman" w:hAnsi="Times New Roman"/>
          <w:sz w:val="20"/>
          <w:szCs w:val="20"/>
          <w:color w:val="auto"/>
        </w:rPr>
        <w:t>For the majority of vehicle and accessories sales, our customers obtain control and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 revenue when the vehicle 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3"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197"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Used Vehicles </w:t>
      </w:r>
      <w:r>
        <w:rPr>
          <w:rFonts w:ascii="Times New Roman" w:cs="Times New Roman" w:eastAsia="Times New Roman" w:hAnsi="Times New Roman"/>
          <w:sz w:val="20"/>
          <w:szCs w:val="20"/>
          <w:color w:val="auto"/>
        </w:rPr>
        <w:t>Proceeds from the auction of vehicles utilized by our employees are recognized in Automotive net sales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 upon transfer of control of the vehicle to the customer, and the related vehicle carrying value is recognized in Automotive and other cost of sales.</w:t>
      </w:r>
    </w:p>
    <w:p>
      <w:pPr>
        <w:spacing w:after="0" w:line="190"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Services and Other </w:t>
      </w:r>
      <w:r>
        <w:rPr>
          <w:rFonts w:ascii="Times New Roman" w:cs="Times New Roman" w:eastAsia="Times New Roman" w:hAnsi="Times New Roman"/>
          <w:sz w:val="20"/>
          <w:szCs w:val="20"/>
          <w:color w:val="auto"/>
        </w:rPr>
        <w:t>Services and other revenue primarily consists of revenue from vehicle-related service arrangements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after-sale services such as OnStar, Super Cruise, vehicle connectivity, maintenance,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eight years.</w:t>
      </w:r>
    </w:p>
    <w:p>
      <w:pPr>
        <w:spacing w:after="0" w:line="19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w:t>
      </w:r>
      <w:r>
        <w:rPr>
          <w:rFonts w:ascii="Times New Roman" w:cs="Times New Roman" w:eastAsia="Times New Roman" w:hAnsi="Times New Roman"/>
          <w:sz w:val="20"/>
          <w:szCs w:val="20"/>
          <w:color w:val="auto"/>
        </w:rPr>
        <w:t>Finance charge income earned on finance receivables is recognized using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interest method. Fees and commissions received (including manufacturer subvention) and direct costs of originating loans are generally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status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13"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Advertising and Promotion Expenditures </w:t>
      </w:r>
      <w:r>
        <w:rPr>
          <w:rFonts w:ascii="Times New Roman" w:cs="Times New Roman" w:eastAsia="Times New Roman" w:hAnsi="Times New Roman"/>
          <w:sz w:val="20"/>
          <w:szCs w:val="20"/>
          <w:color w:val="auto"/>
        </w:rPr>
        <w:t>Advertising and promotion expenditures, which are expensed as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Automotive and other selling, general, and administrative expense, were $3.1 billion, $3.3 billion, and $3.6 billion in the years ended December 31, 2025, 2024, and 2023.</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Expenditures </w:t>
      </w:r>
      <w:r>
        <w:rPr>
          <w:rFonts w:ascii="Times New Roman" w:cs="Times New Roman" w:eastAsia="Times New Roman" w:hAnsi="Times New Roman"/>
          <w:sz w:val="20"/>
          <w:szCs w:val="20"/>
          <w:color w:val="auto"/>
        </w:rPr>
        <w:t>Research and development expenditures, which are expensed as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Automotive and other cost of sales, were $8.5 billion, $9.2 billion, and $9.9 billion in the years ended December 31, 2025, 2024, and 2023. These expenditures include cost sharing payments and fees we receive when we enter into cost sharing arrangements with third parties or nonconsolidated affiliates for product-related research, engineering, design, and development activities and use of intellectual property.</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Cash Equivalents and Restricted Cash </w:t>
      </w:r>
      <w:r>
        <w:rPr>
          <w:rFonts w:ascii="Times New Roman" w:cs="Times New Roman" w:eastAsia="Times New Roman" w:hAnsi="Times New Roman"/>
          <w:sz w:val="20"/>
          <w:szCs w:val="20"/>
          <w:color w:val="auto"/>
        </w:rPr>
        <w:t>Cash equivalents are defined as short-term, highly-liquid investments with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maturities of 90 days or less. 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ectPr>
          <w:pgSz w:w="12240" w:h="15840" w:orient="portrait"/>
          <w:cols w:equalWidth="0" w:num="1">
            <w:col w:w="10260"/>
          </w:cols>
          <w:pgMar w:left="1000" w:top="447" w:right="98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447" w:right="9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Fair Value Measurements </w:t>
      </w:r>
      <w:r>
        <w:rPr>
          <w:rFonts w:ascii="Times New Roman" w:cs="Times New Roman" w:eastAsia="Times New Roman" w:hAnsi="Times New Roman"/>
          <w:sz w:val="20"/>
          <w:szCs w:val="20"/>
          <w:color w:val="auto"/>
        </w:rPr>
        <w:t>A three-level valuation hierarchy, based upon observable and unobservable inputs, is used for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measurements. 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Marketable Debt Securities </w:t>
      </w:r>
      <w:r>
        <w:rPr>
          <w:rFonts w:ascii="Times New Roman" w:cs="Times New Roman" w:eastAsia="Times New Roman" w:hAnsi="Times New Roman"/>
          <w:sz w:val="20"/>
          <w:szCs w:val="20"/>
          <w:color w:val="auto"/>
        </w:rPr>
        <w:t>We generally classify marketable debt securities as available-for-sale. Various factors,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turnover of holdings and 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0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Accounts and Notes Receivable </w:t>
      </w:r>
      <w:r>
        <w:rPr>
          <w:rFonts w:ascii="Times New Roman" w:cs="Times New Roman" w:eastAsia="Times New Roman" w:hAnsi="Times New Roman"/>
          <w:sz w:val="20"/>
          <w:szCs w:val="20"/>
          <w:color w:val="auto"/>
        </w:rPr>
        <w:t>Accounts and notes receivable primarily consists of amounts that are due and payable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customers for the sale of 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2025, 2024, and 2023.</w:t>
      </w:r>
    </w:p>
    <w:p>
      <w:pPr>
        <w:spacing w:after="0" w:line="19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GM Financial Receivables </w:t>
      </w:r>
      <w:r>
        <w:rPr>
          <w:rFonts w:ascii="Times New Roman" w:cs="Times New Roman" w:eastAsia="Times New Roman" w:hAnsi="Times New Roman"/>
          <w:sz w:val="20"/>
          <w:szCs w:val="20"/>
          <w:color w:val="auto"/>
        </w:rPr>
        <w:t>Finance receivables are carried at amortized cost basis, net of allowance for loan losses.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loan losses are charged to 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09" w:lineRule="exact"/>
        <w:rPr>
          <w:sz w:val="20"/>
          <w:szCs w:val="20"/>
          <w:color w:val="auto"/>
        </w:rPr>
      </w:pPr>
    </w:p>
    <w:p>
      <w:pPr>
        <w:jc w:val="both"/>
        <w:ind w:right="20" w:firstLine="180"/>
        <w:spacing w:after="0" w:line="287" w:lineRule="auto"/>
        <w:rPr>
          <w:sz w:val="20"/>
          <w:szCs w:val="20"/>
          <w:color w:val="auto"/>
        </w:rPr>
      </w:pPr>
      <w:r>
        <w:rPr>
          <w:rFonts w:ascii="Times New Roman" w:cs="Times New Roman" w:eastAsia="Times New Roman" w:hAnsi="Times New Roman"/>
          <w:sz w:val="19"/>
          <w:szCs w:val="19"/>
          <w:color w:val="auto"/>
        </w:rPr>
        <w:t>Commercial finance receivables are carried at amortized cost basis,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Inventories </w:t>
      </w:r>
      <w:r>
        <w:rPr>
          <w:rFonts w:ascii="Times New Roman" w:cs="Times New Roman" w:eastAsia="Times New Roman" w:hAnsi="Times New Roman"/>
          <w:sz w:val="20"/>
          <w:szCs w:val="20"/>
          <w:color w:val="auto"/>
        </w:rPr>
        <w:t>Inventories are stated at the lower of cost or net realizable value. Cost is determined on a first-in, first-out (FIFO)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basis. Net realizable value is the estimated selling price in the ordinary course of 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Inventories are reviewed to determine if inventory quantities are in excess of forecasted usage or if they have become obsolete, with a primary focus on productive material, supplies, work in process, and parts and accessories.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Equipment on Operating Leases </w:t>
      </w:r>
      <w:r>
        <w:rPr>
          <w:rFonts w:ascii="Times New Roman" w:cs="Times New Roman" w:eastAsia="Times New Roman" w:hAnsi="Times New Roman"/>
          <w:sz w:val="19"/>
          <w:szCs w:val="19"/>
          <w:color w:val="auto"/>
        </w:rPr>
        <w:t>Equipment on operating leases, net consists of vehicle leases to retail customers with 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of typically one to five years.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w:t>
      </w:r>
    </w:p>
    <w:p>
      <w:pPr>
        <w:sectPr>
          <w:pgSz w:w="12240" w:h="15840" w:orient="portrait"/>
          <w:cols w:equalWidth="0" w:num="1">
            <w:col w:w="10260"/>
          </w:cols>
          <w:pgMar w:left="1000" w:top="447" w:right="980" w:bottom="0" w:gutter="0" w:footer="0" w:header="0"/>
        </w:sectPr>
      </w:pP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447" w:right="9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finance operations, when a leased vehicle is returned or repossessed, the asset is recorded in Other assets at the lower of amortized cost basis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Equity Investments </w:t>
      </w:r>
      <w:r>
        <w:rPr>
          <w:rFonts w:ascii="Times New Roman" w:cs="Times New Roman" w:eastAsia="Times New Roman" w:hAnsi="Times New Roman"/>
          <w:sz w:val="20"/>
          <w:szCs w:val="20"/>
          <w:color w:val="auto"/>
        </w:rPr>
        <w:t>When events and circumstances warrant, equity investments accounted for under the equity method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are evaluated for impairment. An impairment charge is recorded whenever a decline in value of an equity investment below its carrying amount is determined to be other-than-temporary. Impairment charges related to equity method investments are recorded in Equity income (loss).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Property, net </w:t>
      </w:r>
      <w:r>
        <w:rPr>
          <w:rFonts w:ascii="Times New Roman" w:cs="Times New Roman" w:eastAsia="Times New Roman" w:hAnsi="Times New Roman"/>
          <w:sz w:val="20"/>
          <w:szCs w:val="20"/>
          <w:color w:val="auto"/>
        </w:rPr>
        <w:t>Property, plant, and equipment, including internal use software, is recorded at cost. The gross amount of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finance leases is included in property, plant, and equipment. Major improvements that extend the useful life or add functionality are capitalized.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Special Tools </w:t>
      </w:r>
      <w:r>
        <w:rPr>
          <w:rFonts w:ascii="Times New Roman" w:cs="Times New Roman" w:eastAsia="Times New Roman" w:hAnsi="Times New Roman"/>
          <w:sz w:val="20"/>
          <w:szCs w:val="20"/>
          <w:color w:val="auto"/>
        </w:rPr>
        <w:t>Special tools represent product-specific propulsion and non-propulsion related tools, dies, molds,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items used in the vehicle manufacturing process. Expenditures for special tools are recorded at cost and are capitalized. We amortize special tools over their estimated useful lives generally using the straight-line method of amortization. Impairment charges related to special tools are recorded in Automotive and other cost of sales.</w:t>
      </w:r>
    </w:p>
    <w:p>
      <w:pPr>
        <w:spacing w:after="0" w:line="1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Goodwill is not amortized but rather tested for impairment annually on October 1 and when events warrant such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The impairment test 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Intangible Assets, net </w:t>
      </w:r>
      <w:r>
        <w:rPr>
          <w:rFonts w:ascii="Times New Roman" w:cs="Times New Roman" w:eastAsia="Times New Roman" w:hAnsi="Times New Roman"/>
          <w:sz w:val="20"/>
          <w:szCs w:val="20"/>
          <w:color w:val="auto"/>
        </w:rPr>
        <w:t>Intangible assets, excluding goodwill, primarily include brand names, customer relationships,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 networks. Intangible assets 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Valuation of Long-Lived Assets </w:t>
      </w:r>
      <w:r>
        <w:rPr>
          <w:rFonts w:ascii="Times New Roman" w:cs="Times New Roman" w:eastAsia="Times New Roman" w:hAnsi="Times New Roman"/>
          <w:sz w:val="20"/>
          <w:szCs w:val="20"/>
          <w:color w:val="auto"/>
        </w:rPr>
        <w:t>The carrying amount of long-lived assets and finite-lived intangible assets to be held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the business is evaluated 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Government Incentives and Grants </w:t>
      </w:r>
      <w:r>
        <w:rPr>
          <w:rFonts w:ascii="Times New Roman" w:cs="Times New Roman" w:eastAsia="Times New Roman" w:hAnsi="Times New Roman"/>
          <w:sz w:val="20"/>
          <w:szCs w:val="20"/>
          <w:color w:val="auto"/>
        </w:rPr>
        <w:t>We receive incentives from federal, state, and local governments in different regions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world that encourage us to establish, maintain, or increase investment, employment, or production in the region. We are also entitled to certain advanced manufacturing production credits under the IRA. We account for government incentives as a</w:t>
      </w:r>
    </w:p>
    <w:p>
      <w:pPr>
        <w:sectPr>
          <w:pgSz w:w="12240" w:h="15840" w:orient="portrait"/>
          <w:cols w:equalWidth="0" w:num="1">
            <w:col w:w="10260"/>
          </w:cols>
          <w:pgMar w:left="1000" w:top="447" w:right="980" w:bottom="0" w:gutter="0" w:footer="0" w:header="0"/>
        </w:sectPr>
      </w:pP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447"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reduction of expense, a reduction of the cost of the capital investment, or other income based on the substance of the incentive received. The benefit from advanced manufacturing production credits are not accounted for or classified as an income tax credit. Benefits are generally recorded when it is probable that we will comply with the conditions attached to the grant and the grant will be received or, as it relates to advanced manufacturing production credits, upon the generation of the credit. Amounts are recorded in earnings on a systematic and rational basis as the expenses in which the incentive is meant to offset are incurred, as we meet the conditions of the grant, or indirectly as the capital investment is depreciated, or, as it relates to advanced manufacturing production credits, upon generation of the credit. At December 31, 2025 and 2024, cash incentives receivable in Accounts and notes receivable, net of allowance was $341 million and $343 million, cash incentives credited to Property, net was $480 million, cash incentives receivable in Other assets was $293 million and $292 million, amounts refundable in Accrued liabilities was $319 million and insignificant, and deferred incentive income in Other liabilities was insignificant and $212 million. In the years ended December 31, 2025, 2024, and 2023 we recognized $267 million, $524 million, and $251 million in Automotive and other cost of sales associated with incentives. Current agreements expire at various dates through 2032 and we consider the risk that any amounts recognized will be returned to be remote.</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Emissions Credits </w:t>
      </w:r>
      <w:r>
        <w:rPr>
          <w:rFonts w:ascii="Times New Roman" w:cs="Times New Roman" w:eastAsia="Times New Roman" w:hAnsi="Times New Roman"/>
          <w:sz w:val="20"/>
          <w:szCs w:val="20"/>
          <w:color w:val="auto"/>
        </w:rPr>
        <w:t>We periodically enter into agreements to purchase credits to facilitate our compliance with emission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fuel economy regulations. Purchased credits are recorded at cost in Other current assets and Other assets and are recognized in expense over the periods in which the acquired credits facilitate our compliance with emission and fuel economy regulations.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 and OPEB Plans</w:t>
      </w:r>
    </w:p>
    <w:p>
      <w:pPr>
        <w:spacing w:after="0" w:line="252"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Attribution, Methods, and Assumptions </w:t>
      </w:r>
      <w:r>
        <w:rPr>
          <w:rFonts w:ascii="Times New Roman" w:cs="Times New Roman" w:eastAsia="Times New Roman" w:hAnsi="Times New Roman"/>
          <w:sz w:val="20"/>
          <w:szCs w:val="20"/>
          <w:color w:val="auto"/>
        </w:rPr>
        <w:t>The cost of benefits provided by defined benefit pension plans is recorded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employees provide 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9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0"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204"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The benefit obligation for pension plans in Canada, the United Kingdom (UK), and Germany represents 88% of the non-U.S. pension benefit obligation at December 31, 2025. The discount rates for plans in Canada, the UK, and Germany are determined using a cash flow matching approach like the U.S.</w:t>
      </w:r>
    </w:p>
    <w:p>
      <w:pPr>
        <w:spacing w:after="0" w:line="190" w:lineRule="exact"/>
        <w:rPr>
          <w:sz w:val="20"/>
          <w:szCs w:val="20"/>
          <w:color w:val="auto"/>
        </w:rPr>
      </w:pPr>
    </w:p>
    <w:p>
      <w:pPr>
        <w:jc w:val="both"/>
        <w:ind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Plan Asset Valuation </w:t>
      </w:r>
      <w:r>
        <w:rPr>
          <w:rFonts w:ascii="Times New Roman" w:cs="Times New Roman" w:eastAsia="Times New Roman" w:hAnsi="Times New Roman"/>
          <w:sz w:val="20"/>
          <w:szCs w:val="20"/>
          <w:color w:val="auto"/>
        </w:rPr>
        <w:t>Due to the lack of timely available market information for certain investments in the asset classes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described below as well as the inherent uncertainty of valuation, reported fair values may differ from fair values that would have been used had timely available market information been available.</w:t>
      </w:r>
    </w:p>
    <w:p>
      <w:pPr>
        <w:spacing w:after="0" w:line="189"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Equivalents and Other Short-Term Investments </w:t>
      </w:r>
      <w:r>
        <w:rPr>
          <w:rFonts w:ascii="Times New Roman" w:cs="Times New Roman" w:eastAsia="Times New Roman" w:hAnsi="Times New Roman"/>
          <w:sz w:val="20"/>
          <w:szCs w:val="20"/>
          <w:color w:val="auto"/>
        </w:rPr>
        <w:t>Cash equivalents, including reverse repurchase agreements, trade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deposits, and other short-term investments, are valued based on pricing received from independent pricing services, dealers who make markets in such securities, or held at amortized cost basis. Cash equivalent pricing utilizes observable inputs and are classified in Level 2.</w:t>
      </w: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447" w:right="100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Common and Preferred Stock </w:t>
      </w:r>
      <w:r>
        <w:rPr>
          <w:rFonts w:ascii="Times New Roman" w:cs="Times New Roman" w:eastAsia="Times New Roman" w:hAnsi="Times New Roman"/>
          <w:sz w:val="20"/>
          <w:szCs w:val="20"/>
          <w:color w:val="auto"/>
        </w:rPr>
        <w:t>Common and preferred stock for which market prices are readily available at the measurement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are valued at the last 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205"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Debt Securities </w:t>
      </w:r>
      <w:r>
        <w:rPr>
          <w:rFonts w:ascii="Times New Roman" w:cs="Times New Roman" w:eastAsia="Times New Roman" w:hAnsi="Times New Roman"/>
          <w:sz w:val="20"/>
          <w:szCs w:val="20"/>
          <w:color w:val="auto"/>
        </w:rPr>
        <w:t>Valuations for debt securities are based on quotations received from independent pricing services or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dealers who make markets in 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3" w:lineRule="exact"/>
        <w:rPr>
          <w:sz w:val="20"/>
          <w:szCs w:val="20"/>
          <w:color w:val="auto"/>
        </w:rPr>
      </w:pPr>
    </w:p>
    <w:p>
      <w:pPr>
        <w:jc w:val="both"/>
        <w:ind w:right="20"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Funds, Private Equity and Debt Investments, and Real Estate Investments </w:t>
      </w:r>
      <w:r>
        <w:rPr>
          <w:rFonts w:ascii="Times New Roman" w:cs="Times New Roman" w:eastAsia="Times New Roman" w:hAnsi="Times New Roman"/>
          <w:sz w:val="20"/>
          <w:szCs w:val="20"/>
          <w:color w:val="auto"/>
        </w:rPr>
        <w:t>Investment funds, private equity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debt investments, and real estate investments are valued based on the Net Asset Value (NAV) per Share (or its equivalent) as a practical expedient to estimate fair value due to the absence of readily available market prices.</w:t>
      </w:r>
    </w:p>
    <w:p>
      <w:pPr>
        <w:spacing w:after="0" w:line="19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Stock Incentive Plans </w:t>
      </w:r>
      <w:r>
        <w:rPr>
          <w:rFonts w:ascii="Times New Roman" w:cs="Times New Roman" w:eastAsia="Times New Roman" w:hAnsi="Times New Roman"/>
          <w:sz w:val="20"/>
          <w:szCs w:val="20"/>
          <w:color w:val="auto"/>
        </w:rPr>
        <w:t>Our stock incentive plans include RSUs, PSUs, stock options, and awards that may be settled in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the stock of our subsidiaries, or in cash. We measure and record compensation expense based on the fair value of GM's common stock on the date of grant for RSUs and PSUs and the grant date fair value, determined utilizing the Black-Scholes formula or a lattice model, for stock options and PSUs. We record compensation cost for service-based RSUs, PSUs, and service-based stock options on a straight-line basis over the entire vesting period, or for retirement eligible employees over the requisite service period. Compensation cost for awards that do not have an established accounting grant date, but for which the service inception date has been established or are settled in cash is based on the fair value of GM's common stock at the end of each reporting period.</w:t>
      </w:r>
    </w:p>
    <w:p>
      <w:pPr>
        <w:spacing w:after="0" w:line="20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March 2022, all outstanding RSUs that settle in Cruise's common stock were modified to remove a liquidity vesting condition and will vest solely based upon satisfaction of a service condition. Compensation cost was recorded on a straight-line basis over the entire vesting period based on the fair value of Cruise's common stock. In April 2024, substantially all remaining outstanding unvested Cruise RSUs were exchanged by participants for unvested cash payment rights and as of December 31, 2025, no incentive awards settleable in Cruise common stock are outstanding.</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Product Warranty and Recall Campaigns </w:t>
      </w:r>
      <w:r>
        <w:rPr>
          <w:rFonts w:ascii="Times New Roman" w:cs="Times New Roman" w:eastAsia="Times New Roman" w:hAnsi="Times New Roman"/>
          <w:sz w:val="20"/>
          <w:szCs w:val="20"/>
          <w:color w:val="auto"/>
        </w:rPr>
        <w:t>The estimated costs related to product warranties are accrued at the time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sold and are charged to 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0"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The estimated costs related to recall campaigns are accrued when probable and estimable.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ectPr>
          <w:pgSz w:w="12240" w:h="15840" w:orient="portrait"/>
          <w:cols w:equalWidth="0" w:num="1">
            <w:col w:w="10260"/>
          </w:cols>
          <w:pgMar w:left="1000" w:top="447" w:right="980" w:bottom="0" w:gutter="0" w:footer="0" w:header="0"/>
        </w:sectPr>
      </w:pP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447"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The liability method is used in accounting for income taxes. Deferred tax assets and liabilities are recorded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as a current period expense when incurred. Income tax effects are released from Accumulated other comprehensive loss using the specific-identification method.</w:t>
      </w:r>
    </w:p>
    <w:p>
      <w:pPr>
        <w:spacing w:after="0" w:line="206"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0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Currency Transactions and Translation </w:t>
      </w:r>
      <w:r>
        <w:rPr>
          <w:rFonts w:ascii="Times New Roman" w:cs="Times New Roman" w:eastAsia="Times New Roman" w:hAnsi="Times New Roman"/>
          <w:sz w:val="20"/>
          <w:szCs w:val="20"/>
          <w:color w:val="auto"/>
        </w:rPr>
        <w:t>The assets and liabilities of foreign subsidiaries that use the local currency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their functional currency 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0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2025, 2024, and 2023 were losses of $363 million, gains of $321 million, and losses of $349 million.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Derivative Financial Instruments </w:t>
      </w:r>
      <w:r>
        <w:rPr>
          <w:rFonts w:ascii="Times New Roman" w:cs="Times New Roman" w:eastAsia="Times New Roman" w:hAnsi="Times New Roman"/>
          <w:sz w:val="20"/>
          <w:szCs w:val="20"/>
          <w:color w:val="auto"/>
        </w:rPr>
        <w:t>Derivative financial instruments are recognized as either assets or liabilities at fair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accounting for changes in 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198"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w:t>
      </w:r>
      <w:r>
        <w:rPr>
          <w:rFonts w:ascii="Times New Roman" w:cs="Times New Roman" w:eastAsia="Times New Roman" w:hAnsi="Times New Roman"/>
          <w:sz w:val="20"/>
          <w:szCs w:val="20"/>
          <w:color w:val="auto"/>
        </w:rPr>
        <w:t>We utilize options, swaps, and forward contracts to manage foreign currency, commodity price, and interest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risks. The change in the fair value of option, swap, and forward contracts not designated as an accounting hedge is recorded in Interest income and other non-operating income, net.</w:t>
      </w:r>
    </w:p>
    <w:p>
      <w:pPr>
        <w:spacing w:after="0" w:line="192"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Certain foreign currency and commodity forward contracts have been designated and qualify as cash flow hedges. The risks being hedged are foreign currency and commodity price risks related to forecasted transactions that are generally expected to occur in the next 12 months. The change in the fair value of these forward contracts is recorded in Accumulated other comprehensive loss and will be recognized in Automotive net sales and revenue or Automotive and other cost of sales when the hedged transaction impacts earnings. Forward contracts designated as cash flow hedges are evaluated for effectiveness using regression analysis at inception and throughout the hedge period.</w:t>
      </w:r>
    </w:p>
    <w:p>
      <w:pPr>
        <w:spacing w:after="0" w:line="202"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Certain receive-fixed, pay-float interest rate swap agreements have been designated and qualify as fair value hedges of our fixed-rate debt. The risk being hedged is the risk of changes in the fair value of the hedged debt attributable to changes in the benchmark interest rate. The changes in both the fair value of the hedged debt and the hedging instrument are recorded in</w:t>
      </w:r>
    </w:p>
    <w:p>
      <w:pPr>
        <w:sectPr>
          <w:pgSz w:w="12240" w:h="15840" w:orient="portrait"/>
          <w:cols w:equalWidth="0" w:num="1">
            <w:col w:w="10260"/>
          </w:cols>
          <w:pgMar w:left="1000" w:top="447" w:right="980" w:bottom="0" w:gutter="0" w:footer="0" w:header="0"/>
        </w:sectPr>
      </w:pP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447"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Automotive interest expense. When a fair value hedge is de-designated, or when the derivative is terminated prior to maturity, the fair value adjustment to the hedged debt continues to be reported as part of the carrying value of the debt and is recognized in Automotive interest expense over its remaining life.</w:t>
      </w:r>
    </w:p>
    <w:p>
      <w:pPr>
        <w:spacing w:after="0" w:line="190"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w:t>
      </w:r>
      <w:r>
        <w:rPr>
          <w:rFonts w:ascii="Times New Roman" w:cs="Times New Roman" w:eastAsia="Times New Roman" w:hAnsi="Times New Roman"/>
          <w:sz w:val="20"/>
          <w:szCs w:val="20"/>
          <w:color w:val="auto"/>
        </w:rPr>
        <w:t>GM Financial utilizes interest rate derivative instruments to manage interest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 and foreign currency derivative instruments to manage foreign currency risk. The change in fair value of the derivative instruments not designated as an accounting hedge is recorded in GM Financial interest, operating, and other expenses.</w:t>
      </w:r>
    </w:p>
    <w:p>
      <w:pPr>
        <w:spacing w:after="0" w:line="192"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04"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Accounting Standards Not Yet Adopted </w:t>
      </w:r>
      <w:r>
        <w:rPr>
          <w:rFonts w:ascii="Times New Roman" w:cs="Times New Roman" w:eastAsia="Times New Roman" w:hAnsi="Times New Roman"/>
          <w:sz w:val="20"/>
          <w:szCs w:val="20"/>
          <w:color w:val="auto"/>
        </w:rPr>
        <w:t>In September 2025, the Financial Accounting Standards Board (FASB) issued ASU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 ASU 2025-06 is not expected to significantly change our current accounting for internal-use software.</w:t>
      </w:r>
    </w:p>
    <w:p>
      <w:pPr>
        <w:spacing w:after="0" w:line="206"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In December 2025, the FASB issued ASU 2025-10 "Accounting for Government Grants Received by Business Entities" (ASU 2025-10) to establish guidance on the recognition, measurement, and presentation of government grants received by business entities. The new guidance leverages the principles in the accounting framework for government assistance in International Accounting Standard 20 "Accounting for Government Grants and Disclosure of Government Assistance". The new guidance is effective for public business entities in annual periods beginning after December 15, 2028, with early adoption permitted. ASU 2025-10 is not expected to significantly change our current accounting for incentives from federal, state, and local governments.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disaggregates our revenue by major source</w:t>
      </w:r>
      <w:r>
        <w:rPr>
          <w:rFonts w:ascii="Times New Roman" w:cs="Times New Roman" w:eastAsia="Times New Roman" w:hAnsi="Times New Roman"/>
          <w:sz w:val="22"/>
          <w:szCs w:val="22"/>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0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$160,511</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8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167,971</w:t>
            </w:r>
          </w:p>
        </w:tc>
        <w:tc>
          <w:tcPr>
            <w:tcW w:w="0" w:type="dxa"/>
            <w:vAlign w:val="bottom"/>
          </w:tcPr>
          <w:p>
            <w:pPr>
              <w:spacing w:after="0"/>
              <w:rPr>
                <w:sz w:val="1"/>
                <w:szCs w:val="1"/>
                <w:color w:val="auto"/>
              </w:rPr>
            </w:pPr>
          </w:p>
        </w:tc>
      </w:tr>
      <w:tr>
        <w:trPr>
          <w:trHeight w:val="307"/>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80"/>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0" w:type="dxa"/>
            <w:vAlign w:val="bottom"/>
          </w:tcPr>
          <w:p>
            <w:pPr>
              <w:spacing w:after="0"/>
              <w:rPr>
                <w:sz w:val="1"/>
                <w:szCs w:val="1"/>
                <w:color w:val="auto"/>
              </w:rPr>
            </w:pPr>
          </w:p>
        </w:tc>
      </w:tr>
      <w:tr>
        <w:trPr>
          <w:trHeight w:val="28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-43815</wp:posOffset>
            </wp:positionV>
            <wp:extent cx="463550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5">
                      <a:extLst>
                        <a:ext uri="{28A0092B-C50C-407E-A947-70E740481C1C}"/>
                      </a:extLst>
                    </a:blip>
                    <a:srcRect/>
                    <a:stretch>
                      <a:fillRect/>
                    </a:stretch>
                  </pic:blipFill>
                  <pic:spPr bwMode="auto">
                    <a:xfrm>
                      <a:off x="0" y="0"/>
                      <a:ext cx="4635500" cy="50800"/>
                    </a:xfrm>
                    <a:prstGeom prst="rect">
                      <a:avLst/>
                    </a:prstGeom>
                    <a:noFill/>
                  </pic:spPr>
                </pic:pic>
              </a:graphicData>
            </a:graphic>
          </wp:anchor>
        </w:drawing>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447"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0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3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Automotive</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$152,306</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$12,775</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$165,170</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8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171,606</w:t>
            </w:r>
          </w:p>
        </w:tc>
        <w:tc>
          <w:tcPr>
            <w:tcW w:w="0" w:type="dxa"/>
            <w:vAlign w:val="bottom"/>
          </w:tcPr>
          <w:p>
            <w:pPr>
              <w:spacing w:after="0"/>
              <w:rPr>
                <w:sz w:val="1"/>
                <w:szCs w:val="1"/>
                <w:color w:val="auto"/>
              </w:rPr>
            </w:pPr>
          </w:p>
        </w:tc>
      </w:tr>
      <w:tr>
        <w:trPr>
          <w:trHeight w:val="307"/>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80"/>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0" w:type="dxa"/>
            <w:vAlign w:val="bottom"/>
          </w:tcPr>
          <w:p>
            <w:pPr>
              <w:spacing w:after="0"/>
              <w:rPr>
                <w:sz w:val="1"/>
                <w:szCs w:val="1"/>
                <w:color w:val="auto"/>
              </w:rPr>
            </w:pPr>
          </w:p>
        </w:tc>
      </w:tr>
      <w:tr>
        <w:trPr>
          <w:trHeight w:val="28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$157,509</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$13,890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$ 15,875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$187,442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0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3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Automotive</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$136,983</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$14,424</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$151,510</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8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157,658</w:t>
            </w:r>
          </w:p>
        </w:tc>
        <w:tc>
          <w:tcPr>
            <w:tcW w:w="0" w:type="dxa"/>
            <w:vAlign w:val="bottom"/>
          </w:tcPr>
          <w:p>
            <w:pPr>
              <w:spacing w:after="0"/>
              <w:rPr>
                <w:sz w:val="1"/>
                <w:szCs w:val="1"/>
                <w:color w:val="auto"/>
              </w:rPr>
            </w:pPr>
          </w:p>
        </w:tc>
      </w:tr>
      <w:tr>
        <w:trPr>
          <w:trHeight w:val="307"/>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29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80"/>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8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$141,445</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$15,949</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$171,842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-2352040</wp:posOffset>
            </wp:positionV>
            <wp:extent cx="46355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a:extLst>
                        <a:ext uri="{28A0092B-C50C-407E-A947-70E740481C1C}"/>
                      </a:extLst>
                    </a:blip>
                    <a:srcRect/>
                    <a:stretch>
                      <a:fillRect/>
                    </a:stretch>
                  </pic:blipFill>
                  <pic:spPr bwMode="auto">
                    <a:xfrm>
                      <a:off x="0" y="0"/>
                      <a:ext cx="4635500" cy="5080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-43815</wp:posOffset>
            </wp:positionV>
            <wp:extent cx="463550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7">
                      <a:extLst>
                        <a:ext uri="{28A0092B-C50C-407E-A947-70E740481C1C}"/>
                      </a:extLst>
                    </a:blip>
                    <a:srcRect/>
                    <a:stretch>
                      <a:fillRect/>
                    </a:stretch>
                  </pic:blipFill>
                  <pic:spPr bwMode="auto">
                    <a:xfrm>
                      <a:off x="0" y="0"/>
                      <a:ext cx="4635500" cy="50800"/>
                    </a:xfrm>
                    <a:prstGeom prst="rect">
                      <a:avLst/>
                    </a:prstGeom>
                    <a:noFill/>
                  </pic:spPr>
                </pic:pic>
              </a:graphicData>
            </a:graphic>
          </wp:anchor>
        </w:drawing>
      </w:r>
    </w:p>
    <w:p>
      <w:pPr>
        <w:spacing w:after="0" w:line="22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Revenue is measured as the amount of consideration we expect to receive in exchange for transferring goods or providing services. Adjustments to sales incentives for previously recognized sales were insignificant during the years ended December 31, 2025, 2024, and 2023.</w:t>
      </w:r>
    </w:p>
    <w:p>
      <w:pPr>
        <w:spacing w:after="0" w:line="195"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Contract liabilities in our Automotive operations primarily consist of vehicle connectivity, customer rewards programs, maintenance, extended warranty, and other contracts of $8.2 billion and $6.6 billion at December 31, 2025 and 2024, which are included in Accrued liabilities and Other liabilities. We recognized revenue of $2.6 billion and $2.0 billion related to contract liabilities during the years ended December 31, 2025 and 2024. We expect to recognize revenue of $2.6 billion, $1.5 billion, and $4.1 billion in the years ending December 31, 2026, 2027, and thereafter related to contract liabilities at December 31, 2025.</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447" w:right="980" w:bottom="0" w:gutter="0" w:footer="0" w:header="0"/>
          <w:type w:val="continuous"/>
        </w:sectPr>
      </w:pPr>
    </w:p>
    <w:bookmarkStart w:id="71" w:name="page72"/>
    <w:bookmarkEnd w:id="71"/>
    <w:p>
      <w:pPr>
        <w:ind w:left="4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40"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4. Marketable and Other Securities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following table summarizes the fair value of cash equivalents and marketable debt securities, which approximates cost:</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6"/>
                <w:szCs w:val="16"/>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64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 and time deposits</w:t>
            </w:r>
          </w:p>
        </w:tc>
        <w:tc>
          <w:tcPr>
            <w:tcW w:w="8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10,884</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12,471</w:t>
            </w:r>
          </w:p>
        </w:tc>
        <w:tc>
          <w:tcPr>
            <w:tcW w:w="0" w:type="dxa"/>
            <w:vAlign w:val="bottom"/>
          </w:tcPr>
          <w:p>
            <w:pPr>
              <w:spacing w:after="0"/>
              <w:rPr>
                <w:sz w:val="1"/>
                <w:szCs w:val="1"/>
                <w:color w:val="auto"/>
              </w:rPr>
            </w:pPr>
          </w:p>
        </w:tc>
      </w:tr>
      <w:tr>
        <w:trPr>
          <w:trHeight w:val="293"/>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U.S. government and agencies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93"/>
        </w:trPr>
        <w:tc>
          <w:tcPr>
            <w:tcW w:w="64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debt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Sovereign debt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0" w:type="dxa"/>
            <w:vAlign w:val="bottom"/>
          </w:tcPr>
          <w:p>
            <w:pPr>
              <w:spacing w:after="0"/>
              <w:rPr>
                <w:sz w:val="1"/>
                <w:szCs w:val="1"/>
                <w:color w:val="auto"/>
              </w:rPr>
            </w:pPr>
          </w:p>
        </w:tc>
      </w:tr>
      <w:tr>
        <w:trPr>
          <w:trHeight w:val="283"/>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available-for-sale debt securities – cash equivalents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Money market funds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5,369</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5,050</w:t>
            </w:r>
          </w:p>
        </w:tc>
        <w:tc>
          <w:tcPr>
            <w:tcW w:w="0" w:type="dxa"/>
            <w:vAlign w:val="bottom"/>
          </w:tcPr>
          <w:p>
            <w:pPr>
              <w:spacing w:after="0"/>
              <w:rPr>
                <w:sz w:val="1"/>
                <w:szCs w:val="1"/>
                <w:color w:val="auto"/>
              </w:rPr>
            </w:pPr>
          </w:p>
        </w:tc>
      </w:tr>
      <w:tr>
        <w:trPr>
          <w:trHeight w:val="260"/>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84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20,945</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19,872</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Marketable debt securities</w:t>
            </w: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4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U.S. government and agencies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2,370</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3,082</w:t>
            </w:r>
          </w:p>
        </w:tc>
        <w:tc>
          <w:tcPr>
            <w:tcW w:w="0" w:type="dxa"/>
            <w:vAlign w:val="bottom"/>
          </w:tcPr>
          <w:p>
            <w:pPr>
              <w:spacing w:after="0"/>
              <w:rPr>
                <w:sz w:val="1"/>
                <w:szCs w:val="1"/>
                <w:color w:val="auto"/>
              </w:rPr>
            </w:pPr>
          </w:p>
        </w:tc>
      </w:tr>
      <w:tr>
        <w:trPr>
          <w:trHeight w:val="307"/>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Corporate debt and other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3,796</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3,592</w:t>
            </w:r>
          </w:p>
        </w:tc>
        <w:tc>
          <w:tcPr>
            <w:tcW w:w="0" w:type="dxa"/>
            <w:vAlign w:val="bottom"/>
          </w:tcPr>
          <w:p>
            <w:pPr>
              <w:spacing w:after="0"/>
              <w:rPr>
                <w:sz w:val="1"/>
                <w:szCs w:val="1"/>
                <w:color w:val="auto"/>
              </w:rPr>
            </w:pPr>
          </w:p>
        </w:tc>
      </w:tr>
      <w:tr>
        <w:trPr>
          <w:trHeight w:val="290"/>
        </w:trPr>
        <w:tc>
          <w:tcPr>
            <w:tcW w:w="6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20"/>
                <w:szCs w:val="20"/>
                <w:color w:val="auto"/>
              </w:rPr>
              <w:t>Mortgage and asset-backed</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0" w:type="dxa"/>
            <w:vAlign w:val="bottom"/>
          </w:tcPr>
          <w:p>
            <w:pPr>
              <w:spacing w:after="0"/>
              <w:rPr>
                <w:sz w:val="1"/>
                <w:szCs w:val="1"/>
                <w:color w:val="auto"/>
              </w:rPr>
            </w:pPr>
          </w:p>
        </w:tc>
      </w:tr>
      <w:tr>
        <w:trPr>
          <w:trHeight w:val="265"/>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available-for-sale debt securities – marketable securities</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6,724</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7,265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Restricted cash</w:t>
            </w: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0" w:type="dxa"/>
            <w:vAlign w:val="bottom"/>
          </w:tcPr>
          <w:p>
            <w:pPr>
              <w:spacing w:after="0"/>
              <w:rPr>
                <w:sz w:val="1"/>
                <w:szCs w:val="1"/>
                <w:color w:val="auto"/>
              </w:rPr>
            </w:pPr>
          </w:p>
        </w:tc>
      </w:tr>
      <w:tr>
        <w:trPr>
          <w:trHeight w:val="290"/>
        </w:trPr>
        <w:tc>
          <w:tcPr>
            <w:tcW w:w="6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Money market funds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2,798</w:t>
            </w:r>
          </w:p>
        </w:tc>
        <w:tc>
          <w:tcPr>
            <w:tcW w:w="0" w:type="dxa"/>
            <w:vAlign w:val="bottom"/>
          </w:tcPr>
          <w:p>
            <w:pPr>
              <w:spacing w:after="0"/>
              <w:rPr>
                <w:sz w:val="1"/>
                <w:szCs w:val="1"/>
                <w:color w:val="auto"/>
              </w:rPr>
            </w:pPr>
          </w:p>
        </w:tc>
      </w:tr>
      <w:tr>
        <w:trPr>
          <w:trHeight w:val="280"/>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restricted cash</w:t>
            </w:r>
          </w:p>
        </w:tc>
        <w:tc>
          <w:tcPr>
            <w:tcW w:w="8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6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2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maturities(a)</w:t>
            </w: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in one year or less</w:t>
            </w:r>
          </w:p>
        </w:tc>
        <w:tc>
          <w:tcPr>
            <w:tcW w:w="84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Due between one and five years</w:t>
            </w: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4,976</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available-for-sale debt securities with contractual maturities</w:t>
            </w:r>
          </w:p>
        </w:tc>
        <w:tc>
          <w:tcPr>
            <w:tcW w:w="84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-2615565</wp:posOffset>
            </wp:positionV>
            <wp:extent cx="18827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8">
                      <a:extLst>
                        <a:ext uri="{28A0092B-C50C-407E-A947-70E740481C1C}"/>
                      </a:extLst>
                    </a:blip>
                    <a:srcRect/>
                    <a:stretch>
                      <a:fillRect/>
                    </a:stretch>
                  </pic:blipFill>
                  <pic:spPr bwMode="auto">
                    <a:xfrm>
                      <a:off x="0" y="0"/>
                      <a:ext cx="18827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-1682115</wp:posOffset>
            </wp:positionV>
            <wp:extent cx="18827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9">
                      <a:extLst>
                        <a:ext uri="{28A0092B-C50C-407E-A947-70E740481C1C}"/>
                      </a:extLst>
                    </a:blip>
                    <a:srcRect/>
                    <a:stretch>
                      <a:fillRect/>
                    </a:stretch>
                  </pic:blipFill>
                  <pic:spPr bwMode="auto">
                    <a:xfrm>
                      <a:off x="0" y="0"/>
                      <a:ext cx="18827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-939165</wp:posOffset>
            </wp:positionV>
            <wp:extent cx="18827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0">
                      <a:extLst>
                        <a:ext uri="{28A0092B-C50C-407E-A947-70E740481C1C}"/>
                      </a:extLst>
                    </a:blip>
                    <a:srcRect/>
                    <a:stretch>
                      <a:fillRect/>
                    </a:stretch>
                  </pic:blipFill>
                  <pic:spPr bwMode="auto">
                    <a:xfrm>
                      <a:off x="0" y="0"/>
                      <a:ext cx="18827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-43815</wp:posOffset>
            </wp:positionV>
            <wp:extent cx="9302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1">
                      <a:extLst>
                        <a:ext uri="{28A0092B-C50C-407E-A947-70E740481C1C}"/>
                      </a:extLst>
                    </a:blip>
                    <a:srcRect/>
                    <a:stretch>
                      <a:fillRect/>
                    </a:stretch>
                  </pic:blipFill>
                  <pic:spPr bwMode="auto">
                    <a:xfrm>
                      <a:off x="0" y="0"/>
                      <a:ext cx="930275"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Excludes mortgage and asset-backed securities as these securities are not due at a single maturity date.</w:t>
      </w:r>
    </w:p>
    <w:p>
      <w:pPr>
        <w:spacing w:after="0" w:line="243" w:lineRule="exact"/>
        <w:rPr>
          <w:sz w:val="20"/>
          <w:szCs w:val="20"/>
          <w:color w:val="auto"/>
        </w:rPr>
      </w:pPr>
    </w:p>
    <w:p>
      <w:pPr>
        <w:jc w:val="both"/>
        <w:ind w:left="40" w:right="20" w:firstLine="180"/>
        <w:spacing w:after="0" w:line="261" w:lineRule="auto"/>
        <w:rPr>
          <w:sz w:val="20"/>
          <w:szCs w:val="20"/>
          <w:color w:val="auto"/>
        </w:rPr>
      </w:pPr>
      <w:r>
        <w:rPr>
          <w:rFonts w:ascii="Times New Roman" w:cs="Times New Roman" w:eastAsia="Times New Roman" w:hAnsi="Times New Roman"/>
          <w:sz w:val="20"/>
          <w:szCs w:val="20"/>
          <w:color w:val="auto"/>
        </w:rPr>
        <w:t>Proceeds from the sale of available-for-sale debt securities sold prior to maturity were $3.2 billion, $2.5 billion, and $2.1 billion in the years ended December 31, 2025, 2024, and 2023. Net unrealized gains on available-for-sale debt securities were insignificant in the years ended December 31, 2025 and 2024 and $196 million in the year ended December 31, 2023. Cumulative unrealized losses on available-for-sale debt securities were insignificant at December 31, 2025 and 2024.</w:t>
      </w:r>
    </w:p>
    <w:p>
      <w:pPr>
        <w:spacing w:after="0" w:line="200" w:lineRule="exact"/>
        <w:rPr>
          <w:sz w:val="20"/>
          <w:szCs w:val="20"/>
          <w:color w:val="auto"/>
        </w:rPr>
      </w:pPr>
    </w:p>
    <w:p>
      <w:pPr>
        <w:jc w:val="both"/>
        <w:ind w:left="40"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to the total shown in the consolidated statements of cash flows: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0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20,945</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19,872</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cash included in Other current assets</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w:t>
            </w:r>
          </w:p>
        </w:tc>
      </w:tr>
      <w:tr>
        <w:trPr>
          <w:trHeight w:val="297"/>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Restricted cash included in Other assets</w:t>
            </w: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484</w:t>
            </w:r>
          </w:p>
        </w:tc>
      </w:tr>
      <w:tr>
        <w:trPr>
          <w:trHeight w:val="26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50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24,284</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22,964</w:t>
            </w: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-43815</wp:posOffset>
            </wp:positionV>
            <wp:extent cx="197802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ectPr>
          <w:pgSz w:w="12240" w:h="15840" w:orient="portrait"/>
          <w:cols w:equalWidth="0" w:num="1">
            <w:col w:w="10300"/>
          </w:cols>
          <w:pgMar w:left="96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300"/>
          </w:cols>
          <w:pgMar w:left="960" w:top="447" w:right="980" w:bottom="0" w:gutter="0" w:footer="0" w:header="0"/>
          <w:type w:val="continuous"/>
        </w:sectPr>
      </w:pPr>
    </w:p>
    <w:bookmarkStart w:id="72" w:name="page73"/>
    <w:bookmarkEnd w:id="7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0"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5. GM Financial Receivables and Transactions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4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Commercial(a)</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Commercial(a)</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9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 receivables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75,404</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16,970</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$ 92,374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76,066</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19,228</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$ 95,294</w:t>
            </w:r>
          </w:p>
        </w:tc>
        <w:tc>
          <w:tcPr>
            <w:tcW w:w="0" w:type="dxa"/>
            <w:vAlign w:val="bottom"/>
          </w:tcPr>
          <w:p>
            <w:pPr>
              <w:spacing w:after="0"/>
              <w:rPr>
                <w:sz w:val="1"/>
                <w:szCs w:val="1"/>
                <w:color w:val="auto"/>
              </w:rPr>
            </w:pPr>
          </w:p>
        </w:tc>
      </w:tr>
      <w:tr>
        <w:trPr>
          <w:trHeight w:val="290"/>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(2,656)</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(2,725)</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 receivables,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72,748</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16,902</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$ 89,650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73,667</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19,169</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$ 92,836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60" w:type="dxa"/>
            <w:vAlign w:val="bottom"/>
            <w:shd w:val="clear" w:color="auto" w:fill="CCEEFF"/>
          </w:tcPr>
          <w:p>
            <w:pPr>
              <w:ind w:left="40"/>
              <w:spacing w:after="0" w:line="192" w:lineRule="exact"/>
              <w:rPr>
                <w:sz w:val="20"/>
                <w:szCs w:val="20"/>
                <w:color w:val="auto"/>
              </w:rPr>
            </w:pPr>
            <w:r>
              <w:rPr>
                <w:rFonts w:ascii="Times New Roman" w:cs="Times New Roman" w:eastAsia="Times New Roman" w:hAnsi="Times New Roman"/>
                <w:sz w:val="20"/>
                <w:szCs w:val="20"/>
                <w:color w:val="auto"/>
              </w:rPr>
              <w:t>Fair value of GM Financial receivables utilizing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$ 16,902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$ 19,169</w:t>
            </w:r>
          </w:p>
        </w:tc>
        <w:tc>
          <w:tcPr>
            <w:tcW w:w="0" w:type="dxa"/>
            <w:vAlign w:val="bottom"/>
          </w:tcPr>
          <w:p>
            <w:pPr>
              <w:spacing w:after="0"/>
              <w:rPr>
                <w:sz w:val="1"/>
                <w:szCs w:val="1"/>
                <w:color w:val="auto"/>
              </w:rPr>
            </w:pPr>
          </w:p>
        </w:tc>
      </w:tr>
      <w:tr>
        <w:trPr>
          <w:trHeight w:val="273"/>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Level 2 inputs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40"/>
              <w:spacing w:after="0" w:line="192" w:lineRule="exact"/>
              <w:rPr>
                <w:sz w:val="20"/>
                <w:szCs w:val="20"/>
                <w:color w:val="auto"/>
              </w:rPr>
            </w:pPr>
            <w:r>
              <w:rPr>
                <w:rFonts w:ascii="Times New Roman" w:cs="Times New Roman" w:eastAsia="Times New Roman" w:hAnsi="Times New Roman"/>
                <w:sz w:val="20"/>
                <w:szCs w:val="20"/>
                <w:color w:val="auto"/>
              </w:rPr>
              <w:t>Fair value of GM Financial receivables utilizing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$ 74,409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$ 74,729</w:t>
            </w:r>
          </w:p>
        </w:tc>
        <w:tc>
          <w:tcPr>
            <w:tcW w:w="0" w:type="dxa"/>
            <w:vAlign w:val="bottom"/>
          </w:tcPr>
          <w:p>
            <w:pPr>
              <w:spacing w:after="0"/>
              <w:rPr>
                <w:sz w:val="1"/>
                <w:szCs w:val="1"/>
                <w:color w:val="auto"/>
              </w:rPr>
            </w:pPr>
          </w:p>
        </w:tc>
      </w:tr>
      <w:tr>
        <w:trPr>
          <w:trHeight w:val="261"/>
        </w:trPr>
        <w:tc>
          <w:tcPr>
            <w:tcW w:w="40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Level 3 inputs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-655320</wp:posOffset>
            </wp:positionV>
            <wp:extent cx="394017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3">
                      <a:extLst>
                        <a:ext uri="{28A0092B-C50C-407E-A947-70E740481C1C}"/>
                      </a:extLst>
                    </a:blip>
                    <a:srcRect/>
                    <a:stretch>
                      <a:fillRect/>
                    </a:stretch>
                  </pic:blipFill>
                  <pic:spPr bwMode="auto">
                    <a:xfrm>
                      <a:off x="0" y="0"/>
                      <a:ext cx="3940175" cy="50800"/>
                    </a:xfrm>
                    <a:prstGeom prst="rect">
                      <a:avLst/>
                    </a:prstGeom>
                    <a:noFill/>
                  </pic:spPr>
                </pic:pic>
              </a:graphicData>
            </a:graphic>
          </wp:anchor>
        </w:drawing>
      </w:r>
    </w:p>
    <w:p>
      <w:pPr>
        <w:spacing w:after="0" w:line="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19" w:lineRule="exact"/>
        <w:rPr>
          <w:sz w:val="20"/>
          <w:szCs w:val="20"/>
          <w:color w:val="auto"/>
        </w:rPr>
      </w:pPr>
    </w:p>
    <w:p>
      <w:pPr>
        <w:jc w:val="both"/>
        <w:ind w:left="370" w:hanging="370"/>
        <w:spacing w:after="0" w:line="261" w:lineRule="auto"/>
        <w:tabs>
          <w:tab w:leader="none" w:pos="3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finance receivables include dealer financing of $16.4 billion and $18.6 billion, and other financing of $596 million and $604 million at December 31, 2025 and 2024. Commercial finance receivables are presented net of dealer cash management balances of $3.4 billion at December 31, 2025 and 2024. Under the cash management program, subject to certain conditions, a dealer may choose to reduce the amount of interest on its floorplan line by making principal payments to GM Financial in advance.</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r>
      <w:tr>
        <w:trPr>
          <w:trHeight w:val="235"/>
        </w:trPr>
        <w:tc>
          <w:tcPr>
            <w:tcW w:w="6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Allowance for loan losses at beginning of period</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2,096</w:t>
            </w:r>
          </w:p>
        </w:tc>
      </w:tr>
      <w:tr>
        <w:trPr>
          <w:trHeight w:val="293"/>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Provision for loan losses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r>
      <w:tr>
        <w:trPr>
          <w:trHeight w:val="307"/>
        </w:trPr>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Charge-offs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(1,423)</w:t>
            </w:r>
          </w:p>
        </w:tc>
      </w:tr>
      <w:tr>
        <w:trPr>
          <w:trHeight w:val="293"/>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Recoveries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97"/>
        </w:trPr>
        <w:tc>
          <w:tcPr>
            <w:tcW w:w="6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Effect of foreign currency</w:t>
            </w:r>
          </w:p>
        </w:tc>
        <w:tc>
          <w:tcPr>
            <w:tcW w:w="2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60"/>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Allowance for loan losses at end of period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r>
      <w:tr>
        <w:trPr>
          <w:trHeight w:val="20"/>
        </w:trPr>
        <w:tc>
          <w:tcPr>
            <w:tcW w:w="6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-43815</wp:posOffset>
            </wp:positionV>
            <wp:extent cx="220662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4">
                      <a:extLst>
                        <a:ext uri="{28A0092B-C50C-407E-A947-70E740481C1C}"/>
                      </a:extLst>
                    </a:blip>
                    <a:srcRect/>
                    <a:stretch>
                      <a:fillRect/>
                    </a:stretch>
                  </pic:blipFill>
                  <pic:spPr bwMode="auto">
                    <a:xfrm>
                      <a:off x="0" y="0"/>
                      <a:ext cx="2206625" cy="50800"/>
                    </a:xfrm>
                    <a:prstGeom prst="rect">
                      <a:avLst/>
                    </a:prstGeom>
                    <a:noFill/>
                  </pic:spPr>
                </pic:pic>
              </a:graphicData>
            </a:graphic>
          </wp:anchor>
        </w:drawing>
      </w:r>
    </w:p>
    <w:p>
      <w:pPr>
        <w:spacing w:after="0" w:line="22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allowance for loan losses as a percentage of finance receivables was 2.9% and 2.6% at December 31, 2025 and 2024. The allowance ratio is based on factors including portfolio credit quality, expectations for recovery rates, and economic outlook.</w:t>
      </w:r>
    </w:p>
    <w:p>
      <w:pPr>
        <w:spacing w:after="0" w:line="192"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Retail Finance Receivables </w:t>
      </w:r>
      <w:r>
        <w:rPr>
          <w:rFonts w:ascii="Times New Roman" w:cs="Times New Roman" w:eastAsia="Times New Roman" w:hAnsi="Times New Roman"/>
          <w:sz w:val="20"/>
          <w:szCs w:val="20"/>
          <w:color w:val="auto"/>
        </w:rPr>
        <w:t>GM Financial's retail finance receivable portfolio includes loans made to consumers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businesses to finance the purchase of vehicles for personal and commercial use. The following tables are consolidated summaries of the retail finance receivables by FICO score or its equivalent, determined at origination, for each vintage of the retail finance receivables portfolio at December 31, 2025 and 2024:</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6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80"/>
        </w:trPr>
        <w:tc>
          <w:tcPr>
            <w:tcW w:w="364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90"/>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Prime – FICO score 680 and greater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$22,850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$ 9,298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$ 5,350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$ 2,712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$ 1,027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$56,440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74.9 %</w:t>
            </w:r>
          </w:p>
        </w:tc>
      </w:tr>
      <w:tr>
        <w:trPr>
          <w:trHeight w:val="294"/>
        </w:trPr>
        <w:tc>
          <w:tcPr>
            <w:tcW w:w="3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Near-prime – FICO score 620 to 679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r>
      <w:tr>
        <w:trPr>
          <w:trHeight w:val="296"/>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Sub-prime – FICO score less than 620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3,847</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9,661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12.8 %</w:t>
            </w:r>
          </w:p>
        </w:tc>
      </w:tr>
      <w:tr>
        <w:trPr>
          <w:trHeight w:val="260"/>
        </w:trPr>
        <w:tc>
          <w:tcPr>
            <w:tcW w:w="3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$30,399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$ 7,216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$ 3,897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$75,404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3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-43815</wp:posOffset>
            </wp:positionV>
            <wp:extent cx="422592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a:extLst>
                        <a:ext uri="{28A0092B-C50C-407E-A947-70E740481C1C}"/>
                      </a:extLst>
                    </a:blip>
                    <a:srcRect/>
                    <a:stretch>
                      <a:fillRect/>
                    </a:stretch>
                  </pic:blipFill>
                  <pic:spPr bwMode="auto">
                    <a:xfrm>
                      <a:off x="0" y="0"/>
                      <a:ext cx="4225925" cy="50800"/>
                    </a:xfrm>
                    <a:prstGeom prst="rect">
                      <a:avLst/>
                    </a:prstGeom>
                    <a:noFill/>
                  </pic:spPr>
                </pic:pic>
              </a:graphicData>
            </a:graphic>
          </wp:anchor>
        </w:drawing>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70"/>
          </w:cols>
          <w:pgMar w:left="990" w:top="447"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80"/>
        </w:trPr>
        <w:tc>
          <w:tcPr>
            <w:tcW w:w="364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90"/>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Prime – FICO score 680 and greater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$24,155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$ 9,749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$ 5,424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$ 2,559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76.3 %</w:t>
            </w:r>
          </w:p>
        </w:tc>
      </w:tr>
      <w:tr>
        <w:trPr>
          <w:trHeight w:val="293"/>
        </w:trPr>
        <w:tc>
          <w:tcPr>
            <w:tcW w:w="3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Near-prime – FICO score 620 to 679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11.8 %</w:t>
            </w:r>
          </w:p>
        </w:tc>
      </w:tr>
      <w:tr>
        <w:trPr>
          <w:trHeight w:val="297"/>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Sub-prime – FICO score less than 620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3,399</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2,059</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1,546</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9,008</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11.8 %</w:t>
            </w:r>
          </w:p>
        </w:tc>
      </w:tr>
      <w:tr>
        <w:trPr>
          <w:trHeight w:val="260"/>
        </w:trPr>
        <w:tc>
          <w:tcPr>
            <w:tcW w:w="3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$12,802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$ 7,642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$ 3,575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$76,066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3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-43815</wp:posOffset>
            </wp:positionV>
            <wp:extent cx="422592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6">
                      <a:extLst>
                        <a:ext uri="{28A0092B-C50C-407E-A947-70E740481C1C}"/>
                      </a:extLst>
                    </a:blip>
                    <a:srcRect/>
                    <a:stretch>
                      <a:fillRect/>
                    </a:stretch>
                  </pic:blipFill>
                  <pic:spPr bwMode="auto">
                    <a:xfrm>
                      <a:off x="0" y="0"/>
                      <a:ext cx="4225925" cy="50800"/>
                    </a:xfrm>
                    <a:prstGeom prst="rect">
                      <a:avLst/>
                    </a:prstGeom>
                    <a:noFill/>
                  </pic:spPr>
                </pic:pic>
              </a:graphicData>
            </a:graphic>
          </wp:anchor>
        </w:drawing>
      </w:r>
    </w:p>
    <w:p>
      <w:pPr>
        <w:spacing w:after="0" w:line="227"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$1.1 billion and $958 million at December 31, 2025 and 2024. The following tables are consolidated summaries of the delinquency status of the outstanding amortized cost basis of retail finance receivables for each vintage of the portfolio at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80"/>
        </w:trPr>
        <w:tc>
          <w:tcPr>
            <w:tcW w:w="2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90"/>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0-to-30 days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29,871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19,413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11,524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6,744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72,523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96.2 %</w:t>
            </w:r>
          </w:p>
        </w:tc>
        <w:tc>
          <w:tcPr>
            <w:tcW w:w="0" w:type="dxa"/>
            <w:vAlign w:val="bottom"/>
          </w:tcPr>
          <w:p>
            <w:pPr>
              <w:spacing w:after="0"/>
              <w:rPr>
                <w:sz w:val="1"/>
                <w:szCs w:val="1"/>
                <w:color w:val="auto"/>
              </w:rPr>
            </w:pPr>
          </w:p>
        </w:tc>
      </w:tr>
      <w:tr>
        <w:trPr>
          <w:trHeight w:val="293"/>
        </w:trPr>
        <w:tc>
          <w:tcPr>
            <w:tcW w:w="2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31-to-60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0" w:type="dxa"/>
            <w:vAlign w:val="bottom"/>
          </w:tcPr>
          <w:p>
            <w:pPr>
              <w:spacing w:after="0"/>
              <w:rPr>
                <w:sz w:val="1"/>
                <w:szCs w:val="1"/>
                <w:color w:val="auto"/>
              </w:rPr>
            </w:pPr>
          </w:p>
        </w:tc>
      </w:tr>
      <w:tr>
        <w:trPr>
          <w:trHeight w:val="315"/>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Greater-than-60 days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218</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129</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86</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204"/>
        </w:trPr>
        <w:tc>
          <w:tcPr>
            <w:tcW w:w="2160" w:type="dxa"/>
            <w:vAlign w:val="bottom"/>
            <w:tcBorders>
              <w:top w:val="single" w:sz="8" w:color="CCEEFF"/>
            </w:tcBorders>
          </w:tcPr>
          <w:p>
            <w:pPr>
              <w:ind w:left="40"/>
              <w:spacing w:after="0" w:line="204"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753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463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2,806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0" w:type="dxa"/>
            <w:vAlign w:val="bottom"/>
          </w:tcPr>
          <w:p>
            <w:pPr>
              <w:spacing w:after="0"/>
              <w:rPr>
                <w:sz w:val="1"/>
                <w:szCs w:val="1"/>
                <w:color w:val="auto"/>
              </w:rPr>
            </w:pPr>
          </w:p>
        </w:tc>
      </w:tr>
      <w:tr>
        <w:trPr>
          <w:trHeight w:val="267"/>
        </w:trPr>
        <w:tc>
          <w:tcPr>
            <w:tcW w:w="2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delinquent</w:t>
            </w: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 repossession</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199"/>
        </w:trPr>
        <w:tc>
          <w:tcPr>
            <w:tcW w:w="2160" w:type="dxa"/>
            <w:vAlign w:val="bottom"/>
            <w:tcBorders>
              <w:top w:val="single" w:sz="8" w:color="CCEEFF"/>
            </w:tcBorders>
          </w:tcPr>
          <w:p>
            <w:pPr>
              <w:ind w:left="40"/>
              <w:spacing w:after="0" w:line="199"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delinquent or in</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527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777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608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2,881</w:t>
            </w:r>
          </w:p>
        </w:tc>
        <w:tc>
          <w:tcPr>
            <w:tcW w:w="6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repossession</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30,399</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20,191</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12,132</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7,216</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3,897</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1,570</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75,404</w:t>
            </w:r>
          </w:p>
        </w:tc>
        <w:tc>
          <w:tcPr>
            <w:tcW w:w="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80"/>
        </w:trPr>
        <w:tc>
          <w:tcPr>
            <w:tcW w:w="2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90"/>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0-to-30 days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30,581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19,411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12,207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73,438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96.5 %</w:t>
            </w:r>
          </w:p>
        </w:tc>
        <w:tc>
          <w:tcPr>
            <w:tcW w:w="0" w:type="dxa"/>
            <w:vAlign w:val="bottom"/>
          </w:tcPr>
          <w:p>
            <w:pPr>
              <w:spacing w:after="0"/>
              <w:rPr>
                <w:sz w:val="1"/>
                <w:szCs w:val="1"/>
                <w:color w:val="auto"/>
              </w:rPr>
            </w:pPr>
          </w:p>
        </w:tc>
      </w:tr>
      <w:tr>
        <w:trPr>
          <w:trHeight w:val="294"/>
        </w:trPr>
        <w:tc>
          <w:tcPr>
            <w:tcW w:w="2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31-to-60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1,885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315"/>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Greater-than-60 days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188</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677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0" w:type="dxa"/>
            <w:vAlign w:val="bottom"/>
          </w:tcPr>
          <w:p>
            <w:pPr>
              <w:spacing w:after="0"/>
              <w:rPr>
                <w:sz w:val="1"/>
                <w:szCs w:val="1"/>
                <w:color w:val="auto"/>
              </w:rPr>
            </w:pPr>
          </w:p>
        </w:tc>
      </w:tr>
      <w:tr>
        <w:trPr>
          <w:trHeight w:val="204"/>
        </w:trPr>
        <w:tc>
          <w:tcPr>
            <w:tcW w:w="2160" w:type="dxa"/>
            <w:vAlign w:val="bottom"/>
            <w:tcBorders>
              <w:top w:val="single" w:sz="8" w:color="CCEEFF"/>
            </w:tcBorders>
          </w:tcPr>
          <w:p>
            <w:pPr>
              <w:ind w:left="40"/>
              <w:spacing w:after="0" w:line="204"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580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2,562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0" w:type="dxa"/>
            <w:vAlign w:val="bottom"/>
          </w:tcPr>
          <w:p>
            <w:pPr>
              <w:spacing w:after="0"/>
              <w:rPr>
                <w:sz w:val="1"/>
                <w:szCs w:val="1"/>
                <w:color w:val="auto"/>
              </w:rPr>
            </w:pPr>
          </w:p>
        </w:tc>
      </w:tr>
      <w:tr>
        <w:trPr>
          <w:trHeight w:val="267"/>
        </w:trPr>
        <w:tc>
          <w:tcPr>
            <w:tcW w:w="2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delinquent</w:t>
            </w: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 repossession</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199"/>
        </w:trPr>
        <w:tc>
          <w:tcPr>
            <w:tcW w:w="2160" w:type="dxa"/>
            <w:vAlign w:val="bottom"/>
            <w:tcBorders>
              <w:top w:val="single" w:sz="8" w:color="CCEEFF"/>
            </w:tcBorders>
          </w:tcPr>
          <w:p>
            <w:pPr>
              <w:ind w:left="40"/>
              <w:spacing w:after="0" w:line="199"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delinquent or in</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689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595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2,628</w:t>
            </w:r>
          </w:p>
        </w:tc>
        <w:tc>
          <w:tcPr>
            <w:tcW w:w="6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repossession</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31,101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12,802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7,642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76,066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-2599690</wp:posOffset>
            </wp:positionV>
            <wp:extent cx="515937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7">
                      <a:extLst>
                        <a:ext uri="{28A0092B-C50C-407E-A947-70E740481C1C}"/>
                      </a:extLst>
                    </a:blip>
                    <a:srcRect/>
                    <a:stretch>
                      <a:fillRect/>
                    </a:stretch>
                  </pic:blipFill>
                  <pic:spPr bwMode="auto">
                    <a:xfrm>
                      <a:off x="0" y="0"/>
                      <a:ext cx="5159375" cy="50800"/>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-43815</wp:posOffset>
            </wp:positionV>
            <wp:extent cx="515937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a:extLst>
                        <a:ext uri="{28A0092B-C50C-407E-A947-70E740481C1C}"/>
                      </a:extLst>
                    </a:blip>
                    <a:srcRect/>
                    <a:stretch>
                      <a:fillRect/>
                    </a:stretch>
                  </pic:blipFill>
                  <pic:spPr bwMode="auto">
                    <a:xfrm>
                      <a:off x="0" y="0"/>
                      <a:ext cx="5159375" cy="50800"/>
                    </a:xfrm>
                    <a:prstGeom prst="rect">
                      <a:avLst/>
                    </a:prstGeom>
                    <a:noFill/>
                  </pic:spPr>
                </pic:pic>
              </a:graphicData>
            </a:graphic>
          </wp:anchor>
        </w:drawing>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447" w:right="980" w:bottom="0" w:gutter="0" w:footer="0" w:header="0"/>
          <w:type w:val="continuous"/>
        </w:sectPr>
      </w:pPr>
    </w:p>
    <w:bookmarkStart w:id="74" w:name="page75"/>
    <w:bookmarkEnd w:id="74"/>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Commercial Finance Receivables </w:t>
      </w:r>
      <w:r>
        <w:rPr>
          <w:rFonts w:ascii="Times New Roman" w:cs="Times New Roman" w:eastAsia="Times New Roman" w:hAnsi="Times New Roman"/>
          <w:sz w:val="20"/>
          <w:szCs w:val="20"/>
          <w:color w:val="auto"/>
        </w:rPr>
        <w:t>GM Financial's commercial finance receivables consist of dealer financing, primarily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 inventory purchases, 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GM Financial's dealer risk model and risk rating categories are as follows:</w:t>
      </w:r>
    </w:p>
    <w:p>
      <w:pPr>
        <w:sectPr>
          <w:pgSz w:w="12240" w:h="15840" w:orient="portrait"/>
          <w:cols w:equalWidth="0" w:num="1">
            <w:col w:w="10280"/>
          </w:cols>
          <w:pgMar w:left="980" w:top="447" w:right="980" w:bottom="0" w:gutter="0" w:footer="0" w:header="0"/>
        </w:sectPr>
      </w:pPr>
    </w:p>
    <w:p>
      <w:pPr>
        <w:spacing w:after="0" w:line="180" w:lineRule="exact"/>
        <w:rPr>
          <w:sz w:val="20"/>
          <w:szCs w:val="20"/>
          <w:color w:val="auto"/>
        </w:rPr>
      </w:pPr>
    </w:p>
    <w:p>
      <w:pPr>
        <w:ind w:left="60"/>
        <w:spacing w:after="0" w:line="428" w:lineRule="auto"/>
        <w:rPr>
          <w:sz w:val="20"/>
          <w:szCs w:val="20"/>
          <w:color w:val="auto"/>
        </w:rPr>
      </w:pPr>
      <w:r>
        <w:rPr>
          <w:rFonts w:ascii="Times New Roman" w:cs="Times New Roman" w:eastAsia="Times New Roman" w:hAnsi="Times New Roman"/>
          <w:sz w:val="20"/>
          <w:szCs w:val="20"/>
          <w:b w:val="1"/>
          <w:bCs w:val="1"/>
          <w:color w:val="auto"/>
        </w:rPr>
        <w:t xml:space="preserve">Rating </w:t>
      </w:r>
      <w:r>
        <w:rPr>
          <w:rFonts w:ascii="Times New Roman" w:cs="Times New Roman" w:eastAsia="Times New Roman" w:hAnsi="Times New Roman"/>
          <w:sz w:val="20"/>
          <w:szCs w:val="20"/>
          <w:color w:val="auto"/>
        </w:rPr>
        <w:t>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II</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III</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24130</wp:posOffset>
            </wp:positionV>
            <wp:extent cx="6515100" cy="301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9">
                      <a:extLst>
                        <a:ext uri="{28A0092B-C50C-407E-A947-70E740481C1C}"/>
                      </a:extLst>
                    </a:blip>
                    <a:srcRect/>
                    <a:stretch>
                      <a:fillRect/>
                    </a:stretch>
                  </pic:blipFill>
                  <pic:spPr bwMode="auto">
                    <a:xfrm>
                      <a:off x="0" y="0"/>
                      <a:ext cx="6515100" cy="301625"/>
                    </a:xfrm>
                    <a:prstGeom prst="rect">
                      <a:avLst/>
                    </a:prstGeom>
                    <a:noFill/>
                  </pic:spPr>
                </pic:pic>
              </a:graphicData>
            </a:graphic>
          </wp:anchor>
        </w:drawing>
      </w:r>
    </w:p>
    <w:p>
      <w:pPr>
        <w:spacing w:after="0" w:line="19" w:lineRule="exact"/>
        <w:rPr>
          <w:sz w:val="20"/>
          <w:szCs w:val="20"/>
          <w:color w:val="auto"/>
        </w:rPr>
      </w:pPr>
    </w:p>
    <w:p>
      <w:pPr>
        <w:ind w:left="180" w:right="60" w:hanging="179"/>
        <w:spacing w:after="0" w:line="226" w:lineRule="auto"/>
        <w:rPr>
          <w:sz w:val="20"/>
          <w:szCs w:val="20"/>
          <w:color w:val="auto"/>
        </w:rPr>
      </w:pPr>
      <w:r>
        <w:rPr>
          <w:rFonts w:ascii="Times New Roman" w:cs="Times New Roman" w:eastAsia="Times New Roman" w:hAnsi="Times New Roman"/>
          <w:sz w:val="20"/>
          <w:szCs w:val="20"/>
          <w:color w:val="auto"/>
        </w:rPr>
        <w:t>Performing accounts with strong to acceptable financial metrics with at least satisfactory capacity to meet financial commitments.</w:t>
      </w:r>
    </w:p>
    <w:p>
      <w:pPr>
        <w:spacing w:after="0" w:line="2" w:lineRule="exact"/>
        <w:rPr>
          <w:sz w:val="20"/>
          <w:szCs w:val="20"/>
          <w:color w:val="auto"/>
        </w:rPr>
      </w:pPr>
    </w:p>
    <w:p>
      <w:pPr>
        <w:ind w:left="180" w:right="360" w:hanging="179"/>
        <w:spacing w:after="0" w:line="226" w:lineRule="auto"/>
        <w:rPr>
          <w:sz w:val="20"/>
          <w:szCs w:val="20"/>
          <w:color w:val="auto"/>
        </w:rPr>
      </w:pPr>
      <w:r>
        <w:rPr>
          <w:rFonts w:ascii="Times New Roman" w:cs="Times New Roman" w:eastAsia="Times New Roman" w:hAnsi="Times New Roman"/>
          <w:sz w:val="20"/>
          <w:szCs w:val="20"/>
          <w:color w:val="auto"/>
        </w:rPr>
        <w:t>Performing accounts experiencing potential weakness in financial metrics and repayment prospects resulting in increased monitoring.</w:t>
      </w:r>
    </w:p>
    <w:p>
      <w:pPr>
        <w:spacing w:after="0" w:line="2" w:lineRule="exact"/>
        <w:rPr>
          <w:sz w:val="20"/>
          <w:szCs w:val="20"/>
          <w:color w:val="auto"/>
        </w:rPr>
      </w:pPr>
    </w:p>
    <w:p>
      <w:pPr>
        <w:ind w:left="180" w:right="140" w:hanging="179"/>
        <w:spacing w:after="0" w:line="241" w:lineRule="auto"/>
        <w:rPr>
          <w:sz w:val="20"/>
          <w:szCs w:val="20"/>
          <w:color w:val="auto"/>
        </w:rPr>
      </w:pPr>
      <w:r>
        <w:rPr>
          <w:rFonts w:ascii="Times New Roman" w:cs="Times New Roman" w:eastAsia="Times New Roman" w:hAnsi="Times New Roman"/>
          <w:sz w:val="20"/>
          <w:szCs w:val="20"/>
          <w:color w:val="auto"/>
        </w:rPr>
        <w:t>Non-Performing accounts with inadequate paying capacity for current obligations and have the distinct possibility of creating a loss if deficiencies are not corrected.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-640715</wp:posOffset>
                </wp:positionH>
                <wp:positionV relativeFrom="paragraph">
                  <wp:posOffset>-267335</wp:posOffset>
                </wp:positionV>
                <wp:extent cx="6514465" cy="27559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75590"/>
                        </a:xfrm>
                        <a:prstGeom prst="rect">
                          <a:avLst/>
                        </a:prstGeom>
                        <a:solidFill>
                          <a:srgbClr val="CCEEFF"/>
                        </a:solidFill>
                      </wps:spPr>
                      <wps:bodyPr/>
                    </wps:wsp>
                  </a:graphicData>
                </a:graphic>
              </wp:anchor>
            </w:drawing>
          </mc:Choice>
          <mc:Fallback>
            <w:pict>
              <v:rect id="Shape 75" o:spid="_x0000_s1100" style="position:absolute;margin-left:-50.4499pt;margin-top:-21.0499pt;width:512.95pt;height:2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ind w:left="180" w:right="340" w:hanging="179"/>
        <w:spacing w:after="0" w:line="241" w:lineRule="auto"/>
        <w:rPr>
          <w:sz w:val="20"/>
          <w:szCs w:val="20"/>
          <w:color w:val="auto"/>
        </w:rPr>
      </w:pPr>
      <w:r>
        <w:rPr>
          <w:rFonts w:ascii="Times New Roman" w:cs="Times New Roman" w:eastAsia="Times New Roman" w:hAnsi="Times New Roman"/>
          <w:sz w:val="20"/>
          <w:szCs w:val="20"/>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2240" w:h="15840" w:orient="portrait"/>
          <w:cols w:equalWidth="0" w:num="2">
            <w:col w:w="640" w:space="380"/>
            <w:col w:w="9260"/>
          </w:cols>
          <w:pgMar w:left="980" w:top="447" w:right="980" w:bottom="0" w:gutter="0" w:footer="0" w:header="0"/>
          <w:type w:val="continuous"/>
        </w:sectPr>
      </w:pPr>
    </w:p>
    <w:p>
      <w:pPr>
        <w:spacing w:after="0" w:line="90" w:lineRule="exact"/>
        <w:rPr>
          <w:sz w:val="20"/>
          <w:szCs w:val="20"/>
          <w:color w:val="auto"/>
        </w:rPr>
      </w:pPr>
    </w:p>
    <w:p>
      <w:pPr>
        <w:jc w:val="both"/>
        <w:ind w:left="20" w:firstLine="180"/>
        <w:spacing w:after="0" w:line="266" w:lineRule="auto"/>
        <w:rPr>
          <w:sz w:val="20"/>
          <w:szCs w:val="20"/>
          <w:color w:val="auto"/>
        </w:rPr>
      </w:pPr>
      <w:r>
        <w:rPr>
          <w:rFonts w:ascii="Times New Roman" w:cs="Times New Roman" w:eastAsia="Times New Roman" w:hAnsi="Times New Roman"/>
          <w:sz w:val="20"/>
          <w:szCs w:val="20"/>
          <w:color w:val="auto"/>
        </w:rPr>
        <w:t>Dealers with III and IV risk ratings are subject to additional monitoring and restrictions on funding, including suspension of lines of credit and liquidation of assets. The following tables summarize the dealer finance receivables portfolio by dealer risk rating at December 31, 2025 and 2024:</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of Origination(a)</w:t>
            </w: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80"/>
        </w:trPr>
        <w:tc>
          <w:tcPr>
            <w:tcW w:w="2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Dealer Risk Rating</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w w:val="99"/>
              </w:rPr>
              <w:t>Revolving</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9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13,421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337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$14,674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89.6 %</w:t>
            </w:r>
          </w:p>
        </w:tc>
        <w:tc>
          <w:tcPr>
            <w:tcW w:w="0" w:type="dxa"/>
            <w:vAlign w:val="bottom"/>
          </w:tcPr>
          <w:p>
            <w:pPr>
              <w:spacing w:after="0"/>
              <w:rPr>
                <w:sz w:val="1"/>
                <w:szCs w:val="1"/>
                <w:color w:val="auto"/>
              </w:rPr>
            </w:pP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985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1,096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0" w:type="dxa"/>
            <w:vAlign w:val="bottom"/>
          </w:tcPr>
          <w:p>
            <w:pPr>
              <w:spacing w:after="0"/>
              <w:rPr>
                <w:sz w:val="1"/>
                <w:szCs w:val="1"/>
                <w:color w:val="auto"/>
              </w:rPr>
            </w:pPr>
          </w:p>
        </w:tc>
      </w:tr>
      <w:tr>
        <w:trPr>
          <w:trHeight w:val="307"/>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III</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507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603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0" w:type="dxa"/>
            <w:vAlign w:val="bottom"/>
          </w:tcPr>
          <w:p>
            <w:pPr>
              <w:spacing w:after="0"/>
              <w:rPr>
                <w:sz w:val="1"/>
                <w:szCs w:val="1"/>
                <w:color w:val="auto"/>
              </w:rPr>
            </w:pPr>
          </w:p>
        </w:tc>
      </w:tr>
      <w:tr>
        <w:trPr>
          <w:trHeight w:val="29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IV</w:t>
            </w:r>
          </w:p>
        </w:tc>
        <w:tc>
          <w:tcPr>
            <w:tcW w:w="200" w:type="dxa"/>
            <w:vAlign w:val="bottom"/>
          </w:tcPr>
          <w:p>
            <w:pPr>
              <w:spacing w:after="0"/>
              <w:rPr>
                <w:sz w:val="24"/>
                <w:szCs w:val="24"/>
                <w:color w:val="auto"/>
              </w:rPr>
            </w:pPr>
          </w:p>
        </w:tc>
        <w:tc>
          <w:tcPr>
            <w:tcW w:w="5260" w:type="dxa"/>
            <w:vAlign w:val="bottom"/>
            <w:gridSpan w:val="19"/>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5"/>
        </w:trPr>
        <w:tc>
          <w:tcPr>
            <w:tcW w:w="2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14,913</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352</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319</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209</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$16,374</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2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  Floorplan advances comprise 99.1% of the total revolving balance. Dealer term loans are presented by year of origination.</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of Origination(a)</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80"/>
        </w:trPr>
        <w:tc>
          <w:tcPr>
            <w:tcW w:w="2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Dealer Risk Rating</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w w:val="99"/>
              </w:rPr>
              <w:t>Revolving</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9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16,190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$17,606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94.5 %</w:t>
            </w:r>
          </w:p>
        </w:tc>
        <w:tc>
          <w:tcPr>
            <w:tcW w:w="0" w:type="dxa"/>
            <w:vAlign w:val="bottom"/>
          </w:tcPr>
          <w:p>
            <w:pPr>
              <w:spacing w:after="0"/>
              <w:rPr>
                <w:sz w:val="1"/>
                <w:szCs w:val="1"/>
                <w:color w:val="auto"/>
              </w:rPr>
            </w:pP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663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0" w:type="dxa"/>
            <w:vAlign w:val="bottom"/>
          </w:tcPr>
          <w:p>
            <w:pPr>
              <w:spacing w:after="0"/>
              <w:rPr>
                <w:sz w:val="1"/>
                <w:szCs w:val="1"/>
                <w:color w:val="auto"/>
              </w:rPr>
            </w:pPr>
          </w:p>
        </w:tc>
      </w:tr>
      <w:tr>
        <w:trPr>
          <w:trHeight w:val="307"/>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III</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354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0" w:type="dxa"/>
            <w:vAlign w:val="bottom"/>
          </w:tcPr>
          <w:p>
            <w:pPr>
              <w:spacing w:after="0"/>
              <w:rPr>
                <w:sz w:val="1"/>
                <w:szCs w:val="1"/>
                <w:color w:val="auto"/>
              </w:rPr>
            </w:pPr>
          </w:p>
        </w:tc>
      </w:tr>
      <w:tr>
        <w:trPr>
          <w:trHeight w:val="290"/>
        </w:trPr>
        <w:tc>
          <w:tcPr>
            <w:tcW w:w="2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IV</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17,117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331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$18,623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-1793875</wp:posOffset>
            </wp:positionV>
            <wp:extent cx="466407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
                      <a:extLst>
                        <a:ext uri="{28A0092B-C50C-407E-A947-70E740481C1C}"/>
                      </a:extLst>
                    </a:blip>
                    <a:srcRect/>
                    <a:stretch>
                      <a:fillRect/>
                    </a:stretch>
                  </pic:blipFill>
                  <pic:spPr bwMode="auto">
                    <a:xfrm>
                      <a:off x="0" y="0"/>
                      <a:ext cx="4664075" cy="50800"/>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-43815</wp:posOffset>
            </wp:positionV>
            <wp:extent cx="466407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extLst>
                    </a:blip>
                    <a:srcRect/>
                    <a:stretch>
                      <a:fillRect/>
                    </a:stretch>
                  </pic:blipFill>
                  <pic:spPr bwMode="auto">
                    <a:xfrm>
                      <a:off x="0" y="0"/>
                      <a:ext cx="4664075" cy="50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9"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Floorplan advances comprise 99.5% of the total revolving balance. Dealer term loans are presented by year of origination.</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There were no commercial finance receivables on nonaccrual status at December 31, 2025 and 2024.</w:t>
      </w:r>
    </w:p>
    <w:p>
      <w:pPr>
        <w:spacing w:after="0" w:line="246"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9"/>
          <w:szCs w:val="19"/>
          <w:b w:val="1"/>
          <w:bCs w:val="1"/>
          <w:color w:val="auto"/>
        </w:rPr>
        <w:t xml:space="preserve">Transfers of Finance Receivables </w:t>
      </w:r>
      <w:r>
        <w:rPr>
          <w:rFonts w:ascii="Times New Roman" w:cs="Times New Roman" w:eastAsia="Times New Roman" w:hAnsi="Times New Roman"/>
          <w:sz w:val="19"/>
          <w:szCs w:val="19"/>
          <w:color w:val="auto"/>
        </w:rPr>
        <w:t>During the year ended December 31, 2025, GM Financial sold, subject to standard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representations and warranties, finance receivables to third-party purchasers for $2.0 billion in cash proceeds. GM Financial has continuing involvement with the finance receivables transferred, primarily in its role as servicer. The outstanding off-balance sheet amount of the transferred finance receivables subject to continuing involvement was $1.7 billion at December 31, 2025.</w:t>
      </w:r>
    </w:p>
    <w:p>
      <w:pPr>
        <w:sectPr>
          <w:pgSz w:w="12240" w:h="15840" w:orient="portrait"/>
          <w:cols w:equalWidth="0" w:num="1">
            <w:col w:w="10280"/>
          </w:cols>
          <w:pgMar w:left="980" w:top="447"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80"/>
          </w:cols>
          <w:pgMar w:left="980" w:top="447" w:right="980" w:bottom="0" w:gutter="0" w:footer="0" w:header="0"/>
          <w:type w:val="continuous"/>
        </w:sectPr>
      </w:pPr>
    </w:p>
    <w:bookmarkStart w:id="75" w:name="page76"/>
    <w:bookmarkEnd w:id="7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ind w:left="10"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Transactions with GM Financial </w:t>
      </w:r>
      <w:r>
        <w:rPr>
          <w:rFonts w:ascii="Times New Roman" w:cs="Times New Roman" w:eastAsia="Times New Roman" w:hAnsi="Times New Roman"/>
          <w:sz w:val="20"/>
          <w:szCs w:val="20"/>
          <w:color w:val="auto"/>
        </w:rPr>
        <w:t>The following tables show transactions between our Automotive operations, Cruise,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GM Financial. These amounts are presented in GM Financial's consolidated balance sheets and statements of income.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18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8"/>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Balance Sheets(a)</w:t>
            </w:r>
          </w:p>
        </w:tc>
        <w:tc>
          <w:tcPr>
            <w:tcW w:w="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Commercial finance receivables due from GM consolidated dealers</w:t>
            </w:r>
          </w:p>
        </w:tc>
        <w:tc>
          <w:tcPr>
            <w:tcW w:w="6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finance receivables due from Cruise</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Subvention receivable from GM(b)</w:t>
            </w:r>
          </w:p>
        </w:tc>
        <w:tc>
          <w:tcPr>
            <w:tcW w:w="6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87"/>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loan funding payable to GM</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Interest subvention earned on finance receivables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1,404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1,385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1,234</w:t>
            </w: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Leased vehicle subvention earned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1,796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1,511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1,537</w:t>
            </w:r>
          </w:p>
        </w:tc>
      </w:tr>
    </w:tbl>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tabs>
          <w:tab w:leader="none" w:pos="3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balance sheet amounts are eliminated upon consolidation.</w:t>
      </w:r>
    </w:p>
    <w:p>
      <w:pPr>
        <w:spacing w:after="0" w:line="9" w:lineRule="exact"/>
        <w:rPr>
          <w:rFonts w:ascii="Times New Roman" w:cs="Times New Roman" w:eastAsia="Times New Roman" w:hAnsi="Times New Roman"/>
          <w:sz w:val="18"/>
          <w:szCs w:val="18"/>
          <w:color w:val="auto"/>
        </w:rPr>
      </w:pPr>
    </w:p>
    <w:p>
      <w:pPr>
        <w:ind w:left="370" w:right="20" w:hanging="370"/>
        <w:spacing w:after="0" w:line="283" w:lineRule="auto"/>
        <w:tabs>
          <w:tab w:leader="none" w:pos="3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Automotive operations made cash payments to GM Financial for subvention of $3.3 billion, $3.8 billion, and $3.5 billion in the years ended December 31, 2025, 2024, and 2023.</w:t>
      </w:r>
    </w:p>
    <w:p>
      <w:pPr>
        <w:spacing w:after="0" w:line="178"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GM Financial's Board of Directors declared and paid dividends on its common stock of $1.5 billion in the year ended December 31, 2025 and $1.8 billion in the years ended December 31, 2024 and 2023.</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6. Inventories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productive material, supplies, and work in process</w:t>
            </w:r>
          </w:p>
        </w:tc>
        <w:tc>
          <w:tcPr>
            <w:tcW w:w="5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6,405</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6,444</w:t>
            </w:r>
          </w:p>
        </w:tc>
      </w:tr>
      <w:tr>
        <w:trPr>
          <w:trHeight w:val="290"/>
        </w:trPr>
        <w:tc>
          <w:tcPr>
            <w:tcW w:w="7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Finished product, including service parts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8,062</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8,120</w:t>
            </w:r>
          </w:p>
        </w:tc>
      </w:tr>
      <w:tr>
        <w:trPr>
          <w:trHeight w:val="28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inventories</w:t>
            </w:r>
          </w:p>
        </w:tc>
        <w:tc>
          <w:tcPr>
            <w:tcW w:w="5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14,467</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14,564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-43815</wp:posOffset>
            </wp:positionV>
            <wp:extent cx="197802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pacing w:after="0" w:line="227" w:lineRule="exact"/>
        <w:rPr>
          <w:sz w:val="20"/>
          <w:szCs w:val="20"/>
          <w:color w:val="auto"/>
        </w:rPr>
      </w:pPr>
    </w:p>
    <w:p>
      <w:pPr>
        <w:jc w:val="both"/>
        <w:ind w:left="10" w:firstLine="225"/>
        <w:spacing w:after="0" w:line="261" w:lineRule="auto"/>
        <w:rPr>
          <w:sz w:val="20"/>
          <w:szCs w:val="20"/>
          <w:color w:val="auto"/>
        </w:rPr>
      </w:pPr>
      <w:r>
        <w:rPr>
          <w:rFonts w:ascii="Times New Roman" w:cs="Times New Roman" w:eastAsia="Times New Roman" w:hAnsi="Times New Roman"/>
          <w:sz w:val="20"/>
          <w:szCs w:val="20"/>
          <w:color w:val="auto"/>
        </w:rPr>
        <w:t>Inventories are reflected net of allowances totaling $2.4 billion and $2.0 billion, of which $1.7 billion and $1.4 billion are EV-related, to remeasure inventory on-hand to net realizable value at December 31, 2025 and 2024. Tariffs, less available offsets and deductions, are capitalized into the cost of inventories as incurred. Offset amounts in excess of tariffs incurred will be recognized as a reduction to future tariffs.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7. Operating Leases</w:t>
      </w:r>
    </w:p>
    <w:p>
      <w:pPr>
        <w:spacing w:after="0" w:line="253"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Operating Leases </w:t>
      </w:r>
      <w:r>
        <w:rPr>
          <w:rFonts w:ascii="Times New Roman" w:cs="Times New Roman" w:eastAsia="Times New Roman" w:hAnsi="Times New Roman"/>
          <w:sz w:val="20"/>
          <w:szCs w:val="20"/>
          <w:color w:val="auto"/>
        </w:rPr>
        <w:t>Our portfolio of leases primarily consists of real estate office space, manufacturing and warehousing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facilities, land, and equipment. Certain leases contain escalation clauses and renewal or purchase options, and generally our leases have no residual value guarantees or material covenants. We exclude leases with a term of one year or less from our balance sheet, and do not separate non-lease components from our real estate leases.</w:t>
      </w:r>
    </w:p>
    <w:p>
      <w:pPr>
        <w:spacing w:after="0" w:line="200" w:lineRule="exact"/>
        <w:rPr>
          <w:sz w:val="20"/>
          <w:szCs w:val="20"/>
          <w:color w:val="auto"/>
        </w:rPr>
      </w:pPr>
    </w:p>
    <w:p>
      <w:pPr>
        <w:jc w:val="both"/>
        <w:ind w:left="10" w:right="20" w:firstLine="180"/>
        <w:spacing w:after="0" w:line="253" w:lineRule="auto"/>
        <w:rPr>
          <w:sz w:val="20"/>
          <w:szCs w:val="20"/>
          <w:color w:val="auto"/>
        </w:rPr>
      </w:pPr>
      <w:r>
        <w:rPr>
          <w:rFonts w:ascii="Times New Roman" w:cs="Times New Roman" w:eastAsia="Times New Roman" w:hAnsi="Times New Roman"/>
          <w:sz w:val="20"/>
          <w:szCs w:val="20"/>
          <w:color w:val="auto"/>
        </w:rPr>
        <w:t>Rent expense under operating leases was $378 million, $369 million, and $346 million in the years ended December 31, 2025, 2024, and 2023. Variable lease costs were insignificant in the years ended December 31, 2025, 2024, and 2023. At December 31, 2025 and 2024, operating lease right of use assets in Other assets were $1.0 billion and $919 million, operating lease liabilities in Accrued liabilities were $266 million and $254 million, and non-current operating lease liabilities in Other liabilities were $1.0 billion. Operating lease right of use assets obtained in exchange for lease obligations were $351 million and $368 million in the years ended December 31, 2025 and 2024. Our undiscounted future lease obligations related to operating leases having initial terms in excess of one year are $321 million, $254 million, $216 million, $185 million, $156 million, and $416 million for the years 2026, 2027, 2028, 2029, 2030, and thereafter, with imputed interest of $248 million as of December 31, 2025. The weighted-average discount rate was 5.0% and 4.6% and the weighted-average remaining lease term was 6.6 years and 5.9 years at December 31, 2025 and 2024. Payments for operating leases included in Net cash provided by (used in) operating activities were $393 million, $416 million, and $359 million in the years ended December 31, 2025, 2024, and 2023. Lease agreements that have not yet commenced were insignificant at December 31, 2025.</w:t>
      </w:r>
    </w:p>
    <w:p>
      <w:pPr>
        <w:sectPr>
          <w:pgSz w:w="12240" w:h="15840" w:orient="portrait"/>
          <w:cols w:equalWidth="0" w:num="1">
            <w:col w:w="10270"/>
          </w:cols>
          <w:pgMar w:left="990" w:top="447" w:right="980" w:bottom="0" w:gutter="0" w:footer="0" w:header="0"/>
        </w:sectPr>
      </w:pPr>
    </w:p>
    <w:p>
      <w:pPr>
        <w:spacing w:after="0" w:line="15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70"/>
          </w:cols>
          <w:pgMar w:left="990" w:top="447" w:right="980" w:bottom="0" w:gutter="0" w:footer="0" w:header="0"/>
          <w:type w:val="continuous"/>
        </w:sectPr>
      </w:pPr>
    </w:p>
    <w:bookmarkStart w:id="76" w:name="page77"/>
    <w:bookmarkEnd w:id="7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ind w:left="10" w:firstLine="1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Equipment on Operating Leases </w:t>
      </w:r>
      <w:r>
        <w:rPr>
          <w:rFonts w:ascii="Times New Roman" w:cs="Times New Roman" w:eastAsia="Times New Roman" w:hAnsi="Times New Roman"/>
          <w:sz w:val="20"/>
          <w:szCs w:val="20"/>
          <w:color w:val="auto"/>
        </w:rPr>
        <w:t>Equipment on operating leases primarily consists of leases to retail customers of GM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Equipment on operating leases</w:t>
            </w:r>
          </w:p>
        </w:tc>
        <w:tc>
          <w:tcPr>
            <w:tcW w:w="5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40,596</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38,187</w:t>
            </w:r>
          </w:p>
        </w:tc>
      </w:tr>
      <w:tr>
        <w:trPr>
          <w:trHeight w:val="290"/>
        </w:trPr>
        <w:tc>
          <w:tcPr>
            <w:tcW w:w="7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(6,909)</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(6,601)</w:t>
            </w:r>
          </w:p>
        </w:tc>
      </w:tr>
      <w:tr>
        <w:trPr>
          <w:trHeight w:val="28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Equipment on operating leases, net</w:t>
            </w:r>
          </w:p>
        </w:tc>
        <w:tc>
          <w:tcPr>
            <w:tcW w:w="5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33,686</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31,586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-43815</wp:posOffset>
            </wp:positionV>
            <wp:extent cx="197802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pacing w:after="0" w:line="22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At December 31, 2025, the estimated residual value of our leased assets at the end of the lease term was $25.0 billion.</w:t>
      </w:r>
    </w:p>
    <w:p>
      <w:pPr>
        <w:spacing w:after="0" w:line="250"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Depreciation expense related to Equipment on operating leases, net was $4.9 billion, $4.8 billion, and $4.9 billion in the years ended December 31, 2025, 2024, and 2023.</w:t>
      </w:r>
    </w:p>
    <w:p>
      <w:pPr>
        <w:spacing w:after="0" w:line="178" w:lineRule="exact"/>
        <w:rPr>
          <w:sz w:val="20"/>
          <w:szCs w:val="20"/>
          <w:color w:val="auto"/>
        </w:rPr>
      </w:pPr>
    </w:p>
    <w:p>
      <w:pPr>
        <w:jc w:val="both"/>
        <w:ind w:left="10" w:firstLine="180"/>
        <w:spacing w:after="0" w:line="266" w:lineRule="auto"/>
        <w:rPr>
          <w:sz w:val="20"/>
          <w:szCs w:val="20"/>
          <w:color w:val="auto"/>
        </w:rPr>
      </w:pPr>
      <w:r>
        <w:rPr>
          <w:rFonts w:ascii="Times New Roman" w:cs="Times New Roman" w:eastAsia="Times New Roman" w:hAnsi="Times New Roman"/>
          <w:sz w:val="20"/>
          <w:szCs w:val="20"/>
          <w:color w:val="auto"/>
        </w:rPr>
        <w:t>In September 2025, GM Financial entered into $2.1 billion of purchase commitments with various dealers to acquire certain EVs through June 30, 2026. As of December 31, 2025, GM Financial has up to approximately $293 million of purchase commitments remaining for any EVs that have not been placed in service by June 30, 2026.</w:t>
      </w:r>
    </w:p>
    <w:p>
      <w:pPr>
        <w:spacing w:after="0" w:line="19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lease payments due to GM Financial on leases to retail customers: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w w:val="99"/>
              </w:rPr>
              <w:t>Years Ending December 31,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80"/>
        </w:trPr>
        <w:tc>
          <w:tcPr>
            <w:tcW w:w="52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2029</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2030</w:t>
            </w: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90"/>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Lease receipts under operating leases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$ 5,442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$ 3,342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$ 1,175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$10,085</w:t>
            </w:r>
          </w:p>
        </w:tc>
      </w:tr>
    </w:tbl>
    <w:p>
      <w:pPr>
        <w:spacing w:after="0" w:line="2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8. Equity in Net Assets of Nonconsolidated Affiliates</w:t>
      </w:r>
    </w:p>
    <w:p>
      <w:pPr>
        <w:spacing w:after="0" w:line="257" w:lineRule="exact"/>
        <w:rPr>
          <w:sz w:val="20"/>
          <w:szCs w:val="20"/>
          <w:color w:val="auto"/>
        </w:rPr>
      </w:pPr>
    </w:p>
    <w:p>
      <w:pPr>
        <w:jc w:val="both"/>
        <w:ind w:left="10" w:right="20" w:firstLine="180"/>
        <w:spacing w:after="0" w:line="261" w:lineRule="auto"/>
        <w:rPr>
          <w:sz w:val="20"/>
          <w:szCs w:val="20"/>
          <w:color w:val="auto"/>
        </w:rPr>
      </w:pPr>
      <w:r>
        <w:rPr>
          <w:rFonts w:ascii="Times New Roman" w:cs="Times New Roman" w:eastAsia="Times New Roman" w:hAnsi="Times New Roman"/>
          <w:sz w:val="20"/>
          <w:szCs w:val="20"/>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China JVs equity income (loss)</w:t>
            </w:r>
          </w:p>
        </w:tc>
        <w:tc>
          <w:tcPr>
            <w:tcW w:w="840" w:type="dxa"/>
            <w:vAlign w:val="bottom"/>
            <w:shd w:val="clear" w:color="auto" w:fill="CCEEFF"/>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446</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Ultium Cells Holdings LLC equity income (loss)(a)</w:t>
            </w:r>
          </w:p>
        </w:tc>
        <w:tc>
          <w:tcPr>
            <w:tcW w:w="840" w:type="dxa"/>
            <w:vAlign w:val="bottom"/>
          </w:tcPr>
          <w:p>
            <w:pPr>
              <w:spacing w:after="0"/>
              <w:rPr>
                <w:sz w:val="24"/>
                <w:szCs w:val="24"/>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975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293</w:t>
            </w: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 joint ventures equity income (loss)</w:t>
            </w:r>
          </w:p>
        </w:tc>
        <w:tc>
          <w:tcPr>
            <w:tcW w:w="8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34</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Equity income (loss)</w:t>
            </w:r>
          </w:p>
        </w:tc>
        <w:tc>
          <w:tcPr>
            <w:tcW w:w="84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773</w:t>
            </w:r>
          </w:p>
        </w:tc>
      </w:tr>
      <w:tr>
        <w:trPr>
          <w:trHeight w:val="20"/>
        </w:trPr>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-43815</wp:posOffset>
            </wp:positionV>
            <wp:extent cx="26066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Investments in Nonconsolidated Affiliates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China JVs carrying amount</w:t>
            </w:r>
          </w:p>
        </w:tc>
        <w:tc>
          <w:tcPr>
            <w:tcW w:w="56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1,105</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1,474</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Ultium Cells Holdings LLC carrying amount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w:t>
            </w:r>
          </w:p>
        </w:tc>
      </w:tr>
      <w:tr>
        <w:trPr>
          <w:trHeight w:val="296"/>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 investments carrying amount</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2,221</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1,879</w:t>
            </w:r>
          </w:p>
        </w:tc>
      </w:tr>
      <w:tr>
        <w:trPr>
          <w:trHeight w:val="26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equity in net assets of nonconsolidated affiliates</w:t>
            </w:r>
          </w:p>
        </w:tc>
        <w:tc>
          <w:tcPr>
            <w:tcW w:w="560" w:type="dxa"/>
            <w:vAlign w:val="bottom"/>
          </w:tcPr>
          <w:p>
            <w:pPr>
              <w:jc w:val="right"/>
              <w:ind w:right="3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5,681</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7,102</w:t>
            </w:r>
          </w:p>
        </w:tc>
      </w:tr>
      <w:tr>
        <w:trPr>
          <w:trHeight w:val="20"/>
        </w:trPr>
        <w:tc>
          <w:tcPr>
            <w:tcW w:w="7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-43815</wp:posOffset>
            </wp:positionV>
            <wp:extent cx="197802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pacing w:after="0" w:line="22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carrying amount of our investments in certain joint ventures exceeded our share of the underlying net assets by $1.6 billion and $1.9 billion at December 31, 2025 and 2024, primarily due to goodwill from the application of fresh-start reporting and the purchase of additional interests in nonconsolidated affiliates.</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70"/>
          </w:cols>
          <w:pgMar w:left="990" w:top="447"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our direct ownership interests in our China JVs: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8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Automotive China JVs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SAIC General Motors Corp., Ltd. (SGM)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Pan Asia Technical Automotive Center Co., Ltd.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SAIC General Motors Sales Co., Ltd. (SGMS)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SAIC GM Wuling Automobile Co., Ltd. (SGMW)</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Shanghai OnStar Telematics Co., Ltd. (Shanghai OnStar)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40 %</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SAIC GM (Shenyang) Norsom Motors Co., Ltd. (SGM Norsom)</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SAIC GM Dong Yue Motors Co., Ltd. (SGM DY)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SAIC GM Dong Yue Powertrain Co., Ltd. (SGM DYPT)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Other joint ventures</w:t>
            </w: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SAIC-GMAC Automotive Finance Company Limited (SAIC-GMAC)</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SAIC-GMF Leasing Co., Ltd.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35 %</w:t>
            </w:r>
          </w:p>
        </w:tc>
      </w:tr>
    </w:tbl>
    <w:p>
      <w:pPr>
        <w:spacing w:after="0" w:line="277"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SGM is a joint venture we established with Shanghai Automotive Industry Corporation (SAIC) (50%). SGM has interests in three other joint ventures in China: SGM Norsom, SGM DY, and SGM DYPT. These three joint ventures are jointly held by SGM (50%), SAIC (25%), and us.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5"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and Restructuring Charges </w:t>
      </w:r>
      <w:r>
        <w:rPr>
          <w:rFonts w:ascii="Times New Roman" w:cs="Times New Roman" w:eastAsia="Times New Roman" w:hAnsi="Times New Roman"/>
          <w:sz w:val="20"/>
          <w:szCs w:val="20"/>
          <w:color w:val="auto"/>
        </w:rPr>
        <w:t>In response to intense competition in a market with significant excess capacity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increasingly challenging regulatory environment related to emissions, fuel consumption, and NEVs, we and our JV partners are restructuring our operations in China. Our Automotive China JVs generated an equity loss of $0.3 billion in the year ended December 31, 2025, which includes $0.6 billion of restructuring-related charges recorded by certain of the China JVs, and an equity loss of $4.4 billion in the year ended December 31, 2024, which includes $2.0 billion of restructuring-related charges and impairments recorded by certain of the China JVs and a $2.1 billion other-than-temporary impairment charge to write down certain of our automotive investments to their fair values. The charges recorded by the China JVs were primarily related to supplier claims in 2025 and asset impairments associated with plant closures and portfolio optimization actions in 2024. As a result of the market challenges and competitive conditions, GM Financial also recorded a $0.3 billion other-than-temporary impairment charge to write down its SAIC-GMAC investment to its fair value in the year ended December 31, 2024.</w:t>
      </w:r>
    </w:p>
    <w:p>
      <w:pPr>
        <w:spacing w:after="0" w:line="211"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In the year ended December 31, 2025, we recorded an insignificant amount of restructuring-related charges in equity income in connection with settlements associated with Ultium Cells Holdings LLC's strategic realignment of manufacturing and cell capacity to meet EV demand. Refer to Note 18 for information associated with commercial settlements with Ultium Cells Holdings LLC during the three months ended December 31, 2025.</w:t>
      </w:r>
    </w:p>
    <w:p>
      <w:pPr>
        <w:spacing w:after="0" w:line="195"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Measurements </w:t>
      </w:r>
      <w:r>
        <w:rPr>
          <w:rFonts w:ascii="Times New Roman" w:cs="Times New Roman" w:eastAsia="Times New Roman" w:hAnsi="Times New Roman"/>
          <w:sz w:val="20"/>
          <w:szCs w:val="20"/>
          <w:color w:val="auto"/>
        </w:rPr>
        <w:t>The investment balance for SGM, SGM Norsom, SGM DY, and SGM DYPT that was tested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impairment in the year ended December 31, 2024 was $2.4 billion, and the investment balance for SAIC-GMAC that was tested for impairment in the year ended December 31, 2024 was $1.5 billion.</w:t>
      </w:r>
    </w:p>
    <w:p>
      <w:pPr>
        <w:spacing w:after="0" w:line="192"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performing our impairment testing, we utilized a third-party valuation specialist to assist in determining the fair values of our investments in the China JVs based on their discounted cash flows (income approach). We made significant assumptions and estimates about the extent and timing of future cash flows, growth rates, market share, and discount rates that represent unobservable, Level 3, inputs into our valuation methodologies. Our fair value estimates assumed the achievement of the future financial results contemplated in our forecasted cash flows which is subject to significant uncertainties.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447" w:right="9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Summarized Financial Data of Nonconsolidated Affiliates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22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China JVs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China JVs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3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Summarized Balance Sheet Data</w:t>
            </w: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12,837</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8,685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21,522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11,203</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10,862</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22,065</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Non-current assets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10,936</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16,762</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6,518</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11,434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17,952</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18,663</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19,621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38,284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17,721</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22,296</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40,017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18,924</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6,036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24,960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17,076</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7,722</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24,798</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Non-current liabilities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1,559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2,374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887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2,562</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3,449</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19,739</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7,595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27,334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17,963</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28,247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99"/>
              </w:rPr>
              <w:t>279</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445"/>
        </w:trPr>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8"/>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Summarized Operating Data</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China JVs' net sales</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24,450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21,740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31,435</w:t>
            </w:r>
          </w:p>
        </w:tc>
        <w:tc>
          <w:tcPr>
            <w:tcW w:w="0" w:type="dxa"/>
            <w:vAlign w:val="bottom"/>
          </w:tcPr>
          <w:p>
            <w:pPr>
              <w:spacing w:after="0"/>
              <w:rPr>
                <w:sz w:val="1"/>
                <w:szCs w:val="1"/>
                <w:color w:val="auto"/>
              </w:rPr>
            </w:pPr>
          </w:p>
        </w:tc>
      </w:tr>
      <w:tr>
        <w:trPr>
          <w:trHeight w:val="290"/>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20"/>
                <w:szCs w:val="20"/>
                <w:color w:val="auto"/>
              </w:rPr>
              <w:t>Others' net sales</w:t>
            </w: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20"/>
                <w:szCs w:val="20"/>
                <w:color w:val="auto"/>
              </w:rPr>
              <w:t>4,764</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5,545</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4,311</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net sales</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29,214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27,285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35,746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9"/>
              </w:rPr>
              <w:t>Automotive China JVs' net income (loss)</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1,122</w:t>
            </w:r>
          </w:p>
        </w:tc>
        <w:tc>
          <w:tcPr>
            <w:tcW w:w="0" w:type="dxa"/>
            <w:vAlign w:val="bottom"/>
          </w:tcPr>
          <w:p>
            <w:pPr>
              <w:spacing w:after="0"/>
              <w:rPr>
                <w:sz w:val="1"/>
                <w:szCs w:val="1"/>
                <w:color w:val="auto"/>
              </w:rPr>
            </w:pPr>
          </w:p>
        </w:tc>
      </w:tr>
      <w:tr>
        <w:trPr>
          <w:trHeight w:val="290"/>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20"/>
                <w:szCs w:val="20"/>
                <w:color w:val="auto"/>
              </w:rPr>
              <w:t>Others' net income</w:t>
            </w: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989</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1,315</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771</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net income (loss)</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304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1,893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-2723515</wp:posOffset>
            </wp:positionV>
            <wp:extent cx="44354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6">
                      <a:extLst>
                        <a:ext uri="{28A0092B-C50C-407E-A947-70E740481C1C}"/>
                      </a:extLst>
                    </a:blip>
                    <a:srcRect/>
                    <a:stretch>
                      <a:fillRect/>
                    </a:stretch>
                  </pic:blipFill>
                  <pic:spPr bwMode="auto">
                    <a:xfrm>
                      <a:off x="0" y="0"/>
                      <a:ext cx="4435475" cy="5080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-2104390</wp:posOffset>
            </wp:positionV>
            <wp:extent cx="443547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7">
                      <a:extLst>
                        <a:ext uri="{28A0092B-C50C-407E-A947-70E740481C1C}"/>
                      </a:extLst>
                    </a:blip>
                    <a:srcRect/>
                    <a:stretch>
                      <a:fillRect/>
                    </a:stretch>
                  </pic:blipFill>
                  <pic:spPr bwMode="auto">
                    <a:xfrm>
                      <a:off x="0" y="0"/>
                      <a:ext cx="4435475" cy="508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-662940</wp:posOffset>
            </wp:positionV>
            <wp:extent cx="26066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8">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9">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Transactions with Nonconsolidated Affiliates </w:t>
      </w:r>
      <w:r>
        <w:rPr>
          <w:rFonts w:ascii="Times New Roman" w:cs="Times New Roman" w:eastAsia="Times New Roman" w:hAnsi="Times New Roman"/>
          <w:sz w:val="20"/>
          <w:szCs w:val="20"/>
          <w:color w:val="auto"/>
        </w:rPr>
        <w:t>Our nonconsolidated affiliates are involved in various aspects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production, and 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sales and revenue</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92</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209</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 purchases, net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5,853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4,875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2,766</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Dividends received</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2,144</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418</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1,018</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cash flows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w:t>
            </w: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Investing cash flows</w:t>
            </w:r>
          </w:p>
        </w:tc>
        <w:tc>
          <w:tcPr>
            <w:tcW w:w="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(739)</w:t>
            </w:r>
          </w:p>
        </w:tc>
      </w:tr>
      <w:tr>
        <w:trPr>
          <w:trHeight w:val="445"/>
        </w:trPr>
        <w:tc>
          <w:tcPr>
            <w:tcW w:w="61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Accounts, notes, and dividends receivable, net</w:t>
            </w:r>
          </w:p>
        </w:tc>
        <w:tc>
          <w:tcPr>
            <w:tcW w:w="3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1,056</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payable, accrued and other liabilities</w:t>
            </w:r>
          </w:p>
        </w:tc>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892</w:t>
            </w: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Undistributed earnings</w:t>
            </w:r>
          </w:p>
        </w:tc>
        <w:tc>
          <w:tcPr>
            <w:tcW w:w="3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2,781</w:t>
            </w: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Undistributed losses</w:t>
            </w:r>
          </w:p>
        </w:tc>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(2,775)</w:t>
            </w:r>
          </w:p>
        </w:tc>
      </w:tr>
    </w:tbl>
    <w:p>
      <w:pPr>
        <w:spacing w:after="0" w:line="200" w:lineRule="exact"/>
        <w:rPr>
          <w:sz w:val="20"/>
          <w:szCs w:val="20"/>
          <w:color w:val="auto"/>
        </w:rPr>
      </w:pP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447" w:right="980" w:bottom="0" w:gutter="0" w:footer="0" w:header="0"/>
          <w:type w:val="continuous"/>
        </w:sectPr>
      </w:pPr>
    </w:p>
    <w:bookmarkStart w:id="79" w:name="page80"/>
    <w:bookmarkEnd w:id="7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9. Property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Lives in</w:t>
            </w:r>
          </w:p>
        </w:tc>
        <w:tc>
          <w:tcPr>
            <w:tcW w:w="60" w:type="dxa"/>
            <w:vAlign w:val="bottom"/>
          </w:tcPr>
          <w:p>
            <w:pPr>
              <w:spacing w:after="0"/>
              <w:rPr>
                <w:sz w:val="13"/>
                <w:szCs w:val="13"/>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3"/>
                <w:szCs w:val="13"/>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58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Land</w:t>
            </w:r>
          </w:p>
        </w:tc>
        <w:tc>
          <w:tcPr>
            <w:tcW w:w="1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1,253</w:t>
            </w:r>
          </w:p>
        </w:tc>
        <w:tc>
          <w:tcPr>
            <w:tcW w:w="0" w:type="dxa"/>
            <w:vAlign w:val="bottom"/>
          </w:tcPr>
          <w:p>
            <w:pPr>
              <w:spacing w:after="0"/>
              <w:rPr>
                <w:sz w:val="1"/>
                <w:szCs w:val="1"/>
                <w:color w:val="auto"/>
              </w:rPr>
            </w:pPr>
          </w:p>
        </w:tc>
      </w:tr>
      <w:tr>
        <w:trPr>
          <w:trHeight w:val="293"/>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5-40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14,915</w:t>
            </w:r>
          </w:p>
        </w:tc>
        <w:tc>
          <w:tcPr>
            <w:tcW w:w="0" w:type="dxa"/>
            <w:vAlign w:val="bottom"/>
          </w:tcPr>
          <w:p>
            <w:pPr>
              <w:spacing w:after="0"/>
              <w:rPr>
                <w:sz w:val="1"/>
                <w:szCs w:val="1"/>
                <w:color w:val="auto"/>
              </w:rPr>
            </w:pPr>
          </w:p>
        </w:tc>
      </w:tr>
      <w:tr>
        <w:trPr>
          <w:trHeight w:val="307"/>
        </w:trPr>
        <w:tc>
          <w:tcPr>
            <w:tcW w:w="5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Machinery and equipment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3-27</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42,195</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39,575</w:t>
            </w:r>
          </w:p>
        </w:tc>
        <w:tc>
          <w:tcPr>
            <w:tcW w:w="0" w:type="dxa"/>
            <w:vAlign w:val="bottom"/>
          </w:tcPr>
          <w:p>
            <w:pPr>
              <w:spacing w:after="0"/>
              <w:rPr>
                <w:sz w:val="1"/>
                <w:szCs w:val="1"/>
                <w:color w:val="auto"/>
              </w:rPr>
            </w:pPr>
          </w:p>
        </w:tc>
      </w:tr>
      <w:tr>
        <w:trPr>
          <w:trHeight w:val="293"/>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Special tools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25,813</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2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8,982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0" w:type="dxa"/>
            <w:vAlign w:val="bottom"/>
          </w:tcPr>
          <w:p>
            <w:pPr>
              <w:spacing w:after="0"/>
              <w:rPr>
                <w:sz w:val="1"/>
                <w:szCs w:val="1"/>
                <w:color w:val="auto"/>
              </w:rPr>
            </w:pPr>
          </w:p>
        </w:tc>
      </w:tr>
      <w:tr>
        <w:trPr>
          <w:trHeight w:val="283"/>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property</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94,312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88,732</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2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(42,629)</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(36,828)</w:t>
            </w:r>
          </w:p>
        </w:tc>
        <w:tc>
          <w:tcPr>
            <w:tcW w:w="0" w:type="dxa"/>
            <w:vAlign w:val="bottom"/>
          </w:tcPr>
          <w:p>
            <w:pPr>
              <w:spacing w:after="0"/>
              <w:rPr>
                <w:sz w:val="1"/>
                <w:szCs w:val="1"/>
                <w:color w:val="auto"/>
              </w:rPr>
            </w:pPr>
          </w:p>
        </w:tc>
      </w:tr>
      <w:tr>
        <w:trPr>
          <w:trHeight w:val="260"/>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property, net</w:t>
            </w:r>
          </w:p>
        </w:tc>
        <w:tc>
          <w:tcPr>
            <w:tcW w:w="126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51,683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-43815</wp:posOffset>
            </wp:positionV>
            <wp:extent cx="19780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pacing w:after="0" w:line="22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amount of capitalized software included in Property, net was $2.2 billion and $2.3 billion at December 31, 2025 and 2024. The amount of interest capitalized and excluded from Automotive interest expense was $316 million, $215 million, and insignificant in the years ended December 31, 2025, 2024, and 2023.</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6,892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6,466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6,719</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Impairment charges(a)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2,543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115</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Capitalized software amortization expense(b)</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866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798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705</w:t>
            </w:r>
          </w:p>
        </w:tc>
      </w:tr>
    </w:tbl>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right="20" w:hanging="370"/>
        <w:spacing w:after="0" w:line="250"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impairment charges primarily related to our EV strategic realignment in the year ended December 31, 2025 and impairment charges primarily related to the indefinite delay of the Cruise Origin in the year end December 31, 2024.</w:t>
      </w:r>
    </w:p>
    <w:p>
      <w:pPr>
        <w:ind w:left="370" w:hanging="370"/>
        <w:spacing w:after="0"/>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and amortization expense.</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10. Goodwill and Intangible Assets</w:t>
      </w:r>
    </w:p>
    <w:p>
      <w:pPr>
        <w:spacing w:after="0" w:line="257" w:lineRule="exact"/>
        <w:rPr>
          <w:sz w:val="20"/>
          <w:szCs w:val="20"/>
          <w:color w:val="auto"/>
        </w:rPr>
      </w:pPr>
    </w:p>
    <w:p>
      <w:pPr>
        <w:jc w:val="both"/>
        <w:ind w:left="10" w:right="20" w:firstLine="180"/>
        <w:spacing w:after="0" w:line="255" w:lineRule="auto"/>
        <w:rPr>
          <w:sz w:val="20"/>
          <w:szCs w:val="20"/>
          <w:color w:val="auto"/>
        </w:rPr>
      </w:pPr>
      <w:r>
        <w:rPr>
          <w:rFonts w:ascii="Times New Roman" w:cs="Times New Roman" w:eastAsia="Times New Roman" w:hAnsi="Times New Roman"/>
          <w:sz w:val="20"/>
          <w:szCs w:val="20"/>
          <w:color w:val="auto"/>
        </w:rPr>
        <w:t>Goodwill of $1.9 billion consisted of $1.3 billion in GM Financial and $571 million in GMNA at December 31, 2025. Goodwill of $1.9 billion consisted of $1.3 billion in GM Financial and $569 million in Cruise at December 31, 2024. During the three months ended March 31, 2025, $571 million of goodwill recorded in the Cruise segment was reallocated to the GMNA segment. The reallocation of the goodwill reflects the wind down of the Cruise robotaxi operations and combination of the GM and Cruise technical efforts in our GMNA segment to build on the success of Super Cruise and prioritize the development of ADAS on a path to fully autonomous personal vehicles. We performed goodwill impairment tests prior to and after the reallocation and determined that the goodwill was not impaired.</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620" w:type="dxa"/>
            <w:vAlign w:val="bottom"/>
          </w:tcPr>
          <w:p>
            <w:pPr>
              <w:jc w:val="center"/>
              <w:ind w:right="124"/>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600" w:type="dxa"/>
            <w:vAlign w:val="bottom"/>
          </w:tcPr>
          <w:p>
            <w:pPr>
              <w:jc w:val="center"/>
              <w:ind w:right="144"/>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75"/>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Technology and intellectual property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79"/>
        </w:trPr>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Brands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0" w:type="dxa"/>
            <w:vAlign w:val="bottom"/>
          </w:tcPr>
          <w:p>
            <w:pPr>
              <w:spacing w:after="0"/>
              <w:rPr>
                <w:sz w:val="1"/>
                <w:szCs w:val="1"/>
                <w:color w:val="auto"/>
              </w:rPr>
            </w:pPr>
          </w:p>
        </w:tc>
      </w:tr>
      <w:tr>
        <w:trPr>
          <w:trHeight w:val="314"/>
        </w:trPr>
        <w:tc>
          <w:tcPr>
            <w:tcW w:w="4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Dealer network, customer relationships, and other</w:t>
            </w: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26"/>
        </w:trPr>
        <w:tc>
          <w:tcPr>
            <w:tcW w:w="422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Total intangible assets</w:t>
            </w:r>
          </w:p>
        </w:tc>
        <w:tc>
          <w:tcPr>
            <w:tcW w:w="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5,633</w:t>
            </w:r>
          </w:p>
        </w:tc>
        <w:tc>
          <w:tcPr>
            <w:tcW w:w="40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3,179</w:t>
            </w:r>
          </w:p>
        </w:tc>
        <w:tc>
          <w:tcPr>
            <w:tcW w:w="60" w:type="dxa"/>
            <w:vAlign w:val="bottom"/>
          </w:tcPr>
          <w:p>
            <w:pPr>
              <w:spacing w:after="0"/>
              <w:rPr>
                <w:sz w:val="19"/>
                <w:szCs w:val="19"/>
                <w:color w:val="auto"/>
              </w:rPr>
            </w:pP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line="227" w:lineRule="exact"/>
              <w:rPr>
                <w:sz w:val="20"/>
                <w:szCs w:val="20"/>
                <w:color w:val="auto"/>
              </w:rPr>
            </w:pPr>
            <w:r>
              <w:rPr>
                <w:rFonts w:ascii="Times New Roman" w:cs="Times New Roman" w:eastAsia="Times New Roman" w:hAnsi="Times New Roman"/>
                <w:sz w:val="20"/>
                <w:szCs w:val="20"/>
                <w:color w:val="auto"/>
              </w:rPr>
              <w:t>2,454</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5,799</w:t>
            </w:r>
          </w:p>
        </w:tc>
        <w:tc>
          <w:tcPr>
            <w:tcW w:w="400" w:type="dxa"/>
            <w:vAlign w:val="bottom"/>
            <w:gridSpan w:val="2"/>
          </w:tcPr>
          <w:p>
            <w:pPr>
              <w:ind w:left="140"/>
              <w:spacing w:after="0" w:line="227"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3,149</w:t>
            </w:r>
          </w:p>
        </w:tc>
        <w:tc>
          <w:tcPr>
            <w:tcW w:w="80" w:type="dxa"/>
            <w:vAlign w:val="bottom"/>
          </w:tcPr>
          <w:p>
            <w:pPr>
              <w:spacing w:after="0"/>
              <w:rPr>
                <w:sz w:val="19"/>
                <w:szCs w:val="19"/>
                <w:color w:val="auto"/>
              </w:rPr>
            </w:pP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2,649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-43815</wp:posOffset>
            </wp:positionV>
            <wp:extent cx="384492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1">
                      <a:extLst>
                        <a:ext uri="{28A0092B-C50C-407E-A947-70E740481C1C}"/>
                      </a:extLst>
                    </a:blip>
                    <a:srcRect/>
                    <a:stretch>
                      <a:fillRect/>
                    </a:stretch>
                  </pic:blipFill>
                  <pic:spPr bwMode="auto">
                    <a:xfrm>
                      <a:off x="0" y="0"/>
                      <a:ext cx="3844925" cy="50800"/>
                    </a:xfrm>
                    <a:prstGeom prst="rect">
                      <a:avLst/>
                    </a:prstGeom>
                    <a:noFill/>
                  </pic:spPr>
                </pic:pic>
              </a:graphicData>
            </a:graphic>
          </wp:anchor>
        </w:drawing>
      </w:r>
    </w:p>
    <w:p>
      <w:pPr>
        <w:spacing w:after="0" w:line="227" w:lineRule="exact"/>
        <w:rPr>
          <w:sz w:val="20"/>
          <w:szCs w:val="20"/>
          <w:color w:val="auto"/>
        </w:rPr>
      </w:pPr>
    </w:p>
    <w:p>
      <w:pPr>
        <w:jc w:val="both"/>
        <w:ind w:left="10" w:firstLine="180"/>
        <w:spacing w:after="0" w:line="261" w:lineRule="auto"/>
        <w:rPr>
          <w:sz w:val="20"/>
          <w:szCs w:val="20"/>
          <w:color w:val="auto"/>
        </w:rPr>
      </w:pPr>
      <w:r>
        <w:rPr>
          <w:rFonts w:ascii="Times New Roman" w:cs="Times New Roman" w:eastAsia="Times New Roman" w:hAnsi="Times New Roman"/>
          <w:sz w:val="20"/>
          <w:szCs w:val="20"/>
          <w:color w:val="auto"/>
        </w:rPr>
        <w:t>Our amortization expense related to intangible assets was $145 million, $146 million, and $114 million in the years ended December 31, 2025, 2024, and 2023. In the year ended December 31, 2025, we recorded an insignificant amount of impairment charges associated with our EV strategic realignment. In the year ended December 31, 2024, we recorded $142 million of impairment charges related to the write-off of technology and intellectual property associated with Cruise.</w:t>
      </w:r>
    </w:p>
    <w:p>
      <w:pPr>
        <w:spacing w:after="0" w:line="200"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Amortization expense related to intangible assets is estimated to be approximately $127 million in each of the next five years.</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70"/>
          </w:cols>
          <w:pgMar w:left="990" w:top="447" w:right="9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11. Variable Interest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Financing - GM Financial</w:t>
      </w:r>
    </w:p>
    <w:p>
      <w:pPr>
        <w:spacing w:after="0" w:line="135"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is required to hold certain funds in restricted cash accounts to provide additional collateral for borrowings under certain secured credit facilities.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SPEs are included in GM Financial's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the assets and liabilities related to GM Financial's consolidated VIEs: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9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current</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2,635</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2,410</w:t>
            </w:r>
          </w:p>
        </w:tc>
      </w:tr>
      <w:tr>
        <w:trPr>
          <w:trHeight w:val="30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non-current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30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xml:space="preserve">GM Financial receivables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current</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29,126</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27,631</w:t>
            </w:r>
          </w:p>
        </w:tc>
      </w:tr>
      <w:tr>
        <w:trPr>
          <w:trHeight w:val="30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GM Financial receivables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non-current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27,619</w:t>
            </w:r>
          </w:p>
        </w:tc>
      </w:tr>
      <w:tr>
        <w:trPr>
          <w:trHeight w:val="30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 equipment on operating leases, net</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13,791</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14,252</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 Financial short-term debt and current portion of long-term debt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17,681</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18,008</w:t>
            </w:r>
          </w:p>
        </w:tc>
      </w:tr>
      <w:tr>
        <w:trPr>
          <w:trHeight w:val="307"/>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 long-term debt</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29,232</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31,638</w:t>
            </w:r>
          </w:p>
        </w:tc>
      </w:tr>
    </w:tbl>
    <w:p>
      <w:pPr>
        <w:spacing w:after="0" w:line="27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Nonconsolidated VIEs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w:t>
      </w:r>
    </w:p>
    <w:p>
      <w:pPr>
        <w:spacing w:after="0" w:line="13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$3.6 billion and $4.3 billion and liabilities were insignificant related to our nonconsolidated VIEs at December 31, 2025 and 2024. Our maximum exposure to loss as a result of our involvement with these VIEs was $8.5 billion and $7.0 billion, inclusive of $4.0 billion and $2.3 billion in committed capital contributions to our battery cell manufacturing joint ventures, at December 31, 2025 and 2024. Our maximum exposure to loss, and required capital contributions, could vary depending on our battery cell joint ventures' requirements and access to capital. We currently lack the power through voting or similar rights to direct the activities of these entities that most significantly affect their economic performance.</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447" w:right="980" w:bottom="0" w:gutter="0" w:footer="0" w:header="0"/>
          <w:type w:val="continuous"/>
        </w:sectPr>
      </w:pPr>
    </w:p>
    <w:bookmarkStart w:id="81" w:name="page82"/>
    <w:bookmarkEnd w:id="8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0"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12. Accrued and Other Liabilities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4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7"/>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Dealer and customer allowances, claims, and discounts</w:t>
            </w:r>
          </w:p>
        </w:tc>
        <w:tc>
          <w:tcPr>
            <w:tcW w:w="5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6,485</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7,270</w:t>
            </w:r>
          </w:p>
        </w:tc>
      </w:tr>
      <w:tr>
        <w:trPr>
          <w:trHeight w:val="29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revenue</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r>
      <w:tr>
        <w:trPr>
          <w:trHeight w:val="307"/>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Product warranty and related liabilities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6,308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4,555</w:t>
            </w:r>
          </w:p>
        </w:tc>
      </w:tr>
      <w:tr>
        <w:trPr>
          <w:trHeight w:val="29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Payrolls and employee benefits excluding postemployment benefits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w:t>
            </w:r>
          </w:p>
        </w:tc>
      </w:tr>
      <w:tr>
        <w:trPr>
          <w:trHeight w:val="297"/>
        </w:trPr>
        <w:tc>
          <w:tcPr>
            <w:tcW w:w="7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Other(a)</w:t>
            </w: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14,361</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12,737</w:t>
            </w:r>
          </w:p>
        </w:tc>
      </w:tr>
      <w:tr>
        <w:trPr>
          <w:trHeight w:val="26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52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33,754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7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7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liabilities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7"/>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Deferred revenue</w:t>
            </w:r>
          </w:p>
        </w:tc>
        <w:tc>
          <w:tcPr>
            <w:tcW w:w="5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7,098</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5,940</w:t>
            </w:r>
          </w:p>
        </w:tc>
      </w:tr>
      <w:tr>
        <w:trPr>
          <w:trHeight w:val="29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 warranty and related liabilities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6,016</w:t>
            </w:r>
          </w:p>
        </w:tc>
      </w:tr>
      <w:tr>
        <w:trPr>
          <w:trHeight w:val="307"/>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961</w:t>
            </w:r>
          </w:p>
        </w:tc>
      </w:tr>
      <w:tr>
        <w:trPr>
          <w:trHeight w:val="29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Employee benefits excluding postemployment benefits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r>
      <w:tr>
        <w:trPr>
          <w:trHeight w:val="307"/>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Postemployment benefits including facility idling reserves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90"/>
        </w:trPr>
        <w:tc>
          <w:tcPr>
            <w:tcW w:w="7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Other(a)</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4,181</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4,265</w:t>
            </w:r>
          </w:p>
        </w:tc>
      </w:tr>
      <w:tr>
        <w:trPr>
          <w:trHeight w:val="28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other liabilities</w:t>
            </w:r>
          </w:p>
        </w:tc>
        <w:tc>
          <w:tcPr>
            <w:tcW w:w="5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21,151</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17,836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-1663065</wp:posOffset>
            </wp:positionV>
            <wp:extent cx="19780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2">
                      <a:extLst>
                        <a:ext uri="{28A0092B-C50C-407E-A947-70E740481C1C}"/>
                      </a:extLst>
                    </a:blip>
                    <a:srcRect/>
                    <a:stretch>
                      <a:fillRect/>
                    </a:stretch>
                  </pic:blipFill>
                  <pic:spPr bwMode="auto">
                    <a:xfrm>
                      <a:off x="0" y="0"/>
                      <a:ext cx="19780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-43815</wp:posOffset>
            </wp:positionV>
            <wp:extent cx="197802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3">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right="20" w:hanging="370"/>
        <w:spacing w:after="0" w:line="283"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product liability, breach of warranty, and other legal and environmental-related accruals of $3.6 billion and $3.4 billion at December 31, 2025 and 2024.</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Product warranty and related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9"/>
        </w:trPr>
        <w:tc>
          <w:tcPr>
            <w:tcW w:w="6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Warranty balance at beginning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10,571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9,295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8,530</w:t>
            </w: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Warranties issued and assumed in period – recall campaigns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997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864</w:t>
            </w:r>
          </w:p>
        </w:tc>
        <w:tc>
          <w:tcPr>
            <w:tcW w:w="0" w:type="dxa"/>
            <w:vAlign w:val="bottom"/>
          </w:tcPr>
          <w:p>
            <w:pPr>
              <w:spacing w:after="0"/>
              <w:rPr>
                <w:sz w:val="1"/>
                <w:szCs w:val="1"/>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Warranties issued and assumed in period – product warranty</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4,131</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3,621</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2,418</w:t>
            </w: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(4,009)</w:t>
            </w:r>
          </w:p>
        </w:tc>
        <w:tc>
          <w:tcPr>
            <w:tcW w:w="0" w:type="dxa"/>
            <w:vAlign w:val="bottom"/>
          </w:tcPr>
          <w:p>
            <w:pPr>
              <w:spacing w:after="0"/>
              <w:rPr>
                <w:sz w:val="1"/>
                <w:szCs w:val="1"/>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Adjustments to pre-existing warranties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3,252</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1,237</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1,462</w:t>
            </w:r>
          </w:p>
        </w:tc>
        <w:tc>
          <w:tcPr>
            <w:tcW w:w="0" w:type="dxa"/>
            <w:vAlign w:val="bottom"/>
          </w:tcPr>
          <w:p>
            <w:pPr>
              <w:spacing w:after="0"/>
              <w:rPr>
                <w:sz w:val="1"/>
                <w:szCs w:val="1"/>
                <w:color w:val="auto"/>
              </w:rPr>
            </w:pP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Effect of foreign currency and 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Warranty balance at end of period</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13,631</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10,571</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9,295</w:t>
            </w:r>
          </w:p>
        </w:tc>
        <w:tc>
          <w:tcPr>
            <w:tcW w:w="0" w:type="dxa"/>
            <w:vAlign w:val="bottom"/>
          </w:tcPr>
          <w:p>
            <w:pPr>
              <w:spacing w:after="0"/>
              <w:rPr>
                <w:sz w:val="1"/>
                <w:szCs w:val="1"/>
                <w:color w:val="auto"/>
              </w:rPr>
            </w:pP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Less: Supplier recoveries balance at end of period(a)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347</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646</w:t>
            </w:r>
          </w:p>
        </w:tc>
        <w:tc>
          <w:tcPr>
            <w:tcW w:w="0" w:type="dxa"/>
            <w:vAlign w:val="bottom"/>
          </w:tcPr>
          <w:p>
            <w:pPr>
              <w:spacing w:after="0"/>
              <w:rPr>
                <w:sz w:val="1"/>
                <w:szCs w:val="1"/>
                <w:color w:val="auto"/>
              </w:rPr>
            </w:pP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Warranty balance, net of supplier recoveries at end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13,284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10,133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8,649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-43815</wp:posOffset>
            </wp:positionV>
            <wp:extent cx="260667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supplier recoveries is recorded in Accounts and notes receivable, net of allowance and the non-current portion is recorded in Other assets.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Product warranty expense, net of recoveries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Warranties issued and assumed in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5,068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4,618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3,282</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Supplier recoveries accrued in period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r>
      <w:tr>
        <w:trPr>
          <w:trHeight w:val="296"/>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Adjustments and other</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3,314</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1,131</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1,493</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Warranty expense, net of supplier recoveries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7,866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5,452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4,778</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-43815</wp:posOffset>
            </wp:positionV>
            <wp:extent cx="26066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5">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For estimates related to reasonably possible losses in excess of amounts accrued for recall campaigns, refer to Note 16 for additional information.</w:t>
      </w:r>
    </w:p>
    <w:p>
      <w:pPr>
        <w:sectPr>
          <w:pgSz w:w="12240" w:h="15840" w:orient="portrait"/>
          <w:cols w:equalWidth="0" w:num="1">
            <w:col w:w="10270"/>
          </w:cols>
          <w:pgMar w:left="990" w:top="447" w:right="980" w:bottom="0" w:gutter="0" w:footer="0" w:header="0"/>
        </w:sectPr>
      </w:pPr>
    </w:p>
    <w:p>
      <w:pPr>
        <w:spacing w:after="0" w:line="9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70"/>
          </w:cols>
          <w:pgMar w:left="990" w:top="447" w:right="98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13. Debt</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table presents debt in our automotive operations: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8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9"/>
                <w:szCs w:val="19"/>
                <w:color w:val="auto"/>
              </w:rPr>
            </w:pPr>
          </w:p>
        </w:tc>
      </w:tr>
      <w:tr>
        <w:trPr>
          <w:trHeight w:val="235"/>
        </w:trPr>
        <w:tc>
          <w:tcPr>
            <w:tcW w:w="48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20"/>
                <w:szCs w:val="20"/>
                <w:color w:val="auto"/>
              </w:rPr>
            </w:pPr>
          </w:p>
        </w:tc>
      </w:tr>
      <w:tr>
        <w:trPr>
          <w:trHeight w:val="29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Secured debt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2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20" w:type="dxa"/>
            <w:vAlign w:val="bottom"/>
            <w:shd w:val="clear" w:color="auto" w:fill="CCEEFF"/>
          </w:tcPr>
          <w:p>
            <w:pPr>
              <w:spacing w:after="0"/>
              <w:rPr>
                <w:sz w:val="24"/>
                <w:szCs w:val="24"/>
                <w:color w:val="auto"/>
              </w:rPr>
            </w:pPr>
          </w:p>
        </w:tc>
      </w:tr>
      <w:tr>
        <w:trPr>
          <w:trHeight w:val="29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Unsecured debt(a)</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14,709</w:t>
            </w:r>
          </w:p>
        </w:tc>
        <w:tc>
          <w:tcPr>
            <w:tcW w:w="220" w:type="dxa"/>
            <w:vAlign w:val="bottom"/>
          </w:tcPr>
          <w:p>
            <w:pPr>
              <w:spacing w:after="0"/>
              <w:rPr>
                <w:sz w:val="24"/>
                <w:szCs w:val="24"/>
                <w:color w:val="auto"/>
              </w:rPr>
            </w:pPr>
          </w:p>
        </w:tc>
      </w:tr>
      <w:tr>
        <w:trPr>
          <w:trHeight w:val="297"/>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5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2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220" w:type="dxa"/>
            <w:vAlign w:val="bottom"/>
            <w:tcBorders>
              <w:bottom w:val="single" w:sz="8" w:color="auto"/>
            </w:tcBorders>
            <w:shd w:val="clear" w:color="auto" w:fill="CCEEFF"/>
          </w:tcPr>
          <w:p>
            <w:pPr>
              <w:spacing w:after="0"/>
              <w:rPr>
                <w:sz w:val="24"/>
                <w:szCs w:val="24"/>
                <w:color w:val="auto"/>
              </w:rPr>
            </w:pPr>
          </w:p>
        </w:tc>
      </w:tr>
      <w:tr>
        <w:trPr>
          <w:trHeight w:val="260"/>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automotive debt(b)</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16,213</w:t>
            </w:r>
          </w:p>
        </w:tc>
        <w:tc>
          <w:tcPr>
            <w:tcW w:w="22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15,204</w:t>
            </w:r>
          </w:p>
        </w:tc>
        <w:tc>
          <w:tcPr>
            <w:tcW w:w="220" w:type="dxa"/>
            <w:vAlign w:val="bottom"/>
          </w:tcPr>
          <w:p>
            <w:pPr>
              <w:spacing w:after="0"/>
              <w:rPr>
                <w:sz w:val="22"/>
                <w:szCs w:val="22"/>
                <w:color w:val="auto"/>
              </w:rPr>
            </w:pPr>
          </w:p>
        </w:tc>
      </w:tr>
      <w:tr>
        <w:trPr>
          <w:trHeight w:val="70"/>
        </w:trPr>
        <w:tc>
          <w:tcPr>
            <w:tcW w:w="4820" w:type="dxa"/>
            <w:vAlign w:val="bottom"/>
            <w:tcBorders>
              <w:bottom w:val="single" w:sz="8" w:color="CCEEFF"/>
            </w:tcBorders>
          </w:tcPr>
          <w:p>
            <w:pPr>
              <w:spacing w:after="0"/>
              <w:rPr>
                <w:sz w:val="5"/>
                <w:szCs w:val="5"/>
                <w:color w:val="auto"/>
              </w:rPr>
            </w:pPr>
          </w:p>
        </w:tc>
        <w:tc>
          <w:tcPr>
            <w:tcW w:w="5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r>
      <w:tr>
        <w:trPr>
          <w:trHeight w:val="293"/>
        </w:trPr>
        <w:tc>
          <w:tcPr>
            <w:tcW w:w="48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Fair value utilizing Level 1 inputs</w:t>
            </w:r>
          </w:p>
        </w:tc>
        <w:tc>
          <w:tcPr>
            <w:tcW w:w="5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15,065</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14,366</w:t>
            </w:r>
          </w:p>
        </w:tc>
        <w:tc>
          <w:tcPr>
            <w:tcW w:w="220" w:type="dxa"/>
            <w:vAlign w:val="bottom"/>
            <w:tcBorders>
              <w:top w:val="single" w:sz="8" w:color="CCEEFF"/>
            </w:tcBorders>
          </w:tcPr>
          <w:p>
            <w:pPr>
              <w:spacing w:after="0"/>
              <w:rPr>
                <w:sz w:val="24"/>
                <w:szCs w:val="24"/>
                <w:color w:val="auto"/>
              </w:rPr>
            </w:pPr>
          </w:p>
        </w:tc>
      </w:tr>
      <w:tr>
        <w:trPr>
          <w:trHeight w:val="30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Fair value utilizing Level 2 inputs</w:t>
            </w: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1,148</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20" w:type="dxa"/>
            <w:vAlign w:val="bottom"/>
            <w:shd w:val="clear" w:color="auto" w:fill="CCEEFF"/>
          </w:tcPr>
          <w:p>
            <w:pPr>
              <w:spacing w:after="0"/>
              <w:rPr>
                <w:sz w:val="24"/>
                <w:szCs w:val="24"/>
                <w:color w:val="auto"/>
              </w:rPr>
            </w:pPr>
          </w:p>
        </w:tc>
      </w:tr>
      <w:tr>
        <w:trPr>
          <w:trHeight w:val="75"/>
        </w:trPr>
        <w:tc>
          <w:tcPr>
            <w:tcW w:w="4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30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Available under credit facility agreements(c)</w:t>
            </w: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13,913</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13,793</w:t>
            </w:r>
          </w:p>
        </w:tc>
        <w:tc>
          <w:tcPr>
            <w:tcW w:w="220" w:type="dxa"/>
            <w:vAlign w:val="bottom"/>
            <w:shd w:val="clear" w:color="auto" w:fill="CCEEFF"/>
          </w:tcPr>
          <w:p>
            <w:pPr>
              <w:spacing w:after="0"/>
              <w:rPr>
                <w:sz w:val="24"/>
                <w:szCs w:val="24"/>
                <w:color w:val="auto"/>
              </w:rPr>
            </w:pPr>
          </w:p>
        </w:tc>
      </w:tr>
      <w:tr>
        <w:trPr>
          <w:trHeight w:val="293"/>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Weighted-average interest rate on outstanding short-term debt(d)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5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Weighted-average interest rate on outstanding long-term debt(d)</w:t>
            </w: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-1072515</wp:posOffset>
            </wp:positionV>
            <wp:extent cx="347345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6">
                      <a:extLst>
                        <a:ext uri="{28A0092B-C50C-407E-A947-70E740481C1C}"/>
                      </a:extLst>
                    </a:blip>
                    <a:srcRect/>
                    <a:stretch>
                      <a:fillRect/>
                    </a:stretch>
                  </pic:blipFill>
                  <pic:spPr bwMode="auto">
                    <a:xfrm>
                      <a:off x="0" y="0"/>
                      <a:ext cx="3473450" cy="50800"/>
                    </a:xfrm>
                    <a:prstGeom prst="rect">
                      <a:avLst/>
                    </a:prstGeom>
                    <a:noFill/>
                  </pic:spPr>
                </pic:pic>
              </a:graphicData>
            </a:graphic>
          </wp:anchor>
        </w:drawing>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senior notes.</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discount and debt issuance costs of $445 million and $439 million at December 31, 2025 and 2024.</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our 364-day, $2.0 billion facility allocated for exclusive use by GM Financial.</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coupon rates on debt denominated in various foreign currencies and interest free loans.</w:t>
      </w:r>
    </w:p>
    <w:p>
      <w:pPr>
        <w:spacing w:after="0" w:line="243"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195"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following table presents debt of GM Financial: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5"/>
        </w:trPr>
        <w:tc>
          <w:tcPr>
            <w:tcW w:w="48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90"/>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Secured debt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46,904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47,252</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49,573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49,753</w:t>
            </w:r>
          </w:p>
        </w:tc>
      </w:tr>
      <w:tr>
        <w:trPr>
          <w:trHeight w:val="290"/>
        </w:trPr>
        <w:tc>
          <w:tcPr>
            <w:tcW w:w="4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Unsecured debt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67,127</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68,607</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64,691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65,258</w:t>
            </w:r>
          </w:p>
        </w:tc>
      </w:tr>
      <w:tr>
        <w:trPr>
          <w:trHeight w:val="280"/>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GM Financial debt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114,031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115,860</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114,264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115,010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5"/>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00"/>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Fair value utilizing Level 2 inputs</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113,180</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112,941</w:t>
            </w:r>
          </w:p>
        </w:tc>
      </w:tr>
      <w:tr>
        <w:trPr>
          <w:trHeight w:val="287"/>
        </w:trPr>
        <w:tc>
          <w:tcPr>
            <w:tcW w:w="4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utilizing Level 3 inputs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2,679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-445135</wp:posOffset>
            </wp:positionV>
            <wp:extent cx="34829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7">
                      <a:extLst>
                        <a:ext uri="{28A0092B-C50C-407E-A947-70E740481C1C}"/>
                      </a:extLst>
                    </a:blip>
                    <a:srcRect/>
                    <a:stretch>
                      <a:fillRect/>
                    </a:stretch>
                  </pic:blipFill>
                  <pic:spPr bwMode="auto">
                    <a:xfrm>
                      <a:off x="0" y="0"/>
                      <a:ext cx="3482975" cy="50800"/>
                    </a:xfrm>
                    <a:prstGeom prst="rect">
                      <a:avLst/>
                    </a:prstGeom>
                    <a:noFill/>
                  </pic:spPr>
                </pic:pic>
              </a:graphicData>
            </a:graphic>
          </wp:anchor>
        </w:drawing>
      </w:r>
    </w:p>
    <w:p>
      <w:pPr>
        <w:spacing w:after="0" w:line="270" w:lineRule="exact"/>
        <w:rPr>
          <w:sz w:val="20"/>
          <w:szCs w:val="20"/>
          <w:color w:val="auto"/>
        </w:rPr>
      </w:pPr>
    </w:p>
    <w:p>
      <w:pPr>
        <w:jc w:val="both"/>
        <w:ind w:left="10" w:right="20" w:firstLine="180"/>
        <w:spacing w:after="0" w:line="254" w:lineRule="auto"/>
        <w:rPr>
          <w:sz w:val="20"/>
          <w:szCs w:val="20"/>
          <w:color w:val="auto"/>
        </w:rPr>
      </w:pPr>
      <w:r>
        <w:rPr>
          <w:rFonts w:ascii="Times New Roman" w:cs="Times New Roman" w:eastAsia="Times New Roman" w:hAnsi="Times New Roman"/>
          <w:sz w:val="20"/>
          <w:szCs w:val="20"/>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The weighted-average interest rate on secured debt was 4.92% at December 31, 2025. The revolving credit facilities have maturity dates ranging from 2026 to 2029 and securitization notes payable have maturity dates ranging from 2026 to 2037. At the end of the revolving period, if not renewed, the debt of revolving credit facilities will amortize over a defined period. In the year ended December 31, 2025, GM Financial renewed and upsized revolving credit facilities with total borrowing capacity of $27.8 billion and issued $19.6 billion in aggregate principal amount of securitization notes payable with an initial weighted-average interest rate of 4.65% and maturity dates ranging from 2026 to 2037.</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70"/>
          </w:cols>
          <w:pgMar w:left="990" w:top="447"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Unsecured debt consists of senior notes, credit facilities, and other unsecured debt. Senior notes outstanding at December 31, 2025 have maturity dates ranging from 2026 to 2035 and have a weighted-average interest rate of 4.41%. In the year ended December 31, 2025, GM Financial issued $10.6 billion in aggregate principal amount of senior notes with an initial weighted-average interest rate of 5.05% and maturity dates ranging from 2027 to 2035.</w:t>
      </w:r>
    </w:p>
    <w:p>
      <w:pPr>
        <w:spacing w:after="0" w:line="200"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Unsecured credit facilities and other unsecured debt have maturities of up to five years. The weighted-average interest rate on these credit facilities and other unsecured debt was 7.08% at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interest expense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727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846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911</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Automotive Financing - GM Financial interest expense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6,492</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6,030</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4,685</w:t>
            </w: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interest expense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7,219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6,876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5,596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8">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contractual maturities including finance leases at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6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663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35,143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35,806</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23,984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25,865</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1,623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18,253</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19,876</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13,135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14,216</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822</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10,298</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11,120</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10,528</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14,163</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24,691</w:t>
            </w:r>
          </w:p>
        </w:tc>
      </w:tr>
      <w:tr>
        <w:trPr>
          <w:trHeight w:val="280"/>
        </w:trPr>
        <w:tc>
          <w:tcPr>
            <w:tcW w:w="61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16,599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114,976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131,574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9">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Compliance with Debt Covenants </w:t>
      </w:r>
      <w:r>
        <w:rPr>
          <w:rFonts w:ascii="Times New Roman" w:cs="Times New Roman" w:eastAsia="Times New Roman" w:hAnsi="Times New Roman"/>
          <w:sz w:val="20"/>
          <w:szCs w:val="20"/>
          <w:color w:val="auto"/>
        </w:rPr>
        <w:t>Several of our loan facilities, including our revolving credit facilities, require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certain financial and 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its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2025.</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447" w:right="980" w:bottom="0" w:gutter="0" w:footer="0" w:header="0"/>
          <w:type w:val="continuous"/>
        </w:sectPr>
      </w:pPr>
    </w:p>
    <w:bookmarkStart w:id="84" w:name="page85"/>
    <w:bookmarkEnd w:id="8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0"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14. Derivative Financial Instruments</w:t>
      </w:r>
    </w:p>
    <w:p>
      <w:pPr>
        <w:spacing w:after="0" w:line="54" w:lineRule="exact"/>
        <w:rPr>
          <w:sz w:val="20"/>
          <w:szCs w:val="20"/>
          <w:color w:val="auto"/>
        </w:rPr>
      </w:pPr>
    </w:p>
    <w:p>
      <w:pPr>
        <w:ind w:left="10"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table presents the gross fair value amounts of derivative financial instruments and the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notional amounts in our automotive operations:</w:t>
      </w:r>
    </w:p>
    <w:p>
      <w:pPr>
        <w:spacing w:after="0" w:line="108"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0" w:type="dxa"/>
            <w:vAlign w:val="bottom"/>
          </w:tcPr>
          <w:p>
            <w:pPr>
              <w:spacing w:after="0"/>
              <w:rPr>
                <w:sz w:val="1"/>
                <w:szCs w:val="1"/>
                <w:color w:val="auto"/>
              </w:rPr>
            </w:pPr>
          </w:p>
        </w:tc>
      </w:tr>
      <w:tr>
        <w:trPr>
          <w:trHeight w:val="277"/>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Derivatives designated as hedges(a)</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Fair value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rate swaps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5,825</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93"/>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flow hedges(b)</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90"/>
        </w:trPr>
        <w:tc>
          <w:tcPr>
            <w:tcW w:w="3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Commodity contracts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1,243</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derivative financial instruments</w:t>
            </w:r>
          </w:p>
        </w:tc>
        <w:tc>
          <w:tcPr>
            <w:tcW w:w="8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14,244</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13,283</w:t>
            </w:r>
          </w:p>
        </w:tc>
        <w:tc>
          <w:tcPr>
            <w:tcW w:w="80" w:type="dxa"/>
            <w:vAlign w:val="bottom"/>
          </w:tcPr>
          <w:p>
            <w:pPr>
              <w:spacing w:after="0"/>
              <w:rPr>
                <w:sz w:val="24"/>
                <w:szCs w:val="24"/>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80" w:type="dxa"/>
            <w:vAlign w:val="bottom"/>
          </w:tcPr>
          <w:p>
            <w:pPr>
              <w:spacing w:after="0"/>
              <w:rPr>
                <w:sz w:val="24"/>
                <w:szCs w:val="24"/>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-43815</wp:posOffset>
            </wp:positionV>
            <wp:extent cx="371157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0">
                      <a:extLst>
                        <a:ext uri="{28A0092B-C50C-407E-A947-70E740481C1C}"/>
                      </a:extLst>
                    </a:blip>
                    <a:srcRect/>
                    <a:stretch>
                      <a:fillRect/>
                    </a:stretch>
                  </pic:blipFill>
                  <pic:spPr bwMode="auto">
                    <a:xfrm>
                      <a:off x="0" y="0"/>
                      <a:ext cx="37115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70" w:hanging="370"/>
        <w:spacing w:after="0" w:line="250" w:lineRule="auto"/>
        <w:tabs>
          <w:tab w:leader="none" w:pos="3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included in our consolidated income statements and consolidated statements of comprehensive income for the years ended December 31, 2025, 2024, and 2023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57" w:lineRule="auto"/>
        <w:tabs>
          <w:tab w:leader="none" w:pos="3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cash flow hedges recognized into Accumulated other comprehensive income (loss) on the consolidated statements of comprehensive income included a gain of $385 million for the year ended December 31, 2025 and an insignificant amount for the years ended 2024 and 2023. The effect of cash flow hedges reclassified from Accumulated other comprehensive income (loss) to the consolidated income statements were insignificant for the years ended December 31, 2025, 2024, and 2023. We expect to recognize $367 million in revenues and costs of goods sold over the next 12 months related to amounts included in Accumulated other comprehensive loss.</w:t>
      </w:r>
    </w:p>
    <w:p>
      <w:pPr>
        <w:spacing w:after="0" w:line="200" w:lineRule="exact"/>
        <w:rPr>
          <w:sz w:val="20"/>
          <w:szCs w:val="20"/>
          <w:color w:val="auto"/>
        </w:rPr>
      </w:pPr>
    </w:p>
    <w:p>
      <w:pPr>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fair value for Level 2 instruments was derived using the market approach based on observable market inputs including quoted prices of similar instruments and foreign exchange and interest rate forward curves.</w:t>
      </w:r>
    </w:p>
    <w:p>
      <w:pPr>
        <w:spacing w:after="0" w:line="178" w:lineRule="exact"/>
        <w:rPr>
          <w:sz w:val="20"/>
          <w:szCs w:val="20"/>
          <w:color w:val="auto"/>
        </w:rPr>
      </w:pPr>
    </w:p>
    <w:p>
      <w:pPr>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amounts were recorded in the consolidated balance sheets related to items designated and qualifying as hedged items in fair value hedging relationships: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Cumulative Amount of Fair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Cumulative Amount of Fair</w:t>
            </w:r>
          </w:p>
        </w:tc>
      </w:tr>
      <w:tr>
        <w:trPr>
          <w:trHeight w:val="190"/>
        </w:trPr>
        <w:tc>
          <w:tcPr>
            <w:tcW w:w="2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Value Hedging Adjustments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Value Hedging Adjustments</w:t>
            </w:r>
          </w:p>
        </w:tc>
      </w:tr>
      <w:tr>
        <w:trPr>
          <w:trHeight w:val="29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Short-term unsecured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Long-term unsecured debt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5,825</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20"/>
                <w:szCs w:val="20"/>
                <w:color w:val="auto"/>
              </w:rPr>
              <w:t>48</w:t>
            </w:r>
          </w:p>
        </w:tc>
      </w:tr>
      <w:tr>
        <w:trPr>
          <w:trHeight w:val="28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Automotive unsecured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20"/>
                <w:szCs w:val="20"/>
                <w:color w:val="auto"/>
              </w:rPr>
              <w:t>48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-43815</wp:posOffset>
            </wp:positionV>
            <wp:extent cx="474027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1">
                      <a:extLst>
                        <a:ext uri="{28A0092B-C50C-407E-A947-70E740481C1C}"/>
                      </a:extLst>
                    </a:blip>
                    <a:srcRect/>
                    <a:stretch>
                      <a:fillRect/>
                    </a:stretch>
                  </pic:blipFill>
                  <pic:spPr bwMode="auto">
                    <a:xfrm>
                      <a:off x="0" y="0"/>
                      <a:ext cx="4740275" cy="50800"/>
                    </a:xfrm>
                    <a:prstGeom prst="rect">
                      <a:avLst/>
                    </a:prstGeom>
                    <a:noFill/>
                  </pic:spPr>
                </pic:pic>
              </a:graphicData>
            </a:graphic>
          </wp:anchor>
        </w:drawing>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70"/>
          </w:cols>
          <w:pgMar w:left="990" w:top="447" w:right="980" w:bottom="0" w:gutter="0" w:footer="0" w:header="0"/>
          <w:type w:val="continuous"/>
        </w:sectPr>
      </w:pPr>
    </w:p>
    <w:bookmarkStart w:id="85" w:name="page86"/>
    <w:bookmarkEnd w:id="8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ind w:left="10"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following table presents the gross fair value amounts of GM Financial's derivative financial instruments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associated notional amounts:</w:t>
      </w:r>
    </w:p>
    <w:p>
      <w:pPr>
        <w:spacing w:after="0" w:line="10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vMerge w:val="restart"/>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vMerge w:val="restart"/>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0" w:type="dxa"/>
            <w:vAlign w:val="bottom"/>
          </w:tcPr>
          <w:p>
            <w:pPr>
              <w:spacing w:after="0"/>
              <w:rPr>
                <w:sz w:val="1"/>
                <w:szCs w:val="1"/>
                <w:color w:val="auto"/>
              </w:rPr>
            </w:pPr>
          </w:p>
        </w:tc>
      </w:tr>
      <w:tr>
        <w:trPr>
          <w:trHeight w:val="277"/>
        </w:trPr>
        <w:tc>
          <w:tcPr>
            <w:tcW w:w="3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Derivatives designated as hedges(a)</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Interest rate swaps(b)</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33,880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36,145</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621</w:t>
            </w:r>
          </w:p>
        </w:tc>
        <w:tc>
          <w:tcPr>
            <w:tcW w:w="0" w:type="dxa"/>
            <w:vAlign w:val="bottom"/>
          </w:tcPr>
          <w:p>
            <w:pPr>
              <w:spacing w:after="0"/>
              <w:rPr>
                <w:sz w:val="1"/>
                <w:szCs w:val="1"/>
                <w:color w:val="auto"/>
              </w:rPr>
            </w:pPr>
          </w:p>
        </w:tc>
      </w:tr>
      <w:tr>
        <w:trPr>
          <w:trHeight w:val="293"/>
        </w:trPr>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flow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Interest rate swaps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93"/>
        </w:trPr>
        <w:tc>
          <w:tcPr>
            <w:tcW w:w="3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Foreign currency swaps(c)</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508</w:t>
            </w:r>
          </w:p>
        </w:tc>
        <w:tc>
          <w:tcPr>
            <w:tcW w:w="0" w:type="dxa"/>
            <w:vAlign w:val="bottom"/>
          </w:tcPr>
          <w:p>
            <w:pPr>
              <w:spacing w:after="0"/>
              <w:rPr>
                <w:sz w:val="1"/>
                <w:szCs w:val="1"/>
                <w:color w:val="auto"/>
              </w:rPr>
            </w:pPr>
          </w:p>
        </w:tc>
      </w:tr>
      <w:tr>
        <w:trPr>
          <w:trHeight w:val="307"/>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Derivatives not designated as hedges(a)</w:t>
            </w: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Interest rate contracts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122,505</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637</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123,346</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1,294</w:t>
            </w:r>
          </w:p>
        </w:tc>
        <w:tc>
          <w:tcPr>
            <w:tcW w:w="0" w:type="dxa"/>
            <w:vAlign w:val="bottom"/>
          </w:tcPr>
          <w:p>
            <w:pPr>
              <w:spacing w:after="0"/>
              <w:rPr>
                <w:sz w:val="1"/>
                <w:szCs w:val="1"/>
                <w:color w:val="auto"/>
              </w:rPr>
            </w:pPr>
          </w:p>
        </w:tc>
      </w:tr>
      <w:tr>
        <w:trPr>
          <w:trHeight w:val="28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derivative financial instruments(d)</w:t>
            </w:r>
          </w:p>
        </w:tc>
        <w:tc>
          <w:tcPr>
            <w:tcW w:w="8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167,913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169,727</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2,427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-43815</wp:posOffset>
            </wp:positionV>
            <wp:extent cx="371157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2">
                      <a:extLst>
                        <a:ext uri="{28A0092B-C50C-407E-A947-70E740481C1C}"/>
                      </a:extLst>
                    </a:blip>
                    <a:srcRect/>
                    <a:stretch>
                      <a:fillRect/>
                    </a:stretch>
                  </pic:blipFill>
                  <pic:spPr bwMode="auto">
                    <a:xfrm>
                      <a:off x="0" y="0"/>
                      <a:ext cx="37115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70" w:hanging="370"/>
        <w:spacing w:after="0" w:line="250" w:lineRule="auto"/>
        <w:tabs>
          <w:tab w:leader="none" w:pos="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included in our consolidated income statements and statements of comprehensive income for the years ended December 31, 2025</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2024, and 2023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Times New Roman" w:cs="Times New Roman" w:eastAsia="Times New Roman" w:hAnsi="Times New Roman"/>
          <w:sz w:val="18"/>
          <w:szCs w:val="18"/>
          <w:color w:val="auto"/>
        </w:rPr>
      </w:pPr>
    </w:p>
    <w:p>
      <w:pPr>
        <w:ind w:left="370" w:hanging="370"/>
        <w:spacing w:after="0" w:line="250" w:lineRule="auto"/>
        <w:tabs>
          <w:tab w:leader="none" w:pos="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fair value hedges in the consolidated income statements include losses of $210 million, $200 million, and an insignificant amount for the years ended December 31, 2025</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2024, and 2023.</w:t>
      </w:r>
    </w:p>
    <w:p>
      <w:pPr>
        <w:jc w:val="both"/>
        <w:ind w:left="370" w:hanging="370"/>
        <w:spacing w:after="0" w:line="250" w:lineRule="auto"/>
        <w:tabs>
          <w:tab w:leader="none" w:pos="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foreign currency cash flow hedges in the consolidated statements of comprehensive income include gains of $538 million, losses of $375 million, and an insignificant amount recognized in Accumulated other comprehensive loss and gains of $649 million, losses of $422 million, and an insignificant amount reclassified from Accumulated other comprehensive loss into income for the years ended December 31, 2025, 2024, and 2023. All amounts reclassified from Accumulated other comprehensive loss were recorded to GM Financial interest, operating, and other expenses in the consolidated income statements. During the next 12 months, we expect an insignificant amount of gains will be reclassified into pre-tax earnings from foreign currency cash flow hedges designated for hedge accounting.</w:t>
      </w:r>
    </w:p>
    <w:p>
      <w:pPr>
        <w:spacing w:after="0" w:line="2" w:lineRule="exact"/>
        <w:rPr>
          <w:rFonts w:ascii="Times New Roman" w:cs="Times New Roman" w:eastAsia="Times New Roman" w:hAnsi="Times New Roman"/>
          <w:sz w:val="18"/>
          <w:szCs w:val="18"/>
          <w:color w:val="auto"/>
        </w:rPr>
      </w:pPr>
    </w:p>
    <w:p>
      <w:pPr>
        <w:jc w:val="both"/>
        <w:ind w:left="370" w:hanging="370"/>
        <w:spacing w:after="0" w:line="261" w:lineRule="auto"/>
        <w:tabs>
          <w:tab w:leader="none" w:pos="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derivative instruments that are classified as assets or liabilities available for offset was $520 million and $693 million at December 31, 2025 and 2024. GM Financial held an insignificant amount and $190 million of collateral from counterparties available for netting against GM Financial's asset positions, and posted $615 million and $1.2 billion of collateral to counterparties available for netting against GM Financial's liability positions at December 31, 2025 and 2024.</w:t>
      </w:r>
    </w:p>
    <w:p>
      <w:pPr>
        <w:spacing w:after="0" w:line="197" w:lineRule="exact"/>
        <w:rPr>
          <w:sz w:val="20"/>
          <w:szCs w:val="20"/>
          <w:color w:val="auto"/>
        </w:rPr>
      </w:pPr>
    </w:p>
    <w:p>
      <w:pPr>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fair value for Level 2 instruments was derived using the market approach based on observable market inputs including quoted prices of similar instruments and foreign exchange and interest rate forward curves.</w:t>
      </w:r>
    </w:p>
    <w:p>
      <w:pPr>
        <w:spacing w:after="0" w:line="178" w:lineRule="exact"/>
        <w:rPr>
          <w:sz w:val="20"/>
          <w:szCs w:val="20"/>
          <w:color w:val="auto"/>
        </w:rPr>
      </w:pPr>
    </w:p>
    <w:p>
      <w:pPr>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amounts were recorded in the consolidated balance sheets related to items designated and qualifying as hedged items in fair value hedging relationships: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108"/>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Cumulative Amount of Fair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Cumulative Amount of Fair</w:t>
            </w:r>
          </w:p>
        </w:tc>
      </w:tr>
      <w:tr>
        <w:trPr>
          <w:trHeight w:val="190"/>
        </w:trPr>
        <w:tc>
          <w:tcPr>
            <w:tcW w:w="2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r>
      <w:tr>
        <w:trPr>
          <w:trHeight w:val="29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Short-term unsecured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6,406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90"/>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Long-term unsecured debt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30,554</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30,258</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8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 unsecured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35,187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36,664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-43815</wp:posOffset>
            </wp:positionV>
            <wp:extent cx="474027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3">
                      <a:extLst>
                        <a:ext uri="{28A0092B-C50C-407E-A947-70E740481C1C}"/>
                      </a:extLst>
                    </a:blip>
                    <a:srcRect/>
                    <a:stretch>
                      <a:fillRect/>
                    </a:stretch>
                  </pic:blipFill>
                  <pic:spPr bwMode="auto">
                    <a:xfrm>
                      <a:off x="0" y="0"/>
                      <a:ext cx="47402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line="283" w:lineRule="auto"/>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$428 million and $719 million of unamortized losses remaining on hedged items for which hedge accounting has been discontinued at December 31, 2025 and 2024.</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15. Pensions and Other Postretirement Benefits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Employee Pension and Other Postretirement Benefit Plans</w:t>
      </w:r>
    </w:p>
    <w:p>
      <w:pPr>
        <w:spacing w:after="0" w:line="252" w:lineRule="exact"/>
        <w:rPr>
          <w:sz w:val="20"/>
          <w:szCs w:val="20"/>
          <w:color w:val="auto"/>
        </w:rPr>
      </w:pPr>
    </w:p>
    <w:p>
      <w:pPr>
        <w:ind w:left="10" w:right="20"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Benefit Pension Plans </w:t>
      </w:r>
      <w:r>
        <w:rPr>
          <w:rFonts w:ascii="Times New Roman" w:cs="Times New Roman" w:eastAsia="Times New Roman" w:hAnsi="Times New Roman"/>
          <w:sz w:val="20"/>
          <w:szCs w:val="20"/>
          <w:color w:val="auto"/>
        </w:rPr>
        <w:t>Defined benefit pension plans covering eligible U.S. hourly employees (hired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October 2007) and Canadian hourly employees (hired prior to October 2016) generally provide benefits of negotiated, stated</w:t>
      </w:r>
    </w:p>
    <w:p>
      <w:pPr>
        <w:sectPr>
          <w:pgSz w:w="12240" w:h="15840" w:orient="portrait"/>
          <w:cols w:equalWidth="0" w:num="1">
            <w:col w:w="10270"/>
          </w:cols>
          <w:pgMar w:left="990" w:top="447" w:right="980" w:bottom="0" w:gutter="0" w:footer="0" w:header="0"/>
        </w:sectPr>
      </w:pPr>
    </w:p>
    <w:p>
      <w:pPr>
        <w:spacing w:after="0" w:line="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70"/>
          </w:cols>
          <w:pgMar w:left="990" w:top="447"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02"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The funding policy for qualified defined benefit pension plans is to contribute annually not less than the minimum required by applicable laws and regulations or to directly pay benefit payments where appropriate. In the year ended December 31, 2025, all legal funding requirements were met. The following table summarizes contributions made to the defined benefit pension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hourly and salaried</w:t>
            </w:r>
          </w:p>
        </w:tc>
        <w:tc>
          <w:tcPr>
            <w:tcW w:w="880" w:type="dxa"/>
            <w:vAlign w:val="bottom"/>
            <w:shd w:val="clear" w:color="auto" w:fill="CCEEFF"/>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526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357</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395</w:t>
            </w: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880" w:type="dxa"/>
            <w:vAlign w:val="bottom"/>
            <w:shd w:val="clear" w:color="auto" w:fill="CCEEFF"/>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201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1,179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753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We expect to make insignificant contributions to our U.S. pension plans and up to $390 million in contributions to our non-U.S. pension plans in 2026.</w:t>
      </w:r>
    </w:p>
    <w:p>
      <w:pPr>
        <w:spacing w:after="0" w:line="17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Postretirement Benefit Plans </w:t>
      </w:r>
      <w:r>
        <w:rPr>
          <w:rFonts w:ascii="Times New Roman" w:cs="Times New Roman" w:eastAsia="Times New Roman" w:hAnsi="Times New Roman"/>
          <w:sz w:val="20"/>
          <w:szCs w:val="20"/>
          <w:color w:val="auto"/>
        </w:rPr>
        <w:t>Certain hourly and salaried defined benefit plans provide postretirement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dental, legal service, and life 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$286 million, $285 million, and $295 million in the years ended December 31, 2025, 2024, and 2023. Plan participants' contributions were insignificant in the years ended December 31, 2025, 2024, and 2023.</w:t>
      </w:r>
    </w:p>
    <w:p>
      <w:pPr>
        <w:spacing w:after="0" w:line="197"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Contribution Plans </w:t>
      </w:r>
      <w:r>
        <w:rPr>
          <w:rFonts w:ascii="Times New Roman" w:cs="Times New Roman" w:eastAsia="Times New Roman" w:hAnsi="Times New Roman"/>
          <w:sz w:val="20"/>
          <w:szCs w:val="20"/>
          <w:color w:val="auto"/>
        </w:rPr>
        <w:t>We have defined contribution plans for eligible U.S. salaried and hourly employees that provide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discretionary matching contributions. Contributions are also made to certain non-U.S. defined contribution plans. We made contributions to our defined contribution plans of $915 million, $908 million, and $742 million in the years ended December 31, 2025, 2024,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Plan Amendments, Benefit Modifications, and Related Events</w:t>
      </w:r>
    </w:p>
    <w:p>
      <w:pPr>
        <w:spacing w:after="0" w:line="252"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Remeasurements </w:t>
      </w:r>
      <w:r>
        <w:rPr>
          <w:rFonts w:ascii="Times New Roman" w:cs="Times New Roman" w:eastAsia="Times New Roman" w:hAnsi="Times New Roman"/>
          <w:sz w:val="20"/>
          <w:szCs w:val="20"/>
          <w:color w:val="auto"/>
        </w:rPr>
        <w:t>As part of our collective bargaining agreement with the UAW in 2023, we amended the U.S. Hourly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Pension Plan to increase the monthly basic benefit by $5.00 a month for active plan members and to provide an annual contribution of $500 to eligible retirees and surviving spouses for the duration of the contract. These changes increased our pension obligation by $791 million for the year ended December 31, 2023.</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the three months ended December 31, 2024, we completed a $699 million annuity purchase for salaried retirees in the U.S.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resulted in an insignificant non-operating pension settlement.</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447"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6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Pension and OPEB Obligations and Plan Assets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4"/>
          </w:tcPr>
          <w:p>
            <w:pPr>
              <w:jc w:val="right"/>
              <w:ind w:right="250"/>
              <w:spacing w:after="0" w:line="181" w:lineRule="exact"/>
              <w:rPr>
                <w:sz w:val="20"/>
                <w:szCs w:val="20"/>
                <w:color w:val="auto"/>
              </w:rPr>
            </w:pPr>
            <w:r>
              <w:rPr>
                <w:rFonts w:ascii="Times New Roman" w:cs="Times New Roman" w:eastAsia="Times New Roman" w:hAnsi="Times New Roman"/>
                <w:sz w:val="16"/>
                <w:szCs w:val="16"/>
                <w:b w:val="1"/>
                <w:bCs w:val="1"/>
                <w:color w:val="auto"/>
              </w:rPr>
              <w:t>Pension Benefits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250"/>
              <w:spacing w:after="0" w:line="181" w:lineRule="exact"/>
              <w:rPr>
                <w:sz w:val="20"/>
                <w:szCs w:val="20"/>
                <w:color w:val="auto"/>
              </w:rPr>
            </w:pPr>
            <w:r>
              <w:rPr>
                <w:rFonts w:ascii="Times New Roman" w:cs="Times New Roman" w:eastAsia="Times New Roman" w:hAnsi="Times New Roman"/>
                <w:sz w:val="16"/>
                <w:szCs w:val="16"/>
                <w:b w:val="1"/>
                <w:bCs w:val="1"/>
                <w:color w:val="auto"/>
              </w:rPr>
              <w:t>Pension Benefits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51"/>
              <w:spacing w:after="0" w:line="181"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0" w:type="dxa"/>
            <w:vAlign w:val="bottom"/>
          </w:tcPr>
          <w:p>
            <w:pPr>
              <w:spacing w:after="0"/>
              <w:rPr>
                <w:sz w:val="1"/>
                <w:szCs w:val="1"/>
                <w:color w:val="auto"/>
              </w:rPr>
            </w:pPr>
          </w:p>
        </w:tc>
      </w:tr>
      <w:tr>
        <w:trPr>
          <w:trHeight w:val="54"/>
        </w:trPr>
        <w:tc>
          <w:tcPr>
            <w:tcW w:w="48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jc w:val="center"/>
              <w:ind w:right="51"/>
              <w:spacing w:after="0" w:line="125" w:lineRule="exact"/>
              <w:rPr>
                <w:sz w:val="20"/>
                <w:szCs w:val="20"/>
                <w:color w:val="auto"/>
              </w:rPr>
            </w:pPr>
            <w:r>
              <w:rPr>
                <w:rFonts w:ascii="Times New Roman" w:cs="Times New Roman" w:eastAsia="Times New Roman" w:hAnsi="Times New Roman"/>
                <w:sz w:val="14"/>
                <w:szCs w:val="14"/>
                <w:b w:val="1"/>
                <w:bCs w:val="1"/>
                <w:color w:val="auto"/>
              </w:rPr>
              <w:t>OPEB</w:t>
            </w: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restart"/>
          </w:tcPr>
          <w:p>
            <w:pPr>
              <w:jc w:val="center"/>
              <w:ind w:right="71"/>
              <w:spacing w:after="0" w:line="125" w:lineRule="exact"/>
              <w:rPr>
                <w:sz w:val="20"/>
                <w:szCs w:val="20"/>
                <w:color w:val="auto"/>
              </w:rPr>
            </w:pPr>
            <w:r>
              <w:rPr>
                <w:rFonts w:ascii="Times New Roman" w:cs="Times New Roman" w:eastAsia="Times New Roman" w:hAnsi="Times New Roman"/>
                <w:sz w:val="14"/>
                <w:szCs w:val="14"/>
                <w:b w:val="1"/>
                <w:bCs w:val="1"/>
                <w:color w:val="auto"/>
              </w:rPr>
              <w:t>OPEB</w:t>
            </w:r>
          </w:p>
        </w:tc>
        <w:tc>
          <w:tcPr>
            <w:tcW w:w="0" w:type="dxa"/>
            <w:vAlign w:val="bottom"/>
          </w:tcPr>
          <w:p>
            <w:pPr>
              <w:spacing w:after="0"/>
              <w:rPr>
                <w:sz w:val="1"/>
                <w:szCs w:val="1"/>
                <w:color w:val="auto"/>
              </w:rPr>
            </w:pPr>
          </w:p>
        </w:tc>
      </w:tr>
      <w:tr>
        <w:trPr>
          <w:trHeight w:val="51"/>
        </w:trPr>
        <w:tc>
          <w:tcPr>
            <w:tcW w:w="4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4"/>
                <w:szCs w:val="4"/>
                <w:color w:val="auto"/>
              </w:rPr>
            </w:pPr>
          </w:p>
        </w:tc>
        <w:tc>
          <w:tcPr>
            <w:tcW w:w="8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4"/>
                <w:szCs w:val="4"/>
                <w:color w:val="auto"/>
              </w:rPr>
            </w:pPr>
          </w:p>
        </w:tc>
        <w:tc>
          <w:tcPr>
            <w:tcW w:w="8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Plans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0" w:type="dxa"/>
            <w:vAlign w:val="bottom"/>
          </w:tcPr>
          <w:p>
            <w:pPr>
              <w:spacing w:after="0"/>
              <w:rPr>
                <w:sz w:val="1"/>
                <w:szCs w:val="1"/>
                <w:color w:val="auto"/>
              </w:rPr>
            </w:pPr>
          </w:p>
        </w:tc>
      </w:tr>
      <w:tr>
        <w:trPr>
          <w:trHeight w:val="28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Change in benefit obligations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Beginning benefit obligation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9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Service cost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Interest cost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9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Actuarial (gains) losses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9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Benefits paid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30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90"/>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Curtailments, settlements, and other</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98"/>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Ending benefit obligation</w:t>
            </w: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65"/>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Beginning fair value of plan assets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4"/>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Employer contributions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94"/>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Benefits paid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30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Settlements and other</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99"/>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Ending fair value of plan assets</w:t>
            </w: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Ending funded status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rPr>
              <w:t>Amounts recorded in the consolidated balance sheets</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90"/>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Non-current liabilities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8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Net amount recorded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60"/>
              <w:spacing w:after="0" w:line="177" w:lineRule="exact"/>
              <w:rPr>
                <w:sz w:val="20"/>
                <w:szCs w:val="20"/>
                <w:color w:val="auto"/>
              </w:rPr>
            </w:pPr>
            <w:r>
              <w:rPr>
                <w:rFonts w:ascii="Times New Roman" w:cs="Times New Roman" w:eastAsia="Times New Roman" w:hAnsi="Times New Roman"/>
                <w:sz w:val="20"/>
                <w:szCs w:val="20"/>
                <w:b w:val="1"/>
                <w:bCs w:val="1"/>
                <w:color w:val="auto"/>
              </w:rPr>
              <w:t>Amounts recorded in Accumulated other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Net actuarial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90"/>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Net prior service (cost) credit</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Total recorded in Accumulated 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(3,937)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(2,576)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(4,700)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(2,359)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(157)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-1863090</wp:posOffset>
            </wp:positionV>
            <wp:extent cx="344487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5">
                      <a:extLst>
                        <a:ext uri="{28A0092B-C50C-407E-A947-70E740481C1C}"/>
                      </a:extLst>
                    </a:blip>
                    <a:srcRect/>
                    <a:stretch>
                      <a:fillRect/>
                    </a:stretch>
                  </pic:blipFill>
                  <pic:spPr bwMode="auto">
                    <a:xfrm>
                      <a:off x="0" y="0"/>
                      <a:ext cx="3444875" cy="508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-910590</wp:posOffset>
            </wp:positionV>
            <wp:extent cx="344487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6">
                      <a:extLst>
                        <a:ext uri="{28A0092B-C50C-407E-A947-70E740481C1C}"/>
                      </a:extLst>
                    </a:blip>
                    <a:srcRect/>
                    <a:stretch>
                      <a:fillRect/>
                    </a:stretch>
                  </pic:blipFill>
                  <pic:spPr bwMode="auto">
                    <a:xfrm>
                      <a:off x="0" y="0"/>
                      <a:ext cx="3444875" cy="508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-43815</wp:posOffset>
            </wp:positionV>
            <wp:extent cx="344487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7">
                      <a:extLst>
                        <a:ext uri="{28A0092B-C50C-407E-A947-70E740481C1C}"/>
                      </a:extLst>
                    </a:blip>
                    <a:srcRect/>
                    <a:stretch>
                      <a:fillRect/>
                    </a:stretch>
                  </pic:blipFill>
                  <pic:spPr bwMode="auto">
                    <a:xfrm>
                      <a:off x="0" y="0"/>
                      <a:ext cx="3444875" cy="50800"/>
                    </a:xfrm>
                    <a:prstGeom prst="rect">
                      <a:avLst/>
                    </a:prstGeom>
                    <a:noFill/>
                  </pic:spPr>
                </pic:pic>
              </a:graphicData>
            </a:graphic>
          </wp:anchor>
        </w:drawing>
      </w:r>
    </w:p>
    <w:p>
      <w:pPr>
        <w:spacing w:after="0" w:line="227" w:lineRule="exact"/>
        <w:rPr>
          <w:sz w:val="20"/>
          <w:szCs w:val="20"/>
          <w:color w:val="auto"/>
        </w:rPr>
      </w:pPr>
    </w:p>
    <w:p>
      <w:pPr>
        <w:jc w:val="both"/>
        <w:ind w:firstLine="180"/>
        <w:spacing w:after="0" w:line="283" w:lineRule="auto"/>
        <w:rPr>
          <w:sz w:val="20"/>
          <w:szCs w:val="20"/>
          <w:color w:val="auto"/>
        </w:rPr>
      </w:pPr>
      <w:r>
        <w:rPr>
          <w:rFonts w:ascii="Times New Roman" w:cs="Times New Roman" w:eastAsia="Times New Roman" w:hAnsi="Times New Roman"/>
          <w:sz w:val="20"/>
          <w:szCs w:val="20"/>
          <w:color w:val="auto"/>
        </w:rPr>
        <w:t>In the year ended December 31, 2025, the actuarial loss included in the benefit obligations was primarily due to a decrease in discount rates.</w:t>
      </w:r>
    </w:p>
    <w:p>
      <w:pPr>
        <w:spacing w:after="0" w:line="178" w:lineRule="exact"/>
        <w:rPr>
          <w:sz w:val="20"/>
          <w:szCs w:val="20"/>
          <w:color w:val="auto"/>
        </w:rPr>
      </w:pPr>
    </w:p>
    <w:p>
      <w:pPr>
        <w:jc w:val="both"/>
        <w:ind w:firstLine="180"/>
        <w:spacing w:after="0" w:line="283" w:lineRule="auto"/>
        <w:rPr>
          <w:sz w:val="20"/>
          <w:szCs w:val="20"/>
          <w:color w:val="auto"/>
        </w:rPr>
      </w:pPr>
      <w:r>
        <w:rPr>
          <w:rFonts w:ascii="Times New Roman" w:cs="Times New Roman" w:eastAsia="Times New Roman" w:hAnsi="Times New Roman"/>
          <w:sz w:val="20"/>
          <w:szCs w:val="20"/>
          <w:color w:val="auto"/>
        </w:rPr>
        <w:t>In the year ended December 31, 2024, the actuarial gain included in the benefit obligations was primarily due to an increase in discount rates.</w:t>
      </w: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40"/>
          </w:cols>
          <w:pgMar w:left="1000" w:top="447" w:right="1000" w:bottom="0" w:gutter="0" w:footer="0" w:header="0"/>
          <w:type w:val="continuous"/>
        </w:sectPr>
      </w:pPr>
    </w:p>
    <w:bookmarkStart w:id="88" w:name="page89"/>
    <w:bookmarkEnd w:id="8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5"/>
        </w:trPr>
        <w:tc>
          <w:tcPr>
            <w:tcW w:w="5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Non-U.S.</w:t>
            </w:r>
          </w:p>
        </w:tc>
      </w:tr>
      <w:tr>
        <w:trPr>
          <w:trHeight w:val="29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ABO</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39,191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11,914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11,516</w:t>
            </w:r>
          </w:p>
        </w:tc>
      </w:tr>
      <w:tr>
        <w:trPr>
          <w:trHeight w:val="278"/>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Plans with ABO in excess of plan 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ABO</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4,510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4,267</w:t>
            </w:r>
          </w:p>
        </w:tc>
      </w:tr>
      <w:tr>
        <w:trPr>
          <w:trHeight w:val="293"/>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w:t>
            </w:r>
          </w:p>
        </w:tc>
      </w:tr>
      <w:tr>
        <w:trPr>
          <w:trHeight w:val="292"/>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Plans with PBO in excess of plan assets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3"/>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PBO</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4,396</w:t>
            </w:r>
          </w:p>
        </w:tc>
      </w:tr>
      <w:tr>
        <w:trPr>
          <w:trHeight w:val="30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3,408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38,298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338</w:t>
            </w:r>
          </w:p>
        </w:tc>
      </w:tr>
    </w:tbl>
    <w:p>
      <w:pPr>
        <w:spacing w:after="0" w:line="277"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components of net periodic pension and OPEB expense along with the assumptions used to determine benefit obligations: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580" w:type="dxa"/>
            <w:vAlign w:val="bottom"/>
          </w:tcPr>
          <w:p>
            <w:pPr>
              <w:spacing w:after="0"/>
              <w:rPr>
                <w:sz w:val="16"/>
                <w:szCs w:val="16"/>
                <w:color w:val="auto"/>
              </w:rPr>
            </w:pPr>
          </w:p>
        </w:tc>
        <w:tc>
          <w:tcPr>
            <w:tcW w:w="220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 w:type="dxa"/>
            <w:vAlign w:val="bottom"/>
          </w:tcPr>
          <w:p>
            <w:pPr>
              <w:spacing w:after="0"/>
              <w:rPr>
                <w:sz w:val="16"/>
                <w:szCs w:val="16"/>
                <w:color w:val="auto"/>
              </w:rPr>
            </w:pPr>
          </w:p>
        </w:tc>
        <w:tc>
          <w:tcPr>
            <w:tcW w:w="21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16"/>
                <w:szCs w:val="16"/>
                <w:color w:val="auto"/>
              </w:rPr>
            </w:pPr>
          </w:p>
        </w:tc>
        <w:tc>
          <w:tcPr>
            <w:tcW w:w="220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4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80" w:type="dxa"/>
            <w:vAlign w:val="bottom"/>
          </w:tcPr>
          <w:p>
            <w:pPr>
              <w:spacing w:after="0"/>
              <w:rPr>
                <w:sz w:val="14"/>
                <w:szCs w:val="14"/>
                <w:color w:val="auto"/>
              </w:rPr>
            </w:pPr>
          </w:p>
        </w:tc>
        <w:tc>
          <w:tcPr>
            <w:tcW w:w="14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Global</w:t>
            </w:r>
          </w:p>
        </w:tc>
        <w:tc>
          <w:tcPr>
            <w:tcW w:w="80" w:type="dxa"/>
            <w:vAlign w:val="bottom"/>
          </w:tcPr>
          <w:p>
            <w:pPr>
              <w:spacing w:after="0"/>
              <w:rPr>
                <w:sz w:val="14"/>
                <w:szCs w:val="14"/>
                <w:color w:val="auto"/>
              </w:rPr>
            </w:pPr>
          </w:p>
        </w:tc>
        <w:tc>
          <w:tcPr>
            <w:tcW w:w="14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50"/>
        </w:trPr>
        <w:tc>
          <w:tcPr>
            <w:tcW w:w="35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gridSpan w:val="2"/>
            <w:vMerge w:val="restart"/>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6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gridSpan w:val="2"/>
            <w:vMerge w:val="restart"/>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0" w:type="dxa"/>
            <w:vAlign w:val="bottom"/>
          </w:tcPr>
          <w:p>
            <w:pPr>
              <w:spacing w:after="0"/>
              <w:rPr>
                <w:sz w:val="1"/>
                <w:szCs w:val="1"/>
                <w:color w:val="auto"/>
              </w:rPr>
            </w:pPr>
          </w:p>
        </w:tc>
      </w:tr>
      <w:tr>
        <w:trPr>
          <w:trHeight w:val="30"/>
        </w:trPr>
        <w:tc>
          <w:tcPr>
            <w:tcW w:w="3580" w:type="dxa"/>
            <w:vAlign w:val="bottom"/>
          </w:tcPr>
          <w:p>
            <w:pPr>
              <w:spacing w:after="0"/>
              <w:rPr>
                <w:sz w:val="2"/>
                <w:szCs w:val="2"/>
                <w:color w:val="auto"/>
              </w:rPr>
            </w:pPr>
          </w:p>
        </w:tc>
        <w:tc>
          <w:tcPr>
            <w:tcW w:w="7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Components of expense</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238"/>
        </w:trPr>
        <w:tc>
          <w:tcPr>
            <w:tcW w:w="35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Service cost</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166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185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  173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93"/>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219</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226</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307"/>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(521)</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(573)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3"/>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net actuarial (gains) losses</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15"/>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Curtailments, settlements, and other</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9"/>
        </w:trPr>
        <w:tc>
          <w:tcPr>
            <w:tcW w:w="3580" w:type="dxa"/>
            <w:vAlign w:val="bottom"/>
            <w:tcBorders>
              <w:top w:val="single" w:sz="8" w:color="CCEEFF"/>
            </w:tcBorders>
          </w:tcPr>
          <w:p>
            <w:pPr>
              <w:ind w:left="40"/>
              <w:spacing w:after="0" w:line="179" w:lineRule="exact"/>
              <w:rPr>
                <w:sz w:val="20"/>
                <w:szCs w:val="20"/>
                <w:color w:val="auto"/>
              </w:rPr>
            </w:pPr>
            <w:r>
              <w:rPr>
                <w:rFonts w:ascii="Times New Roman" w:cs="Times New Roman" w:eastAsia="Times New Roman" w:hAnsi="Times New Roman"/>
                <w:sz w:val="20"/>
                <w:szCs w:val="20"/>
                <w:color w:val="auto"/>
              </w:rPr>
              <w:t>Net periodic pension and OPEB (income)</w:t>
            </w: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expense</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(357)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214</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(359)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236</w:t>
            </w:r>
          </w:p>
        </w:tc>
        <w:tc>
          <w:tcPr>
            <w:tcW w:w="7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 (350)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80" w:type="dxa"/>
            <w:vAlign w:val="bottom"/>
            <w:shd w:val="clear" w:color="auto" w:fill="CCEEFF"/>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Weighted-average assumptions used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determine benefit obligations(a)</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5.26 %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5.51 %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9"/>
                <w:szCs w:val="19"/>
                <w:b w:val="1"/>
                <w:bCs w:val="1"/>
                <w:color w:val="auto"/>
              </w:rPr>
              <w:t>Weighted-average assumptions used to</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determine net expense(a)</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5.29 %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5.36 %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5.13 %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307"/>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Expected rate of return on plan assets</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6.54 %</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-1313815</wp:posOffset>
            </wp:positionV>
            <wp:extent cx="426402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8">
                      <a:extLst>
                        <a:ext uri="{28A0092B-C50C-407E-A947-70E740481C1C}"/>
                      </a:extLst>
                    </a:blip>
                    <a:srcRect/>
                    <a:stretch>
                      <a:fillRect/>
                    </a:stretch>
                  </pic:blipFill>
                  <pic:spPr bwMode="auto">
                    <a:xfrm>
                      <a:off x="0" y="0"/>
                      <a:ext cx="4264025" cy="50800"/>
                    </a:xfrm>
                    <a:prstGeom prst="rect">
                      <a:avLst/>
                    </a:prstGeom>
                    <a:noFill/>
                  </pic:spPr>
                </pic:pic>
              </a:graphicData>
            </a:graphic>
          </wp:anchor>
        </w:drawing>
      </w:r>
    </w:p>
    <w:p>
      <w:pPr>
        <w:ind w:left="370" w:hanging="370"/>
        <w:spacing w:after="0" w:line="283"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compensation increase and the cash balance interest crediting rates do not have a significant effect on our U.S. pension and OPEB plans.</w:t>
      </w:r>
    </w:p>
    <w:p>
      <w:pPr>
        <w:spacing w:after="0" w:line="178"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non-service cost components of the net periodic pension and OPEB income are presented in Interest income and other non-operating income, net. Refer to Note 19 for additional information.</w:t>
      </w:r>
    </w:p>
    <w:p>
      <w:pPr>
        <w:spacing w:after="0" w:line="178" w:lineRule="exact"/>
        <w:rPr>
          <w:sz w:val="20"/>
          <w:szCs w:val="20"/>
          <w:color w:val="auto"/>
        </w:rPr>
      </w:pPr>
    </w:p>
    <w:p>
      <w:pPr>
        <w:jc w:val="both"/>
        <w:ind w:left="10" w:firstLine="180"/>
        <w:spacing w:after="0" w:line="261" w:lineRule="auto"/>
        <w:rPr>
          <w:sz w:val="20"/>
          <w:szCs w:val="20"/>
          <w:color w:val="auto"/>
        </w:rPr>
      </w:pPr>
      <w:r>
        <w:rPr>
          <w:rFonts w:ascii="Times New Roman" w:cs="Times New Roman" w:eastAsia="Times New Roman" w:hAnsi="Times New Roman"/>
          <w:sz w:val="20"/>
          <w:szCs w:val="20"/>
          <w:color w:val="auto"/>
        </w:rPr>
        <w:t>U.S. pension plan service cost, which includes administrative expenses and Pension Benefit Guarantee Corporation premiums, were insignificant for the years ended December 31, 2025, 2024, and 2023. Weighted-average assumptions used to determine net expense are determined at the beginning of the period and updated for remeasurements. Non-U.S. pension plan administrative expenses included in service cost were insignificant in the years ended December 31, 2025, 2024, and 2023.</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70"/>
          </w:cols>
          <w:pgMar w:left="990" w:top="447"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Assumptions</w:t>
      </w:r>
    </w:p>
    <w:p>
      <w:pPr>
        <w:spacing w:after="0" w:line="252"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Strategies and Long-Term Rate of Return </w:t>
      </w:r>
      <w:r>
        <w:rPr>
          <w:rFonts w:ascii="Times New Roman" w:cs="Times New Roman" w:eastAsia="Times New Roman" w:hAnsi="Times New Roman"/>
          <w:sz w:val="20"/>
          <w:szCs w:val="20"/>
          <w:color w:val="auto"/>
        </w:rPr>
        <w:t>Detailed periodic studies are conducted by our internal asset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management group as well as outside actuaries and are used to determine the long-term strategic mix among asset classes, risk mitigation strategies, and the expected long-term ROA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10"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We continue to pursue various options to fund and to manage risk in our pension plans, including continued changes to the pension asset portfolio mix to manage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0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4"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02"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In December 2025, an investment policy study was completed for the U.S. pension plans. As a result, the weighted-average long-term rate of ROA decreased from 6.5% at December 31, 2024 to 6.0% at December 31, 2025. The expected long-term rate of return on plan assets used in determining pension expense for non-U.S. plans is determined in a similar manner to the U.S. plans.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Target Allocation Percentages  </w:t>
      </w:r>
      <w:r>
        <w:rPr>
          <w:rFonts w:ascii="Times New Roman" w:cs="Times New Roman" w:eastAsia="Times New Roman" w:hAnsi="Times New Roman"/>
          <w:sz w:val="20"/>
          <w:szCs w:val="20"/>
          <w:color w:val="auto"/>
        </w:rPr>
        <w:t>The following table summarizes the target allocations by asset category for U.S. and non-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defined benefit pension plans: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48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5"/>
        </w:trPr>
        <w:tc>
          <w:tcPr>
            <w:tcW w:w="54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Non-U.S.</w:t>
            </w:r>
          </w:p>
        </w:tc>
      </w:tr>
      <w:tr>
        <w:trPr>
          <w:trHeight w:val="290"/>
        </w:trPr>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Equity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94"/>
        </w:trPr>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Debt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74 %</w:t>
            </w:r>
          </w:p>
        </w:tc>
      </w:tr>
      <w:tr>
        <w:trPr>
          <w:trHeight w:val="296"/>
        </w:trPr>
        <w:tc>
          <w:tcPr>
            <w:tcW w:w="5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Other(a)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60"/>
        </w:trPr>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0"/>
        </w:trPr>
        <w:tc>
          <w:tcPr>
            <w:tcW w:w="5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-43815</wp:posOffset>
            </wp:positionV>
            <wp:extent cx="302577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9">
                      <a:extLst>
                        <a:ext uri="{28A0092B-C50C-407E-A947-70E740481C1C}"/>
                      </a:extLst>
                    </a:blip>
                    <a:srcRect/>
                    <a:stretch>
                      <a:fillRect/>
                    </a:stretch>
                  </pic:blipFill>
                  <pic:spPr bwMode="auto">
                    <a:xfrm>
                      <a:off x="0" y="0"/>
                      <a:ext cx="3025775"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Primarily includes private equity, real estate, and absolute return strategies, which mainly consist of hedge funds.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447" w:right="980" w:bottom="0" w:gutter="0" w:footer="0" w:header="0"/>
          <w:type w:val="continuous"/>
        </w:sectPr>
      </w:pPr>
    </w:p>
    <w:bookmarkStart w:id="90" w:name="page91"/>
    <w:bookmarkEnd w:id="9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2" w:lineRule="exact"/>
        <w:rPr>
          <w:sz w:val="20"/>
          <w:szCs w:val="20"/>
          <w:color w:val="auto"/>
        </w:rPr>
      </w:pPr>
    </w:p>
    <w:p>
      <w:pPr>
        <w:ind w:left="10" w:right="380"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Assets and Fair Value Measurements </w:t>
      </w:r>
      <w:r>
        <w:rPr>
          <w:rFonts w:ascii="Times New Roman" w:cs="Times New Roman" w:eastAsia="Times New Roman" w:hAnsi="Times New Roman"/>
          <w:sz w:val="20"/>
          <w:szCs w:val="20"/>
          <w:color w:val="auto"/>
        </w:rPr>
        <w:t>The following tables summarize the fair value of U.S. and non-U.S. defined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 pension plan assets by asset class:</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8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 Pension Plan Assets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Common and preferred stocks</w:t>
            </w:r>
          </w:p>
        </w:tc>
        <w:tc>
          <w:tcPr>
            <w:tcW w:w="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Government and agency debt securities(a)</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Corporate and other debt securities</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13,820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13,820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15,155</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15,155</w:t>
            </w:r>
          </w:p>
        </w:tc>
        <w:tc>
          <w:tcPr>
            <w:tcW w:w="0" w:type="dxa"/>
            <w:vAlign w:val="bottom"/>
          </w:tcPr>
          <w:p>
            <w:pPr>
              <w:spacing w:after="0"/>
              <w:rPr>
                <w:sz w:val="1"/>
                <w:szCs w:val="1"/>
                <w:color w:val="auto"/>
              </w:rPr>
            </w:pPr>
          </w:p>
        </w:tc>
      </w:tr>
      <w:tr>
        <w:trPr>
          <w:trHeight w:val="290"/>
        </w:trPr>
        <w:tc>
          <w:tcPr>
            <w:tcW w:w="4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Other investments, net(b)(c)</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(2,833)</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(3,348)</w:t>
            </w:r>
          </w:p>
        </w:tc>
        <w:tc>
          <w:tcPr>
            <w:tcW w:w="0" w:type="dxa"/>
            <w:vAlign w:val="bottom"/>
          </w:tcPr>
          <w:p>
            <w:pPr>
              <w:spacing w:after="0"/>
              <w:rPr>
                <w:sz w:val="1"/>
                <w:szCs w:val="1"/>
                <w:color w:val="auto"/>
              </w:rPr>
            </w:pPr>
          </w:p>
        </w:tc>
      </w:tr>
      <w:tr>
        <w:trPr>
          <w:trHeight w:val="280"/>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Net plan assets subject to leveling</w:t>
            </w:r>
          </w:p>
        </w:tc>
        <w:tc>
          <w:tcPr>
            <w:tcW w:w="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$22,640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23,026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8"/>
              </w:rPr>
              <w:t>$23,221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23,550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Plan assets measured at net asset value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Investment funds</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9,841</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10,025</w:t>
            </w:r>
          </w:p>
        </w:tc>
        <w:tc>
          <w:tcPr>
            <w:tcW w:w="0" w:type="dxa"/>
            <w:vAlign w:val="bottom"/>
          </w:tcPr>
          <w:p>
            <w:pPr>
              <w:spacing w:after="0"/>
              <w:rPr>
                <w:sz w:val="1"/>
                <w:szCs w:val="1"/>
                <w:color w:val="auto"/>
              </w:rPr>
            </w:pPr>
          </w:p>
        </w:tc>
      </w:tr>
      <w:tr>
        <w:trPr>
          <w:trHeight w:val="29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Private equity and debt investments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w:t>
            </w:r>
          </w:p>
        </w:tc>
        <w:tc>
          <w:tcPr>
            <w:tcW w:w="0" w:type="dxa"/>
            <w:vAlign w:val="bottom"/>
          </w:tcPr>
          <w:p>
            <w:pPr>
              <w:spacing w:after="0"/>
              <w:rPr>
                <w:sz w:val="1"/>
                <w:szCs w:val="1"/>
                <w:color w:val="auto"/>
              </w:rPr>
            </w:pPr>
          </w:p>
        </w:tc>
      </w:tr>
      <w:tr>
        <w:trPr>
          <w:trHeight w:val="297"/>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Real estate investments</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2,655</w:t>
            </w:r>
          </w:p>
        </w:tc>
        <w:tc>
          <w:tcPr>
            <w:tcW w:w="0" w:type="dxa"/>
            <w:vAlign w:val="bottom"/>
          </w:tcPr>
          <w:p>
            <w:pPr>
              <w:spacing w:after="0"/>
              <w:rPr>
                <w:sz w:val="1"/>
                <w:szCs w:val="1"/>
                <w:color w:val="auto"/>
              </w:rPr>
            </w:pPr>
          </w:p>
        </w:tc>
      </w:tr>
      <w:tr>
        <w:trPr>
          <w:trHeight w:val="28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plan assets measured at net asset value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15,702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15,641</w:t>
            </w:r>
          </w:p>
        </w:tc>
        <w:tc>
          <w:tcPr>
            <w:tcW w:w="0" w:type="dxa"/>
            <w:vAlign w:val="bottom"/>
          </w:tcPr>
          <w:p>
            <w:pPr>
              <w:spacing w:after="0"/>
              <w:rPr>
                <w:sz w:val="1"/>
                <w:szCs w:val="1"/>
                <w:color w:val="auto"/>
              </w:rPr>
            </w:pPr>
          </w:p>
        </w:tc>
      </w:tr>
      <w:tr>
        <w:trPr>
          <w:trHeight w:val="315"/>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Other plan assets (liabilities), net(d)</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0" w:type="dxa"/>
            <w:vAlign w:val="bottom"/>
          </w:tcPr>
          <w:p>
            <w:pPr>
              <w:spacing w:after="0"/>
              <w:rPr>
                <w:sz w:val="1"/>
                <w:szCs w:val="1"/>
                <w:color w:val="auto"/>
              </w:rPr>
            </w:pPr>
          </w:p>
        </w:tc>
      </w:tr>
      <w:tr>
        <w:trPr>
          <w:trHeight w:val="242"/>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plan assets</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8"/>
              </w:rPr>
              <w:t>$38,552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$38,298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8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Non-U.S. Pension Plan Assets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Common and preferred stocks</w:t>
            </w:r>
          </w:p>
        </w:tc>
        <w:tc>
          <w:tcPr>
            <w:tcW w:w="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9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Government and agency debt securities(a)</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2,262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Corporate and other debt securities</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2,336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0" w:type="dxa"/>
            <w:vAlign w:val="bottom"/>
          </w:tcPr>
          <w:p>
            <w:pPr>
              <w:spacing w:after="0"/>
              <w:rPr>
                <w:sz w:val="1"/>
                <w:szCs w:val="1"/>
                <w:color w:val="auto"/>
              </w:rPr>
            </w:pPr>
          </w:p>
        </w:tc>
      </w:tr>
      <w:tr>
        <w:trPr>
          <w:trHeight w:val="290"/>
        </w:trPr>
        <w:tc>
          <w:tcPr>
            <w:tcW w:w="4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Other investments, net(b)(c)</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80"/>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Net plan assets subject to leveling</w:t>
            </w:r>
          </w:p>
        </w:tc>
        <w:tc>
          <w:tcPr>
            <w:tcW w:w="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$ 4,452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4,501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$ 4,447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Plan assets measured at net asset value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Investment funds</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3,312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3,303</w:t>
            </w:r>
          </w:p>
        </w:tc>
        <w:tc>
          <w:tcPr>
            <w:tcW w:w="0" w:type="dxa"/>
            <w:vAlign w:val="bottom"/>
          </w:tcPr>
          <w:p>
            <w:pPr>
              <w:spacing w:after="0"/>
              <w:rPr>
                <w:sz w:val="1"/>
                <w:szCs w:val="1"/>
                <w:color w:val="auto"/>
              </w:rPr>
            </w:pPr>
          </w:p>
        </w:tc>
      </w:tr>
      <w:tr>
        <w:trPr>
          <w:trHeight w:val="29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Private equity and debt investments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97"/>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Real estate investments</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0" w:type="dxa"/>
            <w:vAlign w:val="bottom"/>
          </w:tcPr>
          <w:p>
            <w:pPr>
              <w:spacing w:after="0"/>
              <w:rPr>
                <w:sz w:val="1"/>
                <w:szCs w:val="1"/>
                <w:color w:val="auto"/>
              </w:rPr>
            </w:pPr>
          </w:p>
        </w:tc>
      </w:tr>
      <w:tr>
        <w:trPr>
          <w:trHeight w:val="283"/>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plan assets measured at net asset value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4,398</w:t>
            </w:r>
          </w:p>
        </w:tc>
        <w:tc>
          <w:tcPr>
            <w:tcW w:w="0" w:type="dxa"/>
            <w:vAlign w:val="bottom"/>
          </w:tcPr>
          <w:p>
            <w:pPr>
              <w:spacing w:after="0"/>
              <w:rPr>
                <w:sz w:val="1"/>
                <w:szCs w:val="1"/>
                <w:color w:val="auto"/>
              </w:rPr>
            </w:pPr>
          </w:p>
        </w:tc>
      </w:tr>
      <w:tr>
        <w:trPr>
          <w:trHeight w:val="315"/>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Other plan assets (liabilities), net(d)</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1"/>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plan assets</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$ 9,113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$ 9,121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-4304665</wp:posOffset>
            </wp:positionV>
            <wp:extent cx="347345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0">
                      <a:extLst>
                        <a:ext uri="{28A0092B-C50C-407E-A947-70E740481C1C}"/>
                      </a:extLst>
                    </a:blip>
                    <a:srcRect/>
                    <a:stretch>
                      <a:fillRect/>
                    </a:stretch>
                  </pic:blipFill>
                  <pic:spPr bwMode="auto">
                    <a:xfrm>
                      <a:off x="0" y="0"/>
                      <a:ext cx="3473450" cy="5080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-2971165</wp:posOffset>
            </wp:positionV>
            <wp:extent cx="48260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1">
                      <a:extLst>
                        <a:ext uri="{28A0092B-C50C-407E-A947-70E740481C1C}"/>
                      </a:extLst>
                    </a:blip>
                    <a:srcRect/>
                    <a:stretch>
                      <a:fillRect/>
                    </a:stretch>
                  </pic:blipFill>
                  <pic:spPr bwMode="auto">
                    <a:xfrm>
                      <a:off x="0" y="0"/>
                      <a:ext cx="482600" cy="5080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-2971165</wp:posOffset>
            </wp:positionV>
            <wp:extent cx="48260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2">
                      <a:extLst>
                        <a:ext uri="{28A0092B-C50C-407E-A947-70E740481C1C}"/>
                      </a:extLst>
                    </a:blip>
                    <a:srcRect/>
                    <a:stretch>
                      <a:fillRect/>
                    </a:stretch>
                  </pic:blipFill>
                  <pic:spPr bwMode="auto">
                    <a:xfrm>
                      <a:off x="0" y="0"/>
                      <a:ext cx="482600" cy="5080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-1377315</wp:posOffset>
            </wp:positionV>
            <wp:extent cx="347345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3">
                      <a:extLst>
                        <a:ext uri="{28A0092B-C50C-407E-A947-70E740481C1C}"/>
                      </a:extLst>
                    </a:blip>
                    <a:srcRect/>
                    <a:stretch>
                      <a:fillRect/>
                    </a:stretch>
                  </pic:blipFill>
                  <pic:spPr bwMode="auto">
                    <a:xfrm>
                      <a:off x="0" y="0"/>
                      <a:ext cx="3473450" cy="5080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-43815</wp:posOffset>
            </wp:positionV>
            <wp:extent cx="48260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4">
                      <a:extLst>
                        <a:ext uri="{28A0092B-C50C-407E-A947-70E740481C1C}"/>
                      </a:extLst>
                    </a:blip>
                    <a:srcRect/>
                    <a:stretch>
                      <a:fillRect/>
                    </a:stretch>
                  </pic:blipFill>
                  <pic:spPr bwMode="auto">
                    <a:xfrm>
                      <a:off x="0" y="0"/>
                      <a:ext cx="482600" cy="5080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-43815</wp:posOffset>
            </wp:positionV>
            <wp:extent cx="48260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5">
                      <a:extLst>
                        <a:ext uri="{28A0092B-C50C-407E-A947-70E740481C1C}"/>
                      </a:extLst>
                    </a:blip>
                    <a:srcRect/>
                    <a:stretch>
                      <a:fillRect/>
                    </a:stretch>
                  </pic:blipFill>
                  <pic:spPr bwMode="auto">
                    <a:xfrm>
                      <a:off x="0" y="0"/>
                      <a:ext cx="48260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and sovereign government and agency issues.</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derivative assets (liabilities).</w:t>
      </w:r>
    </w:p>
    <w:p>
      <w:pPr>
        <w:spacing w:after="0" w:line="9" w:lineRule="exact"/>
        <w:rPr>
          <w:rFonts w:ascii="Times New Roman" w:cs="Times New Roman" w:eastAsia="Times New Roman" w:hAnsi="Times New Roman"/>
          <w:sz w:val="18"/>
          <w:szCs w:val="18"/>
          <w:color w:val="auto"/>
        </w:rPr>
      </w:pPr>
    </w:p>
    <w:p>
      <w:pPr>
        <w:jc w:val="both"/>
        <w:ind w:left="370" w:hanging="370"/>
        <w:spacing w:after="0" w:line="250"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investments, net includes approximately $4.1 billion and $3.6 billion of U.S. reverse repurchase agreements at December 31, 2025 and 2024, and approximately $125 million and $185 million of Canadian reverse repurchase agreements at December 31, 2025 and 2024.</w:t>
      </w:r>
    </w:p>
    <w:p>
      <w:pPr>
        <w:spacing w:after="0" w:line="1" w:lineRule="exact"/>
        <w:rPr>
          <w:rFonts w:ascii="Times New Roman" w:cs="Times New Roman" w:eastAsia="Times New Roman" w:hAnsi="Times New Roman"/>
          <w:sz w:val="18"/>
          <w:szCs w:val="18"/>
          <w:color w:val="auto"/>
        </w:rPr>
      </w:pPr>
    </w:p>
    <w:p>
      <w:pPr>
        <w:ind w:left="370" w:hanging="370"/>
        <w:spacing w:after="0" w:line="283"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held by the plans, net of amounts receivable/payable for unsettled security transactions and payables for investment manager fees, custody fees, and other expenses.</w:t>
      </w:r>
    </w:p>
    <w:p>
      <w:pPr>
        <w:spacing w:after="0" w:line="178" w:lineRule="exact"/>
        <w:rPr>
          <w:sz w:val="20"/>
          <w:szCs w:val="20"/>
          <w:color w:val="auto"/>
        </w:rPr>
      </w:pPr>
    </w:p>
    <w:p>
      <w:pPr>
        <w:jc w:val="both"/>
        <w:ind w:left="10" w:right="20" w:firstLine="180"/>
        <w:spacing w:after="0" w:line="283" w:lineRule="auto"/>
        <w:rPr>
          <w:sz w:val="20"/>
          <w:szCs w:val="20"/>
          <w:color w:val="auto"/>
        </w:rPr>
      </w:pPr>
      <w:r>
        <w:rPr>
          <w:rFonts w:ascii="Times New Roman" w:cs="Times New Roman" w:eastAsia="Times New Roman" w:hAnsi="Times New Roman"/>
          <w:sz w:val="20"/>
          <w:szCs w:val="20"/>
          <w:color w:val="auto"/>
        </w:rPr>
        <w:t>The activity attributable to U.S. and non-U.S. Level 3 defined benefit pension plan investments was insignificant in the years ended December 31, 2025 and 2024.</w:t>
      </w:r>
    </w:p>
    <w:p>
      <w:pPr>
        <w:spacing w:after="0" w:line="173"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Fund Strategies </w:t>
      </w:r>
      <w:r>
        <w:rPr>
          <w:rFonts w:ascii="Times New Roman" w:cs="Times New Roman" w:eastAsia="Times New Roman" w:hAnsi="Times New Roman"/>
          <w:sz w:val="20"/>
          <w:szCs w:val="20"/>
          <w:color w:val="auto"/>
        </w:rPr>
        <w:t>Investment funds include hedge funds, funds of hedge funds, equity funds, and fixed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funds. Hedge funds and funds 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w:t>
      </w:r>
    </w:p>
    <w:p>
      <w:pPr>
        <w:sectPr>
          <w:pgSz w:w="12240" w:h="15840" w:orient="portrait"/>
          <w:cols w:equalWidth="0" w:num="1">
            <w:col w:w="10270"/>
          </w:cols>
          <w:pgMar w:left="990" w:top="447" w:right="980" w:bottom="0" w:gutter="0" w:footer="0" w:header="0"/>
        </w:sectPr>
      </w:pPr>
    </w:p>
    <w:p>
      <w:pPr>
        <w:spacing w:after="0" w:line="2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70"/>
          </w:cols>
          <w:pgMar w:left="990" w:top="447"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4"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95"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90"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Significant Concentrations of Risk </w:t>
      </w:r>
      <w:r>
        <w:rPr>
          <w:rFonts w:ascii="Times New Roman" w:cs="Times New Roman" w:eastAsia="Times New Roman" w:hAnsi="Times New Roman"/>
          <w:sz w:val="20"/>
          <w:szCs w:val="20"/>
          <w:color w:val="auto"/>
        </w:rPr>
        <w:t>The assets of the pension plans include certain investment funds, private equity and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investments, and real estate 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97"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0"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9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Benefit Payments </w:t>
      </w:r>
      <w:r>
        <w:rPr>
          <w:rFonts w:ascii="Times New Roman" w:cs="Times New Roman" w:eastAsia="Times New Roman" w:hAnsi="Times New Roman"/>
          <w:sz w:val="20"/>
          <w:szCs w:val="20"/>
          <w:color w:val="auto"/>
        </w:rPr>
        <w:t>Benefits for most U.S. pension plans and certain non-U.S. pension plans are paid out of plan assets rather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our Cash and cash equivalents. The following table summarizes net benefit payments expected to be paid in the future, which include assumptions related to estimated future employee service: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Global OPEB</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60" w:type="dxa"/>
            <w:vAlign w:val="bottom"/>
          </w:tcPr>
          <w:p>
            <w:pPr>
              <w:spacing w:after="0" w:line="20" w:lineRule="exact"/>
              <w:rPr>
                <w:sz w:val="1"/>
                <w:szCs w:val="1"/>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4,014</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351</w:t>
            </w: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3,954</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347</w:t>
            </w:r>
          </w:p>
        </w:tc>
        <w:tc>
          <w:tcPr>
            <w:tcW w:w="0" w:type="dxa"/>
            <w:vAlign w:val="bottom"/>
          </w:tcPr>
          <w:p>
            <w:pPr>
              <w:spacing w:after="0"/>
              <w:rPr>
                <w:sz w:val="1"/>
                <w:szCs w:val="1"/>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3,802</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344</w:t>
            </w: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3,607</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r>
        <w:trPr>
          <w:trHeight w:val="306"/>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3,477</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339</w:t>
            </w:r>
          </w:p>
        </w:tc>
        <w:tc>
          <w:tcPr>
            <w:tcW w:w="0" w:type="dxa"/>
            <w:vAlign w:val="bottom"/>
          </w:tcPr>
          <w:p>
            <w:pPr>
              <w:spacing w:after="0"/>
              <w:rPr>
                <w:sz w:val="1"/>
                <w:szCs w:val="1"/>
                <w:color w:val="auto"/>
              </w:rPr>
            </w:pP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2031–2035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15,237</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447"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16. Commitments, Contingencies, and Uncertainties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Litigation-Related Liability and Indirect Tax-Related Matters </w:t>
      </w:r>
      <w:r>
        <w:rPr>
          <w:rFonts w:ascii="Times New Roman" w:cs="Times New Roman" w:eastAsia="Times New Roman" w:hAnsi="Times New Roman"/>
          <w:sz w:val="20"/>
          <w:szCs w:val="20"/>
          <w:color w:val="auto"/>
        </w:rPr>
        <w:t>In the normal course of our business, we are named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as a defendant in 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2025 and 2024, we had accruals of $1.5 billion and $1.1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0"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Opel/Vauxhall Sale </w:t>
      </w:r>
      <w:r>
        <w:rPr>
          <w:rFonts w:ascii="Times New Roman" w:cs="Times New Roman" w:eastAsia="Times New Roman" w:hAnsi="Times New Roman"/>
          <w:sz w:val="20"/>
          <w:szCs w:val="20"/>
          <w:color w:val="auto"/>
        </w:rPr>
        <w:t>In 2017, we sold the Opel/Vauxhall Business to PSA Group, now Stellantis N.V. (Stellantis), under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1"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Currently, various consumer lawsuits have been filed against the Seller and Stellantis in Germany, the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certain of its Takata recalls.</w:t>
      </w:r>
    </w:p>
    <w:p>
      <w:pPr>
        <w:spacing w:after="0" w:line="200"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Other Litigation-Related Liabilities </w:t>
      </w:r>
      <w:r>
        <w:rPr>
          <w:rFonts w:ascii="Times New Roman" w:cs="Times New Roman" w:eastAsia="Times New Roman" w:hAnsi="Times New Roman"/>
          <w:sz w:val="20"/>
          <w:szCs w:val="20"/>
          <w:color w:val="auto"/>
        </w:rPr>
        <w:t>Various other legal actions, including class actions, governmental investigations,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0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is also defending other lawsuits in the U.S. based on these allegations, including a shareholder demand lawsuit.</w:t>
      </w:r>
    </w:p>
    <w:p>
      <w:pPr>
        <w:spacing w:after="0" w:line="205" w:lineRule="exact"/>
        <w:rPr>
          <w:sz w:val="20"/>
          <w:szCs w:val="20"/>
          <w:color w:val="auto"/>
        </w:rPr>
      </w:pPr>
    </w:p>
    <w:p>
      <w:pPr>
        <w:jc w:val="both"/>
        <w:ind w:firstLine="180"/>
        <w:spacing w:after="0" w:line="273" w:lineRule="auto"/>
        <w:rPr>
          <w:sz w:val="20"/>
          <w:szCs w:val="20"/>
          <w:color w:val="auto"/>
        </w:rPr>
      </w:pPr>
      <w:r>
        <w:rPr>
          <w:rFonts w:ascii="Times New Roman" w:cs="Times New Roman" w:eastAsia="Times New Roman" w:hAnsi="Times New Roman"/>
          <w:sz w:val="19"/>
          <w:szCs w:val="19"/>
          <w:color w:val="auto"/>
        </w:rPr>
        <w:t>There is one putative class action and one certified class action pending against GM in the U.S. alleging that various 2015– 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w:t>
      </w:r>
    </w:p>
    <w:p>
      <w:pPr>
        <w:sectPr>
          <w:pgSz w:w="12240" w:h="15840" w:orient="portrait"/>
          <w:cols w:equalWidth="0" w:num="1">
            <w:col w:w="10260"/>
          </w:cols>
          <w:pgMar w:left="1000" w:top="447" w:right="980" w:bottom="0" w:gutter="0" w:footer="0" w:header="0"/>
        </w:sectPr>
      </w:pP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447"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reasonably possible or probable material loss or range of loss that may result from these proceedings in excess of the immaterial amounts accrued.</w:t>
      </w:r>
    </w:p>
    <w:p>
      <w:pPr>
        <w:spacing w:after="0" w:line="17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Takata Matters </w:t>
      </w:r>
      <w:r>
        <w:rPr>
          <w:rFonts w:ascii="Times New Roman" w:cs="Times New Roman" w:eastAsia="Times New Roman" w:hAnsi="Times New Roman"/>
          <w:sz w:val="20"/>
          <w:szCs w:val="20"/>
          <w:color w:val="auto"/>
        </w:rPr>
        <w:t>In November 2020, NHTSA directed that we replace the Takata airbag inflators in our GMT900 vehicles,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full-size pickup trucks and SUVs, and we decided not to contest NHTSA's decision. While we have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December 31, 2025, our remaining accrual for these matters was $0.4 billion, and we believe the currently accrued amount remains reasonable.</w:t>
      </w:r>
    </w:p>
    <w:p>
      <w:pPr>
        <w:spacing w:after="0" w:line="206"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00"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ARC Matters </w:t>
      </w:r>
      <w:r>
        <w:rPr>
          <w:rFonts w:ascii="Times New Roman" w:cs="Times New Roman" w:eastAsia="Times New Roman" w:hAnsi="Times New Roman"/>
          <w:sz w:val="20"/>
          <w:szCs w:val="20"/>
          <w:color w:val="auto"/>
        </w:rPr>
        <w:t>In May 2023, we initiated a voluntary recall covering nearly one million 2014–2017 model year Buick Enclave,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Chevrolet Traverse, and 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20"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19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Chevrolet Bolt Recall </w:t>
      </w:r>
      <w:r>
        <w:rPr>
          <w:rFonts w:ascii="Times New Roman" w:cs="Times New Roman" w:eastAsia="Times New Roman" w:hAnsi="Times New Roman"/>
          <w:sz w:val="20"/>
          <w:szCs w:val="20"/>
          <w:color w:val="auto"/>
        </w:rPr>
        <w:t>In July 2021, we initiated a voluntary recall for certain 2017–2019 model year Chevrolet Bolt EVs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risk that two 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2025, we had accrued a total of $2.7 billion and recognized receivables totaling $1.7 billion in connection with these matters. At December 31, 2025, our</w:t>
      </w:r>
    </w:p>
    <w:p>
      <w:pPr>
        <w:sectPr>
          <w:pgSz w:w="12240" w:h="15840" w:orient="portrait"/>
          <w:cols w:equalWidth="0" w:num="1">
            <w:col w:w="10260"/>
          </w:cols>
          <w:pgMar w:left="1000" w:top="447" w:right="980" w:bottom="0" w:gutter="0" w:footer="0" w:header="0"/>
        </w:sectPr>
      </w:pP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1000" w:top="447" w:right="9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195"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was given final approval by the court in the three months ended December 31, 2025.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Privacy and Consumer Protection Matters </w:t>
      </w:r>
      <w:r>
        <w:rPr>
          <w:rFonts w:ascii="Times New Roman" w:cs="Times New Roman" w:eastAsia="Times New Roman" w:hAnsi="Times New Roman"/>
          <w:sz w:val="20"/>
          <w:szCs w:val="20"/>
          <w:color w:val="auto"/>
        </w:rPr>
        <w:t>There are putative class actions pending against GM in federal courts in the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alleging violations of 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 attorneys general that are conducting investigations. As of December 31, 2025, we had accrued $0.5 billion in connection with these investigations and litigations. At this stage, we are not able to estimate any reasonably possible or probable material loss or range of loss that may result from these actions beyond this accrual.</w:t>
      </w:r>
    </w:p>
    <w:p>
      <w:pPr>
        <w:spacing w:after="0" w:line="2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Product Liability and Breach of Warranty </w:t>
      </w:r>
      <w:r>
        <w:rPr>
          <w:rFonts w:ascii="Times New Roman" w:cs="Times New Roman" w:eastAsia="Times New Roman" w:hAnsi="Times New Roman"/>
          <w:sz w:val="20"/>
          <w:szCs w:val="20"/>
          <w:color w:val="auto"/>
        </w:rPr>
        <w:t>We record liabilities related to product liability claims in Accrued liabilities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Guarantees </w:t>
      </w:r>
      <w:r>
        <w:rPr>
          <w:rFonts w:ascii="Times New Roman" w:cs="Times New Roman" w:eastAsia="Times New Roman" w:hAnsi="Times New Roman"/>
          <w:sz w:val="20"/>
          <w:szCs w:val="20"/>
          <w:color w:val="auto"/>
        </w:rPr>
        <w:t>We enter into indemnification agreements for liability claims involving products manufactured primarily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joint ventures. These guarantees terminate in years ranging from 2026 to 2030,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$3.5 billion and $3.7 billion for these guarantees at December 31, 2025 and 2024, the majority of which relates to the indemnification agreements.</w:t>
      </w:r>
    </w:p>
    <w:p>
      <w:pPr>
        <w:spacing w:after="0" w:line="206"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Credit Cards </w:t>
      </w:r>
      <w:r>
        <w:rPr>
          <w:rFonts w:ascii="Times New Roman" w:cs="Times New Roman" w:eastAsia="Times New Roman" w:hAnsi="Times New Roman"/>
          <w:sz w:val="20"/>
          <w:szCs w:val="20"/>
          <w:color w:val="auto"/>
        </w:rPr>
        <w:t>Credit card programs offer rebates that can be applied primarily against the purchase or lease of our vehicles.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2025 and 2024, our redemption liability was insignificant, our deferred revenue was $435 million and $425 million, and qualified cardholders had rebates available, net of deferred program revenue, of $1.0 billion and $1.1 billion. Our redemption liability and deferred revenue are recorded in Accrued liabilities and Other liabilities.</w:t>
      </w:r>
    </w:p>
    <w:p>
      <w:pPr>
        <w:sectPr>
          <w:pgSz w:w="12240" w:h="15840" w:orient="portrait"/>
          <w:cols w:equalWidth="0" w:num="1">
            <w:col w:w="10260"/>
          </w:cols>
          <w:pgMar w:left="1000" w:top="447" w:right="980" w:bottom="0" w:gutter="0" w:footer="0" w:header="0"/>
        </w:sectPr>
      </w:pP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447" w:right="9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Supplier Finance Programs </w:t>
      </w:r>
      <w:r>
        <w:rPr>
          <w:rFonts w:ascii="Times New Roman" w:cs="Times New Roman" w:eastAsia="Times New Roman" w:hAnsi="Times New Roman"/>
          <w:sz w:val="20"/>
          <w:szCs w:val="20"/>
          <w:color w:val="auto"/>
        </w:rPr>
        <w:t>Third-party finance providers offer certain suppliers the option for payment in advance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invoice due date through 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$1.1 billion and $0.9 billion at December 31, 2025 and 2024, which are recorded in Accounts payable (principally trade).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represents the change in the supplier finance program obligation (dollars in billions):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40" w:type="dxa"/>
            <w:vAlign w:val="bottom"/>
          </w:tcPr>
          <w:p>
            <w:pPr>
              <w:spacing w:after="0"/>
              <w:rPr>
                <w:sz w:val="19"/>
                <w:szCs w:val="19"/>
                <w:color w:val="auto"/>
              </w:rPr>
            </w:pPr>
          </w:p>
        </w:tc>
        <w:tc>
          <w:tcPr>
            <w:tcW w:w="34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r>
      <w:tr>
        <w:trPr>
          <w:trHeight w:val="235"/>
        </w:trPr>
        <w:tc>
          <w:tcPr>
            <w:tcW w:w="6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r>
      <w:tr>
        <w:trPr>
          <w:trHeight w:val="290"/>
        </w:trPr>
        <w:tc>
          <w:tcPr>
            <w:tcW w:w="6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Confirmed obligations outstanding at the beginning of the year</w:t>
            </w:r>
          </w:p>
        </w:tc>
        <w:tc>
          <w:tcPr>
            <w:tcW w:w="134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44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3"/>
        </w:trPr>
        <w:tc>
          <w:tcPr>
            <w:tcW w:w="6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Invoices confirmed during the year</w:t>
            </w:r>
          </w:p>
        </w:tc>
        <w:tc>
          <w:tcPr>
            <w:tcW w:w="1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440" w:type="dxa"/>
            <w:vAlign w:val="bottom"/>
            <w:gridSpan w:val="2"/>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97"/>
        </w:trPr>
        <w:tc>
          <w:tcPr>
            <w:tcW w:w="6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Confirmed paid during the year</w:t>
            </w:r>
          </w:p>
        </w:tc>
        <w:tc>
          <w:tcPr>
            <w:tcW w:w="13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60"/>
        </w:trPr>
        <w:tc>
          <w:tcPr>
            <w:tcW w:w="6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Confirmed obligations outstanding at the end of the year</w:t>
            </w:r>
          </w:p>
        </w:tc>
        <w:tc>
          <w:tcPr>
            <w:tcW w:w="1340" w:type="dxa"/>
            <w:vAlign w:val="bottom"/>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440" w:type="dxa"/>
            <w:vAlign w:val="bottom"/>
            <w:gridSpan w:val="2"/>
          </w:tcPr>
          <w:p>
            <w:pPr>
              <w:jc w:val="right"/>
              <w:ind w:right="109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0"/>
        </w:trPr>
        <w:tc>
          <w:tcPr>
            <w:tcW w:w="6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-43815</wp:posOffset>
            </wp:positionV>
            <wp:extent cx="262572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6">
                      <a:extLst>
                        <a:ext uri="{28A0092B-C50C-407E-A947-70E740481C1C}"/>
                      </a:extLst>
                    </a:blip>
                    <a:srcRect/>
                    <a:stretch>
                      <a:fillRect/>
                    </a:stretch>
                  </pic:blipFill>
                  <pic:spPr bwMode="auto">
                    <a:xfrm>
                      <a:off x="0" y="0"/>
                      <a:ext cx="2625725" cy="5080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Indirect Tax-Related Matters </w:t>
      </w:r>
      <w:r>
        <w:rPr>
          <w:rFonts w:ascii="Times New Roman" w:cs="Times New Roman" w:eastAsia="Times New Roman" w:hAnsi="Times New Roman"/>
          <w:sz w:val="20"/>
          <w:szCs w:val="20"/>
          <w:color w:val="auto"/>
        </w:rPr>
        <w:t>Tax matters not subject to the provision of Accounting Standards Codification 740,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Taxes" that pertain to value added taxes, customs, duties, sales tax, property taxes, and other non-income tax exposures are evaluated globally. For indirect tax-related matters, we estimate our reasonably possible loss in excess of amounts accrued to be up to $7.0 billion at December 31, 2025.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Emissions-Related Uncertainties </w:t>
      </w:r>
      <w:r>
        <w:rPr>
          <w:rFonts w:ascii="Times New Roman" w:cs="Times New Roman" w:eastAsia="Times New Roman" w:hAnsi="Times New Roman"/>
          <w:sz w:val="20"/>
          <w:szCs w:val="20"/>
          <w:color w:val="auto"/>
        </w:rPr>
        <w:t>We are subject to state and federal governmental regulations, as well as regulations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governments outside of the U.S., relating to fuel economy standards and GHG emissions. There are several methods to comply with these regulations that we have utilized and may continue to utilize, including, but not limited to, increasing production and sales of certain vehicles; curtailing production of certain vehicles; certain technology changes; the purchase of credits from third parties; and/or the payment of civil penalties. Recently, the U.S. Government began to take actions to reduce the stringency and/ or scope of these regulations. During the year ended December 31, 2025, the Act set the civil penalties for noncompliance with CAFE standards to zero for all non-finalized model years, and NHTSA submitted a proposal for the 2022–2031 model years that would reduce the stringency from what was previously finalized. The EPA also proposed to remove GHG regulations for light-, medium-, and heavy-duty on-highway vehicles on a retrospective and prospective basis. We expect any final action to alter U.S. CAFE and/or GHG regulations to be subject to legal challenges that could result in the revised rules being vacated until conclusion of the legal proceedings, which is unlikely to occur in the near term.</w:t>
      </w:r>
    </w:p>
    <w:p>
      <w:pPr>
        <w:spacing w:after="0" w:line="206"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Under current regulations, shortfalls to certain emissions standards could result in legal or regulatory proceedings, the recall or decertification of one or more of our products, negotiated remedial actions, fines and penalties, and/or restricted product offerings. Based on our current and forecasted sales mix, we currently have, and expect to continue to have shortfalls in complying with current U.S. regulations. We recorded compliance-related costs of $0.9 billion, $1.0 billion, and $0.7 billion in the years ended December 31, 2025, 2024, and 2023 in Automotive and other cost of sales. Our compliance-related costs in the year ended December 31, 2025 include an insignificant charge to write off acquired CAFE credits and $0.4 billion related to the GHG regulations that the EPA has proposed to remove. Additional compliance costs, under current regulations, including potential fines and penalties, are not reasonably estimable and could be substantial. In the years ended December 31, 2025, 2024, and 2023, we paid $0.4 billion, $2.0 billion, and $0.5 billion to purchase credits to facilitate our compliance with regulations. At December 31, 2025 and 2024, the carrying amount of our acquired credits was $1.4 billion and $2.1 billion, of which we expect that $1.1 billion may be subject to impairment in the near term should the EPA remove GHG regulations.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447" w:right="9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17. Income Taxes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center"/>
              <w:ind w:left="5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income (loss)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9,715</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6,284</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Non-U.S. income (loss)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3,159</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4,119</w:t>
            </w:r>
          </w:p>
        </w:tc>
      </w:tr>
      <w:tr>
        <w:trPr>
          <w:trHeight w:val="28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3,117</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8,519</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10,403</w:t>
            </w:r>
          </w:p>
        </w:tc>
      </w:tr>
      <w:tr>
        <w:trPr>
          <w:trHeight w:val="20"/>
        </w:trPr>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5"/>
        </w:trPr>
        <w:tc>
          <w:tcPr>
            <w:tcW w:w="6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5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Current income tax expense (benefit)</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133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202</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240</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490</w:t>
            </w: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1,243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676</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874</w:t>
            </w:r>
          </w:p>
        </w:tc>
      </w:tr>
      <w:tr>
        <w:trPr>
          <w:trHeight w:val="28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1,188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1,605</w:t>
            </w:r>
          </w:p>
        </w:tc>
      </w:tr>
      <w:tr>
        <w:trPr>
          <w:trHeight w:val="292"/>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income tax expense (benefit)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891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376</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w:t>
            </w:r>
          </w:p>
        </w:tc>
      </w:tr>
      <w:tr>
        <w:trPr>
          <w:trHeight w:val="28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(1,249)</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1,368</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(1,041)</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338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2,556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563</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-2571115</wp:posOffset>
            </wp:positionV>
            <wp:extent cx="260667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7">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8">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Non-U.S. deferred income tax benefit in the year ended December 31, 2023 relates primarily to the release of a valuation allowance in Korea.</w:t>
      </w:r>
    </w:p>
    <w:p>
      <w:pPr>
        <w:spacing w:after="0" w:line="178"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$7.6 billion and $6.1 billion at December 31, 2025 and 2024. We have indefinitely reinvested basis differences related to investments in non-consolidated China JVs of $1.4 billion at December 31, 2025 and December 31, 2024 as a result of fresh-start reporting. Quantification of the deferred tax liability, if any, associated with indefinitely reinvested basis differences is not practicable. Refer to Note 8 for additional information regarding the decrease in our basis differences related to investments in nonconsolidated affiliates from fresh-start reporting.</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447" w:right="980" w:bottom="0" w:gutter="0" w:footer="0" w:header="0"/>
          <w:type w:val="continuous"/>
        </w:sectPr>
      </w:pPr>
    </w:p>
    <w:bookmarkStart w:id="97" w:name="page98"/>
    <w:bookmarkEnd w:id="9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261"/>
        </w:trPr>
        <w:tc>
          <w:tcPr>
            <w:tcW w:w="7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In USD</w:t>
            </w:r>
          </w:p>
        </w:tc>
        <w:tc>
          <w:tcPr>
            <w:tcW w:w="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 of Pre-tax</w:t>
            </w:r>
          </w:p>
        </w:tc>
        <w:tc>
          <w:tcPr>
            <w:tcW w:w="0" w:type="dxa"/>
            <w:vAlign w:val="bottom"/>
          </w:tcPr>
          <w:p>
            <w:pPr>
              <w:spacing w:after="0"/>
              <w:rPr>
                <w:sz w:val="1"/>
                <w:szCs w:val="1"/>
                <w:color w:val="auto"/>
              </w:rPr>
            </w:pPr>
          </w:p>
        </w:tc>
      </w:tr>
      <w:tr>
        <w:trPr>
          <w:trHeight w:val="214"/>
        </w:trPr>
        <w:tc>
          <w:tcPr>
            <w:tcW w:w="7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9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and local tax expense(a)</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Foreign tax effects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China</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Mexico</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Statutory tax rate difference between Mexico and U.S.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3"/>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Germany</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Changes in tax laws or rates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0" w:type="dxa"/>
            <w:vAlign w:val="bottom"/>
          </w:tcPr>
          <w:p>
            <w:pPr>
              <w:spacing w:after="0"/>
              <w:rPr>
                <w:sz w:val="1"/>
                <w:szCs w:val="1"/>
                <w:color w:val="auto"/>
              </w:rPr>
            </w:pPr>
          </w:p>
        </w:tc>
      </w:tr>
      <w:tr>
        <w:trPr>
          <w:trHeight w:val="293"/>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Effect of changes in tax laws or rates enacted in the current period</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Tax credits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IRA credits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307"/>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322"/>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Equity income or loss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0" w:type="dxa"/>
            <w:vAlign w:val="bottom"/>
          </w:tcPr>
          <w:p>
            <w:pPr>
              <w:spacing w:after="0"/>
              <w:rPr>
                <w:sz w:val="1"/>
                <w:szCs w:val="1"/>
                <w:color w:val="auto"/>
              </w:rPr>
            </w:pPr>
          </w:p>
        </w:tc>
      </w:tr>
      <w:tr>
        <w:trPr>
          <w:trHeight w:val="305"/>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 adjustments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0" w:type="dxa"/>
            <w:vAlign w:val="bottom"/>
          </w:tcPr>
          <w:p>
            <w:pPr>
              <w:spacing w:after="0"/>
              <w:rPr>
                <w:sz w:val="1"/>
                <w:szCs w:val="1"/>
                <w:color w:val="auto"/>
              </w:rPr>
            </w:pPr>
          </w:p>
        </w:tc>
      </w:tr>
      <w:tr>
        <w:trPr>
          <w:trHeight w:val="295"/>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10.8 %</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-189865</wp:posOffset>
            </wp:positionV>
            <wp:extent cx="196850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9">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ind w:left="370" w:right="20" w:hanging="370"/>
        <w:spacing w:after="0" w:line="283" w:lineRule="auto"/>
        <w:tabs>
          <w:tab w:leader="none" w:pos="3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Michigan, Illinois, Florida, New Jersey, Pennsylvania, Minnesota, and Wisconsin made up the majority of the tax effect in this category.</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70"/>
          </w:cols>
          <w:pgMar w:left="990" w:top="447" w:right="980" w:bottom="0" w:gutter="0" w:footer="0" w:header="0"/>
          <w:type w:val="continuous"/>
        </w:sectPr>
      </w:pPr>
    </w:p>
    <w:bookmarkStart w:id="98" w:name="page99"/>
    <w:bookmarkEnd w:id="9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040" w:type="dxa"/>
            <w:vAlign w:val="bottom"/>
            <w:tcBorders>
              <w:bottom w:val="single" w:sz="8" w:color="auto"/>
            </w:tcBorders>
            <w:gridSpan w:val="5"/>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5"/>
        </w:trPr>
        <w:tc>
          <w:tcPr>
            <w:tcW w:w="7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Income tax expense at U.S. federal statutory income tax rate</w:t>
            </w:r>
          </w:p>
        </w:tc>
        <w:tc>
          <w:tcPr>
            <w:tcW w:w="9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2,185</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and local tax expense (benefit)</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r>
      <w:tr>
        <w:trPr>
          <w:trHeight w:val="30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Non-U.S. income taxed at other than the U.S. federal statutory tax rate</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 tax impact on Non-U.S. income and activities</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0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Change in valuation allowances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(1,061)</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 in tax laws</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0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General business credits and manufacturing incentives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(966)</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Settlements of prior year tax matters</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0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Realization of basis differences in affiliates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currency remeasurement</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0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Equity income or loss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9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Other adjustments</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8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9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4563745</wp:posOffset>
            </wp:positionH>
            <wp:positionV relativeFrom="paragraph">
              <wp:posOffset>-43815</wp:posOffset>
            </wp:positionV>
            <wp:extent cx="195897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0">
                      <a:extLst>
                        <a:ext uri="{28A0092B-C50C-407E-A947-70E740481C1C}"/>
                      </a:extLst>
                    </a:blip>
                    <a:srcRect/>
                    <a:stretch>
                      <a:fillRect/>
                    </a:stretch>
                  </pic:blipFill>
                  <pic:spPr bwMode="auto">
                    <a:xfrm>
                      <a:off x="0" y="0"/>
                      <a:ext cx="1958975" cy="50800"/>
                    </a:xfrm>
                    <a:prstGeom prst="rect">
                      <a:avLst/>
                    </a:prstGeom>
                    <a:noFill/>
                  </pic:spPr>
                </pic:pic>
              </a:graphicData>
            </a:graphic>
          </wp:anchor>
        </w:drawing>
      </w:r>
    </w:p>
    <w:p>
      <w:pPr>
        <w:spacing w:after="0" w:line="83" w:lineRule="exact"/>
        <w:rPr>
          <w:sz w:val="20"/>
          <w:szCs w:val="20"/>
          <w:color w:val="auto"/>
        </w:rPr>
      </w:pPr>
    </w:p>
    <w:p>
      <w:pPr>
        <w:jc w:val="both"/>
        <w:ind w:left="1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Deferred Income Tax Assets and Liabilities </w:t>
      </w:r>
      <w:r>
        <w:rPr>
          <w:rFonts w:ascii="Times New Roman" w:cs="Times New Roman" w:eastAsia="Times New Roman" w:hAnsi="Times New Roman"/>
          <w:sz w:val="20"/>
          <w:szCs w:val="20"/>
          <w:color w:val="auto"/>
        </w:rPr>
        <w:t>Deferred income tax assets and liabilities at December 31, 2025 and 2024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 of temporary 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1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8"/>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7"/>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Postretirement benefits other than pensions</w:t>
            </w:r>
          </w:p>
        </w:tc>
        <w:tc>
          <w:tcPr>
            <w:tcW w:w="5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1,024</w:t>
            </w:r>
          </w:p>
        </w:tc>
      </w:tr>
      <w:tr>
        <w:trPr>
          <w:trHeight w:val="293"/>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Pension and other employee benefit plans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r>
      <w:tr>
        <w:trPr>
          <w:trHeight w:val="307"/>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Warranties, dealer and customer allowances, claims, and discounts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4,803</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4,215</w:t>
            </w:r>
          </w:p>
        </w:tc>
      </w:tr>
      <w:tr>
        <w:trPr>
          <w:trHeight w:val="293"/>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 capitalized research expenditures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10,111</w:t>
            </w:r>
          </w:p>
        </w:tc>
      </w:tr>
      <w:tr>
        <w:trPr>
          <w:trHeight w:val="307"/>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U.S. operating loss and tax credit carryforwards(a)</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6,582</w:t>
            </w:r>
          </w:p>
        </w:tc>
      </w:tr>
      <w:tr>
        <w:trPr>
          <w:trHeight w:val="293"/>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Non-U.S. operating loss and tax credit carryforwards(b)</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5,239</w:t>
            </w:r>
          </w:p>
        </w:tc>
      </w:tr>
      <w:tr>
        <w:trPr>
          <w:trHeight w:val="307"/>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Deferred revenue</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1,565</w:t>
            </w:r>
          </w:p>
        </w:tc>
      </w:tr>
      <w:tr>
        <w:trPr>
          <w:trHeight w:val="290"/>
        </w:trPr>
        <w:tc>
          <w:tcPr>
            <w:tcW w:w="7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Miscellaneous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3,429</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2,737</w:t>
            </w:r>
          </w:p>
        </w:tc>
      </w:tr>
      <w:tr>
        <w:trPr>
          <w:trHeight w:val="29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deferred tax assets before valuation allowances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34,936</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32,894</w:t>
            </w:r>
          </w:p>
        </w:tc>
      </w:tr>
      <w:tr>
        <w:trPr>
          <w:trHeight w:val="290"/>
        </w:trPr>
        <w:tc>
          <w:tcPr>
            <w:tcW w:w="7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Less: valuation allowances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(6,842)</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(6,529)</w:t>
            </w:r>
          </w:p>
        </w:tc>
      </w:tr>
      <w:tr>
        <w:trPr>
          <w:trHeight w:val="290"/>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28,094</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26,365</w:t>
            </w:r>
          </w:p>
        </w:tc>
      </w:tr>
      <w:tr>
        <w:trPr>
          <w:trHeight w:val="279"/>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6"/>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5,087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5,111</w:t>
            </w:r>
          </w:p>
        </w:tc>
      </w:tr>
      <w:tr>
        <w:trPr>
          <w:trHeight w:val="290"/>
        </w:trPr>
        <w:tc>
          <w:tcPr>
            <w:tcW w:w="7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r>
      <w:tr>
        <w:trPr>
          <w:trHeight w:val="280"/>
        </w:trPr>
        <w:tc>
          <w:tcPr>
            <w:tcW w:w="7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5,718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5,746</w:t>
            </w:r>
          </w:p>
        </w:tc>
      </w:tr>
      <w:tr>
        <w:trPr>
          <w:trHeight w:val="260"/>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deferred tax assets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22,376</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20,619</w:t>
            </w:r>
          </w:p>
        </w:tc>
      </w:tr>
      <w:tr>
        <w:trPr>
          <w:trHeight w:val="20"/>
        </w:trPr>
        <w:tc>
          <w:tcPr>
            <w:tcW w:w="7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-43815</wp:posOffset>
            </wp:positionV>
            <wp:extent cx="197802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1">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both"/>
        <w:ind w:left="370" w:right="20" w:hanging="370"/>
        <w:spacing w:after="0" w:line="250" w:lineRule="auto"/>
        <w:tabs>
          <w:tab w:leader="none" w:pos="3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U.S. operating loss deferred tax assets were $385 million, where $129 million can be carried forward indefinitely and $256 million will expire by 2045, if not utilized. At December 31, 2025, U.S. tax credit carryforwards were $6.9 billion, where $484 million can be carried forward indefinitely and $6.4 billion will expire by 2045, if not utilized.</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66" w:lineRule="auto"/>
        <w:tabs>
          <w:tab w:leader="none" w:pos="3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Non-U.S. operating loss deferred tax assets were $5.5 billion, where $5.1 billion can be carried forward indefinitely and $339 million will expire by 2045, if not utilized. At December 31, 2025, Non-U.S. tax credit carryforwards were $67 million, all of which will expire by 2045, if not utilized.</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70"/>
          </w:cols>
          <w:pgMar w:left="990" w:top="447" w:right="9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Valuation Allowances </w:t>
      </w:r>
      <w:r>
        <w:rPr>
          <w:rFonts w:ascii="Times New Roman" w:cs="Times New Roman" w:eastAsia="Times New Roman" w:hAnsi="Times New Roman"/>
          <w:sz w:val="20"/>
          <w:szCs w:val="20"/>
          <w:color w:val="auto"/>
        </w:rPr>
        <w:t>During the years ended December 31, 2025 and 2024, valuation allowances against deferred tax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$6.8 billion and $6.5 billion were comprised of cumulative losses, credits, and other timing differences, primarily in Germany, Spain, the U.S., and Brazil.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Uncertain Tax Positions </w:t>
      </w:r>
      <w:r>
        <w:rPr>
          <w:rFonts w:ascii="Times New Roman" w:cs="Times New Roman" w:eastAsia="Times New Roman" w:hAnsi="Times New Roman"/>
          <w:sz w:val="20"/>
          <w:szCs w:val="20"/>
          <w:color w:val="auto"/>
        </w:rPr>
        <w:t>The following table summarizes activity of the total amounts of unrecognized tax benefits: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80" w:type="dxa"/>
            <w:vAlign w:val="bottom"/>
            <w:shd w:val="clear" w:color="auto" w:fill="CCEEFF"/>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586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585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520</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to current year tax positions</w:t>
            </w:r>
          </w:p>
        </w:tc>
        <w:tc>
          <w:tcPr>
            <w:tcW w:w="880" w:type="dxa"/>
            <w:vAlign w:val="bottom"/>
          </w:tcPr>
          <w:p>
            <w:pPr>
              <w:spacing w:after="0"/>
              <w:rPr>
                <w:sz w:val="24"/>
                <w:szCs w:val="24"/>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Additions to prior years' tax positions</w:t>
            </w: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72</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Reductions to prior years' tax positions</w:t>
            </w: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Reductions in tax positions due to lapse of statutory limitations</w:t>
            </w: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Settlements</w:t>
            </w: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8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88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585</w:t>
            </w:r>
          </w:p>
        </w:tc>
      </w:tr>
      <w:tr>
        <w:trPr>
          <w:trHeight w:val="20"/>
        </w:trPr>
        <w:tc>
          <w:tcPr>
            <w:tcW w:w="6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2">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At December 31, 2025 and 2024, there were $417 million and $415 million of unrecognized tax benefits that if recognized would favorably affect our effective tax rate in the future. In the years ended December 31, 2025, 2024, and 2023, income tax-related interest and penalties were insignificant. At December 31, 2025 and 2024, liabilities for income tax-related interest and penalties were insignificant.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Paid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87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90"/>
        </w:trPr>
        <w:tc>
          <w:tcPr>
            <w:tcW w:w="8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federal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277</w:t>
            </w:r>
          </w:p>
        </w:tc>
      </w:tr>
      <w:tr>
        <w:trPr>
          <w:trHeight w:val="293"/>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state</w:t>
            </w:r>
          </w:p>
        </w:tc>
        <w:tc>
          <w:tcPr>
            <w:tcW w:w="24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314</w:t>
            </w:r>
          </w:p>
        </w:tc>
      </w:tr>
      <w:tr>
        <w:trPr>
          <w:trHeight w:val="297"/>
        </w:trPr>
        <w:tc>
          <w:tcPr>
            <w:tcW w:w="8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Non-U.S.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957</w:t>
            </w:r>
          </w:p>
        </w:tc>
      </w:tr>
      <w:tr>
        <w:trPr>
          <w:trHeight w:val="260"/>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income taxes paid, net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1,548</w:t>
            </w:r>
          </w:p>
        </w:tc>
      </w:tr>
      <w:tr>
        <w:trPr>
          <w:trHeight w:val="20"/>
        </w:trPr>
        <w:tc>
          <w:tcPr>
            <w:tcW w:w="8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-43815</wp:posOffset>
            </wp:positionV>
            <wp:extent cx="96837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3">
                      <a:extLst>
                        <a:ext uri="{28A0092B-C50C-407E-A947-70E740481C1C}"/>
                      </a:extLst>
                    </a:blip>
                    <a:srcRect/>
                    <a:stretch>
                      <a:fillRect/>
                    </a:stretch>
                  </pic:blipFill>
                  <pic:spPr bwMode="auto">
                    <a:xfrm>
                      <a:off x="0" y="0"/>
                      <a:ext cx="968375" cy="50800"/>
                    </a:xfrm>
                    <a:prstGeom prst="rect">
                      <a:avLst/>
                    </a:prstGeom>
                    <a:noFill/>
                  </pic:spPr>
                </pic:pic>
              </a:graphicData>
            </a:graphic>
          </wp:anchor>
        </w:drawing>
      </w:r>
    </w:p>
    <w:p>
      <w:pPr>
        <w:spacing w:after="0" w:line="22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Income taxes paid, net, for the periods ended December 31, 2024 and 2023 were $1.5 billion and $1.7 billion. Income taxes paid exceeds 5% of total income taxes paid, net of refunds, in the following jurisdictions. No individual state represents 5% of the total income taxes paid.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876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84"/>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6"/>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Canada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364</w:t>
            </w:r>
          </w:p>
        </w:tc>
      </w:tr>
      <w:tr>
        <w:trPr>
          <w:trHeight w:val="287"/>
        </w:trPr>
        <w:tc>
          <w:tcPr>
            <w:tcW w:w="8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Mexico</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354</w:t>
            </w:r>
          </w:p>
        </w:tc>
      </w:tr>
    </w:tbl>
    <w:p>
      <w:pPr>
        <w:spacing w:after="0" w:line="2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Other Matters </w:t>
      </w:r>
      <w:r>
        <w:rPr>
          <w:rFonts w:ascii="Times New Roman" w:cs="Times New Roman" w:eastAsia="Times New Roman" w:hAnsi="Times New Roman"/>
          <w:sz w:val="20"/>
          <w:szCs w:val="20"/>
          <w:color w:val="auto"/>
        </w:rPr>
        <w:t>Income tax returns are filed in multiple jurisdictions and are subject to examination by taxing authorities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throughout the world. We have open tax years from 2011 to 2025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60"/>
          </w:cols>
          <w:pgMar w:left="1000" w:top="447" w:right="9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18. Restructuring and Other Initiatives</w:t>
      </w:r>
    </w:p>
    <w:p>
      <w:pPr>
        <w:spacing w:after="0" w:line="57"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0"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reserves and charges related to restructuring and other initiatives, including postemployment benefit reserves and charges: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1,243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779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520</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interest accretion, and other</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4,939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1,790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1,831</w:t>
            </w: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Payments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(2,141)</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(1,597)</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Revisions to estimates and effect of foreign currency</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w:t>
            </w: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3,948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1,243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779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7"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We have made significant investments and contractual commitments in the development of EVs to help our vehicle fleet comply with emissions and fuel economy regulations that were scheduled to become increasingly stringent. Following recent U.S. Government policy changes, including the termination of certain consumer tax incentives for EV purchases and the reduction in the stringency of emissions regulations, industry-wide consumer demand for EVs in North America began to slow in 2025. In the three months ended September 30, 2025 and December 31, 2025, we reassessed our EV capacity and manufacturing footprint to align to expected consumer demand and U.S. Government policy and recorded charges of $1.6 billion and $6.0 billion. For the year ended December 31, 2025, we recorded total charges in GMNA of $7.9 billion. These charges include non-cash impairment and other charges of $3.2 billion, which are not reflected in the table above and cash related charges of $4.7 billion, of which $4.3 billion are reflected in the table above,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We incurred cash outflows of $400 million in the year ended December 31, 2025 related to these charges. While we have completed the reassessment of our EV capacity and manufacturing footprint, we expect to recognize additional material cash and non-cash charges in 2026 related to continued commercial negotiations with our supply base. We expect such charges will be significantly less than the EV-related charges incurred in 2025. In addition, should the EPA remove GHG regulations, we expect that $1.1 billion of the total $1.4 billion carrying amount of our acquired credits may be subject to impairment in the near term.</w:t>
      </w:r>
    </w:p>
    <w:p>
      <w:pPr>
        <w:spacing w:after="0" w:line="215"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In the years ended December 31, 2025, 2024, and 2023, restructuring and other initiatives included strategic activities in GMNA related to Buick dealerships. We recorded no charges and incurred $718 million in cash outflows resulting from these dealer restructurings in the year ended December 31, 2025, in addition to the charges of $964 million and $569 million and cash outflows of $530 million and $674 million in the years ended December 31, 2024 and 2023. Cumulatively, we have incurred charges of approximately $2.0 billion and cash outflows of $2.0 billion related to this initiative, which is complete as of December 31, 2025.</w:t>
      </w:r>
    </w:p>
    <w:p>
      <w:pPr>
        <w:spacing w:after="0" w:line="20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to combine the Cruise and GM technical efforts to advance autonomous and assisted driving, Cruise recorded net charges before noncontrolling interest of $522 million, which included net non-cash restructuring charges of $173 million. The non-cash restructuring charges are not reflected in the table above. In the year ended December</w:t>
      </w:r>
    </w:p>
    <w:p>
      <w:pPr>
        <w:sectPr>
          <w:pgSz w:w="12240" w:h="15840" w:orient="portrait"/>
          <w:cols w:equalWidth="0" w:num="1">
            <w:col w:w="10260"/>
          </w:cols>
          <w:pgMar w:left="1000" w:top="447" w:right="980" w:bottom="0" w:gutter="0" w:footer="0" w:header="0"/>
        </w:sect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447" w:right="9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31, 2025, we incurred $347 million of cash outflows and reversed $76 million of restructuring accruals associated with Cruise. Cumulatively, we have incurred $633 million of cash outflows resulting from these restructuring activities. These restructuring activities are complete as of December 31, 2025.</w:t>
      </w:r>
    </w:p>
    <w:p>
      <w:pPr>
        <w:spacing w:after="0" w:line="195"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color w:val="auto"/>
        </w:rPr>
        <w:t>In March 2023, we announced a voluntary separation program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We incurred insignificant cash outflows in the year ended December 31, 2024 and cash outflows of $820 million in the year ended December 31, 2023. This program is complete as of December 31, 2024.</w:t>
      </w:r>
    </w:p>
    <w:p>
      <w:pPr>
        <w:spacing w:after="0" w:line="202"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2024, we recorded restructuring charges of $200 million, primarily in GMNA, related to employee separations.</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We incurred insignificant cash outflows in the year ended December 31, 2025 and cash outflows of $163 million in the year ended December 31, 2024. This program is substantially complete as of December 31, 2025.</w:t>
      </w:r>
    </w:p>
    <w:p>
      <w:pPr>
        <w:spacing w:after="0" w:line="19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the years ended December 31, 2025 and 2024, we announced various restructuring actions in GMI and recorded restructuring charges before noncontrolling interest of $170 million in 2024 primarily due to our decision to close our manufacturing operations in Colombia and Ecuador. The $170 million restructuring charges primarily related to employee separations and supplier-related charges of $88 million, which are included in the table above, and non-cash restructuring charges of $79 million primarily related to accelerated depreciation and amortization, which are not reflected in the table above. We incurred insignificant cash outflows in the years ended December 31, 2025 and 2024, and the 2024 program is substantially complete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Interest Income and Other Non-Operating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Non-service pension and OPEB income (loss)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244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191</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184</w:t>
            </w:r>
          </w:p>
        </w:tc>
      </w:tr>
      <w:tr>
        <w:trPr>
          <w:trHeight w:val="30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1,109</w:t>
            </w:r>
          </w:p>
        </w:tc>
      </w:tr>
      <w:tr>
        <w:trPr>
          <w:trHeight w:val="322"/>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Licensing agreements income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196</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172</w:t>
            </w:r>
          </w:p>
        </w:tc>
      </w:tr>
      <w:tr>
        <w:trPr>
          <w:trHeight w:val="30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Revaluation of investments</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149</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interest income and other non-operating income, net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1,537</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5">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Stockholders’ Equity and Noncontrolling Interests</w:t>
      </w:r>
    </w:p>
    <w:p>
      <w:pPr>
        <w:spacing w:after="0" w:line="25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have 2.0 billion shares of preferred stock and 5.0 billion shares of common stock authorized for issuance. We had no shares of preferred stock issued and outstanding at December 31, 2025 and 2024. We had 904 million and 995 million shares of common stock issued and outstanding at December 31, 2025 and 2024.</w:t>
      </w:r>
    </w:p>
    <w:p>
      <w:pPr>
        <w:spacing w:after="0" w:line="19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Common Stock </w:t>
      </w:r>
      <w:r>
        <w:rPr>
          <w:rFonts w:ascii="Times New Roman" w:cs="Times New Roman" w:eastAsia="Times New Roman" w:hAnsi="Times New Roman"/>
          <w:sz w:val="20"/>
          <w:szCs w:val="20"/>
          <w:color w:val="auto"/>
        </w:rPr>
        <w:t>Holders of our common stock are entitled to dividends at the sole discretion of our Board of Directors.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dividends declared per common share were $0.57, $0.48, and $0.36 and our total dividends paid on common stock were $538 million, $530 million, and $477 million for the years ended December 31, 2025, 2024, and 2023.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06"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the year ended December 31, 2023, we entered into ASR agreements to repurchase an aggregate amount of $10.0 billion of our common stock under our authorized share repurchase program, and immediately received and retired 215 million shares of our common stock. In the year ended December 31, 2024, we received and retired 29 million additional shares upon settlement of the transactions contemplated under the ASR agreements. Upon settlement, the amount over par was allocated on a pro-rata basis, between Additional paid-in capital and Retained earnings.</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60"/>
          </w:cols>
          <w:pgMar w:left="1000" w:top="447" w:right="9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In February 2025, our Board of Directors increased the capacity under our existing share repurchase program by $6.0 billion to an aggregate of $6.3 billion, which was used to execute an ASR program to repurchase an aggregate amount of $2.0 billion of our outstanding common stock. Pursuant to the agreements entered into in connection with the ASR, we advanced the $2.0 billion and received an initial delivery of approximately 33 million shares of our common stock with a value of $1.6 billion, which were immediately retired. In the year ended December 31, 2025, we received and retired 43 million shares upon settlement of the transactions contemplated under these ASR agreements. The final number of shares received was based on the average of the daily volume-weighted average prices of our common stock during the term of the ASR agreements, less a discount pursuant to the terms and conditions of the ASR agreements. Upon settlement, the amount over par was allocated on a pro-rata basis, between Additional paid-in capital and Retained earnings.</w:t>
      </w:r>
    </w:p>
    <w:p>
      <w:pPr>
        <w:spacing w:after="0" w:line="209"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In January 2026, our Board of Directors increased the capacity under our existing share repurchase program by $6.0 billion to an aggregate of $6.3 billion.</w:t>
      </w:r>
    </w:p>
    <w:p>
      <w:pPr>
        <w:spacing w:after="0" w:line="178"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In the years ended December 31, 2025, 2024, and 2023, in addition to shares received under the ASR programs, we purchased approximately 61 million, 140 million, and 30 million shares of our outstanding common stock for $4.0 billion, $7.1 billion, and $1.1 billion. Shares are immediately retired upon purchase and the amount of the purchase price over par is allocated on a pro-rata basis, subject to the availability of paid-in capital calculated on a per-share basis, between Additional paid-in capital and Retained earnings.</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Cruise Common and Preferred Shares </w:t>
      </w:r>
      <w:r>
        <w:rPr>
          <w:rFonts w:ascii="Times New Roman" w:cs="Times New Roman" w:eastAsia="Times New Roman" w:hAnsi="Times New Roman"/>
          <w:sz w:val="20"/>
          <w:szCs w:val="20"/>
          <w:color w:val="auto"/>
        </w:rPr>
        <w:t>In February 2025, we acquired all of the Cruise common shares and Cruise Class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Class G Preferred Shares held by noncontrolling shareholders for an insignificant amount. We have completed the process of compensating the former Cruise Shareholders.</w:t>
      </w:r>
    </w:p>
    <w:p>
      <w:pPr>
        <w:spacing w:after="0" w:line="19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The effect on the equity attributable to us for changes in our ownership interest in Cruise was insignificant in the years ended December 31, 2025 and 2023, and a decrease in Additional paid-in capital of $0.9 billion during the year ended December 31, 2024. Net income attributable to shareholders and transfers to the noncontrolling interest in Cruise and other subsidiaries was $3.2 billion, which included a $538 million increase in equity attributable to us primarily due to the redemption of Cruise preferred shares in the year ended December 31, 2025; $7.0 billion, which included a $1.0 billion increase in equity attributable to us primarily due to the redemption of Cruise preferred shares in the year ended December 31, 2024; and $10.3 billion in the year ended December 31, 2023.</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60"/>
          </w:cols>
          <w:pgMar w:left="1000" w:top="447"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87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the significant components of Accumulated other comprehensive loss: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Foreign Currency Translation Adjustments</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(3,630)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(2,776)</w:t>
            </w:r>
          </w:p>
        </w:tc>
        <w:tc>
          <w:tcPr>
            <w:tcW w:w="0" w:type="dxa"/>
            <w:vAlign w:val="bottom"/>
          </w:tcPr>
          <w:p>
            <w:pPr>
              <w:spacing w:after="0"/>
              <w:rPr>
                <w:sz w:val="1"/>
                <w:szCs w:val="1"/>
                <w:color w:val="auto"/>
              </w:rPr>
            </w:pPr>
          </w:p>
        </w:tc>
      </w:tr>
      <w:tr>
        <w:trPr>
          <w:trHeight w:val="251"/>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interests, net of</w:t>
            </w:r>
          </w:p>
        </w:tc>
        <w:tc>
          <w:tcPr>
            <w:tcW w:w="320" w:type="dxa"/>
            <w:vAlign w:val="bottom"/>
          </w:tcPr>
          <w:p>
            <w:pPr>
              <w:spacing w:after="0"/>
              <w:rPr>
                <w:sz w:val="21"/>
                <w:szCs w:val="21"/>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353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319</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reclassification adjustment and tax(a)(b)(c)</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(3,630)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Defined Benefit Plans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(7,669)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(7,665)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(4,851)</w:t>
            </w:r>
          </w:p>
        </w:tc>
        <w:tc>
          <w:tcPr>
            <w:tcW w:w="0" w:type="dxa"/>
            <w:vAlign w:val="bottom"/>
          </w:tcPr>
          <w:p>
            <w:pPr>
              <w:spacing w:after="0"/>
              <w:rPr>
                <w:sz w:val="1"/>
                <w:szCs w:val="1"/>
                <w:color w:val="auto"/>
              </w:rPr>
            </w:pPr>
          </w:p>
        </w:tc>
      </w:tr>
      <w:tr>
        <w:trPr>
          <w:trHeight w:val="251"/>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interests before</w:t>
            </w:r>
          </w:p>
        </w:tc>
        <w:tc>
          <w:tcPr>
            <w:tcW w:w="320" w:type="dxa"/>
            <w:vAlign w:val="bottom"/>
          </w:tcPr>
          <w:p>
            <w:pPr>
              <w:spacing w:after="0"/>
              <w:rPr>
                <w:sz w:val="21"/>
                <w:szCs w:val="21"/>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0" w:type="dxa"/>
            <w:vAlign w:val="bottom"/>
          </w:tcPr>
          <w:p>
            <w:pPr>
              <w:spacing w:after="0"/>
              <w:rPr>
                <w:sz w:val="1"/>
                <w:szCs w:val="1"/>
                <w:color w:val="auto"/>
              </w:rPr>
            </w:pPr>
          </w:p>
        </w:tc>
      </w:tr>
      <w:tr>
        <w:trPr>
          <w:trHeight w:val="268"/>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reclassification adjustment(a)</w:t>
            </w: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Tax benefit (expense)</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838</w:t>
            </w:r>
          </w:p>
        </w:tc>
        <w:tc>
          <w:tcPr>
            <w:tcW w:w="0" w:type="dxa"/>
            <w:vAlign w:val="bottom"/>
          </w:tcPr>
          <w:p>
            <w:pPr>
              <w:spacing w:after="0"/>
              <w:rPr>
                <w:sz w:val="1"/>
                <w:szCs w:val="1"/>
                <w:color w:val="auto"/>
              </w:rPr>
            </w:pPr>
          </w:p>
        </w:tc>
      </w:tr>
      <w:tr>
        <w:trPr>
          <w:trHeight w:val="223"/>
        </w:trPr>
        <w:tc>
          <w:tcPr>
            <w:tcW w:w="6180" w:type="dxa"/>
            <w:vAlign w:val="bottom"/>
          </w:tcPr>
          <w:p>
            <w:pPr>
              <w:ind w:left="40"/>
              <w:spacing w:after="0" w:line="223" w:lineRule="exact"/>
              <w:rPr>
                <w:sz w:val="20"/>
                <w:szCs w:val="20"/>
                <w:color w:val="auto"/>
              </w:rPr>
            </w:pPr>
            <w:r>
              <w:rPr>
                <w:rFonts w:ascii="Times New Roman" w:cs="Times New Roman" w:eastAsia="Times New Roman" w:hAnsi="Times New Roman"/>
                <w:sz w:val="20"/>
                <w:szCs w:val="20"/>
                <w:color w:val="auto"/>
              </w:rPr>
              <w:t>Other comprehensive income (loss) and noncontrolling interests before</w:t>
            </w:r>
          </w:p>
        </w:tc>
        <w:tc>
          <w:tcPr>
            <w:tcW w:w="320" w:type="dxa"/>
            <w:vAlign w:val="bottom"/>
          </w:tcPr>
          <w:p>
            <w:pPr>
              <w:spacing w:after="0"/>
              <w:rPr>
                <w:sz w:val="19"/>
                <w:szCs w:val="19"/>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(2,868)</w:t>
            </w:r>
          </w:p>
        </w:tc>
        <w:tc>
          <w:tcPr>
            <w:tcW w:w="0" w:type="dxa"/>
            <w:vAlign w:val="bottom"/>
          </w:tcPr>
          <w:p>
            <w:pPr>
              <w:spacing w:after="0"/>
              <w:rPr>
                <w:sz w:val="1"/>
                <w:szCs w:val="1"/>
                <w:color w:val="auto"/>
              </w:rPr>
            </w:pPr>
          </w:p>
        </w:tc>
      </w:tr>
      <w:tr>
        <w:trPr>
          <w:trHeight w:val="268"/>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reclassification adjustment, net of tax(a)</w:t>
            </w: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Reclassification adjustment, net of tax(c)</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47"/>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339</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(2,814)</w:t>
            </w:r>
          </w:p>
        </w:tc>
        <w:tc>
          <w:tcPr>
            <w:tcW w:w="0" w:type="dxa"/>
            <w:vAlign w:val="bottom"/>
          </w:tcPr>
          <w:p>
            <w:pPr>
              <w:spacing w:after="0"/>
              <w:rPr>
                <w:sz w:val="1"/>
                <w:szCs w:val="1"/>
                <w:color w:val="auto"/>
              </w:rPr>
            </w:pPr>
          </w:p>
        </w:tc>
      </w:tr>
      <w:tr>
        <w:trPr>
          <w:trHeight w:val="265"/>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(7,330)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(7,669)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(7,665)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Unrealized Gain (Loss) on Cash Flow Hedges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5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 before</w:t>
            </w:r>
          </w:p>
        </w:tc>
        <w:tc>
          <w:tcPr>
            <w:tcW w:w="320" w:type="dxa"/>
            <w:vAlign w:val="bottom"/>
          </w:tcPr>
          <w:p>
            <w:pPr>
              <w:spacing w:after="0"/>
              <w:rPr>
                <w:sz w:val="21"/>
                <w:szCs w:val="21"/>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899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67"/>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reclassification adjustment, net of tax(a)(c)</w:t>
            </w: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Reclassification adjustment, net of tax(c)</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420</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7"/>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of tax(a)(c)</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5"/>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226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-3396615</wp:posOffset>
            </wp:positionV>
            <wp:extent cx="260667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6">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-1463040</wp:posOffset>
            </wp:positionV>
            <wp:extent cx="260667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7">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-43815</wp:posOffset>
            </wp:positionV>
            <wp:extent cx="260667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8">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370" w:hanging="370"/>
        <w:spacing w:after="0"/>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interests were insignificant in the years ended December 31, 2025, 2024, and 2023.</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adjustment was insignificant in the years ended December 31, 2025, 2024, and 2023.</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 was insignificant in the years ended December 31, 2025, 2024, and 2023.</w:t>
      </w:r>
    </w:p>
    <w:p>
      <w:pPr>
        <w:spacing w:after="0" w:line="9" w:lineRule="exact"/>
        <w:rPr>
          <w:rFonts w:ascii="Times New Roman" w:cs="Times New Roman" w:eastAsia="Times New Roman" w:hAnsi="Times New Roman"/>
          <w:sz w:val="18"/>
          <w:szCs w:val="18"/>
          <w:color w:val="auto"/>
        </w:rPr>
      </w:pPr>
    </w:p>
    <w:p>
      <w:pPr>
        <w:ind w:left="350" w:hanging="350"/>
        <w:spacing w:after="0"/>
        <w:tabs>
          <w:tab w:leader="none" w:pos="3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unamortized actuarial loss on our defined benefit plans.</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70"/>
          </w:cols>
          <w:pgMar w:left="990" w:top="447" w:right="980" w:bottom="0" w:gutter="0" w:footer="0" w:header="0"/>
          <w:type w:val="continuous"/>
        </w:sectPr>
      </w:pPr>
    </w:p>
    <w:bookmarkStart w:id="104" w:name="page105"/>
    <w:bookmarkEnd w:id="10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0"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21. Earnings Per Share</w:t>
      </w:r>
    </w:p>
    <w:p>
      <w:pPr>
        <w:spacing w:after="0" w:line="5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Basic and diluted EPS are computed by dividing Net income attributable to common stockholders by the weighted-average common shares outstanding in the period. Diluted EPS is computed by giving effect to all potentially dilutive securities that are outstanding using the treasury stock method for awards under stock incentive plans.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 earnings per share</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stockholders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2,697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6,008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10,127</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Adjustments(a)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1,181</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common stockholders</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3,180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7,189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10,022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955</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1,115</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1,364</w:t>
            </w:r>
          </w:p>
        </w:tc>
      </w:tr>
      <w:tr>
        <w:trPr>
          <w:trHeight w:val="75"/>
        </w:trPr>
        <w:tc>
          <w:tcPr>
            <w:tcW w:w="6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30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6.45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7.35</w:t>
            </w:r>
          </w:p>
        </w:tc>
      </w:tr>
      <w:tr>
        <w:trPr>
          <w:trHeight w:val="27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Diluted earnings per share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common stockholders – diluted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3,180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7,189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10,022</w:t>
            </w:r>
          </w:p>
        </w:tc>
      </w:tr>
      <w:tr>
        <w:trPr>
          <w:trHeight w:val="75"/>
        </w:trPr>
        <w:tc>
          <w:tcPr>
            <w:tcW w:w="6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30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 – basic</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955</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1,115</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1,364</w:t>
            </w: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Dilutive effect of awards under stock incentive plans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 – diluted</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973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1,129</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1,369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5"/>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3.27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6.37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7.32</w:t>
            </w:r>
          </w:p>
        </w:tc>
      </w:tr>
      <w:tr>
        <w:trPr>
          <w:trHeight w:val="75"/>
        </w:trPr>
        <w:tc>
          <w:tcPr>
            <w:tcW w:w="6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30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Potentially dilutive securities(b)</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23</w:t>
            </w:r>
          </w:p>
        </w:tc>
      </w:tr>
      <w:tr>
        <w:trPr>
          <w:trHeight w:val="26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-2132965</wp:posOffset>
            </wp:positionV>
            <wp:extent cx="260667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9">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-666115</wp:posOffset>
            </wp:positionV>
            <wp:extent cx="260667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0">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ind w:left="370" w:hanging="370"/>
        <w:spacing w:after="0" w:line="250"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$593 million and $1.2 billion return from the preferred shareholders related to the redemption of Cruise preferred shares from noncontrolling interest holders for the years ended December 31, 2025 and 2024.</w:t>
      </w:r>
    </w:p>
    <w:p>
      <w:pPr>
        <w:ind w:left="370" w:right="20" w:hanging="370"/>
        <w:spacing w:after="0" w:line="283"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securities attributable to outstanding stock options and RSUs at December 31, 2023 were excluded from the computation of diluted EPS because the securities would have had an antidilutive effect.</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22. Stock Incentive Plans</w:t>
      </w:r>
    </w:p>
    <w:p>
      <w:pPr>
        <w:spacing w:after="0" w:line="253"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GM Stock Incentive Awards </w:t>
      </w:r>
      <w:r>
        <w:rPr>
          <w:rFonts w:ascii="Times New Roman" w:cs="Times New Roman" w:eastAsia="Times New Roman" w:hAnsi="Times New Roman"/>
          <w:sz w:val="20"/>
          <w:szCs w:val="20"/>
          <w:color w:val="auto"/>
        </w:rPr>
        <w:t>We grant to certain employees RSUs, PSUs, and stock options (collectively, stock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under our 2020 LTIP and prior to the 2020 LTIP, under our 2017 and 2014 LTIP. To the extent any shares remain available for issuance under the 2017 LTIP and/or the 2014 LTIP, such shares will only be used to settle outstanding awards that were previously granted under such plans prior to the approval of the 2020 LTIP in June 2020. The awards under the plans are subject to forfeiture if the participant leaves the Company for reasons other than those permitted under the plans such as retirement, death, or disability.</w:t>
      </w:r>
    </w:p>
    <w:p>
      <w:pPr>
        <w:spacing w:after="0" w:line="206"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color w:val="auto"/>
        </w:rPr>
        <w:t>RSU awards granted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or units paid in cash, may equal, exceed, or be less than the targeted number depending on whether the performance criteria are met, surpassed, or not met. Our service-based stock options vest ratably over three years. Stock options expire 10 years from the grant date.</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70"/>
          </w:cols>
          <w:pgMar w:left="990" w:top="447" w:right="9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Equity-Classified Awards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15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60" w:type="dxa"/>
            <w:vAlign w:val="bottom"/>
          </w:tcPr>
          <w:p>
            <w:pPr>
              <w:spacing w:after="0"/>
              <w:rPr>
                <w:sz w:val="13"/>
                <w:szCs w:val="13"/>
                <w:color w:val="auto"/>
              </w:rPr>
            </w:pPr>
          </w:p>
        </w:tc>
        <w:tc>
          <w:tcPr>
            <w:tcW w:w="15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90"/>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Units outstanding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0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31.52</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93"/>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50.88</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Settled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0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26.56</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20" w:type="dxa"/>
            <w:vAlign w:val="bottom"/>
            <w:tcBorders>
              <w:bottom w:val="single" w:sz="8" w:color="CCEEFF"/>
            </w:tcBorders>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w w:val="97"/>
              </w:rPr>
              <w:t>46.51</w:t>
            </w: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Units outstanding at December 31, 2025(a)</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0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39.01</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-43815</wp:posOffset>
            </wp:positionV>
            <wp:extent cx="97790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1">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the target amount of PSUs.</w:t>
      </w:r>
    </w:p>
    <w:p>
      <w:pPr>
        <w:spacing w:after="0" w:line="243"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There were no stock options issued during the years ended December 31, 2025 and 2024. Our weighted-average assumptions used to value our stock options are a dividend yield of 1.90%, expected volatility of 34.0%, a risk-free interest rate of 3.70%, and an expected option life of 6.00 years for options issued during the year ended December 31, 2023. The expected volatility is based on the average of the implied volatility of publicly traded options for our common stock.</w:t>
      </w:r>
    </w:p>
    <w:p>
      <w:pPr>
        <w:spacing w:after="0" w:line="200" w:lineRule="exact"/>
        <w:rPr>
          <w:sz w:val="20"/>
          <w:szCs w:val="20"/>
          <w:color w:val="auto"/>
        </w:rPr>
      </w:pPr>
    </w:p>
    <w:p>
      <w:pPr>
        <w:jc w:val="both"/>
        <w:ind w:right="20" w:firstLine="180"/>
        <w:spacing w:after="0" w:line="283" w:lineRule="auto"/>
        <w:rPr>
          <w:sz w:val="20"/>
          <w:szCs w:val="20"/>
          <w:color w:val="auto"/>
        </w:rPr>
      </w:pPr>
      <w:r>
        <w:rPr>
          <w:rFonts w:ascii="Times New Roman" w:cs="Times New Roman" w:eastAsia="Times New Roman" w:hAnsi="Times New Roman"/>
          <w:sz w:val="20"/>
          <w:szCs w:val="20"/>
          <w:color w:val="auto"/>
        </w:rPr>
        <w:t>Total compensation expense related to the above awards was $334 million, $332 million, and $340 million in the years ended December 31, 2025, 2024, and 2023.</w:t>
      </w:r>
    </w:p>
    <w:p>
      <w:pPr>
        <w:spacing w:after="0" w:line="17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At December 31, 2025, the total unrecognized compensation expense for nonvested equity awards granted was $267 million. This expense is expected to be recorded over a weighted-average period of 1.6 years. The total fair value of stock incentive awards vested was $349 million, $257 million, and $425 million in the years ended December 31, 2025, 2024, and 2023.</w:t>
      </w:r>
    </w:p>
    <w:p>
      <w:pPr>
        <w:spacing w:after="0" w:line="190"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Liability-Classified Awards </w:t>
      </w:r>
      <w:r>
        <w:rPr>
          <w:rFonts w:ascii="Times New Roman" w:cs="Times New Roman" w:eastAsia="Times New Roman" w:hAnsi="Times New Roman"/>
          <w:sz w:val="20"/>
          <w:szCs w:val="20"/>
          <w:color w:val="auto"/>
        </w:rPr>
        <w:t>We grant certain employees stock incentive awards that are payable in cash. The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expense and cash paid to settle these awards was insignificant in the years ended December 31, 2025, 2024, and 2023.</w:t>
      </w:r>
    </w:p>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Cruise Stock Incentive Awards </w:t>
      </w:r>
      <w:r>
        <w:rPr>
          <w:rFonts w:ascii="Times New Roman" w:cs="Times New Roman" w:eastAsia="Times New Roman" w:hAnsi="Times New Roman"/>
          <w:sz w:val="20"/>
          <w:szCs w:val="20"/>
          <w:color w:val="auto"/>
        </w:rPr>
        <w:t>Cruise granted RSUs that settled in common shares of Cruise Holdings in the years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2024 and 2023. Beginning in March 2022, holders of Cruise Class B Common Shares issued to settle vested awards could tender their shares. A final tender offer was completed in April 2024, after which substantially all remaining outstanding unvested Cruise RSUs were exchanged by participants for unvested cash payment rights. No remaining Cruise RSUs are outstanding.</w:t>
      </w:r>
    </w:p>
    <w:p>
      <w:pPr>
        <w:spacing w:after="0" w:line="203"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Total compensation expense related to Cruise Holdings' share-based awards was insignificant for the years ended December 31, 2025 and 2024, and was $0.4 billion for the year ended December 31, 2023. GM conducted quarterly tender offers and paid approximately $0.2 billion and $0.3 billion in cash to settle tendered Cruise Class B Common Shares during the years ended December 31, 2024 and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Segment Reporting</w:t>
      </w:r>
    </w:p>
    <w:p>
      <w:pPr>
        <w:spacing w:after="0" w:line="25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operations through EBIT-adjusted, which is presented net of noncontrolling interests. Our chief operating decision-maker evaluates GM Financial through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ectPr>
          <w:pgSz w:w="12240" w:h="15840" w:orient="portrait"/>
          <w:cols w:equalWidth="0" w:num="1">
            <w:col w:w="10260"/>
          </w:cols>
          <w:pgMar w:left="1000" w:top="447" w:right="980" w:bottom="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60"/>
          </w:cols>
          <w:pgMar w:left="1000" w:top="447" w:right="980" w:bottom="0" w:gutter="0" w:footer="0" w:header="0"/>
          <w:type w:val="continuous"/>
        </w:sectPr>
      </w:pPr>
    </w:p>
    <w:bookmarkStart w:id="106" w:name="page107"/>
    <w:bookmarkEnd w:id="10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left="10" w:firstLine="180"/>
        <w:spacing w:after="0" w:line="255" w:lineRule="auto"/>
        <w:rPr>
          <w:sz w:val="20"/>
          <w:szCs w:val="20"/>
          <w:color w:val="auto"/>
        </w:rPr>
      </w:pPr>
      <w:r>
        <w:rPr>
          <w:rFonts w:ascii="Times New Roman" w:cs="Times New Roman" w:eastAsia="Times New Roman" w:hAnsi="Times New Roman"/>
          <w:sz w:val="20"/>
          <w:szCs w:val="20"/>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0" w:lineRule="exact"/>
        <w:rPr>
          <w:sz w:val="20"/>
          <w:szCs w:val="20"/>
          <w:color w:val="auto"/>
        </w:rPr>
      </w:pPr>
    </w:p>
    <w:p>
      <w:pPr>
        <w:jc w:val="both"/>
        <w:ind w:left="10" w:firstLine="180"/>
        <w:spacing w:after="0" w:line="254" w:lineRule="auto"/>
        <w:rPr>
          <w:sz w:val="20"/>
          <w:szCs w:val="20"/>
          <w:color w:val="auto"/>
        </w:rPr>
      </w:pPr>
      <w:r>
        <w:rPr>
          <w:rFonts w:ascii="Times New Roman" w:cs="Times New Roman" w:eastAsia="Times New Roman" w:hAnsi="Times New Roman"/>
          <w:sz w:val="20"/>
          <w:szCs w:val="20"/>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AV technology until, in December 2024, we announced plans to refocus our autonomous driving strategy on personal vehicles and no longer fund Cruise's robotaxi development work. Cruise activity includes ongoing costs to be incurred related to the wind down of the robotaxi business. We have combined the GM and Cruise ongoing personal autonomous technical efforts in our GMNA segment. We provide automotive financing services through our GM Financial segment.</w:t>
      </w:r>
    </w:p>
    <w:p>
      <w:pPr>
        <w:spacing w:after="0" w:line="209" w:lineRule="exact"/>
        <w:rPr>
          <w:sz w:val="20"/>
          <w:szCs w:val="20"/>
          <w:color w:val="auto"/>
        </w:rPr>
      </w:pPr>
    </w:p>
    <w:p>
      <w:pPr>
        <w:jc w:val="both"/>
        <w:ind w:left="10" w:firstLine="180"/>
        <w:spacing w:after="0" w:line="261" w:lineRule="auto"/>
        <w:rPr>
          <w:sz w:val="20"/>
          <w:szCs w:val="20"/>
          <w:color w:val="auto"/>
        </w:rPr>
      </w:pPr>
      <w:r>
        <w:rPr>
          <w:rFonts w:ascii="Times New Roman" w:cs="Times New Roman" w:eastAsia="Times New Roman" w:hAnsi="Times New Roman"/>
          <w:sz w:val="20"/>
          <w:szCs w:val="20"/>
          <w:color w:val="auto"/>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200"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tables summarize key financial information by segment:</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GMNA</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 Financial</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sales and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184,805</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(143,866)</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before interest and taxes-adjusted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13,718</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Adjustments(b)</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(9,627)</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Eliminations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3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0"/>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-43815</wp:posOffset>
            </wp:positionV>
            <wp:extent cx="86360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2">
                      <a:extLst>
                        <a:ext uri="{28A0092B-C50C-407E-A947-70E740481C1C}"/>
                      </a:extLst>
                    </a:blip>
                    <a:srcRect/>
                    <a:stretch>
                      <a:fillRect/>
                    </a:stretch>
                  </pic:blipFill>
                  <pic:spPr bwMode="auto">
                    <a:xfrm>
                      <a:off x="0" y="0"/>
                      <a:ext cx="863600" cy="50800"/>
                    </a:xfrm>
                    <a:prstGeom prst="rect">
                      <a:avLst/>
                    </a:prstGeom>
                    <a:noFill/>
                  </pic:spPr>
                </pic:pic>
              </a:graphicData>
            </a:graphic>
          </wp:anchor>
        </w:drawing>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GM</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90"/>
              <w:spacing w:after="0" w:line="150"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GMNA</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60" w:type="dxa"/>
            <w:vAlign w:val="bottom"/>
          </w:tcPr>
          <w:p>
            <w:pPr>
              <w:spacing w:after="0"/>
              <w:rPr>
                <w:sz w:val="12"/>
                <w:szCs w:val="12"/>
                <w:color w:val="auto"/>
              </w:rPr>
            </w:pPr>
          </w:p>
        </w:tc>
        <w:tc>
          <w:tcPr>
            <w:tcW w:w="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17,060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184,805</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185,019</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1,117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5,377</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5,681</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4,366</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4,366</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162,079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138,820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324,110</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(73,419)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281,284</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9,206</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9,303</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11,936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11,980</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2,609</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2,609</w:t>
            </w:r>
          </w:p>
        </w:tc>
        <w:tc>
          <w:tcPr>
            <w:tcW w:w="0" w:type="dxa"/>
            <w:vAlign w:val="bottom"/>
          </w:tcPr>
          <w:p>
            <w:pPr>
              <w:spacing w:after="0"/>
              <w:rPr>
                <w:sz w:val="1"/>
                <w:szCs w:val="1"/>
                <w:color w:val="auto"/>
              </w:rPr>
            </w:pPr>
          </w:p>
        </w:tc>
      </w:tr>
      <w:tr>
        <w:trPr>
          <w:trHeight w:val="22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9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70" w:hanging="370"/>
        <w:spacing w:after="0" w:line="250" w:lineRule="auto"/>
        <w:tabs>
          <w:tab w:leader="none" w:pos="37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spacing w:after="0" w:line="1" w:lineRule="exact"/>
        <w:rPr>
          <w:rFonts w:ascii="Times New Roman" w:cs="Times New Roman" w:eastAsia="Times New Roman" w:hAnsi="Times New Roman"/>
          <w:sz w:val="14"/>
          <w:szCs w:val="14"/>
          <w:color w:val="auto"/>
        </w:rPr>
      </w:pPr>
    </w:p>
    <w:p>
      <w:pPr>
        <w:ind w:left="370" w:hanging="370"/>
        <w:spacing w:after="0" w:line="250" w:lineRule="auto"/>
        <w:tabs>
          <w:tab w:leader="none" w:pos="37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for our EV strategic realignment, legal matters, and Cruise restructuring activities in GMNA; China restructuring actions in GMNA and GMI; and separation and exit costs in GMI.</w:t>
      </w:r>
    </w:p>
    <w:p>
      <w:pPr>
        <w:jc w:val="both"/>
        <w:ind w:left="370" w:hanging="370"/>
        <w:spacing w:after="0" w:line="266" w:lineRule="auto"/>
        <w:tabs>
          <w:tab w:leader="none" w:pos="37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loss associated with our Automotive China JVs includes impacts of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ectPr>
          <w:pgSz w:w="12240" w:h="15840" w:orient="portrait"/>
          <w:cols w:equalWidth="0" w:num="1">
            <w:col w:w="10270"/>
          </w:cols>
          <w:pgMar w:left="990" w:top="447" w:right="980" w:bottom="0" w:gutter="0" w:footer="0" w:header="0"/>
        </w:sectPr>
      </w:pPr>
    </w:p>
    <w:p>
      <w:pPr>
        <w:spacing w:after="0" w:line="17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70"/>
          </w:cols>
          <w:pgMar w:left="990" w:top="447" w:right="980" w:bottom="0" w:gutter="0" w:footer="0" w:header="0"/>
          <w:type w:val="continuous"/>
        </w:sectPr>
      </w:pPr>
    </w:p>
    <w:bookmarkStart w:id="107" w:name="page108"/>
    <w:bookmarkEnd w:id="10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GMNA</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 Financial</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sales and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187,532</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(142,981)</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before interest and taxes-adjusted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16,095</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Adjustments(b)</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Eliminations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3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0"/>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-43815</wp:posOffset>
            </wp:positionV>
            <wp:extent cx="86360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3">
                      <a:extLst>
                        <a:ext uri="{28A0092B-C50C-407E-A947-70E740481C1C}"/>
                      </a:extLst>
                    </a:blip>
                    <a:srcRect/>
                    <a:stretch>
                      <a:fillRect/>
                    </a:stretch>
                  </pic:blipFill>
                  <pic:spPr bwMode="auto">
                    <a:xfrm>
                      <a:off x="0" y="0"/>
                      <a:ext cx="863600" cy="50800"/>
                    </a:xfrm>
                    <a:prstGeom prst="rect">
                      <a:avLst/>
                    </a:prstGeom>
                    <a:noFill/>
                  </pic:spPr>
                </pic:pic>
              </a:graphicData>
            </a:graphic>
          </wp:anchor>
        </w:drawing>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GM</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90"/>
              <w:spacing w:after="0" w:line="150"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GMNA</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60" w:type="dxa"/>
            <w:vAlign w:val="bottom"/>
          </w:tcPr>
          <w:p>
            <w:pPr>
              <w:spacing w:after="0"/>
              <w:rPr>
                <w:sz w:val="12"/>
                <w:szCs w:val="12"/>
                <w:color w:val="auto"/>
              </w:rPr>
            </w:pPr>
          </w:p>
        </w:tc>
        <w:tc>
          <w:tcPr>
            <w:tcW w:w="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15,875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187,532</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187,442</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1,206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7,102</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7,102</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4,551</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4,551</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165,905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139,156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329,778</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279,761</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10,711</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10,830</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4,883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11,376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22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29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70" w:hanging="370"/>
        <w:spacing w:after="0" w:line="250" w:lineRule="auto"/>
        <w:tabs>
          <w:tab w:leader="none" w:pos="37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Automotive segments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spacing w:after="0" w:line="1" w:lineRule="exact"/>
        <w:rPr>
          <w:rFonts w:ascii="Times New Roman" w:cs="Times New Roman" w:eastAsia="Times New Roman" w:hAnsi="Times New Roman"/>
          <w:sz w:val="14"/>
          <w:szCs w:val="14"/>
          <w:color w:val="auto"/>
        </w:rPr>
      </w:pPr>
    </w:p>
    <w:p>
      <w:pPr>
        <w:ind w:left="370" w:hanging="370"/>
        <w:spacing w:after="0" w:line="250" w:lineRule="auto"/>
        <w:tabs>
          <w:tab w:leader="none" w:pos="37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related to the Buick dealerships and restructuring actions in GMNA; charges related to manufacturing operations wind down in GMI; China restructuring actions in GMI, GMNA, and GM Financial; and charges related to Cruise restructuring and Cruise realignment.</w:t>
      </w:r>
    </w:p>
    <w:p>
      <w:pPr>
        <w:jc w:val="both"/>
        <w:ind w:left="370" w:hanging="370"/>
        <w:spacing w:after="0" w:line="266" w:lineRule="auto"/>
        <w:tabs>
          <w:tab w:leader="none" w:pos="37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loss associated with our Automotive China JVs includes impacts of the other-than-temporary impairment and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70"/>
          </w:cols>
          <w:pgMar w:left="990" w:top="447" w:right="980" w:bottom="0" w:gutter="0" w:footer="0" w:header="0"/>
          <w:type w:val="continuous"/>
        </w:sectPr>
      </w:pPr>
    </w:p>
    <w:bookmarkStart w:id="108" w:name="page109"/>
    <w:bookmarkEnd w:id="10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GMNA</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 Financial</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sales and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141,445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171,720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(129,139)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before interest and taxes-adjusted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Adjustments(b)</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Eliminations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23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0"/>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-43815</wp:posOffset>
            </wp:positionV>
            <wp:extent cx="86360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4">
                      <a:extLst>
                        <a:ext uri="{28A0092B-C50C-407E-A947-70E740481C1C}"/>
                      </a:extLst>
                    </a:blip>
                    <a:srcRect/>
                    <a:stretch>
                      <a:fillRect/>
                    </a:stretch>
                  </pic:blipFill>
                  <pic:spPr bwMode="auto">
                    <a:xfrm>
                      <a:off x="0" y="0"/>
                      <a:ext cx="863600" cy="50800"/>
                    </a:xfrm>
                    <a:prstGeom prst="rect">
                      <a:avLst/>
                    </a:prstGeom>
                    <a:noFill/>
                  </pic:spPr>
                </pic:pic>
              </a:graphicData>
            </a:graphic>
          </wp:anchor>
        </w:drawing>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GM</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90"/>
              <w:spacing w:after="0" w:line="150"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GMNA</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60" w:type="dxa"/>
            <w:vAlign w:val="bottom"/>
          </w:tcPr>
          <w:p>
            <w:pPr>
              <w:spacing w:after="0"/>
              <w:rPr>
                <w:sz w:val="12"/>
                <w:szCs w:val="12"/>
                <w:color w:val="auto"/>
              </w:rPr>
            </w:pPr>
          </w:p>
        </w:tc>
        <w:tc>
          <w:tcPr>
            <w:tcW w:w="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171,720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171,842</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10,613</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10,613</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4,862</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4,862</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130,780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317,468</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273,064</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10,757</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10,970</w:t>
            </w:r>
          </w:p>
        </w:tc>
        <w:tc>
          <w:tcPr>
            <w:tcW w:w="0" w:type="dxa"/>
            <w:vAlign w:val="bottom"/>
          </w:tcPr>
          <w:p>
            <w:pPr>
              <w:spacing w:after="0"/>
              <w:rPr>
                <w:sz w:val="1"/>
                <w:szCs w:val="1"/>
                <w:color w:val="auto"/>
              </w:rPr>
            </w:pPr>
          </w:p>
        </w:tc>
      </w:tr>
      <w:tr>
        <w:trPr>
          <w:trHeight w:val="23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4,944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11,717</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11,737</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209</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2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773</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9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70" w:hanging="370"/>
        <w:spacing w:after="0" w:line="250"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Automotive segments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spacing w:after="0" w:line="1" w:lineRule="exact"/>
        <w:rPr>
          <w:rFonts w:ascii="Times New Roman" w:cs="Times New Roman" w:eastAsia="Times New Roman" w:hAnsi="Times New Roman"/>
          <w:sz w:val="14"/>
          <w:szCs w:val="14"/>
          <w:color w:val="auto"/>
        </w:rPr>
      </w:pPr>
    </w:p>
    <w:p>
      <w:pPr>
        <w:ind w:left="370" w:hanging="370"/>
        <w:spacing w:after="0" w:line="250"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related to the VSP and strategic activities related to Buick dealerships in GMNA; the gain associated with India asset sales and the partial resolution of Korean subcontractor matters in GMI; and charges related to Cruise restructuring.</w:t>
      </w:r>
    </w:p>
    <w:p>
      <w:pPr>
        <w:ind w:left="370" w:hanging="370"/>
        <w:spacing w:after="0" w:line="283"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178"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85" w:lineRule="exact"/>
        <w:rPr>
          <w:sz w:val="20"/>
          <w:szCs w:val="20"/>
          <w:color w:val="auto"/>
        </w:rPr>
      </w:pPr>
    </w:p>
    <w:tbl>
      <w:tblPr>
        <w:tblLayout w:type="fixed"/>
        <w:tblInd w:w="30" w:type="dxa"/>
        <w:tblCellMar>
          <w:top w:w="0" w:type="dxa"/>
          <w:left w:w="0" w:type="dxa"/>
          <w:bottom w:w="0" w:type="dxa"/>
          <w:right w:w="0" w:type="dxa"/>
        </w:tblCellMar>
      </w:tblPr>
      <w:tr>
        <w:trPr>
          <w:trHeight w:val="219"/>
        </w:trPr>
        <w:tc>
          <w:tcPr>
            <w:tcW w:w="3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10"/>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At and For the Years Ended December 31,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5"/>
        </w:trPr>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20"/>
                <w:szCs w:val="20"/>
                <w:color w:val="auto"/>
              </w:rPr>
            </w:pP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10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Long-Lived</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1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Long-Lived</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7"/>
              </w:rPr>
              <w:t>Long-Lived</w:t>
            </w: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284"/>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140,536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127,472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34,142</w:t>
            </w:r>
          </w:p>
        </w:tc>
      </w:tr>
      <w:tr>
        <w:trPr>
          <w:trHeight w:val="294"/>
        </w:trPr>
        <w:tc>
          <w:tcPr>
            <w:tcW w:w="3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Non-U.S.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16,054</w:t>
            </w:r>
          </w:p>
        </w:tc>
      </w:tr>
      <w:tr>
        <w:trPr>
          <w:trHeight w:val="306"/>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GM Financial</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4"/>
        </w:trPr>
        <w:tc>
          <w:tcPr>
            <w:tcW w:w="3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27,397</w:t>
            </w:r>
          </w:p>
        </w:tc>
      </w:tr>
      <w:tr>
        <w:trPr>
          <w:trHeight w:val="296"/>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Non-U.S.</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3,309</w:t>
            </w:r>
          </w:p>
        </w:tc>
      </w:t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consolidated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80,903</w:t>
            </w:r>
          </w:p>
        </w:tc>
      </w:tr>
      <w:tr>
        <w:trPr>
          <w:trHeight w:val="20"/>
        </w:trPr>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2058670</wp:posOffset>
            </wp:positionH>
            <wp:positionV relativeFrom="paragraph">
              <wp:posOffset>-43815</wp:posOffset>
            </wp:positionV>
            <wp:extent cx="445452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5">
                      <a:extLst>
                        <a:ext uri="{28A0092B-C50C-407E-A947-70E740481C1C}"/>
                      </a:extLst>
                    </a:blip>
                    <a:srcRect/>
                    <a:stretch>
                      <a:fillRect/>
                    </a:stretch>
                  </pic:blipFill>
                  <pic:spPr bwMode="auto">
                    <a:xfrm>
                      <a:off x="0" y="0"/>
                      <a:ext cx="4454525" cy="50800"/>
                    </a:xfrm>
                    <a:prstGeom prst="rect">
                      <a:avLst/>
                    </a:prstGeom>
                    <a:noFill/>
                  </pic:spPr>
                </pic:pic>
              </a:graphicData>
            </a:graphic>
          </wp:anchor>
        </w:drawing>
      </w:r>
    </w:p>
    <w:p>
      <w:pPr>
        <w:spacing w:after="0" w:line="32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No individual country other than the U.S. represented more than 10% of our total net sales and revenue or long-lived assets, other than Mexico, whose long-lived assets as a percentage of our total long-lived assets were approximately 11% at December 31, 2025 and approximately 12% at December 31, 2024 and 2023.</w:t>
      </w:r>
    </w:p>
    <w:p>
      <w:pPr>
        <w:sectPr>
          <w:pgSz w:w="12240" w:h="15840" w:orient="portrait"/>
          <w:cols w:equalWidth="0" w:num="1">
            <w:col w:w="10270"/>
          </w:cols>
          <w:pgMar w:left="99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70"/>
          </w:cols>
          <w:pgMar w:left="990" w:top="447" w:right="9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90" w:lineRule="exact"/>
        <w:rPr>
          <w:sz w:val="20"/>
          <w:szCs w:val="20"/>
          <w:color w:val="auto"/>
        </w:rPr>
      </w:pPr>
    </w:p>
    <w:p>
      <w:pPr>
        <w:ind w:right="1880" w:firstLine="1870"/>
        <w:spacing w:after="0" w:line="412"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24. Supplemental Information for the Consolidated Statements of Cash Flows</w:t>
      </w:r>
    </w:p>
    <w:p>
      <w:pPr>
        <w:spacing w:after="0" w:line="57" w:lineRule="exact"/>
        <w:rPr>
          <w:sz w:val="20"/>
          <w:szCs w:val="20"/>
          <w:color w:val="auto"/>
        </w:rPr>
      </w:pPr>
    </w:p>
    <w:p>
      <w:pPr>
        <w:ind w:right="20" w:firstLine="18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sources of cash provided by (used in) Change in other operating assets and liabilities and cash paid for interest: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other operating assets and liabilities</w:t>
            </w: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9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Accounts receivable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846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1,183</w:t>
            </w: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Wholesale receivables funded by GM Financial, net</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(2,982)</w:t>
            </w:r>
          </w:p>
        </w:tc>
        <w:tc>
          <w:tcPr>
            <w:tcW w:w="0" w:type="dxa"/>
            <w:vAlign w:val="bottom"/>
          </w:tcPr>
          <w:p>
            <w:pPr>
              <w:spacing w:after="0"/>
              <w:rPr>
                <w:sz w:val="1"/>
                <w:szCs w:val="1"/>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Inventories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 in other assets</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0" w:type="dxa"/>
            <w:vAlign w:val="bottom"/>
          </w:tcPr>
          <w:p>
            <w:pPr>
              <w:spacing w:after="0"/>
              <w:rPr>
                <w:sz w:val="1"/>
                <w:szCs w:val="1"/>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1,284</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 payable</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Accrued and other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6,844</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6,018</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5,582</w:t>
            </w:r>
          </w:p>
        </w:tc>
        <w:tc>
          <w:tcPr>
            <w:tcW w:w="0" w:type="dxa"/>
            <w:vAlign w:val="bottom"/>
          </w:tcPr>
          <w:p>
            <w:pPr>
              <w:spacing w:after="0"/>
              <w:rPr>
                <w:sz w:val="1"/>
                <w:szCs w:val="1"/>
                <w:color w:val="auto"/>
              </w:rPr>
            </w:pP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9,056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Cash paid for interest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Cash paid for interest (net of amounts capitalized) – Automotive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539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777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863</w:t>
            </w:r>
          </w:p>
        </w:tc>
        <w:tc>
          <w:tcPr>
            <w:tcW w:w="0" w:type="dxa"/>
            <w:vAlign w:val="bottom"/>
          </w:tcPr>
          <w:p>
            <w:pPr>
              <w:spacing w:after="0"/>
              <w:rPr>
                <w:sz w:val="1"/>
                <w:szCs w:val="1"/>
                <w:color w:val="auto"/>
              </w:rPr>
            </w:pPr>
          </w:p>
        </w:tc>
      </w:tr>
      <w:tr>
        <w:trPr>
          <w:trHeight w:val="290"/>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Cash paid for interest (net of amounts capitalized) – GM Financial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6,092</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5,406</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4,652</w:t>
            </w:r>
          </w:p>
        </w:tc>
        <w:tc>
          <w:tcPr>
            <w:tcW w:w="0" w:type="dxa"/>
            <w:vAlign w:val="bottom"/>
          </w:tcPr>
          <w:p>
            <w:pPr>
              <w:spacing w:after="0"/>
              <w:rPr>
                <w:sz w:val="1"/>
                <w:szCs w:val="1"/>
                <w:color w:val="auto"/>
              </w:rPr>
            </w:pPr>
          </w:p>
        </w:tc>
      </w:tr>
      <w:tr>
        <w:trPr>
          <w:trHeight w:val="28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cash paid for interest (net of amounts capitalized)</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6,631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6,183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5,515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-986790</wp:posOffset>
            </wp:positionV>
            <wp:extent cx="260667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6">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7">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60"/>
          </w:cols>
          <w:pgMar w:left="1000" w:top="447"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Disclosure Controls and Procedures </w:t>
      </w:r>
      <w:r>
        <w:rPr>
          <w:rFonts w:ascii="Times New Roman" w:cs="Times New Roman" w:eastAsia="Times New Roman" w:hAnsi="Times New Roman"/>
          <w:sz w:val="20"/>
          <w:szCs w:val="20"/>
          <w:color w:val="auto"/>
        </w:rPr>
        <w:t>We maintain disclosure controls and procedures designed to provide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jc w:val="both"/>
        <w:ind w:right="20" w:firstLine="225"/>
        <w:spacing w:after="0" w:line="261" w:lineRule="auto"/>
        <w:rPr>
          <w:sz w:val="20"/>
          <w:szCs w:val="20"/>
          <w:color w:val="auto"/>
        </w:rPr>
      </w:pPr>
      <w:r>
        <w:rPr>
          <w:rFonts w:ascii="Times New Roman" w:cs="Times New Roman" w:eastAsia="Times New Roman" w:hAnsi="Times New Roman"/>
          <w:sz w:val="20"/>
          <w:szCs w:val="20"/>
          <w:color w:val="auto"/>
        </w:rPr>
        <w:t>Our management, with the participation of our CEO and CFO, evaluated the effectiveness of our disclosure controls and procedures (as defined in Rules 13a-15(e) or 15d-15(e) promulgated under the Exchange Act) as of December 31, 2025 as required by paragraph (b) of Rules 13a-15 or 15d-15. Based on this evaluation, at a reasonable assurance level, our CEO and CFO concluded that our disclosure controls and procedures were effective as of December 31, 2025.</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Management's Report on Internal Control over Financial Reporting </w:t>
      </w:r>
      <w:r>
        <w:rPr>
          <w:rFonts w:ascii="Times New Roman" w:cs="Times New Roman" w:eastAsia="Times New Roman" w:hAnsi="Times New Roman"/>
          <w:sz w:val="20"/>
          <w:szCs w:val="20"/>
          <w:color w:val="auto"/>
        </w:rPr>
        <w:t>Our management is responsible for establishing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06"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20"/>
          <w:szCs w:val="20"/>
          <w:color w:val="auto"/>
        </w:rPr>
        <w:t>Our management performed an assessment of the effectiveness of our internal control over financial reporting at December 31, 2025,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2025. Based on management's assessment, at a reasonable assurance level, we have concluded that our internal control over financial reporting was effective as of December 31, 2025.</w:t>
      </w:r>
    </w:p>
    <w:p>
      <w:pPr>
        <w:spacing w:after="0" w:line="202" w:lineRule="exact"/>
        <w:rPr>
          <w:sz w:val="20"/>
          <w:szCs w:val="20"/>
          <w:color w:val="auto"/>
        </w:rPr>
      </w:pPr>
    </w:p>
    <w:p>
      <w:pPr>
        <w:jc w:val="both"/>
        <w:ind w:right="20" w:firstLine="225"/>
        <w:spacing w:after="0" w:line="28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has been audited by Ernst &amp; Young LLP (PCAOB ID: 42), an independent registered public accounting firm, as stated in its report included herein.</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Changes in Internal Control over Financial Reporting </w:t>
      </w:r>
      <w:r>
        <w:rPr>
          <w:rFonts w:ascii="Times New Roman" w:cs="Times New Roman" w:eastAsia="Times New Roman" w:hAnsi="Times New Roman"/>
          <w:sz w:val="20"/>
          <w:szCs w:val="20"/>
          <w:color w:val="auto"/>
        </w:rPr>
        <w:t>There have not been any changes in our internal control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during the three months ended December 31, 2025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60"/>
          </w:cols>
          <w:pgMar w:left="1000" w:top="447" w:right="9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4"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20"/>
          <w:szCs w:val="20"/>
          <w:color w:val="auto"/>
        </w:rPr>
        <w:t>On November 17, 2025, Mark Reuss, President, adopted a "Rule 10b5-1 trading arrangement" as such term is defined in Item 408(a) of Regulation S-K intended to satisfy Rule 10b5-1(c), to sell up to 40,000 shares of GM common stock and up to 230,058 shares of GM common stock issuable upon exercise of vested options between February 16, 2026 and December 31, 2026, subject to certain conditions.</w:t>
      </w:r>
    </w:p>
    <w:p>
      <w:pPr>
        <w:spacing w:after="0" w:line="2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 * * * *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Items 10, 11, 12, 13, and 14</w:t>
      </w:r>
    </w:p>
    <w:p>
      <w:pPr>
        <w:spacing w:after="0" w:line="257"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Information required by Items 10, 11, 12, 13, and 14 of this Form 10-K is incorporated by reference from our definitive Proxy Statement for our 2026 Annual Meeting of Stockholders, which will be filed with the SEC, pursuant to Regulation 14A, not later than 120 days after the end of the 2025 fiscal year, all of which information is hereby incorporated by reference in, and made part of, this Form 10-K, except disclosure of our executive officers, which is included in Part I, Item 1 of this report and the disclosures below regarding our Code of Conduct.</w:t>
      </w:r>
    </w:p>
    <w:p>
      <w:pPr>
        <w:spacing w:after="0" w:line="204"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Our Code of Conduct: "Winning with Integrity" applies to everyone in our Company and, as applicable, subsidiaries that GM controls and is available at https://investor.gm.com. We intend to satisfy the disclosure requirements regarding an amendment to or waiver from a provision of the Code of Conduct by posting such information on our website.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40"/>
          </w:cols>
          <w:pgMar w:left="1000" w:top="447" w:right="100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3" w:lineRule="exact"/>
        <w:rPr>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All Financial Statements and Supplemental Information</w:t>
      </w:r>
    </w:p>
    <w:p>
      <w:pPr>
        <w:spacing w:after="0" w:line="10" w:lineRule="exact"/>
        <w:rPr>
          <w:rFonts w:ascii="Times New Roman" w:cs="Times New Roman" w:eastAsia="Times New Roman" w:hAnsi="Times New Roman"/>
          <w:sz w:val="20"/>
          <w:szCs w:val="20"/>
          <w:color w:val="auto"/>
        </w:rPr>
      </w:pPr>
    </w:p>
    <w:p>
      <w:pPr>
        <w:ind w:left="920" w:hanging="210"/>
        <w:spacing w:after="0"/>
        <w:tabs>
          <w:tab w:leader="none" w:pos="9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0" w:lineRule="exact"/>
        <w:rPr>
          <w:rFonts w:ascii="Times New Roman" w:cs="Times New Roman" w:eastAsia="Times New Roman" w:hAnsi="Times New Roman"/>
          <w:sz w:val="20"/>
          <w:szCs w:val="20"/>
          <w:color w:val="auto"/>
        </w:rPr>
      </w:pPr>
    </w:p>
    <w:p>
      <w:pPr>
        <w:ind w:left="9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are omitted as the required information is inapplicable or the information is presented in the consolidated financial statements and notes thereto in Item 8.</w:t>
      </w:r>
    </w:p>
    <w:p>
      <w:pPr>
        <w:ind w:left="920" w:hanging="210"/>
        <w:spacing w:after="0"/>
        <w:tabs>
          <w:tab w:leader="none" w:pos="9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20" w:type="dxa"/>
            <w:vAlign w:val="bottom"/>
            <w:gridSpan w:val="7"/>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7880" w:type="dxa"/>
            <w:vAlign w:val="bottom"/>
            <w:tcBorders>
              <w:top w:val="single" w:sz="8" w:color="auto"/>
              <w:bottom w:val="single" w:sz="8" w:color="0000FF"/>
            </w:tcBorders>
            <w:gridSpan w:val="16"/>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FF"/>
              </w:rPr>
              <w:t>Master Agreement, dated as of March 5, 2017, between General Motors Holdings LLC and Peugeot S.A.,</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incorporated by reference to Exhibit 2.1 to the Quarterly Report on Form 10-Q of General Motors</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5"/>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0000FF"/>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9"/>
              </w:rPr>
              <w:t>Company filed April 28, 2017</w:t>
            </w:r>
          </w:p>
        </w:tc>
        <w:tc>
          <w:tcPr>
            <w:tcW w:w="5700" w:type="dxa"/>
            <w:vAlign w:val="bottom"/>
            <w:tcBorders>
              <w:bottom w:val="single" w:sz="8" w:color="CCEEFF"/>
            </w:tcBorders>
            <w:gridSpan w:val="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0000FF"/>
            </w:tcBorders>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Amended and Restated Certificate of Incorporation of General Motors Company dated June 3, 2025,</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gridSpan w:val="16"/>
          </w:tcPr>
          <w:p>
            <w:pPr>
              <w:spacing w:after="0" w:line="171" w:lineRule="exact"/>
              <w:rPr>
                <w:sz w:val="20"/>
                <w:szCs w:val="20"/>
                <w:color w:val="auto"/>
              </w:rPr>
            </w:pPr>
            <w:r>
              <w:rPr>
                <w:rFonts w:ascii="Times New Roman" w:cs="Times New Roman" w:eastAsia="Times New Roman" w:hAnsi="Times New Roman"/>
                <w:sz w:val="18"/>
                <w:szCs w:val="18"/>
                <w:color w:val="0000FF"/>
              </w:rPr>
              <w:t>incorporated by reference to Exhibit 3.1 to the Current Report on Form 8-K of General Motors Company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Borders>
              <w:top w:val="single" w:sz="8" w:color="0000FF"/>
            </w:tcBorders>
            <w:gridSpan w:val="12"/>
          </w:tcPr>
          <w:p>
            <w:pPr>
              <w:spacing w:after="0" w:line="160" w:lineRule="exact"/>
              <w:rPr>
                <w:sz w:val="20"/>
                <w:szCs w:val="20"/>
                <w:color w:val="auto"/>
              </w:rPr>
            </w:pPr>
            <w:r>
              <w:rPr>
                <w:rFonts w:ascii="Times New Roman" w:cs="Times New Roman" w:eastAsia="Times New Roman" w:hAnsi="Times New Roman"/>
                <w:sz w:val="18"/>
                <w:szCs w:val="18"/>
                <w:color w:val="0000FF"/>
              </w:rPr>
              <w:t>filed June 5, 2025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General Motors Company Amended and Restated Bylaws, as amended October 4, 2024, incorporated by</w:t>
            </w: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reference to Exhibit 3.1 to the Current Report on Form 8-K of General Motors Company filed October 9,</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4"/>
              </w:rPr>
              <w:t>2024</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gridSpan w:val="16"/>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00" w:type="dxa"/>
            <w:vAlign w:val="bottom"/>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80" w:type="dxa"/>
            <w:vAlign w:val="bottom"/>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Indenture, dated as of September 27, 2013, between General Motors Company and the Bank of New York</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20" w:type="dxa"/>
            <w:vAlign w:val="bottom"/>
            <w:tcBorders>
              <w:top w:val="single" w:sz="8" w:color="0000FF"/>
              <w:bottom w:val="single" w:sz="8" w:color="0000FF"/>
            </w:tcBorders>
            <w:gridSpan w:val="1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Mellon, as Trustee, incorporated by reference to Exhibit 4.2 to the Registration Statement on Form S-3 of</w:t>
            </w: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10"/>
        </w:trPr>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0000FF"/>
            </w:tcBorders>
            <w:gridSpan w:val="9"/>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9"/>
              </w:rPr>
              <w:t>General Motors Company filed April 30, 2014</w:t>
            </w:r>
          </w:p>
        </w:tc>
        <w:tc>
          <w:tcPr>
            <w:tcW w:w="4520" w:type="dxa"/>
            <w:vAlign w:val="bottom"/>
            <w:tcBorders>
              <w:bottom w:val="single" w:sz="8" w:color="CCEEFF"/>
            </w:tcBorders>
            <w:gridSpan w:val="7"/>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First Supplemental Indenture, dated as of September 27, 2013 to the Indenture dated as of September 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12"/>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and the Bank of New York Mellon, as Trustee, incorporated by</w:t>
            </w: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6"/>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4.3 to the Registration Statement on Form S-4 of General Motors Company filed May</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w w:val="95"/>
              </w:rPr>
              <w:t>22, 2014</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Second Supplemental Indenture, dated as of November 12, 2014 to the Indenture dated as of September 27,</w:t>
            </w: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and the Bank of New York Mellon, as Trustee, incorporated by</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80" w:type="dxa"/>
            <w:vAlign w:val="bottom"/>
            <w:tcBorders>
              <w:bottom w:val="single" w:sz="8" w:color="0000FF"/>
            </w:tcBorders>
            <w:gridSpan w:val="16"/>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4.4 to the Current Report on Form 8-K of General Motors Company filed November</w:t>
            </w: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0000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5"/>
              </w:rPr>
              <w:t>12, 2014</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00" w:type="dxa"/>
            <w:vAlign w:val="bottom"/>
            <w:tcBorders>
              <w:top w:val="single" w:sz="8" w:color="CCEEFF"/>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80" w:type="dxa"/>
            <w:vAlign w:val="bottom"/>
            <w:tcBorders>
              <w:top w:val="single" w:sz="8" w:color="CCEEFF"/>
              <w:bottom w:val="single" w:sz="8" w:color="0000FF"/>
            </w:tcBorders>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Third Supplemental Indenture, dated as of February 23, 2016, to the Indenture, dated as of September 27,</w:t>
            </w:r>
          </w:p>
        </w:tc>
        <w:tc>
          <w:tcPr>
            <w:tcW w:w="20" w:type="dxa"/>
            <w:vAlign w:val="bottom"/>
            <w:tcBorders>
              <w:top w:val="single" w:sz="8" w:color="CCEEFF"/>
              <w:bottom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tcBorders>
              <w:bottom w:val="single" w:sz="8" w:color="0000FF"/>
            </w:tcBorders>
            <w:gridSpan w:val="16"/>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6"/>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4.1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Borders>
              <w:top w:val="single" w:sz="8" w:color="0000FF"/>
            </w:tcBorders>
            <w:gridSpan w:val="12"/>
          </w:tcPr>
          <w:p>
            <w:pPr>
              <w:spacing w:after="0" w:line="160" w:lineRule="exact"/>
              <w:rPr>
                <w:sz w:val="20"/>
                <w:szCs w:val="20"/>
                <w:color w:val="auto"/>
              </w:rPr>
            </w:pPr>
            <w:r>
              <w:rPr>
                <w:rFonts w:ascii="Times New Roman" w:cs="Times New Roman" w:eastAsia="Times New Roman" w:hAnsi="Times New Roman"/>
                <w:sz w:val="18"/>
                <w:szCs w:val="18"/>
                <w:color w:val="0000FF"/>
              </w:rPr>
              <w:t>filed February 23, 2016</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Fourth Supplemental Indenture, dated as of August 7, 2017, to the Indenture, dated as of September 27,</w:t>
            </w: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8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4.1 to the Current Report on Form 8-K of General Motors Company</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0000FF"/>
              <w:bottom w:val="single" w:sz="8" w:color="0000FF"/>
            </w:tcBorders>
            <w:gridSpan w:val="4"/>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8"/>
              </w:rPr>
              <w:t>filed August 8, 2017</w:t>
            </w:r>
          </w:p>
        </w:tc>
        <w:tc>
          <w:tcPr>
            <w:tcW w:w="632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0000FF"/>
            </w:tcBorders>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Fifth Supplemental Indenture, dated as of September 10, 2018, to the Indenture, dated as of September 27,</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tcBorders>
              <w:bottom w:val="single" w:sz="8" w:color="0000FF"/>
            </w:tcBorders>
            <w:gridSpan w:val="16"/>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6"/>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4.2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Borders>
              <w:top w:val="single" w:sz="8" w:color="0000FF"/>
            </w:tcBorders>
            <w:gridSpan w:val="12"/>
          </w:tcPr>
          <w:p>
            <w:pPr>
              <w:spacing w:after="0" w:line="160" w:lineRule="exact"/>
              <w:rPr>
                <w:sz w:val="20"/>
                <w:szCs w:val="20"/>
                <w:color w:val="auto"/>
              </w:rPr>
            </w:pPr>
            <w:r>
              <w:rPr>
                <w:rFonts w:ascii="Times New Roman" w:cs="Times New Roman" w:eastAsia="Times New Roman" w:hAnsi="Times New Roman"/>
                <w:sz w:val="18"/>
                <w:szCs w:val="18"/>
                <w:color w:val="0000FF"/>
              </w:rPr>
              <w:t>filed September 10, 2018</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Sixth Supplemental Indenture, dated as of May 12, 2020, to the Indenture, dated as of September 27, 2013,</w:t>
            </w: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between General Motors Company, as issuer, and The Bank of New York Mellon, as Trustee, incorporated</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80" w:type="dxa"/>
            <w:vAlign w:val="bottom"/>
            <w:tcBorders>
              <w:bottom w:val="single" w:sz="8" w:color="0000FF"/>
            </w:tcBorders>
            <w:gridSpan w:val="16"/>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rPr>
              <w:t>by reference to Exhibit 4.2 to the Current Report on Form 8-K of General Motors Company filed May 12,</w:t>
            </w: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4"/>
              </w:rPr>
              <w:t>2020</w:t>
            </w: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Seventh Supplemental Indenture, dated as of August 2, 2022, to the Indenture, dated as of September 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14"/>
          </w:tcPr>
          <w:p>
            <w:pPr>
              <w:spacing w:after="0" w:line="171"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6"/>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4.2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8"/>
                <w:szCs w:val="18"/>
                <w:color w:val="0000FF"/>
                <w:w w:val="98"/>
              </w:rPr>
              <w:t>filed August 2, 2022</w:t>
            </w:r>
          </w:p>
        </w:tc>
        <w:tc>
          <w:tcPr>
            <w:tcW w:w="6320" w:type="dxa"/>
            <w:vAlign w:val="bottom"/>
            <w:tcBorders>
              <w:top w:val="single" w:sz="8" w:color="0000FF"/>
            </w:tcBorders>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4.10</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Eighth Supplemental Indenture, dated as of May 7, 2025, to the Indenture, dated as of September 27, 2013,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80" w:type="dxa"/>
            <w:vAlign w:val="bottom"/>
            <w:tcBorders>
              <w:bottom w:val="single" w:sz="8" w:color="0000FF"/>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between General Motors Company, as issuer, and The Bank of New York Mellon, as Trustee, incorporated</w:t>
            </w:r>
          </w:p>
        </w:tc>
        <w:tc>
          <w:tcPr>
            <w:tcW w:w="20" w:type="dxa"/>
            <w:vAlign w:val="bottom"/>
            <w:tcBorders>
              <w:bottom w:val="single" w:sz="8" w:color="0000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80" w:type="dxa"/>
            <w:vAlign w:val="bottom"/>
            <w:tcBorders>
              <w:bottom w:val="single" w:sz="8" w:color="0000FF"/>
            </w:tcBorders>
            <w:gridSpan w:val="16"/>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rPr>
              <w:t>by reference to Exhibit 4.3 to the Current Report on Form 8-K of General Motors Company filed May 7,</w:t>
            </w: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4"/>
              </w:rPr>
              <w:t>2025</w:t>
            </w: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0000FF"/>
            </w:tcBorders>
            <w:gridSpan w:val="16"/>
          </w:tcPr>
          <w:p>
            <w:pPr>
              <w:spacing w:after="0" w:line="200" w:lineRule="exact"/>
              <w:rPr>
                <w:sz w:val="20"/>
                <w:szCs w:val="20"/>
                <w:color w:val="auto"/>
              </w:rPr>
            </w:pPr>
            <w:r>
              <w:rPr>
                <w:rFonts w:ascii="Times New Roman" w:cs="Times New Roman" w:eastAsia="Times New Roman" w:hAnsi="Times New Roman"/>
                <w:sz w:val="18"/>
                <w:szCs w:val="18"/>
                <w:color w:val="0000FF"/>
              </w:rPr>
              <w:t>Calculation Agency Agreement, dated as of September 10, 2018 between General Motors Company and</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gridSpan w:val="16"/>
          </w:tcPr>
          <w:p>
            <w:pPr>
              <w:spacing w:after="0" w:line="171" w:lineRule="exact"/>
              <w:rPr>
                <w:sz w:val="20"/>
                <w:szCs w:val="20"/>
                <w:color w:val="auto"/>
              </w:rPr>
            </w:pPr>
            <w:r>
              <w:rPr>
                <w:rFonts w:ascii="Times New Roman" w:cs="Times New Roman" w:eastAsia="Times New Roman" w:hAnsi="Times New Roman"/>
                <w:sz w:val="18"/>
                <w:szCs w:val="18"/>
                <w:color w:val="0000FF"/>
              </w:rPr>
              <w:t>the Bank of New York Mellon, as calculation agent, incorporated by reference to Exhibit 4.3 to the Current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60" w:type="dxa"/>
            <w:vAlign w:val="bottom"/>
            <w:tcBorders>
              <w:top w:val="single" w:sz="8" w:color="0000FF"/>
            </w:tcBorders>
            <w:gridSpan w:val="15"/>
          </w:tcPr>
          <w:p>
            <w:pPr>
              <w:spacing w:after="0" w:line="160" w:lineRule="exact"/>
              <w:rPr>
                <w:sz w:val="20"/>
                <w:szCs w:val="20"/>
                <w:color w:val="auto"/>
              </w:rPr>
            </w:pPr>
            <w:r>
              <w:rPr>
                <w:rFonts w:ascii="Times New Roman" w:cs="Times New Roman" w:eastAsia="Times New Roman" w:hAnsi="Times New Roman"/>
                <w:sz w:val="18"/>
                <w:szCs w:val="18"/>
                <w:color w:val="0000FF"/>
              </w:rPr>
              <w:t>Report on Form 8-K of General Motors Company filed September 10, 2018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tcBorders>
              <w:bottom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16"/>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0000FF"/>
              </w:rPr>
              <w:t>Form of Compensation Statement, incorporated by reference to Exhibit 10.14 to the Annual Report on</w:t>
            </w:r>
          </w:p>
        </w:tc>
        <w:tc>
          <w:tcPr>
            <w:tcW w:w="20" w:type="dxa"/>
            <w:vAlign w:val="bottom"/>
            <w:tcBorders>
              <w:bottom w:val="single" w:sz="8" w:color="0000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80" w:type="dxa"/>
            <w:vAlign w:val="bottom"/>
            <w:gridSpan w:val="16"/>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Form 10-K of General Motors Company filed April 7, 2010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50"/>
        </w:trPr>
        <w:tc>
          <w:tcPr>
            <w:tcW w:w="9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40"/>
          </w:cols>
          <w:pgMar w:left="1000" w:top="447" w:right="100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GENERAL MOTORS COMPANY AND SUBSIDIARIES</w:t>
      </w:r>
    </w:p>
    <w:p>
      <w:pPr>
        <w:sectPr>
          <w:pgSz w:w="12240" w:h="15840" w:orient="portrait"/>
          <w:cols w:equalWidth="0" w:num="1">
            <w:col w:w="10120"/>
          </w:cols>
          <w:pgMar w:left="1000" w:top="447" w:right="1120" w:bottom="0" w:gutter="0" w:footer="0" w:header="0"/>
        </w:sectPr>
      </w:pP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71500"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8">
                      <a:extLst>
                        <a:ext uri="{28A0092B-C50C-407E-A947-70E740481C1C}"/>
                      </a:extLst>
                    </a:blip>
                    <a:srcRect/>
                    <a:stretch>
                      <a:fillRect/>
                    </a:stretch>
                  </pic:blipFill>
                  <pic:spPr bwMode="auto">
                    <a:xfrm>
                      <a:off x="0" y="0"/>
                      <a:ext cx="571500"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10.7*</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10.8*</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10.9*</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10.12*</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10.13*</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23495</wp:posOffset>
            </wp:positionV>
            <wp:extent cx="500062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9">
                      <a:extLst>
                        <a:ext uri="{28A0092B-C50C-407E-A947-70E740481C1C}"/>
                      </a:extLst>
                    </a:blip>
                    <a:srcRect/>
                    <a:stretch>
                      <a:fillRect/>
                    </a:stretch>
                  </pic:blipFill>
                  <pic:spPr bwMode="auto">
                    <a:xfrm>
                      <a:off x="0" y="0"/>
                      <a:ext cx="5000625" cy="12700"/>
                    </a:xfrm>
                    <a:prstGeom prst="rect">
                      <a:avLst/>
                    </a:prstGeom>
                    <a:noFill/>
                  </pic:spPr>
                </pic:pic>
              </a:graphicData>
            </a:graphic>
          </wp:anchor>
        </w:drawing>
      </w:r>
    </w:p>
    <w:p>
      <w:pPr>
        <w:spacing w:after="0" w:line="4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General Motors Company Executive Retirement Plan, with modifications through October 10, 2012, incorporated by reference to Exhibit 10.12 to the Annual Report on Form 10-K of General Motors Company filed February 15, 2013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19685</wp:posOffset>
                </wp:positionV>
                <wp:extent cx="6504940" cy="40957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09575"/>
                        </a:xfrm>
                        <a:prstGeom prst="rect">
                          <a:avLst/>
                        </a:prstGeom>
                        <a:solidFill>
                          <a:srgbClr val="CCEEFF"/>
                        </a:solidFill>
                      </wps:spPr>
                      <wps:bodyPr/>
                    </wps:wsp>
                  </a:graphicData>
                </a:graphic>
              </wp:anchor>
            </w:drawing>
          </mc:Choice>
          <mc:Fallback>
            <w:pict>
              <v:rect id="Shape 136" o:spid="_x0000_s1161" style="position:absolute;margin-left:-51.4499pt;margin-top:1.55pt;width:512.2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Amendment No. 1 to General Motors Company Executive Retirement Plan, with modifications through October 10, 2012, incorporated by reference to Exhibit 10.2 to the Current Report on Form 8-K of General Motors Company filed February 3, 2016</w:t>
      </w:r>
    </w:p>
    <w:p>
      <w:pPr>
        <w:spacing w:after="0" w:line="6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General Motors Company Vehicle Operations - Senior Management Vehicle Program (SMVP) Supplement, revised December 15, 2005, incorporated by reference to Exhibit 10(g) to the Annual Report on Form 10-K of Motors Liquidation Company filed March 28, 2006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29527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95275"/>
                        </a:xfrm>
                        <a:prstGeom prst="rect">
                          <a:avLst/>
                        </a:prstGeom>
                        <a:solidFill>
                          <a:srgbClr val="CCEEFF"/>
                        </a:solidFill>
                      </wps:spPr>
                      <wps:bodyPr/>
                    </wps:wsp>
                  </a:graphicData>
                </a:graphic>
              </wp:anchor>
            </w:drawing>
          </mc:Choice>
          <mc:Fallback>
            <w:pict>
              <v:rect id="Shape 137" o:spid="_x0000_s1162" style="position:absolute;margin-left:-51.4499pt;margin-top:0.75pt;width:512.2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0000FF"/>
        </w:rPr>
        <w:t>General Motors Company 2014 Long-Term Incentive Plan, incorporated by reference to Exhibit 10.1 to the Current Report on Form 8-K of General Motors Company filed June 12, 2014</w:t>
      </w:r>
    </w:p>
    <w:p>
      <w:pPr>
        <w:spacing w:after="0" w:line="4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Agreement under the 2014 Long-Term Incentive Plan, incorporated by reference to Exhibit 10.1 to the Current Report on Form 8-K of General Motors Company filed July 30, 2015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19685</wp:posOffset>
                </wp:positionV>
                <wp:extent cx="6504940" cy="29527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95275"/>
                        </a:xfrm>
                        <a:prstGeom prst="rect">
                          <a:avLst/>
                        </a:prstGeom>
                        <a:solidFill>
                          <a:srgbClr val="CCEEFF"/>
                        </a:solidFill>
                      </wps:spPr>
                      <wps:bodyPr/>
                    </wps:wsp>
                  </a:graphicData>
                </a:graphic>
              </wp:anchor>
            </w:drawing>
          </mc:Choice>
          <mc:Fallback>
            <w:pict>
              <v:rect id="Shape 138" o:spid="_x0000_s1163" style="position:absolute;margin-left:-51.4499pt;margin-top:1.55pt;width:512.2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0000FF"/>
        </w:rPr>
        <w:t>Form of Director and Officer Indemnification Agreement, incorporated by reference to Exhibit 10.6 to the Quarterly Report on Form 10-Q of General Motors Company filed April 21, 2016</w:t>
      </w:r>
    </w:p>
    <w:p>
      <w:pPr>
        <w:spacing w:after="0" w:line="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0000FF"/>
        </w:rPr>
        <w:t>General Motors Company 2017 Short-Term Incentive Plan, incorporated by reference to Exhibit 10.25 to the Annual Report on Form 10-K of General Motors Company filed February 6,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8890</wp:posOffset>
                </wp:positionV>
                <wp:extent cx="6504940" cy="29527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95275"/>
                        </a:xfrm>
                        <a:prstGeom prst="rect">
                          <a:avLst/>
                        </a:prstGeom>
                        <a:solidFill>
                          <a:srgbClr val="CCEEFF"/>
                        </a:solidFill>
                      </wps:spPr>
                      <wps:bodyPr/>
                    </wps:wsp>
                  </a:graphicData>
                </a:graphic>
              </wp:anchor>
            </w:drawing>
          </mc:Choice>
          <mc:Fallback>
            <w:pict>
              <v:rect id="Shape 139" o:spid="_x0000_s1164" style="position:absolute;margin-left:-51.4499pt;margin-top:0.7pt;width:512.2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u w:val="single" w:color="auto"/>
          <w:color w:val="0000FF"/>
        </w:rPr>
        <w:t>General Motors Company 2017 Long-Term Incentive Plan, incorporated by reference to Exhibit 4.1 to the Registration Statement on Form S-8 of General Motors Company filed June 16, 2017</w:t>
      </w:r>
    </w:p>
    <w:p>
      <w:pPr>
        <w:spacing w:after="0" w:line="79"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1 under the General Motors Company 2017 Long-Term Incentive Plan, incorporated by reference to Exhibit 10.2 to the Quarterly Report on Form 10-Q of General Motors Company filed April 26,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42862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28625"/>
                        </a:xfrm>
                        <a:prstGeom prst="rect">
                          <a:avLst/>
                        </a:prstGeom>
                        <a:solidFill>
                          <a:srgbClr val="CCEEFF"/>
                        </a:solidFill>
                      </wps:spPr>
                      <wps:bodyPr/>
                    </wps:wsp>
                  </a:graphicData>
                </a:graphic>
              </wp:anchor>
            </w:drawing>
          </mc:Choice>
          <mc:Fallback>
            <w:pict>
              <v:rect id="Shape 140" o:spid="_x0000_s1165" style="position:absolute;margin-left:-51.4499pt;margin-top:0.75pt;width:512.2pt;height:3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6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2 under the General Motors Company 2017 Long-Term Incentive Plan, incorporated by reference to Exhibit 10.2 to the Quarterly Report on Form 10-Q of General Motors Company filed May 6, 2020</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0000FF"/>
        </w:rPr>
        <w:t>Amended and Restated General Motors LLC U.S. Executive Severance Program, incorporated by reference to Exhibit 10.23 to the Annual Report on Form 10-K of General Motors Company filed February 6,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8890</wp:posOffset>
                </wp:positionV>
                <wp:extent cx="6504940" cy="29527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95275"/>
                        </a:xfrm>
                        <a:prstGeom prst="rect">
                          <a:avLst/>
                        </a:prstGeom>
                        <a:solidFill>
                          <a:srgbClr val="CCEEFF"/>
                        </a:solidFill>
                      </wps:spPr>
                      <wps:bodyPr/>
                    </wps:wsp>
                  </a:graphicData>
                </a:graphic>
              </wp:anchor>
            </w:drawing>
          </mc:Choice>
          <mc:Fallback>
            <w:pict>
              <v:rect id="Shape 141" o:spid="_x0000_s1166" style="position:absolute;margin-left:-51.4499pt;margin-top:0.7pt;width:512.2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u w:val="single" w:color="auto"/>
          <w:color w:val="0000FF"/>
        </w:rPr>
        <w:t>Form of Time Sharing Agreement, incorporated by reference to Exhibit 10.2 to the Quarterly Report on Form 10-Q of General Motors Company filed October 29, 2019</w:t>
      </w:r>
    </w:p>
    <w:p>
      <w:pPr>
        <w:spacing w:after="0" w:line="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The General Motors Company Deferred Compensation Plan for Non-Employee Directors, incorporated by reference to Exhibit 10.19 to the Annual Report on Form 10-K of General Motors Company filed February 5,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19685</wp:posOffset>
                </wp:positionV>
                <wp:extent cx="6504940" cy="29527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95275"/>
                        </a:xfrm>
                        <a:prstGeom prst="rect">
                          <a:avLst/>
                        </a:prstGeom>
                        <a:solidFill>
                          <a:srgbClr val="CCEEFF"/>
                        </a:solidFill>
                      </wps:spPr>
                      <wps:bodyPr/>
                    </wps:wsp>
                  </a:graphicData>
                </a:graphic>
              </wp:anchor>
            </w:drawing>
          </mc:Choice>
          <mc:Fallback>
            <w:pict>
              <v:rect id="Shape 142" o:spid="_x0000_s1167" style="position:absolute;margin-left:-51.4499pt;margin-top:1.55pt;width:512.2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4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u w:val="single" w:color="auto"/>
          <w:color w:val="0000FF"/>
        </w:rPr>
        <w:t>General Motors Company 2020 Long-Term Incentive Plan, incorporated by reference to Exhibit 4.1 to the Registration Statement on Form S-8 of General Motors Company filed June 25, 2020</w:t>
      </w:r>
    </w:p>
    <w:p>
      <w:pPr>
        <w:spacing w:after="0" w:line="4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Amendment No. 1 to the General Motors Company 2020 Long-Term Incentive Plan, incorporated by reference to Appendix B of the Definitive Proxy Statement of General Motors Company filed April 28,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39052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390525"/>
                        </a:xfrm>
                        <a:prstGeom prst="rect">
                          <a:avLst/>
                        </a:prstGeom>
                        <a:solidFill>
                          <a:srgbClr val="CCEEFF"/>
                        </a:solidFill>
                      </wps:spPr>
                      <wps:bodyPr/>
                    </wps:wsp>
                  </a:graphicData>
                </a:graphic>
              </wp:anchor>
            </w:drawing>
          </mc:Choice>
          <mc:Fallback>
            <w:pict>
              <v:rect id="Shape 143" o:spid="_x0000_s1168" style="position:absolute;margin-left:-51.4499pt;margin-top:0.75pt;width:512.2pt;height:3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Award Agreement No. 3 under the General Motors Company 2020 Long-Term Incentive Plan, incorporated by reference to Exhibit 10.1 to the Quarterly Report on Form 10-Q of General Motors Company, filed April 27, 2022</w:t>
      </w:r>
    </w:p>
    <w:p>
      <w:pPr>
        <w:spacing w:after="0" w:line="2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1 under the General Motors Company 2020 Long-Term Incentive Plan, incorporated by reference to Exhibit 10.2 to the Quarterly Report on Form 10-Q of General Motors Company filed May 5,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39052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390525"/>
                        </a:xfrm>
                        <a:prstGeom prst="rect">
                          <a:avLst/>
                        </a:prstGeom>
                        <a:solidFill>
                          <a:srgbClr val="CCEEFF"/>
                        </a:solidFill>
                      </wps:spPr>
                      <wps:bodyPr/>
                    </wps:wsp>
                  </a:graphicData>
                </a:graphic>
              </wp:anchor>
            </w:drawing>
          </mc:Choice>
          <mc:Fallback>
            <w:pict>
              <v:rect id="Shape 144" o:spid="_x0000_s1169" style="position:absolute;margin-left:-51.4499pt;margin-top:0.75pt;width:512.2pt;height:3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2 under the General Motors Company 2020 Long-Term Incentive Plan incorporated by reference to Exhibit 10.2 to the Quarterly Report on Form 10-Q of General Motors Company, filed April 27, 2022</w:t>
      </w:r>
    </w:p>
    <w:p>
      <w:pPr>
        <w:spacing w:after="0" w:line="5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2 under the General Motors Company 2020 Long-Term Incentive Plan, incorporated by reference to Exhibit 10.1 to the Quarterly Report on Form 10-Q of General Motors Company, filed October 24,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40957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09575"/>
                        </a:xfrm>
                        <a:prstGeom prst="rect">
                          <a:avLst/>
                        </a:prstGeom>
                        <a:solidFill>
                          <a:srgbClr val="CCEEFF"/>
                        </a:solidFill>
                      </wps:spPr>
                      <wps:bodyPr/>
                    </wps:wsp>
                  </a:graphicData>
                </a:graphic>
              </wp:anchor>
            </w:drawing>
          </mc:Choice>
          <mc:Fallback>
            <w:pict>
              <v:rect id="Shape 145" o:spid="_x0000_s1170" style="position:absolute;margin-left:-51.4499pt;margin-top:0.75pt;width:512.2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3 under the General Motors Company 2020 Long-Term Incentive Plan, incorporated by reference to Exhibit 10.24 to the Annual Report on Form 10-K of General Motors Company, filed January 30, 2024</w:t>
      </w:r>
    </w:p>
    <w:p>
      <w:pPr>
        <w:spacing w:after="0" w:line="5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4 under the General Motors Company 2020 Long-Term Incentive Plan, incorporated by reference to Exhibit 10.1 to the Quarterly Report on Form 10-Q of General Motors Company, filed April 23,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40957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09575"/>
                        </a:xfrm>
                        <a:prstGeom prst="rect">
                          <a:avLst/>
                        </a:prstGeom>
                        <a:solidFill>
                          <a:srgbClr val="CCEEFF"/>
                        </a:solidFill>
                      </wps:spPr>
                      <wps:bodyPr/>
                    </wps:wsp>
                  </a:graphicData>
                </a:graphic>
              </wp:anchor>
            </w:drawing>
          </mc:Choice>
          <mc:Fallback>
            <w:pict>
              <v:rect id="Shape 146" o:spid="_x0000_s1171" style="position:absolute;margin-left:-51.4499pt;margin-top:0.75pt;width:512.2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u w:val="single" w:color="auto"/>
          <w:color w:val="0000FF"/>
        </w:rPr>
        <w:t>Form of Performance Stock Unit Award Agreement No. 4 under the General Motors Company 2020 Long-Term Incentive Plan, incorporated by reference to Exhibit 10.2 to the Quarterly Report on Form 10-Q of General Motors Company, filed April 23,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1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1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1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395" w:lineRule="exact"/>
        <w:rPr>
          <w:sz w:val="20"/>
          <w:szCs w:val="20"/>
          <w:color w:val="auto"/>
        </w:rPr>
      </w:pPr>
    </w:p>
    <w:p>
      <w:pPr>
        <w:sectPr>
          <w:pgSz w:w="12240" w:h="15840" w:orient="portrait"/>
          <w:cols w:equalWidth="0" w:num="3">
            <w:col w:w="760" w:space="260"/>
            <w:col w:w="7780" w:space="160"/>
            <w:col w:w="1160"/>
          </w:cols>
          <w:pgMar w:left="1000" w:top="447" w:right="1120" w:bottom="0" w:gutter="0" w:footer="0" w:header="0"/>
          <w:type w:val="continuous"/>
        </w:sect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120"/>
          </w:cols>
          <w:pgMar w:left="1000" w:top="447" w:right="1120" w:bottom="0" w:gutter="0" w:footer="0" w:header="0"/>
          <w:type w:val="continuous"/>
        </w:sectPr>
      </w:pPr>
    </w:p>
    <w:bookmarkStart w:id="114" w:name="page115"/>
    <w:bookmarkEnd w:id="114"/>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GENERAL MOTORS COMPANY AND SUBSIDIARIES</w:t>
      </w:r>
    </w:p>
    <w:p>
      <w:pPr>
        <w:sectPr>
          <w:pgSz w:w="12240" w:h="15840" w:orient="portrait"/>
          <w:cols w:equalWidth="0" w:num="1">
            <w:col w:w="10270"/>
          </w:cols>
          <w:pgMar w:left="990" w:top="447" w:right="980" w:bottom="0" w:gutter="0" w:footer="0" w:header="0"/>
        </w:sectPr>
      </w:pPr>
    </w:p>
    <w:p>
      <w:pPr>
        <w:spacing w:after="0" w:line="321"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71500"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0">
                      <a:extLst>
                        <a:ext uri="{28A0092B-C50C-407E-A947-70E740481C1C}"/>
                      </a:extLst>
                    </a:blip>
                    <a:srcRect/>
                    <a:stretch>
                      <a:fillRect/>
                    </a:stretch>
                  </pic:blipFill>
                  <pic:spPr bwMode="auto">
                    <a:xfrm>
                      <a:off x="0" y="0"/>
                      <a:ext cx="571500" cy="12700"/>
                    </a:xfrm>
                    <a:prstGeom prst="rect">
                      <a:avLst/>
                    </a:prstGeom>
                    <a:noFill/>
                  </pic:spPr>
                </pic:pic>
              </a:graphicData>
            </a:graphic>
          </wp:anchor>
        </w:drawing>
      </w:r>
    </w:p>
    <w:p>
      <w:pPr>
        <w:spacing w:after="0" w:line="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3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3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23495</wp:posOffset>
            </wp:positionV>
            <wp:extent cx="500062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1">
                      <a:extLst>
                        <a:ext uri="{28A0092B-C50C-407E-A947-70E740481C1C}"/>
                      </a:extLst>
                    </a:blip>
                    <a:srcRect/>
                    <a:stretch>
                      <a:fillRect/>
                    </a:stretch>
                  </pic:blipFill>
                  <pic:spPr bwMode="auto">
                    <a:xfrm>
                      <a:off x="0" y="0"/>
                      <a:ext cx="5000625" cy="12700"/>
                    </a:xfrm>
                    <a:prstGeom prst="rect">
                      <a:avLst/>
                    </a:prstGeom>
                    <a:noFill/>
                  </pic:spPr>
                </pic:pic>
              </a:graphicData>
            </a:graphic>
          </wp:anchor>
        </w:drawing>
      </w:r>
    </w:p>
    <w:p>
      <w:pPr>
        <w:spacing w:after="0" w:line="6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Senior Advisor Consulting Agreement between General Motors LLC and Michael Abbott, incorporated by reference to Exhibit 10.1 to the Quarterly Report on Form 10-Q of General Motors Company, filed July 23,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9525</wp:posOffset>
                </wp:positionV>
                <wp:extent cx="6504940" cy="40957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09575"/>
                        </a:xfrm>
                        <a:prstGeom prst="rect">
                          <a:avLst/>
                        </a:prstGeom>
                        <a:solidFill>
                          <a:srgbClr val="CCEEFF"/>
                        </a:solidFill>
                      </wps:spPr>
                      <wps:bodyPr/>
                    </wps:wsp>
                  </a:graphicData>
                </a:graphic>
              </wp:anchor>
            </w:drawing>
          </mc:Choice>
          <mc:Fallback>
            <w:pict>
              <v:rect id="Shape 149" o:spid="_x0000_s1174" style="position:absolute;margin-left:-51.4499pt;margin-top:0.75pt;width:512.2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u w:val="single" w:color="auto"/>
          <w:color w:val="0000FF"/>
        </w:rPr>
        <w:t>Amended Senior Advisor Consulting Agreement between General Motors LLC and Michael Abbott, incorporated by reference to Exhibit 10.1 to the Quarterly Report on Form 10-Q of General Motors Company, filed October 22, 2024</w:t>
      </w:r>
    </w:p>
    <w:p>
      <w:pPr>
        <w:spacing w:after="0" w:line="5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u w:val="single" w:color="auto"/>
          <w:color w:val="0000FF"/>
        </w:rPr>
        <w:t>Fifth Amended and Restated 5-Year Revolving Credit Agreement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10.1 to the Current Report on Form 8-K of General Motors Company filed March 26,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10795</wp:posOffset>
                </wp:positionV>
                <wp:extent cx="6504940" cy="63817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638175"/>
                        </a:xfrm>
                        <a:prstGeom prst="rect">
                          <a:avLst/>
                        </a:prstGeom>
                        <a:solidFill>
                          <a:srgbClr val="CCEEFF"/>
                        </a:solidFill>
                      </wps:spPr>
                      <wps:bodyPr/>
                    </wps:wsp>
                  </a:graphicData>
                </a:graphic>
              </wp:anchor>
            </w:drawing>
          </mc:Choice>
          <mc:Fallback>
            <w:pict>
              <v:rect id="Shape 150" o:spid="_x0000_s1175" style="position:absolute;margin-left:-51.4499pt;margin-top:0.85pt;width:512.2pt;height:5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u w:val="single" w:color="auto"/>
          <w:color w:val="0000FF"/>
        </w:rPr>
        <w:t>Sixth Amended and Restated 3-Year Revolving Credit Agreement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10.2 to the Current Report on Form 8-K of General Motors Company filed March 26, 2025</w:t>
      </w:r>
    </w:p>
    <w:p>
      <w:pPr>
        <w:spacing w:after="0" w:line="5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u w:val="single" w:color="auto"/>
          <w:color w:val="0000FF"/>
        </w:rPr>
        <w:t>Seventh Amended and Restated 364-Day Revolving Credit Agreement among General Motors Company, General Motors Financial Company, Inc., the subsidiary borrowers from time to time parties thereto, the several lenders from time to time parties thereto, JPMorgan Chase Bank, N.A., as administrative agent, and Citibank, N.A., as syndication agent, incorporated by reference to Exhibit 10.3 to the Current Report on Form 8-K of General Motors Company filed March 26,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2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8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8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575" w:lineRule="exact"/>
        <w:rPr>
          <w:sz w:val="20"/>
          <w:szCs w:val="20"/>
          <w:color w:val="auto"/>
        </w:rPr>
      </w:pPr>
    </w:p>
    <w:p>
      <w:pPr>
        <w:sectPr>
          <w:pgSz w:w="12240" w:h="15840" w:orient="portrait"/>
          <w:cols w:equalWidth="0" w:num="3">
            <w:col w:w="770" w:space="260"/>
            <w:col w:w="7780" w:space="160"/>
            <w:col w:w="1300"/>
          </w:cols>
          <w:pgMar w:left="990" w:top="447" w:right="980" w:bottom="0" w:gutter="0" w:footer="0" w:header="0"/>
          <w:type w:val="continuous"/>
        </w:sectPr>
      </w:pPr>
    </w:p>
    <w:tbl>
      <w:tblPr>
        <w:tblLayout w:type="fixed"/>
        <w:tblInd w:w="10" w:type="dxa"/>
        <w:tblCellMar>
          <w:top w:w="0" w:type="dxa"/>
          <w:left w:w="0" w:type="dxa"/>
          <w:bottom w:w="0" w:type="dxa"/>
          <w:right w:w="0" w:type="dxa"/>
        </w:tblCellMar>
      </w:tblPr>
      <w:tr>
        <w:trPr>
          <w:trHeight w:val="215"/>
        </w:trPr>
        <w:tc>
          <w:tcPr>
            <w:tcW w:w="10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FF"/>
              </w:rPr>
              <w:t>General  Motors</w:t>
            </w:r>
          </w:p>
        </w:tc>
        <w:tc>
          <w:tcPr>
            <w:tcW w:w="6600" w:type="dxa"/>
            <w:vAlign w:val="bottom"/>
            <w:tcBorders>
              <w:bottom w:val="single" w:sz="8" w:color="0000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Company  Amended  and  Restated  Insider  Trading  Policy,  dated  March  9,  2023,</w:t>
            </w:r>
          </w:p>
        </w:tc>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171"/>
        </w:trPr>
        <w:tc>
          <w:tcPr>
            <w:tcW w:w="1020" w:type="dxa"/>
            <w:vAlign w:val="bottom"/>
            <w:tcBorders>
              <w:bottom w:val="single" w:sz="8" w:color="CCEEFF"/>
            </w:tcBorders>
            <w:shd w:val="clear" w:color="auto" w:fill="CCEEFF"/>
          </w:tcPr>
          <w:p>
            <w:pPr>
              <w:spacing w:after="0"/>
              <w:rPr>
                <w:sz w:val="14"/>
                <w:szCs w:val="14"/>
                <w:color w:val="auto"/>
              </w:rPr>
            </w:pPr>
          </w:p>
        </w:tc>
        <w:tc>
          <w:tcPr>
            <w:tcW w:w="7820" w:type="dxa"/>
            <w:vAlign w:val="bottom"/>
            <w:tcBorders>
              <w:bottom w:val="single" w:sz="8" w:color="0000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FF"/>
              </w:rPr>
              <w:t>incorporated by reference to Exhibit 19 to the Annual Report on Form 10-K of General Motors Company,</w:t>
            </w:r>
          </w:p>
        </w:tc>
        <w:tc>
          <w:tcPr>
            <w:tcW w:w="20" w:type="dxa"/>
            <w:vAlign w:val="bottom"/>
            <w:tcBorders>
              <w:bottom w:val="single" w:sz="8" w:color="0000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Reference</w:t>
            </w:r>
          </w:p>
        </w:tc>
      </w:tr>
      <w:tr>
        <w:trPr>
          <w:trHeight w:val="160"/>
        </w:trPr>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0000FF"/>
                <w:w w:val="99"/>
              </w:rPr>
              <w:t>filed January 30,</w:t>
            </w:r>
          </w:p>
        </w:tc>
        <w:tc>
          <w:tcPr>
            <w:tcW w:w="6600" w:type="dxa"/>
            <w:vAlign w:val="bottom"/>
            <w:gridSpan w:val="2"/>
            <w:shd w:val="clear" w:color="auto" w:fill="CCEEFF"/>
          </w:tcPr>
          <w:p>
            <w:pPr>
              <w:jc w:val="right"/>
              <w:ind w:right="6220"/>
              <w:spacing w:after="0" w:line="160" w:lineRule="exact"/>
              <w:rPr>
                <w:sz w:val="20"/>
                <w:szCs w:val="20"/>
                <w:color w:val="auto"/>
              </w:rPr>
            </w:pPr>
            <w:r>
              <w:rPr>
                <w:rFonts w:ascii="Times New Roman" w:cs="Times New Roman" w:eastAsia="Times New Roman" w:hAnsi="Times New Roman"/>
                <w:sz w:val="18"/>
                <w:szCs w:val="18"/>
                <w:color w:val="0000FF"/>
                <w:w w:val="99"/>
              </w:rPr>
              <w:t>2024</w:t>
            </w:r>
          </w:p>
        </w:tc>
        <w:tc>
          <w:tcPr>
            <w:tcW w:w="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r>
    </w:tbl>
    <w:p>
      <w:pPr>
        <w:spacing w:after="0" w:line="19" w:lineRule="exact"/>
        <w:rPr>
          <w:sz w:val="20"/>
          <w:szCs w:val="20"/>
          <w:color w:val="auto"/>
        </w:rPr>
      </w:pPr>
    </w:p>
    <w:p>
      <w:pPr>
        <w:sectPr>
          <w:pgSz w:w="12240" w:h="15840" w:orient="portrait"/>
          <w:cols w:equalWidth="0" w:num="1">
            <w:col w:w="10270"/>
          </w:cols>
          <w:pgMar w:left="990" w:top="447" w:right="980" w:bottom="0" w:gutter="0" w:footer="0" w:header="0"/>
          <w:type w:val="continuous"/>
        </w:sectPr>
      </w:pPr>
    </w:p>
    <w:p>
      <w:pPr>
        <w:spacing w:after="0" w:line="31" w:lineRule="exact"/>
        <w:rPr>
          <w:sz w:val="20"/>
          <w:szCs w:val="20"/>
          <w:color w:val="auto"/>
        </w:rPr>
      </w:pPr>
    </w:p>
    <w:p>
      <w:pPr>
        <w:ind w:left="1030" w:hanging="977"/>
        <w:spacing w:after="0"/>
        <w:tabs>
          <w:tab w:leader="none" w:pos="10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and Joint Ventures of the Registrant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6505575" cy="1905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90500"/>
                        </a:xfrm>
                        <a:prstGeom prst="rect">
                          <a:avLst/>
                        </a:prstGeom>
                        <a:solidFill>
                          <a:srgbClr val="CCEEFF"/>
                        </a:solidFill>
                      </wps:spPr>
                      <wps:bodyPr/>
                    </wps:wsp>
                  </a:graphicData>
                </a:graphic>
              </wp:anchor>
            </w:drawing>
          </mc:Choice>
          <mc:Fallback>
            <w:pict>
              <v:rect id="Shape 151" o:spid="_x0000_s1176" style="position:absolute;margin-left:0pt;margin-top:2.15pt;width:512.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73" w:lineRule="exact"/>
        <w:rPr>
          <w:sz w:val="20"/>
          <w:szCs w:val="20"/>
          <w:color w:val="auto"/>
        </w:rPr>
      </w:pPr>
    </w:p>
    <w:p>
      <w:pPr>
        <w:ind w:left="1030" w:hanging="977"/>
        <w:spacing w:after="0"/>
        <w:tabs>
          <w:tab w:leader="none" w:pos="10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Ernst &amp; Young LLP</w:t>
      </w:r>
    </w:p>
    <w:p>
      <w:pPr>
        <w:spacing w:after="0" w:line="93" w:lineRule="exact"/>
        <w:rPr>
          <w:rFonts w:ascii="Times New Roman" w:cs="Times New Roman" w:eastAsia="Times New Roman" w:hAnsi="Times New Roman"/>
          <w:sz w:val="18"/>
          <w:szCs w:val="18"/>
          <w:color w:val="auto"/>
        </w:rPr>
      </w:pPr>
    </w:p>
    <w:p>
      <w:pPr>
        <w:ind w:left="1030" w:hanging="977"/>
        <w:spacing w:after="0"/>
        <w:tabs>
          <w:tab w:leader="none" w:pos="10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for Directors of General Motors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6505575" cy="1905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90500"/>
                        </a:xfrm>
                        <a:prstGeom prst="rect">
                          <a:avLst/>
                        </a:prstGeom>
                        <a:solidFill>
                          <a:srgbClr val="CCEEFF"/>
                        </a:solidFill>
                      </wps:spPr>
                      <wps:bodyPr/>
                    </wps:wsp>
                  </a:graphicData>
                </a:graphic>
              </wp:anchor>
            </w:drawing>
          </mc:Choice>
          <mc:Fallback>
            <w:pict>
              <v:rect id="Shape 152" o:spid="_x0000_s1177" style="position:absolute;margin-left:0pt;margin-top:2.15pt;width:512.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42" w:lineRule="exact"/>
        <w:rPr>
          <w:sz w:val="20"/>
          <w:szCs w:val="20"/>
          <w:color w:val="auto"/>
        </w:rPr>
      </w:pPr>
    </w:p>
    <w:tbl>
      <w:tblPr>
        <w:tblLayout w:type="fixed"/>
        <w:tblInd w:w="50" w:type="dxa"/>
        <w:tblCellMar>
          <w:top w:w="0" w:type="dxa"/>
          <w:left w:w="0" w:type="dxa"/>
          <w:bottom w:w="0" w:type="dxa"/>
          <w:right w:w="0" w:type="dxa"/>
        </w:tblCellMar>
      </w:tblPr>
      <w:tr>
        <w:trPr>
          <w:trHeight w:val="228"/>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31.1</w:t>
            </w: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3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w:t>
            </w:r>
          </w:p>
        </w:tc>
      </w:tr>
      <w:tr>
        <w:trPr>
          <w:trHeight w:val="28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31.2</w:t>
            </w: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312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505575" cy="29527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295275"/>
                        </a:xfrm>
                        <a:prstGeom prst="rect">
                          <a:avLst/>
                        </a:prstGeom>
                        <a:solidFill>
                          <a:srgbClr val="CCEEFF"/>
                        </a:solidFill>
                      </wps:spPr>
                      <wps:bodyPr/>
                    </wps:wsp>
                  </a:graphicData>
                </a:graphic>
              </wp:anchor>
            </w:drawing>
          </mc:Choice>
          <mc:Fallback>
            <w:pict>
              <v:rect id="Shape 153" o:spid="_x0000_s1178" style="position:absolute;margin-left:0pt;margin-top:2.25pt;width:512.25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43" w:lineRule="exact"/>
        <w:rPr>
          <w:sz w:val="20"/>
          <w:szCs w:val="20"/>
          <w:color w:val="auto"/>
        </w:rPr>
      </w:pPr>
    </w:p>
    <w:p>
      <w:pPr>
        <w:ind w:left="1030" w:hanging="977"/>
        <w:spacing w:after="0" w:line="241" w:lineRule="auto"/>
        <w:tabs>
          <w:tab w:leader="none" w:pos="10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66" w:lineRule="exact"/>
        <w:rPr>
          <w:sz w:val="20"/>
          <w:szCs w:val="20"/>
          <w:color w:val="auto"/>
        </w:rPr>
      </w:pPr>
    </w:p>
    <w:p>
      <w:pPr>
        <w:jc w:val="both"/>
        <w:ind w:left="1030" w:hanging="977"/>
        <w:spacing w:after="0" w:line="230" w:lineRule="auto"/>
        <w:tabs>
          <w:tab w:leader="none" w:pos="10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General Motors Company Amended and Restated Policy on Recoupment of Incentive Compensation, dated August 14, 2023, incorporated by reference to Exhibit 97 to the Annual Report on Form 10-K of General Motors Company filed January 30,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4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03" w:lineRule="exact"/>
        <w:rPr>
          <w:sz w:val="20"/>
          <w:szCs w:val="20"/>
          <w:color w:val="auto"/>
        </w:rPr>
      </w:pPr>
    </w:p>
    <w:p>
      <w:pPr>
        <w:sectPr>
          <w:pgSz w:w="12240" w:h="15840" w:orient="portrait"/>
          <w:cols w:equalWidth="0" w:num="2">
            <w:col w:w="8790" w:space="180"/>
            <w:col w:w="1300"/>
          </w:cols>
          <w:pgMar w:left="990" w:top="447" w:right="980" w:bottom="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following financial information from the Company’s Annual Report on Form 10-K for the year ended</w:t>
            </w:r>
          </w:p>
        </w:tc>
        <w:tc>
          <w:tcPr>
            <w:tcW w:w="1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0"/>
        </w:trPr>
        <w:tc>
          <w:tcPr>
            <w:tcW w:w="660" w:type="dxa"/>
            <w:vAlign w:val="bottom"/>
            <w:shd w:val="clear" w:color="auto" w:fill="CCEEFF"/>
          </w:tcPr>
          <w:p>
            <w:pPr>
              <w:spacing w:after="0"/>
              <w:rPr>
                <w:sz w:val="15"/>
                <w:szCs w:val="15"/>
                <w:color w:val="auto"/>
              </w:rPr>
            </w:pPr>
          </w:p>
        </w:tc>
        <w:tc>
          <w:tcPr>
            <w:tcW w:w="822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December 31, 2025 formatted in Inline Extensible Business Reporting Language (Inline XBRL) includes:</w:t>
            </w:r>
          </w:p>
        </w:tc>
        <w:tc>
          <w:tcPr>
            <w:tcW w:w="1360" w:type="dxa"/>
            <w:vAlign w:val="bottom"/>
            <w:shd w:val="clear" w:color="auto" w:fill="CCEEFF"/>
          </w:tcPr>
          <w:p>
            <w:pPr>
              <w:spacing w:after="0"/>
              <w:rPr>
                <w:sz w:val="15"/>
                <w:szCs w:val="15"/>
                <w:color w:val="auto"/>
              </w:rPr>
            </w:pPr>
          </w:p>
        </w:tc>
      </w:tr>
      <w:tr>
        <w:trPr>
          <w:trHeight w:val="180"/>
        </w:trPr>
        <w:tc>
          <w:tcPr>
            <w:tcW w:w="660" w:type="dxa"/>
            <w:vAlign w:val="bottom"/>
            <w:shd w:val="clear" w:color="auto" w:fill="CCEEFF"/>
          </w:tcPr>
          <w:p>
            <w:pPr>
              <w:spacing w:after="0"/>
              <w:rPr>
                <w:sz w:val="15"/>
                <w:szCs w:val="15"/>
                <w:color w:val="auto"/>
              </w:rPr>
            </w:pPr>
          </w:p>
        </w:tc>
        <w:tc>
          <w:tcPr>
            <w:tcW w:w="822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(i) the Consolidated Income Statements, (ii) the Consolidated Statements of Comprehensive Income,</w:t>
            </w:r>
          </w:p>
        </w:tc>
        <w:tc>
          <w:tcPr>
            <w:tcW w:w="1360" w:type="dxa"/>
            <w:vAlign w:val="bottom"/>
            <w:shd w:val="clear" w:color="auto" w:fill="CCEEFF"/>
          </w:tcPr>
          <w:p>
            <w:pPr>
              <w:spacing w:after="0"/>
              <w:rPr>
                <w:sz w:val="15"/>
                <w:szCs w:val="15"/>
                <w:color w:val="auto"/>
              </w:rPr>
            </w:pPr>
          </w:p>
        </w:tc>
      </w:tr>
      <w:tr>
        <w:trPr>
          <w:trHeight w:val="180"/>
        </w:trPr>
        <w:tc>
          <w:tcPr>
            <w:tcW w:w="660" w:type="dxa"/>
            <w:vAlign w:val="bottom"/>
            <w:shd w:val="clear" w:color="auto" w:fill="CCEEFF"/>
          </w:tcPr>
          <w:p>
            <w:pPr>
              <w:spacing w:after="0"/>
              <w:rPr>
                <w:sz w:val="15"/>
                <w:szCs w:val="15"/>
                <w:color w:val="auto"/>
              </w:rPr>
            </w:pPr>
          </w:p>
        </w:tc>
        <w:tc>
          <w:tcPr>
            <w:tcW w:w="822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(iii) the Consolidated Balance Sheets, (iv) the Consolidated Statements of Cash Flows, (v) the Consolidated</w:t>
            </w:r>
          </w:p>
        </w:tc>
        <w:tc>
          <w:tcPr>
            <w:tcW w:w="1360" w:type="dxa"/>
            <w:vAlign w:val="bottom"/>
            <w:shd w:val="clear" w:color="auto" w:fill="CCEEFF"/>
          </w:tcPr>
          <w:p>
            <w:pPr>
              <w:spacing w:after="0"/>
              <w:rPr>
                <w:sz w:val="15"/>
                <w:szCs w:val="15"/>
                <w:color w:val="auto"/>
              </w:rPr>
            </w:pPr>
          </w:p>
        </w:tc>
      </w:tr>
      <w:tr>
        <w:trPr>
          <w:trHeight w:val="245"/>
        </w:trPr>
        <w:tc>
          <w:tcPr>
            <w:tcW w:w="66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Statements of Equity, and (vi) Notes to the Consolidated Financial Statements</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16"/>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year ended December 31, 2025,</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5"/>
        </w:trPr>
        <w:tc>
          <w:tcPr>
            <w:tcW w:w="66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360" w:type="dxa"/>
            <w:vAlign w:val="bottom"/>
          </w:tcPr>
          <w:p>
            <w:pPr>
              <w:spacing w:after="0"/>
              <w:rPr>
                <w:sz w:val="20"/>
                <w:szCs w:val="20"/>
                <w:color w:val="auto"/>
              </w:rPr>
            </w:pPr>
          </w:p>
        </w:tc>
      </w:tr>
    </w:tbl>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w:t>
      </w:r>
    </w:p>
    <w:p>
      <w:pPr>
        <w:spacing w:after="0" w:line="16" w:lineRule="exact"/>
        <w:rPr>
          <w:sz w:val="20"/>
          <w:szCs w:val="20"/>
          <w:color w:val="auto"/>
        </w:rPr>
      </w:pPr>
    </w:p>
    <w:p>
      <w:pPr>
        <w:ind w:left="370" w:hanging="370"/>
        <w:spacing w:after="0"/>
        <w:tabs>
          <w:tab w:leader="none" w:pos="3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and arrangements required to be filed as exhibits pursuant to Item 15(b) of this Report.</w:t>
      </w:r>
    </w:p>
    <w:p>
      <w:pPr>
        <w:spacing w:after="0" w:line="9" w:lineRule="exact"/>
        <w:rPr>
          <w:sz w:val="20"/>
          <w:szCs w:val="20"/>
          <w:color w:val="auto"/>
        </w:rPr>
      </w:pPr>
    </w:p>
    <w:p>
      <w:pPr>
        <w:ind w:left="370" w:hanging="370"/>
        <w:spacing w:after="0" w:line="283" w:lineRule="auto"/>
        <w:tabs>
          <w:tab w:leader="none" w:pos="3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369" w:lineRule="exact"/>
        <w:rPr>
          <w:rFonts w:ascii="Times New Roman" w:cs="Times New Roman" w:eastAsia="Times New Roman" w:hAnsi="Times New Roman"/>
          <w:sz w:val="18"/>
          <w:szCs w:val="18"/>
          <w:color w:val="auto"/>
        </w:rPr>
      </w:pPr>
    </w:p>
    <w:p>
      <w:pPr>
        <w:ind w:left="44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 * * * * *</w:t>
      </w: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270"/>
          </w:cols>
          <w:pgMar w:left="990" w:top="447" w:right="98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firstLine="18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GENERAL MOTORS COMPANY</w:t>
      </w:r>
    </w:p>
    <w:p>
      <w:pPr>
        <w:spacing w:after="0" w:line="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(Registrant)</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By:  /s/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21590</wp:posOffset>
            </wp:positionV>
            <wp:extent cx="223837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2">
                      <a:extLst>
                        <a:ext uri="{28A0092B-C50C-407E-A947-70E740481C1C}"/>
                      </a:extLst>
                    </a:blip>
                    <a:srcRect/>
                    <a:stretch>
                      <a:fillRect/>
                    </a:stretch>
                  </pic:blipFill>
                  <pic:spPr bwMode="auto">
                    <a:xfrm>
                      <a:off x="0" y="0"/>
                      <a:ext cx="2238375" cy="1270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Mary T. Barra</w:t>
      </w:r>
    </w:p>
    <w:p>
      <w:pPr>
        <w:ind w:left="5660"/>
        <w:spacing w:after="0"/>
        <w:rPr>
          <w:sz w:val="20"/>
          <w:szCs w:val="20"/>
          <w:color w:val="auto"/>
        </w:rPr>
      </w:pPr>
      <w:r>
        <w:rPr>
          <w:rFonts w:ascii="Times New Roman" w:cs="Times New Roman" w:eastAsia="Times New Roman" w:hAnsi="Times New Roman"/>
          <w:sz w:val="20"/>
          <w:szCs w:val="20"/>
          <w:color w:val="auto"/>
        </w:rPr>
        <w:t>Chair and Chief Executive Officer</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Date: January 27, 2026</w:t>
      </w:r>
    </w:p>
    <w:p>
      <w:pPr>
        <w:sectPr>
          <w:pgSz w:w="12240" w:h="15840" w:orient="portrait"/>
          <w:cols w:equalWidth="0" w:num="1">
            <w:col w:w="10240"/>
          </w:cols>
          <w:pgMar w:left="1000" w:top="44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240"/>
          </w:cols>
          <w:pgMar w:left="1000" w:top="447" w:right="100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on this 27th day of January 2026 by the following persons on behalf of the registrant and in the capacities indicated, including a majority of the directors.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5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5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160" w:type="dxa"/>
            <w:vAlign w:val="bottom"/>
            <w:tcBorders>
              <w:bottom w:val="single" w:sz="8" w:color="auto"/>
            </w:tcBorders>
            <w:gridSpan w:val="2"/>
          </w:tcPr>
          <w:p>
            <w:pPr>
              <w:ind w:left="236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430"/>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MARY T. BARRA</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Chair and Chief Executive Officer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Mary T. Barra</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PAUL A. JACOBSON</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Paul A. Jacobson</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T. HATTO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Vice President, Global Business Solutions and Chief</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T. Hatto</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Accounting Officer</w:t>
            </w: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PATRICIA F. RUSSO*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Independent Lead 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Patricia F. Russo</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WESLEY G. BUSH*</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Wesley G. Bush</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JOANNE C. CREVOISERAT*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Joanne C. Crevoiserat</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JOSEPH JIMENEZ*</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Joseph Jimenez</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ALFRED F. KELLY, JR.*</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Alfred F. Kelly, Jr.</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JONATHAN MCNEILL*</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Jonathan McNeill</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JUDITH A. MISCIK*</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Judith A. Miscik</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MARK A. TATUM*</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 A. Tatum</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JAN E. TIGHE*</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 E. Tighe</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DEVIN N. WENIG*</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Devin N. Wenig</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03"/>
        </w:trPr>
        <w:tc>
          <w:tcPr>
            <w:tcW w:w="4560" w:type="dxa"/>
            <w:vAlign w:val="bottom"/>
          </w:tcPr>
          <w:p>
            <w:pPr>
              <w:spacing w:after="0"/>
              <w:rPr>
                <w:sz w:val="24"/>
                <w:szCs w:val="24"/>
                <w:color w:val="auto"/>
              </w:rPr>
            </w:pPr>
          </w:p>
        </w:tc>
        <w:tc>
          <w:tcPr>
            <w:tcW w:w="57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*By: /s/ GRANT DIXTON</w:t>
            </w:r>
          </w:p>
        </w:tc>
      </w:tr>
      <w:tr>
        <w:trPr>
          <w:trHeight w:val="277"/>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 Dixton</w:t>
            </w:r>
          </w:p>
        </w:tc>
        <w:tc>
          <w:tcPr>
            <w:tcW w:w="1200" w:type="dxa"/>
            <w:vAlign w:val="bottom"/>
          </w:tcPr>
          <w:p>
            <w:pPr>
              <w:spacing w:after="0"/>
              <w:rPr>
                <w:sz w:val="24"/>
                <w:szCs w:val="24"/>
                <w:color w:val="auto"/>
              </w:rPr>
            </w:pPr>
          </w:p>
        </w:tc>
      </w:tr>
      <w:tr>
        <w:trPr>
          <w:trHeight w:val="300"/>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Attorney-in-Fact</w:t>
            </w:r>
          </w:p>
        </w:tc>
      </w:tr>
    </w:tbl>
    <w:p>
      <w:pPr>
        <w:spacing w:after="0" w:line="200" w:lineRule="exact"/>
        <w:rPr>
          <w:sz w:val="20"/>
          <w:szCs w:val="20"/>
          <w:color w:val="auto"/>
        </w:rPr>
      </w:pPr>
    </w:p>
    <w:p>
      <w:pPr>
        <w:sectPr>
          <w:pgSz w:w="12240" w:h="15840" w:orient="portrait"/>
          <w:cols w:equalWidth="0" w:num="1">
            <w:col w:w="10260"/>
          </w:cols>
          <w:pgMar w:left="1000" w:top="4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60"/>
          </w:cols>
          <w:pgMar w:left="1000" w:top="447" w:right="980" w:bottom="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6"/>
          <w:szCs w:val="26"/>
          <w:color w:val="auto"/>
        </w:rPr>
        <w:t>[THIS PAGE INTENTIONALLY LEFT BLANK]</w:t>
      </w:r>
    </w:p>
    <w:p>
      <w:pPr>
        <w:sectPr>
          <w:pgSz w:w="12240" w:h="15840" w:orient="portrait"/>
          <w:cols w:equalWidth="0" w:num="1">
            <w:col w:w="9360"/>
          </w:cols>
          <w:pgMar w:left="1440" w:top="1440" w:right="1440" w:bottom="1440" w:gutter="0" w:footer="0" w:header="0"/>
        </w:sectPr>
      </w:pPr>
    </w:p>
    <w:bookmarkStart w:id="118" w:name="page119"/>
    <w:bookmarkEnd w:id="11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19" w:name="page120"/>
    <w:bookmarkEnd w:id="11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decimal"/>
      <w:start w:val="1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1"/>
    </w:lvl>
    <w:lvl w:ilvl="1">
      <w:lvlJc w:val="left"/>
      <w:lvlText w:val="*"/>
      <w:numFmt w:val="bullet"/>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decimal"/>
      <w:start w:val="2"/>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decimal"/>
      <w:start w:val="17"/>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lvl w:ilvl="1">
      <w:lvlJc w:val="left"/>
      <w:lvlText w:val="%2."/>
      <w:numFmt w:val="decimal"/>
      <w:start w:val="2"/>
    </w:lvl>
  </w:abstractNum>
  <w:abstractNum w:abstractNumId="41">
    <w:nsid w:val="2CD89A32"/>
    <w:multiLevelType w:val="hybridMultilevel"/>
    <w:lvl w:ilvl="0">
      <w:lvlJc w:val="left"/>
      <w:lvlText w:val="%1"/>
      <w:numFmt w:val="decimal"/>
      <w:start w:val="21"/>
    </w:lvl>
  </w:abstractNum>
  <w:abstractNum w:abstractNumId="42">
    <w:nsid w:val="57E4CCAF"/>
    <w:multiLevelType w:val="hybridMultilevel"/>
    <w:lvl w:ilvl="0">
      <w:lvlJc w:val="left"/>
      <w:lvlText w:val="%1"/>
      <w:numFmt w:val="decimal"/>
      <w:start w:val="23"/>
    </w:lvl>
  </w:abstractNum>
  <w:abstractNum w:abstractNumId="43">
    <w:nsid w:val="7A6D8D3C"/>
    <w:multiLevelType w:val="hybridMultilevel"/>
    <w:lvl w:ilvl="0">
      <w:lvlJc w:val="left"/>
      <w:lvlText w:val="%1"/>
      <w:numFmt w:val="decimal"/>
      <w:start w:val="32"/>
    </w:lvl>
  </w:abstractNum>
  <w:abstractNum w:abstractNumId="44">
    <w:nsid w:val="4B588F54"/>
    <w:multiLevelType w:val="hybridMultilevel"/>
    <w:lvl w:ilvl="0">
      <w:lvlJc w:val="left"/>
      <w:lvlText w:val="%1"/>
      <w:numFmt w:val="decimal"/>
      <w:start w:val="97"/>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2026-04-20T16:00:49Z</dcterms:created>
  <dcterms:modified xsi:type="dcterms:W3CDTF">2026-04-20T16:00:49Z</dcterms:modified>
</cp:coreProperties>
</file>