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771525</wp:posOffset>
            </wp:positionV>
            <wp:extent cx="7132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144" w:lineRule="exact"/>
        <w:rPr>
          <w:sz w:val="24"/>
          <w:szCs w:val="24"/>
          <w:color w:val="auto"/>
        </w:rPr>
      </w:pPr>
    </w:p>
    <w:p>
      <w:pPr>
        <w:ind w:left="660" w:right="2180" w:hanging="635"/>
        <w:spacing w:after="0" w:line="239"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8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or</w:t>
      </w:r>
    </w:p>
    <w:p>
      <w:pPr>
        <w:spacing w:after="0" w:line="144" w:lineRule="exact"/>
        <w:rPr>
          <w:sz w:val="24"/>
          <w:szCs w:val="24"/>
          <w:color w:val="auto"/>
        </w:rPr>
      </w:pPr>
    </w:p>
    <w:p>
      <w:pPr>
        <w:ind w:left="660" w:right="2160" w:hanging="635"/>
        <w:spacing w:after="0" w:line="239"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2" w:lineRule="exact"/>
        <w:rPr>
          <w:sz w:val="24"/>
          <w:szCs w:val="24"/>
          <w:color w:val="auto"/>
        </w:rPr>
      </w:pPr>
    </w:p>
    <w:p>
      <w:pPr>
        <w:ind w:left="460"/>
        <w:spacing w:after="0"/>
        <w:tabs>
          <w:tab w:leader="none" w:pos="33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3340735</wp:posOffset>
            </wp:positionH>
            <wp:positionV relativeFrom="paragraph">
              <wp:posOffset>121920</wp:posOffset>
            </wp:positionV>
            <wp:extent cx="469265" cy="4438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9265" cy="4438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GENERAL MOTORS COMPANY</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18" w:lineRule="exact"/>
        <w:rPr>
          <w:sz w:val="24"/>
          <w:szCs w:val="24"/>
          <w:color w:val="auto"/>
        </w:rPr>
      </w:pPr>
    </w:p>
    <w:tbl>
      <w:tblPr>
        <w:tblLayout w:type="fixed"/>
        <w:tblInd w:w="1700" w:type="dxa"/>
        <w:tblCellMar>
          <w:top w:w="0" w:type="dxa"/>
          <w:left w:w="0" w:type="dxa"/>
          <w:bottom w:w="0" w:type="dxa"/>
          <w:right w:w="0" w:type="dxa"/>
        </w:tblCellMar>
      </w:tblPr>
      <w:tr>
        <w:trPr>
          <w:trHeight w:val="238"/>
        </w:trPr>
        <w:tc>
          <w:tcPr>
            <w:tcW w:w="508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27-0756180</w:t>
            </w:r>
          </w:p>
        </w:tc>
      </w:tr>
      <w:tr>
        <w:trPr>
          <w:trHeight w:val="215"/>
        </w:trPr>
        <w:tc>
          <w:tcPr>
            <w:tcW w:w="5080" w:type="dxa"/>
            <w:vAlign w:val="bottom"/>
          </w:tcPr>
          <w:p>
            <w:pPr>
              <w:jc w:val="center"/>
              <w:ind w:right="157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i w:val="1"/>
                <w:iCs w:val="1"/>
                <w:color w:val="auto"/>
                <w:w w:val="98"/>
              </w:rPr>
              <w:t>(I.R.S. Employer</w:t>
            </w:r>
          </w:p>
        </w:tc>
      </w:tr>
      <w:tr>
        <w:trPr>
          <w:trHeight w:val="236"/>
        </w:trPr>
        <w:tc>
          <w:tcPr>
            <w:tcW w:w="5080" w:type="dxa"/>
            <w:vAlign w:val="bottom"/>
          </w:tcPr>
          <w:p>
            <w:pPr>
              <w:jc w:val="center"/>
              <w:ind w:right="157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r>
        <w:trPr>
          <w:trHeight w:val="322"/>
        </w:trPr>
        <w:tc>
          <w:tcPr>
            <w:tcW w:w="508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300 Renaissance Center, Detroit, Michigan</w:t>
            </w:r>
          </w:p>
        </w:tc>
        <w:tc>
          <w:tcPr>
            <w:tcW w:w="1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48265 -3000</w:t>
            </w:r>
          </w:p>
        </w:tc>
      </w:tr>
      <w:tr>
        <w:trPr>
          <w:trHeight w:val="276"/>
        </w:trPr>
        <w:tc>
          <w:tcPr>
            <w:tcW w:w="5080" w:type="dxa"/>
            <w:vAlign w:val="bottom"/>
          </w:tcPr>
          <w:p>
            <w:pPr>
              <w:jc w:val="center"/>
              <w:ind w:right="159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309"/>
        </w:trPr>
        <w:tc>
          <w:tcPr>
            <w:tcW w:w="50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(313) 667-1500</w:t>
            </w:r>
          </w:p>
        </w:tc>
        <w:tc>
          <w:tcPr>
            <w:tcW w:w="1940" w:type="dxa"/>
            <w:vAlign w:val="bottom"/>
          </w:tcPr>
          <w:p>
            <w:pPr>
              <w:spacing w:after="0"/>
              <w:rPr>
                <w:sz w:val="24"/>
                <w:szCs w:val="24"/>
                <w:color w:val="auto"/>
              </w:rPr>
            </w:pP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1400" w:type="dxa"/>
        <w:tblCellMar>
          <w:top w:w="0" w:type="dxa"/>
          <w:left w:w="0" w:type="dxa"/>
          <w:bottom w:w="0" w:type="dxa"/>
          <w:right w:w="0" w:type="dxa"/>
        </w:tblCellMar>
      </w:tblPr>
      <w:tr>
        <w:trPr>
          <w:trHeight w:val="195"/>
        </w:trPr>
        <w:tc>
          <w:tcPr>
            <w:tcW w:w="500" w:type="dxa"/>
            <w:vAlign w:val="bottom"/>
          </w:tcPr>
          <w:p>
            <w:pPr>
              <w:spacing w:after="0"/>
              <w:rPr>
                <w:sz w:val="16"/>
                <w:szCs w:val="16"/>
                <w:color w:val="auto"/>
              </w:rPr>
            </w:pPr>
          </w:p>
        </w:tc>
        <w:tc>
          <w:tcPr>
            <w:tcW w:w="2420" w:type="dxa"/>
            <w:vAlign w:val="bottom"/>
            <w:gridSpan w:val="2"/>
          </w:tcPr>
          <w:p>
            <w:pPr>
              <w:jc w:val="center"/>
              <w:ind w:right="1180"/>
              <w:spacing w:after="0"/>
              <w:rPr>
                <w:sz w:val="20"/>
                <w:szCs w:val="20"/>
                <w:color w:val="auto"/>
              </w:rPr>
            </w:pPr>
            <w:r>
              <w:rPr>
                <w:rFonts w:ascii="Times New Roman" w:cs="Times New Roman" w:eastAsia="Times New Roman" w:hAnsi="Times New Roman"/>
                <w:sz w:val="17"/>
                <w:szCs w:val="17"/>
                <w:color w:val="auto"/>
              </w:rPr>
              <w:t>Title of each class</w:t>
            </w:r>
          </w:p>
        </w:tc>
        <w:tc>
          <w:tcPr>
            <w:tcW w:w="2480" w:type="dxa"/>
            <w:vAlign w:val="bottom"/>
            <w:gridSpan w:val="3"/>
          </w:tcPr>
          <w:p>
            <w:pPr>
              <w:jc w:val="center"/>
              <w:ind w:left="94"/>
              <w:spacing w:after="0"/>
              <w:rPr>
                <w:sz w:val="20"/>
                <w:szCs w:val="20"/>
                <w:color w:val="auto"/>
              </w:rPr>
            </w:pPr>
            <w:r>
              <w:rPr>
                <w:rFonts w:ascii="Times New Roman" w:cs="Times New Roman" w:eastAsia="Times New Roman" w:hAnsi="Times New Roman"/>
                <w:sz w:val="17"/>
                <w:szCs w:val="17"/>
                <w:color w:val="auto"/>
              </w:rPr>
              <w:t>Trading Symbol(s)</w:t>
            </w:r>
          </w:p>
        </w:tc>
        <w:tc>
          <w:tcPr>
            <w:tcW w:w="3520" w:type="dxa"/>
            <w:vAlign w:val="bottom"/>
            <w:gridSpan w:val="2"/>
          </w:tcPr>
          <w:p>
            <w:pPr>
              <w:jc w:val="center"/>
              <w:ind w:left="394"/>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0"/>
        </w:trPr>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r>
      <w:tr>
        <w:trPr>
          <w:trHeight w:val="247"/>
        </w:trPr>
        <w:tc>
          <w:tcPr>
            <w:tcW w:w="2920" w:type="dxa"/>
            <w:vAlign w:val="bottom"/>
            <w:gridSpan w:val="3"/>
          </w:tcPr>
          <w:p>
            <w:pPr>
              <w:jc w:val="center"/>
              <w:ind w:right="680"/>
              <w:spacing w:after="0"/>
              <w:rPr>
                <w:sz w:val="20"/>
                <w:szCs w:val="20"/>
                <w:color w:val="auto"/>
              </w:rPr>
            </w:pPr>
            <w:r>
              <w:rPr>
                <w:rFonts w:ascii="Times New Roman" w:cs="Times New Roman" w:eastAsia="Times New Roman" w:hAnsi="Times New Roman"/>
                <w:sz w:val="17"/>
                <w:szCs w:val="17"/>
                <w:color w:val="auto"/>
              </w:rPr>
              <w:t>Common Stock, $0.01 par value</w:t>
            </w:r>
          </w:p>
        </w:tc>
        <w:tc>
          <w:tcPr>
            <w:tcW w:w="680" w:type="dxa"/>
            <w:vAlign w:val="bottom"/>
          </w:tcPr>
          <w:p>
            <w:pPr>
              <w:spacing w:after="0"/>
              <w:rPr>
                <w:sz w:val="21"/>
                <w:szCs w:val="21"/>
                <w:color w:val="auto"/>
              </w:rPr>
            </w:pPr>
          </w:p>
        </w:tc>
        <w:tc>
          <w:tcPr>
            <w:tcW w:w="180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GM</w:t>
            </w:r>
          </w:p>
        </w:tc>
        <w:tc>
          <w:tcPr>
            <w:tcW w:w="480" w:type="dxa"/>
            <w:vAlign w:val="bottom"/>
          </w:tcPr>
          <w:p>
            <w:pPr>
              <w:spacing w:after="0"/>
              <w:rPr>
                <w:sz w:val="21"/>
                <w:szCs w:val="21"/>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140" w:lineRule="exact"/>
        <w:rPr>
          <w:sz w:val="24"/>
          <w:szCs w:val="24"/>
          <w:color w:val="auto"/>
        </w:rPr>
      </w:pPr>
    </w:p>
    <w:p>
      <w:pPr>
        <w:jc w:val="both"/>
        <w:ind w:firstLine="81"/>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19" w:lineRule="exact"/>
        <w:rPr>
          <w:sz w:val="24"/>
          <w:szCs w:val="24"/>
          <w:color w:val="auto"/>
        </w:rPr>
      </w:pPr>
    </w:p>
    <w:p>
      <w:pPr>
        <w:jc w:val="both"/>
        <w:ind w:firstLine="81"/>
        <w:spacing w:after="0" w:line="25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26" w:lineRule="exact"/>
        <w:rPr>
          <w:sz w:val="24"/>
          <w:szCs w:val="24"/>
          <w:color w:val="auto"/>
        </w:rPr>
      </w:pPr>
    </w:p>
    <w:p>
      <w:pPr>
        <w:jc w:val="both"/>
        <w:ind w:firstLine="81"/>
        <w:spacing w:after="0" w:line="272"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 w:lineRule="exact"/>
        <w:rPr>
          <w:sz w:val="24"/>
          <w:szCs w:val="24"/>
          <w:color w:val="auto"/>
        </w:rPr>
      </w:pPr>
    </w:p>
    <w:p>
      <w:pPr>
        <w:ind w:left="80"/>
        <w:spacing w:after="0" w:line="196"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Accelerated filer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Non-accelerated filer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Emerging growth company </w:t>
      </w:r>
      <w:r>
        <w:rPr>
          <w:rFonts w:ascii="MS PGothic" w:cs="MS PGothic" w:eastAsia="MS PGothic" w:hAnsi="MS PGothic"/>
          <w:sz w:val="17"/>
          <w:szCs w:val="17"/>
          <w:color w:val="auto"/>
        </w:rPr>
        <w:t>☐</w:t>
      </w:r>
    </w:p>
    <w:p>
      <w:pPr>
        <w:spacing w:after="0" w:line="154" w:lineRule="exact"/>
        <w:rPr>
          <w:sz w:val="24"/>
          <w:szCs w:val="24"/>
          <w:color w:val="auto"/>
        </w:rPr>
      </w:pPr>
    </w:p>
    <w:p>
      <w:pPr>
        <w:jc w:val="both"/>
        <w:ind w:firstLine="81"/>
        <w:spacing w:after="0" w:line="23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4" w:lineRule="exact"/>
        <w:rPr>
          <w:sz w:val="24"/>
          <w:szCs w:val="24"/>
          <w:color w:val="auto"/>
        </w:rPr>
      </w:pPr>
    </w:p>
    <w:p>
      <w:pPr>
        <w:ind w:left="80" w:right="2220"/>
        <w:spacing w:after="0" w:line="29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July 12, 2024 there were 1,123,922,119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739775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130175</wp:posOffset>
            </wp:positionV>
            <wp:extent cx="7132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720" w:type="dxa"/>
            <w:vAlign w:val="bottom"/>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720" w:type="dxa"/>
            <w:vAlign w:val="bottom"/>
            <w:vMerge w:val="restart"/>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5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49"/>
        </w:trPr>
        <w:tc>
          <w:tcPr>
            <w:tcW w:w="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720" w:type="dxa"/>
            <w:vAlign w:val="bottom"/>
            <w:vMerge w:val="continue"/>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8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Financial Statements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Income Statements (Unaudited)</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Comprehensive Income (Unaudited)</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Balance Sheets (Unaudited)</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Cash Flows (Unaudited)</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Equity (Unaudited)</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Nature of Operations and Basis of Presentation</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2.</w:t>
            </w:r>
          </w:p>
        </w:tc>
        <w:tc>
          <w:tcPr>
            <w:tcW w:w="872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Revenue</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3.</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Marketable and Other Securities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4.</w:t>
            </w:r>
          </w:p>
        </w:tc>
        <w:tc>
          <w:tcPr>
            <w:tcW w:w="872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GM Financial Receivables and Transactions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5.</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Inventories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6.</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Equipment on Operating Leases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7.</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Equity in Net Assets of Nonconsolidated Affiliates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8.</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Variable Interest Entities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9.</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Debt</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10.</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Derivative Financial Instruments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11.</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Product Warranty and Related Liabilities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12.</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Pensions and Other Postretirement Benefits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13.</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14.</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Income Taxes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15.</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Restructuring and Other Initiatives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16.</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Stockholders' Equity and Noncontrolling Interests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17.</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Earnings Per Share</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18.</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Stock Incentive Plans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19.</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Segment Reporting</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84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84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Controls and Procedures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8720" w:type="dxa"/>
            <w:vAlign w:val="bottom"/>
            <w:tcBorders>
              <w:top w:val="single" w:sz="8" w:color="CCEEFF"/>
            </w:tcBorders>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32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84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Legal Proceedings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11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Risk Factors</w:t>
            </w:r>
          </w:p>
        </w:tc>
        <w:tc>
          <w:tcPr>
            <w:tcW w:w="8720" w:type="dxa"/>
            <w:vAlign w:val="bottom"/>
          </w:tcPr>
          <w:p>
            <w:pPr>
              <w:spacing w:after="0"/>
              <w:rPr>
                <w:sz w:val="16"/>
                <w:szCs w:val="16"/>
                <w:color w:val="auto"/>
              </w:rPr>
            </w:pP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84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Other Information</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112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Exhibits</w:t>
            </w:r>
          </w:p>
        </w:tc>
        <w:tc>
          <w:tcPr>
            <w:tcW w:w="8720" w:type="dxa"/>
            <w:vAlign w:val="bottom"/>
            <w:shd w:val="clear" w:color="auto" w:fill="CCEEFF"/>
          </w:tcPr>
          <w:p>
            <w:pPr>
              <w:spacing w:after="0"/>
              <w:rPr>
                <w:sz w:val="16"/>
                <w:szCs w:val="16"/>
                <w:color w:val="auto"/>
              </w:rPr>
            </w:pP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Signature</w:t>
            </w:r>
          </w:p>
        </w:tc>
        <w:tc>
          <w:tcPr>
            <w:tcW w:w="1120" w:type="dxa"/>
            <w:vAlign w:val="bottom"/>
          </w:tcPr>
          <w:p>
            <w:pPr>
              <w:spacing w:after="0"/>
              <w:rPr>
                <w:sz w:val="16"/>
                <w:szCs w:val="16"/>
                <w:color w:val="auto"/>
              </w:rPr>
            </w:pPr>
          </w:p>
        </w:tc>
        <w:tc>
          <w:tcPr>
            <w:tcW w:w="8720" w:type="dxa"/>
            <w:vAlign w:val="bottom"/>
          </w:tcPr>
          <w:p>
            <w:pPr>
              <w:spacing w:after="0"/>
              <w:rPr>
                <w:sz w:val="16"/>
                <w:szCs w:val="16"/>
                <w:color w:val="auto"/>
              </w:rPr>
            </w:pP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3"/>
        </w:trPr>
        <w:tc>
          <w:tcPr>
            <w:tcW w:w="8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7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INCOME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760" w:type="dxa"/>
            <w:vAlign w:val="bottom"/>
            <w:gridSpan w:val="4"/>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5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8"/>
        </w:trPr>
        <w:tc>
          <w:tcPr>
            <w:tcW w:w="5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199"/>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 and revenue</w:t>
            </w: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Automotive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77,900</w:t>
            </w:r>
          </w:p>
        </w:tc>
      </w:tr>
      <w:tr>
        <w:trPr>
          <w:trHeight w:val="212"/>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6,832</w:t>
            </w:r>
          </w:p>
        </w:tc>
      </w:tr>
      <w:tr>
        <w:trPr>
          <w:trHeight w:val="21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sales and revenue (Note 2)</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47,969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44,746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90,983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84,732</w:t>
            </w:r>
          </w:p>
        </w:tc>
      </w:tr>
      <w:tr>
        <w:trPr>
          <w:trHeight w:val="19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7"/>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Automotive and other cost of sales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68,879</w:t>
            </w:r>
          </w:p>
        </w:tc>
      </w:tr>
      <w:tr>
        <w:trPr>
          <w:trHeight w:val="212"/>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GM Financial interest, operating and other expenses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5,380</w:t>
            </w: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Automotive and other selling, general and administrative expense</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5,105</w:t>
            </w:r>
          </w:p>
        </w:tc>
      </w:tr>
      <w:tr>
        <w:trPr>
          <w:trHeight w:val="206"/>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44,096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41,958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83,372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79,364</w:t>
            </w:r>
          </w:p>
        </w:tc>
      </w:tr>
      <w:tr>
        <w:trPr>
          <w:trHeight w:val="211"/>
        </w:trPr>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income (loss)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5,367</w:t>
            </w:r>
          </w:p>
        </w:tc>
      </w:tr>
      <w:tr>
        <w:trPr>
          <w:trHeight w:val="212"/>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Automotive interest expense</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r>
      <w:tr>
        <w:trPr>
          <w:trHeight w:val="21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and other non-operating income, net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r>
      <w:tr>
        <w:trPr>
          <w:trHeight w:val="212"/>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income (loss) (Note 7)</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1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5,803</w:t>
            </w:r>
          </w:p>
        </w:tc>
      </w:tr>
      <w:tr>
        <w:trPr>
          <w:trHeight w:val="212"/>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 (Note 14)</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w:t>
            </w:r>
          </w:p>
        </w:tc>
      </w:tr>
      <w:tr>
        <w:trPr>
          <w:trHeight w:val="21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4,853</w:t>
            </w:r>
          </w:p>
        </w:tc>
      </w:tr>
      <w:tr>
        <w:trPr>
          <w:trHeight w:val="212"/>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noncontrolling interests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36"/>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stockholders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4,962</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common stockholders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4,908</w:t>
            </w:r>
          </w:p>
        </w:tc>
      </w:tr>
      <w:tr>
        <w:trPr>
          <w:trHeight w:val="54"/>
        </w:trPr>
        <w:tc>
          <w:tcPr>
            <w:tcW w:w="5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1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 (Note 17)</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2"/>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w:t>
            </w:r>
          </w:p>
        </w:tc>
      </w:tr>
      <w:tr>
        <w:trPr>
          <w:trHeight w:val="212"/>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common shares outstanding – diluted</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w:t>
            </w:r>
          </w:p>
        </w:tc>
      </w:tr>
      <w:tr>
        <w:trPr>
          <w:trHeight w:val="54"/>
        </w:trPr>
        <w:tc>
          <w:tcPr>
            <w:tcW w:w="5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1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Dividends declared per common share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r>
    </w:tbl>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760" w:type="dxa"/>
            <w:vAlign w:val="bottom"/>
            <w:gridSpan w:val="4"/>
          </w:tcPr>
          <w:p>
            <w:pPr>
              <w:jc w:val="right"/>
              <w:ind w:right="82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5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8"/>
        </w:trPr>
        <w:tc>
          <w:tcPr>
            <w:tcW w:w="5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215"/>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2,507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5,830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4,853</w:t>
            </w:r>
          </w:p>
        </w:tc>
      </w:tr>
      <w:tr>
        <w:trPr>
          <w:trHeight w:val="213"/>
        </w:trPr>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 (Note 16)</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adjustments and other</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2"/>
        </w:trPr>
        <w:tc>
          <w:tcPr>
            <w:tcW w:w="5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Defined benefit plans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1"/>
        </w:trPr>
        <w:tc>
          <w:tcPr>
            <w:tcW w:w="5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06"/>
        </w:trPr>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4,792</w:t>
            </w:r>
          </w:p>
        </w:tc>
      </w:tr>
      <w:tr>
        <w:trPr>
          <w:trHeight w:val="215"/>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Comprehensive loss (income) attributable to 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11"/>
        </w:trPr>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Comprehensive income (loss) attributable to stockholders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2,393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5,373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4,910</w:t>
            </w: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148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7820" w:type="dxa"/>
            <w:vAlign w:val="bottom"/>
            <w:vMerge w:val="restart"/>
          </w:tcPr>
          <w:p>
            <w:pPr>
              <w:ind w:left="36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18,853</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Marketable debt securities (Note 3)</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7,613</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and notes receivable, net of allowance of $288 and $298</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12,378</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GM Financial receivables, net of allowance of $940 and $906 (Note 4; Note 8 at VIEs)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39,076</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 (Note 5)</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16,461</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 (Note 3; Note 8 at VIEs)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7,238</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101,618</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GM Financial receivables, net of allowance of $1,371 and $1,438 (Note 4; Note 8 at VIEs)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45,043</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in net assets of nonconsolidated affiliates (Note 7)</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10,613</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net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50,321</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4,862</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on operating leases, net (Note 6; Note 8 at VIEs)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30,582</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22,339</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 (Note 3; Note 8 at VIEs)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7,686</w:t>
            </w:r>
          </w:p>
        </w:tc>
        <w:tc>
          <w:tcPr>
            <w:tcW w:w="0" w:type="dxa"/>
            <w:vAlign w:val="bottom"/>
          </w:tcPr>
          <w:p>
            <w:pPr>
              <w:spacing w:after="0"/>
              <w:rPr>
                <w:sz w:val="1"/>
                <w:szCs w:val="1"/>
                <w:color w:val="auto"/>
              </w:rPr>
            </w:pPr>
          </w:p>
        </w:tc>
      </w:tr>
      <w:tr>
        <w:trPr>
          <w:trHeight w:val="206"/>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non-current assets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170,891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171,446</w:t>
            </w:r>
          </w:p>
        </w:tc>
        <w:tc>
          <w:tcPr>
            <w:tcW w:w="0" w:type="dxa"/>
            <w:vAlign w:val="bottom"/>
          </w:tcPr>
          <w:p>
            <w:pPr>
              <w:spacing w:after="0"/>
              <w:rPr>
                <w:sz w:val="1"/>
                <w:szCs w:val="1"/>
                <w:color w:val="auto"/>
              </w:rPr>
            </w:pPr>
          </w:p>
        </w:tc>
      </w:tr>
      <w:tr>
        <w:trPr>
          <w:trHeight w:val="236"/>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282,956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273,064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88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(principally trade)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28,114</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debt and current portion of long-term debt (Note 9)</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Automotive</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212"/>
        </w:trPr>
        <w:tc>
          <w:tcPr>
            <w:tcW w:w="7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GM Financial (Note 8 at VIEs)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38,540</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27,364</w:t>
            </w:r>
          </w:p>
        </w:tc>
        <w:tc>
          <w:tcPr>
            <w:tcW w:w="0" w:type="dxa"/>
            <w:vAlign w:val="bottom"/>
          </w:tcPr>
          <w:p>
            <w:pPr>
              <w:spacing w:after="0"/>
              <w:rPr>
                <w:sz w:val="1"/>
                <w:szCs w:val="1"/>
                <w:color w:val="auto"/>
              </w:rPr>
            </w:pPr>
          </w:p>
        </w:tc>
      </w:tr>
      <w:tr>
        <w:trPr>
          <w:trHeight w:val="206"/>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95,363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94,445</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 (Note 9)</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Automotive</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15,985</w:t>
            </w:r>
          </w:p>
        </w:tc>
        <w:tc>
          <w:tcPr>
            <w:tcW w:w="0" w:type="dxa"/>
            <w:vAlign w:val="bottom"/>
          </w:tcPr>
          <w:p>
            <w:pPr>
              <w:spacing w:after="0"/>
              <w:rPr>
                <w:sz w:val="1"/>
                <w:szCs w:val="1"/>
                <w:color w:val="auto"/>
              </w:rPr>
            </w:pPr>
          </w:p>
        </w:tc>
      </w:tr>
      <w:tr>
        <w:trPr>
          <w:trHeight w:val="212"/>
        </w:trPr>
        <w:tc>
          <w:tcPr>
            <w:tcW w:w="7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GM Financial (Note 8 at VIEs)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66,788</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Postretirement benefits other than pensions (Note 12)</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4,345</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Pensions (Note 12)</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6,680</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16,515</w:t>
            </w:r>
          </w:p>
        </w:tc>
        <w:tc>
          <w:tcPr>
            <w:tcW w:w="0" w:type="dxa"/>
            <w:vAlign w:val="bottom"/>
          </w:tcPr>
          <w:p>
            <w:pPr>
              <w:spacing w:after="0"/>
              <w:rPr>
                <w:sz w:val="1"/>
                <w:szCs w:val="1"/>
                <w:color w:val="auto"/>
              </w:rPr>
            </w:pPr>
          </w:p>
        </w:tc>
      </w:tr>
      <w:tr>
        <w:trPr>
          <w:trHeight w:val="206"/>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115,692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110,312</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204,757</w:t>
            </w:r>
          </w:p>
        </w:tc>
        <w:tc>
          <w:tcPr>
            <w:tcW w:w="0" w:type="dxa"/>
            <w:vAlign w:val="bottom"/>
          </w:tcPr>
          <w:p>
            <w:pPr>
              <w:spacing w:after="0"/>
              <w:rPr>
                <w:sz w:val="1"/>
                <w:szCs w:val="1"/>
                <w:color w:val="auto"/>
              </w:rPr>
            </w:pPr>
          </w:p>
        </w:tc>
      </w:tr>
      <w:tr>
        <w:trPr>
          <w:trHeight w:val="212"/>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 - Cruise stock incentive awards</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Equity (Note 16)</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19,130</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55,391</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(10,787)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(10,247)</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64,286</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3,903</w:t>
            </w:r>
          </w:p>
        </w:tc>
        <w:tc>
          <w:tcPr>
            <w:tcW w:w="0" w:type="dxa"/>
            <w:vAlign w:val="bottom"/>
          </w:tcPr>
          <w:p>
            <w:pPr>
              <w:spacing w:after="0"/>
              <w:rPr>
                <w:sz w:val="1"/>
                <w:szCs w:val="1"/>
                <w:color w:val="auto"/>
              </w:rPr>
            </w:pPr>
          </w:p>
        </w:tc>
      </w:tr>
      <w:tr>
        <w:trPr>
          <w:trHeight w:val="20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68,189</w:t>
            </w:r>
          </w:p>
        </w:tc>
        <w:tc>
          <w:tcPr>
            <w:tcW w:w="0" w:type="dxa"/>
            <w:vAlign w:val="bottom"/>
          </w:tcPr>
          <w:p>
            <w:pPr>
              <w:spacing w:after="0"/>
              <w:rPr>
                <w:sz w:val="1"/>
                <w:szCs w:val="1"/>
                <w:color w:val="auto"/>
              </w:rPr>
            </w:pPr>
          </w:p>
        </w:tc>
      </w:tr>
      <w:tr>
        <w:trPr>
          <w:trHeight w:val="211"/>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282,956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273,064</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may not add due to rounding.</w:t>
      </w:r>
    </w:p>
    <w:p>
      <w:pPr>
        <w:sectPr>
          <w:pgSz w:w="11900" w:h="16838" w:orient="portrait"/>
          <w:cols w:equalWidth="0" w:num="1">
            <w:col w:w="11240"/>
          </w:cols>
          <w:pgMar w:left="320" w:top="121" w:right="339" w:bottom="1440" w:gutter="0" w:footer="0" w:header="0"/>
        </w:sect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240665</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60" w:type="dxa"/>
            <w:vAlign w:val="bottom"/>
            <w:gridSpan w:val="4"/>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7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8"/>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Pr>
          <w:p>
            <w:pPr>
              <w:spacing w:after="0"/>
              <w:rPr>
                <w:sz w:val="16"/>
                <w:szCs w:val="16"/>
                <w:color w:val="auto"/>
              </w:rPr>
            </w:pPr>
          </w:p>
        </w:tc>
        <w:tc>
          <w:tcPr>
            <w:tcW w:w="140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199"/>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4,853</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impairment of Equipment on operating leases, net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2,476</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amortization and impairment charges on Property, net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remeasurement and transaction (gains) losses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Undistributed earnings of nonconsolidated affiliates, net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Pension contributions and OPEB payments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and OPEB income, net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(benefit) for deferred taxes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other operating assets and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206"/>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10,677</w:t>
            </w: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Expenditures for property</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(4,683)</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Available-for-sale marketable securities, acquisitions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Available-for-sale marketable securities, liquidations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5,404</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finance receivables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(17,810)</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Principal collections and recoveries on finance receivables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13,922</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leased vehicles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(6,834)</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termination of leased vehicles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6,673</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r>
      <w:tr>
        <w:trPr>
          <w:trHeight w:val="206"/>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(6,824)</w:t>
            </w: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increase (decrease) in short-term debt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 of debt (original maturities greater than three months)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26,235</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on debt (original maturities greater than three months)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(23,812)</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to purchase common stock</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paid</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r>
      <w:tr>
        <w:trPr>
          <w:trHeight w:val="206"/>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06"/>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4,805</w:t>
            </w: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21,948</w:t>
            </w: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25,620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26,753</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74"/>
        </w:trPr>
        <w:tc>
          <w:tcPr>
            <w:tcW w:w="78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Significant Non-cash Investing and Financing Activity</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property additions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5,695</w:t>
            </w: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Stockholders’</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25"/>
        </w:trPr>
        <w:tc>
          <w:tcPr>
            <w:tcW w:w="2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100" w:type="dxa"/>
            <w:vAlign w:val="bottom"/>
          </w:tcPr>
          <w:p>
            <w:pPr>
              <w:spacing w:after="0"/>
              <w:rPr>
                <w:sz w:val="11"/>
                <w:szCs w:val="11"/>
                <w:color w:val="auto"/>
              </w:rPr>
            </w:pPr>
          </w:p>
        </w:tc>
        <w:tc>
          <w:tcPr>
            <w:tcW w:w="1340" w:type="dxa"/>
            <w:vAlign w:val="bottom"/>
          </w:tcPr>
          <w:p>
            <w:pPr>
              <w:jc w:val="center"/>
              <w:ind w:right="8"/>
              <w:spacing w:after="0" w:line="130"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0" w:type="dxa"/>
            <w:vAlign w:val="bottom"/>
          </w:tcPr>
          <w:p>
            <w:pPr>
              <w:spacing w:after="0"/>
              <w:rPr>
                <w:sz w:val="1"/>
                <w:szCs w:val="1"/>
                <w:color w:val="auto"/>
              </w:rPr>
            </w:pPr>
          </w:p>
        </w:tc>
      </w:tr>
      <w:tr>
        <w:trPr>
          <w:trHeight w:val="146"/>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4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Cruise Stock Incentive</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4"/>
                <w:szCs w:val="14"/>
                <w:b w:val="1"/>
                <w:bCs w:val="1"/>
                <w:color w:val="auto"/>
              </w:rPr>
              <w:t>(Permanent</w:t>
            </w:r>
          </w:p>
        </w:tc>
        <w:tc>
          <w:tcPr>
            <w:tcW w:w="100" w:type="dxa"/>
            <w:vAlign w:val="bottom"/>
          </w:tcPr>
          <w:p>
            <w:pPr>
              <w:spacing w:after="0"/>
              <w:rPr>
                <w:sz w:val="12"/>
                <w:szCs w:val="12"/>
                <w:color w:val="auto"/>
              </w:rPr>
            </w:pPr>
          </w:p>
        </w:tc>
        <w:tc>
          <w:tcPr>
            <w:tcW w:w="1340" w:type="dxa"/>
            <w:vAlign w:val="bottom"/>
          </w:tcPr>
          <w:p>
            <w:pPr>
              <w:jc w:val="center"/>
              <w:ind w:right="8"/>
              <w:spacing w:after="0" w:line="148"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195"/>
        </w:trPr>
        <w:tc>
          <w:tcPr>
            <w:tcW w:w="2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13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(Temporary Equity)</w:t>
            </w:r>
          </w:p>
        </w:tc>
        <w:tc>
          <w:tcPr>
            <w:tcW w:w="0" w:type="dxa"/>
            <w:vAlign w:val="bottom"/>
          </w:tcPr>
          <w:p>
            <w:pPr>
              <w:spacing w:after="0"/>
              <w:rPr>
                <w:sz w:val="1"/>
                <w:szCs w:val="1"/>
                <w:color w:val="auto"/>
              </w:rPr>
            </w:pPr>
          </w:p>
        </w:tc>
      </w:tr>
      <w:tr>
        <w:trPr>
          <w:trHeight w:val="202"/>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26,428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49,251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71,927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common stock</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93"/>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26,323</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51,318</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(7,778)</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4,084</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73,961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217"/>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common stock</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to noncontrolling interests</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68"/>
        </w:trPr>
        <w:tc>
          <w:tcPr>
            <w:tcW w:w="294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26,078</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53,517</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(7,953)</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4,030</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75,685</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46"/>
        </w:trPr>
        <w:tc>
          <w:tcPr>
            <w:tcW w:w="29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9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2024</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19,130</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55,391</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(10,247)</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3,903</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68,189</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17"/>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common stock</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98"/>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57,688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70,426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common stock</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to noncontrolling interests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221"/>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59,807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of Presentation</w:t>
      </w:r>
    </w:p>
    <w:p>
      <w:pPr>
        <w:spacing w:after="0" w:line="254"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General Motors Company (sometimes referred to in this Quarterly Report on Form 10-Q as we, our, us, ourselves, the Company, General Motors or GM) designs, builds and sells trucks, crossovers, cars and automobile parts and provides software-enabled services and subscriptions worldwide. Additionally, we are investing in an autonomous vehicle (AV) business. We also provide automotive financing services through General Motors Financial Company, Inc. (GM Financial). We analyze the results of our operations through the following segments: GM North America (GMNA), GM International (GMI), Cruise and GM Financial. Cruise is our global segment responsible for the development and commercialization of AV technology. Corporate includes certain centrally recorded income and costs such as interest, income taxes, corporate expenditures and certain revenues and expenses that are not part of a reportable segment.</w:t>
      </w:r>
    </w:p>
    <w:p>
      <w:pPr>
        <w:spacing w:after="0" w:line="213"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conformity with U.S. generally accepted accounting principles (GAAP) pursuant to the rules and regulations of the Securities and Exchange Commission (SEC) for interim financial information. Accordingly, they do not include all of the information and notes required by U.S. GAAP for complete financial statements. The condensed consolidated financial statements include all adjustments, which consist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audited consolidated financial statements and notes thereto included in our 2023 Form 10-K. Except for per share amounts or as otherwise specified, amounts presented within tables are stated in millions. Certain columns and rows may not add due to rounding.</w:t>
      </w:r>
    </w:p>
    <w:p>
      <w:pPr>
        <w:spacing w:after="0" w:line="216"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Throughout this report, we refer to General Motors Company and its consolidated subsidiaries in a simplified manner and on a collective basis, using words like "we," "our," "us" and "the Company." This drafting style is suggested by the SEC and is not meant to indicate that General Motors Company, the publicly traded parent company, or any particular subsidiary of the parent company, owns or operates any particular asset, business or property. The operations and businesses described in this report are owned and operated by distinct subsidiaries of General Motors Company.</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We consolidate entities that we control due to ownership of a majority voting interest and we consolidate variable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entities (VIEs) when we are the primary beneficiary. All intercompany balances and transactions are eliminated in consolidation. Our share of earnings or losses of nonconsolidated affiliates is included in our consolidated operating results using the equity method of accounting when we are able to exercise significant influence over the operating and financial decisions of the affiliate.</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GM Financial </w:t>
      </w:r>
      <w:r>
        <w:rPr>
          <w:rFonts w:ascii="Times New Roman" w:cs="Times New Roman" w:eastAsia="Times New Roman" w:hAnsi="Times New Roman"/>
          <w:sz w:val="18"/>
          <w:szCs w:val="18"/>
          <w:color w:val="auto"/>
        </w:rPr>
        <w:t>The amounts presented for GM Financial are adjusted to reflect the impact on GM Financial's deferred tax positions and provision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taxes resulting from the inclusion of GM Financial in our consolidated tax returns and to eliminate the effect of transactions between GM Financial and the other members of the consolidated group. Accordingly, the amounts presented will differ from those presented by GM Financial on a stand-alone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disaggregates our revenue by major source: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GMNA</w:t>
            </w:r>
          </w:p>
        </w:tc>
        <w:tc>
          <w:tcPr>
            <w:tcW w:w="16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GMI</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4"/>
                <w:szCs w:val="14"/>
                <w:b w:val="1"/>
                <w:bCs w:val="1"/>
                <w:color w:val="auto"/>
                <w:w w:val="99"/>
              </w:rPr>
              <w:t>GM</w:t>
            </w:r>
          </w:p>
        </w:tc>
        <w:tc>
          <w:tcPr>
            <w:tcW w:w="1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Eliminations/Reclassifications</w:t>
            </w:r>
          </w:p>
        </w:tc>
        <w:tc>
          <w:tcPr>
            <w:tcW w:w="180" w:type="dxa"/>
            <w:vAlign w:val="bottom"/>
          </w:tcPr>
          <w:p>
            <w:pPr>
              <w:spacing w:after="0"/>
              <w:rPr>
                <w:sz w:val="11"/>
                <w:szCs w:val="11"/>
                <w:color w:val="auto"/>
              </w:rPr>
            </w:pPr>
          </w:p>
        </w:tc>
        <w:tc>
          <w:tcPr>
            <w:tcW w:w="6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9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39,416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42,515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42,515</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Services and other</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40,725</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3,298</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44,060</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44,060</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3,918</w:t>
            </w:r>
          </w:p>
        </w:tc>
        <w:tc>
          <w:tcPr>
            <w:tcW w:w="12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3,908</w:t>
            </w: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44,060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3,918</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47,969</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2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GMNA</w:t>
            </w:r>
          </w:p>
        </w:tc>
        <w:tc>
          <w:tcPr>
            <w:tcW w:w="16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GMI</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w w:val="99"/>
              </w:rPr>
              <w:t>GM</w:t>
            </w:r>
          </w:p>
        </w:tc>
        <w:tc>
          <w:tcPr>
            <w:tcW w:w="1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Eliminations/Reclassifications</w:t>
            </w:r>
          </w:p>
        </w:tc>
        <w:tc>
          <w:tcPr>
            <w:tcW w:w="180" w:type="dxa"/>
            <w:vAlign w:val="bottom"/>
          </w:tcPr>
          <w:p>
            <w:pPr>
              <w:spacing w:after="0"/>
              <w:rPr>
                <w:sz w:val="11"/>
                <w:szCs w:val="11"/>
                <w:color w:val="auto"/>
              </w:rPr>
            </w:pPr>
          </w:p>
        </w:tc>
        <w:tc>
          <w:tcPr>
            <w:tcW w:w="6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9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39,761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39,761</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Services and other</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37,220</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3,955</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41,254</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41,254</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3,498</w:t>
            </w:r>
          </w:p>
        </w:tc>
        <w:tc>
          <w:tcPr>
            <w:tcW w:w="12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41,254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3,498</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44,746</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2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GMNA</w:t>
            </w:r>
          </w:p>
        </w:tc>
        <w:tc>
          <w:tcPr>
            <w:tcW w:w="16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GMI</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4"/>
                <w:szCs w:val="14"/>
                <w:b w:val="1"/>
                <w:bCs w:val="1"/>
                <w:color w:val="auto"/>
                <w:w w:val="99"/>
              </w:rPr>
              <w:t>GM</w:t>
            </w:r>
          </w:p>
        </w:tc>
        <w:tc>
          <w:tcPr>
            <w:tcW w:w="1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Eliminations/Reclassifications</w:t>
            </w:r>
          </w:p>
        </w:tc>
        <w:tc>
          <w:tcPr>
            <w:tcW w:w="180" w:type="dxa"/>
            <w:vAlign w:val="bottom"/>
          </w:tcPr>
          <w:p>
            <w:pPr>
              <w:spacing w:after="0"/>
              <w:rPr>
                <w:sz w:val="11"/>
                <w:szCs w:val="11"/>
                <w:color w:val="auto"/>
              </w:rPr>
            </w:pPr>
          </w:p>
        </w:tc>
        <w:tc>
          <w:tcPr>
            <w:tcW w:w="6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9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74,313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80,177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80,177</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Services and other</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2,524</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76,824</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6,380</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83,272</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83,273</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3,662</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3,646</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7,730</w:t>
            </w:r>
          </w:p>
        </w:tc>
        <w:tc>
          <w:tcPr>
            <w:tcW w:w="12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7,710</w:t>
            </w: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76,824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83,272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7,730</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90,983</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GMNA</w:t>
            </w:r>
          </w:p>
        </w:tc>
        <w:tc>
          <w:tcPr>
            <w:tcW w:w="16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GMI</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4"/>
                <w:szCs w:val="14"/>
                <w:b w:val="1"/>
                <w:bCs w:val="1"/>
                <w:color w:val="auto"/>
                <w:w w:val="99"/>
              </w:rPr>
              <w:t>GM</w:t>
            </w:r>
          </w:p>
        </w:tc>
        <w:tc>
          <w:tcPr>
            <w:tcW w:w="1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Eliminations/Reclassifications</w:t>
            </w:r>
          </w:p>
        </w:tc>
        <w:tc>
          <w:tcPr>
            <w:tcW w:w="180" w:type="dxa"/>
            <w:vAlign w:val="bottom"/>
          </w:tcPr>
          <w:p>
            <w:pPr>
              <w:spacing w:after="0"/>
              <w:rPr>
                <w:sz w:val="11"/>
                <w:szCs w:val="11"/>
                <w:color w:val="auto"/>
              </w:rPr>
            </w:pPr>
          </w:p>
        </w:tc>
        <w:tc>
          <w:tcPr>
            <w:tcW w:w="6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9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67,975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74,988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74,988</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Services and other</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70,108</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7,682</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77,900</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77,900</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2,859</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2,852</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6,841</w:t>
            </w:r>
          </w:p>
        </w:tc>
        <w:tc>
          <w:tcPr>
            <w:tcW w:w="12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6,832</w:t>
            </w: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70,108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77,900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6,841</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84,732</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Revenue is measured as the amount of consideration we expect to receive in exchange for transferring goods or providing services. Adjustments to sales incentives for previously recognized sales increased revenue by $310 million and an insignificant amount in the three months ended June 30, 2024 and 2023.</w:t>
      </w:r>
    </w:p>
    <w:p>
      <w:pPr>
        <w:spacing w:after="0" w:line="204" w:lineRule="exact"/>
        <w:rPr>
          <w:sz w:val="20"/>
          <w:szCs w:val="20"/>
          <w:color w:val="auto"/>
        </w:rPr>
      </w:pPr>
    </w:p>
    <w:p>
      <w:pPr>
        <w:jc w:val="both"/>
        <w:ind w:firstLine="161"/>
        <w:spacing w:after="0" w:line="275" w:lineRule="auto"/>
        <w:rPr>
          <w:sz w:val="20"/>
          <w:szCs w:val="20"/>
          <w:color w:val="auto"/>
        </w:rPr>
      </w:pPr>
      <w:r>
        <w:rPr>
          <w:rFonts w:ascii="Times New Roman" w:cs="Times New Roman" w:eastAsia="Times New Roman" w:hAnsi="Times New Roman"/>
          <w:sz w:val="17"/>
          <w:szCs w:val="17"/>
          <w:color w:val="auto"/>
        </w:rPr>
        <w:t>Contract liabilities in our Automotive segments primarily consist of vehicle connectivity, customer rewards programs, maintenance, extended warranty and other contracts of $5.8 billion and $5.0 billion at June 30, 2024 and December 31, 2023, which are included in Accrued liabilities and Other liabilities. We recognized revenue of $455 million and $945 million related to contract liabilities in the three and six months ended June 30, 2024 and $410 million and $818 million in the three and six months ended June 30, 2023. We expect to recognize revenue of $1.1 billion in the six months ending December 31, 2024 and $1.7 billion, $1.3 billion and $1.7 billion in the years ending December 31, 2025, 2026 and thereafter related to contract liabilities at June 30, 2024.</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Marketable and Other Securities</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fair value of cash equivalents and marketable debt securities, which approximates cost:</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3"/>
                <w:szCs w:val="13"/>
                <w:color w:val="auto"/>
              </w:rPr>
            </w:pPr>
          </w:p>
        </w:tc>
        <w:tc>
          <w:tcPr>
            <w:tcW w:w="138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678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6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time deposits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w:t>
            </w:r>
          </w:p>
        </w:tc>
        <w:tc>
          <w:tcPr>
            <w:tcW w:w="0" w:type="dxa"/>
            <w:vAlign w:val="bottom"/>
          </w:tcPr>
          <w:p>
            <w:pPr>
              <w:spacing w:after="0"/>
              <w:rPr>
                <w:sz w:val="1"/>
                <w:szCs w:val="1"/>
                <w:color w:val="auto"/>
              </w:rPr>
            </w:pPr>
          </w:p>
        </w:tc>
      </w:tr>
      <w:tr>
        <w:trPr>
          <w:trHeight w:val="228"/>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8"/>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Sovereign debt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debt securities – cash equivalents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18,853</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Marketable debt securities</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 and other</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0" w:type="dxa"/>
            <w:vAlign w:val="bottom"/>
          </w:tcPr>
          <w:p>
            <w:pPr>
              <w:spacing w:after="0"/>
              <w:rPr>
                <w:sz w:val="1"/>
                <w:szCs w:val="1"/>
                <w:color w:val="auto"/>
              </w:rPr>
            </w:pPr>
          </w:p>
        </w:tc>
      </w:tr>
      <w:tr>
        <w:trPr>
          <w:trHeight w:val="228"/>
        </w:trPr>
        <w:tc>
          <w:tcPr>
            <w:tcW w:w="6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Mortgage and asset-backed</w:t>
            </w:r>
          </w:p>
        </w:tc>
        <w:tc>
          <w:tcPr>
            <w:tcW w:w="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47"/>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debt securities – marketable securities</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78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28"/>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0" w:type="dxa"/>
            <w:vAlign w:val="bottom"/>
          </w:tcPr>
          <w:p>
            <w:pPr>
              <w:spacing w:after="0"/>
              <w:rPr>
                <w:sz w:val="1"/>
                <w:szCs w:val="1"/>
                <w:color w:val="auto"/>
              </w:rPr>
            </w:pPr>
          </w:p>
        </w:tc>
      </w:tr>
      <w:tr>
        <w:trPr>
          <w:trHeight w:val="247"/>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restricted cash</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debt securities included above with contractual maturities(a)</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between one and five years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debt securities with contractual maturities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Excludes mortgage and asset-backed securities of $577 million at June 30, 2024 as these securities are not due at a single maturity date.</w:t>
      </w:r>
    </w:p>
    <w:p>
      <w:pPr>
        <w:spacing w:after="0" w:line="23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Proceeds from the sale of available-for-sale debt securities sold prior to maturity were $584 million and $638 million in the three months ended June 30, 2024 and 2023 and $1.1 billion and $1.0 billion in the six months ended June 30, 2024 and 2023. Net unrealized gains and losses on available-for-sale debt securities were insignificant in the three months ended June 30, 2024 and 2023. Net unrealized gains on available-for-sale debt securities were insignificant in the six months ended June 30, 2024 and 2023. Cumulative unrealized losses on available-for-sale debt securities were $144 million and $160 million at June 30, 2024 and December 31, 2023.</w:t>
      </w:r>
    </w:p>
    <w:p>
      <w:pPr>
        <w:spacing w:after="0" w:line="21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 to the total shown in the condensed consolidated statement of cash flows: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0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25"/>
        </w:trPr>
        <w:tc>
          <w:tcPr>
            <w:tcW w:w="4500" w:type="dxa"/>
            <w:vAlign w:val="bottom"/>
            <w:tcBorders>
              <w:bottom w:val="single" w:sz="8" w:color="CCEEFF"/>
            </w:tcBorders>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22,516</w:t>
            </w:r>
          </w:p>
        </w:tc>
        <w:tc>
          <w:tcPr>
            <w:tcW w:w="0" w:type="dxa"/>
            <w:vAlign w:val="bottom"/>
          </w:tcPr>
          <w:p>
            <w:pPr>
              <w:spacing w:after="0"/>
              <w:rPr>
                <w:sz w:val="1"/>
                <w:szCs w:val="1"/>
                <w:color w:val="auto"/>
              </w:rPr>
            </w:pPr>
          </w:p>
        </w:tc>
      </w:tr>
      <w:tr>
        <w:trPr>
          <w:trHeight w:val="22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5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0" w:type="dxa"/>
            <w:vAlign w:val="bottom"/>
          </w:tcPr>
          <w:p>
            <w:pPr>
              <w:spacing w:after="0"/>
              <w:rPr>
                <w:sz w:val="1"/>
                <w:szCs w:val="1"/>
                <w:color w:val="auto"/>
              </w:rPr>
            </w:pPr>
          </w:p>
        </w:tc>
      </w:tr>
      <w:tr>
        <w:trPr>
          <w:trHeight w:val="228"/>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50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22"/>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080" w:type="dxa"/>
            <w:vAlign w:val="bottom"/>
            <w:vMerge w:val="restart"/>
          </w:tcPr>
          <w:p>
            <w:pPr>
              <w:jc w:val="right"/>
              <w:ind w:right="383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9"/>
        </w:trPr>
        <w:tc>
          <w:tcPr>
            <w:tcW w:w="450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450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GM Financial Receivables and Transactions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5"/>
        </w:trPr>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8"/>
        </w:trPr>
        <w:tc>
          <w:tcPr>
            <w:tcW w:w="4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Commercial(a)</w:t>
            </w: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Commercial(a)</w:t>
            </w: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receivables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73,335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72,729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86,463</w:t>
            </w:r>
          </w:p>
        </w:tc>
      </w:tr>
      <w:tr>
        <w:trPr>
          <w:trHeight w:val="228"/>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8"/>
              </w:rPr>
              <w:t>(2,261)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98"/>
              </w:rPr>
              <w:t>(2,308)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8"/>
              </w:rPr>
              <w:t>(2,344)</w:t>
            </w:r>
          </w:p>
        </w:tc>
      </w:tr>
      <w:tr>
        <w:trPr>
          <w:trHeight w:val="247"/>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receivables,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71,074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70,421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84,119</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428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Fair value of GM Financial receivables utilizing Level 2</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33"/>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inputs</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13,698</w:t>
            </w:r>
          </w:p>
        </w:tc>
      </w:tr>
      <w:tr>
        <w:trPr>
          <w:trHeight w:val="183"/>
        </w:trPr>
        <w:tc>
          <w:tcPr>
            <w:tcW w:w="428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Fair value of GM Financial receivables utilizing Level 3</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34"/>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inputs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70,911</w:t>
            </w: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jc w:val="both"/>
        <w:ind w:left="340" w:hanging="333"/>
        <w:spacing w:after="0" w:line="260" w:lineRule="auto"/>
        <w:tabs>
          <w:tab w:leader="none" w:pos="33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 finance receivables include dealer financing of $16.1 billion and $13.3 billion, and other financing of $431 million and $476 million at June 30, 2024 and December 31, 2023. Commercial finance receivables are presented net of dealer cash management balances of $3.0 billion and $2.6 billion at June 30, 2024 and December 31, 2023. Under the cash management program, subject to certain conditions, a dealer may choose to reduce the amount of interest on its floorplan line by making principal payments to GM Financial in advance.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3040" w:type="dxa"/>
            <w:vAlign w:val="bottom"/>
            <w:gridSpan w:val="4"/>
          </w:tcPr>
          <w:p>
            <w:pPr>
              <w:jc w:val="right"/>
              <w:ind w:right="99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8"/>
        </w:trPr>
        <w:tc>
          <w:tcPr>
            <w:tcW w:w="45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228"/>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at beginning of period</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r>
      <w:tr>
        <w:trPr>
          <w:trHeight w:val="22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8"/>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2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28"/>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 and other</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2"/>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loan losses at end of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w:t>
            </w: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allowance for loan losses as a percentage of finance receivables was 2.6% and 2.7% at June 30, 2024 and December 31, 2023.</w:t>
      </w:r>
    </w:p>
    <w:p>
      <w:pPr>
        <w:spacing w:after="0" w:line="246"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Retail Finance Receivables </w:t>
      </w:r>
      <w:r>
        <w:rPr>
          <w:rFonts w:ascii="Times New Roman" w:cs="Times New Roman" w:eastAsia="Times New Roman" w:hAnsi="Times New Roman"/>
          <w:sz w:val="18"/>
          <w:szCs w:val="18"/>
          <w:color w:val="auto"/>
        </w:rPr>
        <w:t>GM Financial's retail finance receivable portfolio includes loans made to consumers and businesses to finance the purchase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vehicles for personal and commercial use. The following tables are consolidated summaries of the retail finance receivables by FICO score or its equivalent, determined at origination, for each vintage of the retail finance receivables portfolio at June 30, 2024 and December 31, 2023:</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3"/>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5"/>
        </w:trPr>
        <w:tc>
          <w:tcPr>
            <w:tcW w:w="3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r>
      <w:tr>
        <w:trPr>
          <w:trHeight w:val="188"/>
        </w:trPr>
        <w:tc>
          <w:tcPr>
            <w:tcW w:w="37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Prime – FICO score 680 and greater</w:t>
            </w: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55,411</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75.6 %</w:t>
            </w: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Near-prime – FICO score 620 to 679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8,736</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22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Sub-prime – FICO score less than 620</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9,188</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22"/>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finance receivables</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16,350</w:t>
            </w: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10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73,335</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27"/>
        </w:trPr>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3"/>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3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r>
      <w:tr>
        <w:trPr>
          <w:trHeight w:val="188"/>
        </w:trPr>
        <w:tc>
          <w:tcPr>
            <w:tcW w:w="3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Prime – FICO score 680 and greater</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9,039</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54,882</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75.5 %</w:t>
            </w: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Near-prime – FICO score 620 to 679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22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Sub-prime – FICO score less than 620</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r>
      <w:tr>
        <w:trPr>
          <w:trHeight w:val="222"/>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finance receivables</w:t>
            </w: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20,259</w:t>
            </w:r>
          </w:p>
        </w:tc>
        <w:tc>
          <w:tcPr>
            <w:tcW w:w="20" w:type="dxa"/>
            <w:vAlign w:val="bottom"/>
            <w:tcBorders>
              <w:bottom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72,729</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81"/>
        </w:trPr>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6"/>
        </w:trPr>
        <w:tc>
          <w:tcPr>
            <w:tcW w:w="3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GM Financial reviews the ongoing credit quality of retail finance receivables based on customer payment activity. A retail account is considered delinquent if a substantial portion of a scheduled payment has not been received by the date the payment was contractually due. Retail finance receivables are collateralized by vehicle titles and, subject to local laws, GM Financial generally has the right to repossess the vehicle in the event the customer defaults on the payment terms of the contract. The accrual of finance charge income had been suspended on delinquent retail finance receivables with contractual amounts due of $774 million and $809 million at June 30, 2024 and December 31, 2023. The following tables are consolidated summaries of the delinquency status of the outstanding amortized cost of retail finance receivables for each vintage of the portfolio at June 30, 2024 and December 31, 2023, as well as summary totals for June 30, 2023:</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7"/>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7"/>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5"/>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25"/>
        </w:trPr>
        <w:tc>
          <w:tcPr>
            <w:tcW w:w="2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8"/>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gridSpan w:val="4"/>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15"/>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0-to-30 days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9,551</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1,419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71,211</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67,957</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97.5 %</w:t>
            </w:r>
          </w:p>
        </w:tc>
      </w:tr>
      <w:tr>
        <w:trPr>
          <w:trHeight w:val="228"/>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31-to-60 days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1,284</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2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Greater-than-60 days</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r>
      <w:tr>
        <w:trPr>
          <w:trHeight w:val="155"/>
        </w:trPr>
        <w:tc>
          <w:tcPr>
            <w:tcW w:w="216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39"/>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than 30 days delinquent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1,714</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r>
      <w:tr>
        <w:trPr>
          <w:trHeight w:val="231"/>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repossession</w:t>
            </w:r>
          </w:p>
        </w:tc>
        <w:tc>
          <w:tcPr>
            <w:tcW w:w="1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155"/>
        </w:trPr>
        <w:tc>
          <w:tcPr>
            <w:tcW w:w="216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5"/>
        </w:trPr>
        <w:tc>
          <w:tcPr>
            <w:tcW w:w="2160" w:type="dxa"/>
            <w:vAlign w:val="bottom"/>
          </w:tcPr>
          <w:p>
            <w:pPr>
              <w:ind w:left="180"/>
              <w:spacing w:after="0" w:line="175" w:lineRule="exact"/>
              <w:rPr>
                <w:sz w:val="20"/>
                <w:szCs w:val="20"/>
                <w:color w:val="auto"/>
              </w:rPr>
            </w:pPr>
            <w:r>
              <w:rPr>
                <w:rFonts w:ascii="Times New Roman" w:cs="Times New Roman" w:eastAsia="Times New Roman" w:hAnsi="Times New Roman"/>
                <w:sz w:val="18"/>
                <w:szCs w:val="18"/>
                <w:color w:val="auto"/>
              </w:rPr>
              <w:t>than 30 days delinquent or</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9"/>
        </w:trPr>
        <w:tc>
          <w:tcPr>
            <w:tcW w:w="2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 repossession</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2,124</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1,765</w:t>
            </w: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2.5 %</w:t>
            </w:r>
          </w:p>
        </w:tc>
      </w:tr>
      <w:tr>
        <w:trPr>
          <w:trHeight w:val="236"/>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finance receivables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24,854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10,007</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1,602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73,335</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69,722</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594"/>
        </w:trPr>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9"/>
          </w:tcPr>
          <w:p>
            <w:pPr>
              <w:ind w:left="8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8"/>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15"/>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0-to-30 days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29,816</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19,602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12,098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6,533</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599</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70,472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96.9 %</w:t>
            </w:r>
          </w:p>
        </w:tc>
      </w:tr>
      <w:tr>
        <w:trPr>
          <w:trHeight w:val="228"/>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31-to-60 days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1"/>
              </w:rPr>
              <w:t>470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1,637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22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Greater-than-60 days</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1"/>
              </w:rPr>
              <w:t>168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42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559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155"/>
        </w:trPr>
        <w:tc>
          <w:tcPr>
            <w:tcW w:w="230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 than</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39"/>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 days delinquent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1"/>
              </w:rPr>
              <w:t>637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2,196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31"/>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repossession</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155"/>
        </w:trPr>
        <w:tc>
          <w:tcPr>
            <w:tcW w:w="230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 than</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3"/>
        </w:trPr>
        <w:tc>
          <w:tcPr>
            <w:tcW w:w="2160" w:type="dxa"/>
            <w:vAlign w:val="bottom"/>
          </w:tcPr>
          <w:p>
            <w:pPr>
              <w:ind w:left="180"/>
              <w:spacing w:after="0" w:line="183" w:lineRule="exact"/>
              <w:rPr>
                <w:sz w:val="20"/>
                <w:szCs w:val="20"/>
                <w:color w:val="auto"/>
              </w:rPr>
            </w:pPr>
            <w:r>
              <w:rPr>
                <w:rFonts w:ascii="Times New Roman" w:cs="Times New Roman" w:eastAsia="Times New Roman" w:hAnsi="Times New Roman"/>
                <w:sz w:val="18"/>
                <w:szCs w:val="18"/>
                <w:color w:val="auto"/>
              </w:rPr>
              <w:t>30 days delinquent or in</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3"/>
        </w:trPr>
        <w:tc>
          <w:tcPr>
            <w:tcW w:w="2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repossession</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1"/>
              </w:rPr>
              <w:t>657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108</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2,257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33"/>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finance receivables</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30,253</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20,259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12,670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707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72,729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Commercial Finance Receivables </w:t>
      </w:r>
      <w:r>
        <w:rPr>
          <w:rFonts w:ascii="Times New Roman" w:cs="Times New Roman" w:eastAsia="Times New Roman" w:hAnsi="Times New Roman"/>
          <w:sz w:val="18"/>
          <w:szCs w:val="18"/>
          <w:color w:val="auto"/>
        </w:rPr>
        <w:t>GM Financial's commercial finance receivables consist of dealer financing, primarily for dealer inventory purchases,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other financing, which includes loans to commercial vehicle upfitters. For dealer financing, proprietary models are used to assign a risk rating to each dealer. GM Financial performs periodic credit reviews of each dealership and adjusts the dealership's risk rating, if necessary. The credit risk associated with other financing is limited due to the structure of the business relationships.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3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GM Financial's dealer risk model and risk rating categories are as follows:</w:t>
      </w:r>
    </w:p>
    <w:p>
      <w:pPr>
        <w:sectPr>
          <w:pgSz w:w="11900" w:h="16838" w:orient="portrait"/>
          <w:cols w:equalWidth="0" w:num="1">
            <w:col w:w="11240"/>
          </w:cols>
          <w:pgMar w:left="320" w:top="121" w:right="339" w:bottom="1440" w:gutter="0" w:footer="0" w:header="0"/>
        </w:sectPr>
      </w:pP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Rating</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II</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III</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19050</wp:posOffset>
            </wp:positionV>
            <wp:extent cx="7132955" cy="1536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Performing accounts with strong to acceptable financial metrics with at least satisfactory capacity to meet financial commitments.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Performing accounts experiencing potential weakness in financial metrics and repayment prospects resulting in increased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20955</wp:posOffset>
            </wp:positionV>
            <wp:extent cx="7132955" cy="2647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264795"/>
                    </a:xfrm>
                    <a:prstGeom prst="rect">
                      <a:avLst/>
                    </a:prstGeom>
                    <a:noFill/>
                  </pic:spPr>
                </pic:pic>
              </a:graphicData>
            </a:graphic>
          </wp:anchor>
        </w:drawing>
      </w:r>
    </w:p>
    <w:p>
      <w:pPr>
        <w:spacing w:after="0" w:line="13" w:lineRule="exact"/>
        <w:rPr>
          <w:sz w:val="20"/>
          <w:szCs w:val="20"/>
          <w:color w:val="auto"/>
        </w:rPr>
      </w:pPr>
    </w:p>
    <w:p>
      <w:pPr>
        <w:ind w:left="160" w:right="560" w:hanging="160"/>
        <w:spacing w:after="0" w:line="233" w:lineRule="auto"/>
        <w:rPr>
          <w:sz w:val="20"/>
          <w:szCs w:val="20"/>
          <w:color w:val="auto"/>
        </w:rPr>
      </w:pPr>
      <w:r>
        <w:rPr>
          <w:rFonts w:ascii="Times New Roman" w:cs="Times New Roman" w:eastAsia="Times New Roman" w:hAnsi="Times New Roman"/>
          <w:sz w:val="18"/>
          <w:szCs w:val="18"/>
          <w:color w:val="auto"/>
        </w:rPr>
        <w:t>Non-Performing accounts with inadequate paying capacity for current obligations and have the distinct possibility of creating a loss if deficiencies are not corrected.</w:t>
      </w:r>
    </w:p>
    <w:p>
      <w:pPr>
        <w:spacing w:after="0" w:line="9" w:lineRule="exact"/>
        <w:rPr>
          <w:sz w:val="20"/>
          <w:szCs w:val="20"/>
          <w:color w:val="auto"/>
        </w:rPr>
      </w:pPr>
    </w:p>
    <w:p>
      <w:pPr>
        <w:ind w:left="160" w:right="780" w:hanging="160"/>
        <w:spacing w:after="0" w:line="236" w:lineRule="auto"/>
        <w:rPr>
          <w:sz w:val="20"/>
          <w:szCs w:val="20"/>
          <w:color w:val="auto"/>
        </w:rPr>
      </w:pPr>
      <w:r>
        <w:rPr>
          <w:rFonts w:ascii="Times New Roman" w:cs="Times New Roman" w:eastAsia="Times New Roman" w:hAnsi="Times New Roman"/>
          <w:sz w:val="18"/>
          <w:szCs w:val="18"/>
          <w:color w:val="auto"/>
        </w:rPr>
        <w:t>Non-Performing accounts with inadequate paying capacity for current obligations and inherent weaknesses that make collection of liquidation in full highly questionable or improbable.</w:t>
      </w:r>
    </w:p>
    <w:p>
      <w:pPr>
        <w:spacing w:after="0" w:line="200" w:lineRule="exact"/>
        <w:rPr>
          <w:sz w:val="20"/>
          <w:szCs w:val="20"/>
          <w:color w:val="auto"/>
        </w:rPr>
      </w:pPr>
    </w:p>
    <w:p>
      <w:pPr>
        <w:sectPr>
          <w:pgSz w:w="11900" w:h="16838" w:orient="portrait"/>
          <w:cols w:equalWidth="0" w:num="2">
            <w:col w:w="540" w:space="540"/>
            <w:col w:w="10160"/>
          </w:cols>
          <w:pgMar w:left="320" w:top="121" w:right="339" w:bottom="1440" w:gutter="0" w:footer="0" w:header="0"/>
          <w:type w:val="continuous"/>
        </w:sectPr>
      </w:pPr>
    </w:p>
    <w:p>
      <w:pPr>
        <w:spacing w:after="0" w:line="119"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Dealers with III and IV risk ratings are subject to additional monitoring and restrictions on funding, including suspension of lines of credit and liquidation of assets. The following tables summarize the dealer credit risk profile by dealer risk rating at June 30, 2024 and December 31, 2023:</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Year of Origination(a)</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3"/>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25"/>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Dealer Risk Rating</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020" w:type="dxa"/>
            <w:vAlign w:val="bottom"/>
            <w:vMerge w:val="continue"/>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11"/>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w:t>
            </w:r>
          </w:p>
        </w:tc>
        <w:tc>
          <w:tcPr>
            <w:tcW w:w="200" w:type="dxa"/>
            <w:vAlign w:val="bottom"/>
            <w:tcBorders>
              <w:top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14,056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15,365</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95.6 %</w:t>
            </w:r>
          </w:p>
        </w:tc>
        <w:tc>
          <w:tcPr>
            <w:tcW w:w="0" w:type="dxa"/>
            <w:vAlign w:val="bottom"/>
          </w:tcPr>
          <w:p>
            <w:pPr>
              <w:spacing w:after="0"/>
              <w:rPr>
                <w:sz w:val="1"/>
                <w:szCs w:val="1"/>
                <w:color w:val="auto"/>
              </w:rPr>
            </w:pPr>
          </w:p>
        </w:tc>
      </w:tr>
      <w:tr>
        <w:trPr>
          <w:trHeight w:val="212"/>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II</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1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III</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12"/>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IV</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36"/>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0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14,689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16,075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0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360" w:type="dxa"/>
            <w:vAlign w:val="bottom"/>
            <w:gridSpan w:val="28"/>
          </w:tcPr>
          <w:p>
            <w:pPr>
              <w:spacing w:after="0"/>
              <w:rPr>
                <w:sz w:val="20"/>
                <w:szCs w:val="20"/>
                <w:color w:val="auto"/>
              </w:rPr>
            </w:pPr>
            <w:r>
              <w:rPr>
                <w:rFonts w:ascii="Times New Roman" w:cs="Times New Roman" w:eastAsia="Times New Roman" w:hAnsi="Times New Roman"/>
                <w:sz w:val="16"/>
                <w:szCs w:val="16"/>
                <w:color w:val="auto"/>
              </w:rPr>
              <w:t>(a)  Floorplan advances comprise 99.4% of the total revolving balance. Dealer term loans are presented by year of origination.</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Year of Origination(a)</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3"/>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Dealer Risk Rating</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0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11"/>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11,513</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12,879</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97.1 %</w:t>
            </w:r>
          </w:p>
        </w:tc>
        <w:tc>
          <w:tcPr>
            <w:tcW w:w="0" w:type="dxa"/>
            <w:vAlign w:val="bottom"/>
          </w:tcPr>
          <w:p>
            <w:pPr>
              <w:spacing w:after="0"/>
              <w:rPr>
                <w:sz w:val="1"/>
                <w:szCs w:val="1"/>
                <w:color w:val="auto"/>
              </w:rPr>
            </w:pPr>
          </w:p>
        </w:tc>
      </w:tr>
      <w:tr>
        <w:trPr>
          <w:trHeight w:val="212"/>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II</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1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III</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12"/>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IV</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36"/>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13,257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Floorplan advances comprise 99.7% of the total revolving balance. Dealer term loans are presented by year of origination.</w:t>
      </w:r>
    </w:p>
    <w:p>
      <w:pPr>
        <w:spacing w:after="0" w:line="2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There were no commercial finance receivables on nonaccrual status at June 30, 2024 and December 31, 2023.</w:t>
      </w:r>
    </w:p>
    <w:p>
      <w:pPr>
        <w:spacing w:after="0" w:line="246" w:lineRule="exact"/>
        <w:rPr>
          <w:sz w:val="20"/>
          <w:szCs w:val="20"/>
          <w:color w:val="auto"/>
        </w:rPr>
      </w:pPr>
    </w:p>
    <w:p>
      <w:pPr>
        <w:jc w:val="both"/>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with GM Financial </w:t>
      </w:r>
      <w:r>
        <w:rPr>
          <w:rFonts w:ascii="Times New Roman" w:cs="Times New Roman" w:eastAsia="Times New Roman" w:hAnsi="Times New Roman"/>
          <w:sz w:val="18"/>
          <w:szCs w:val="18"/>
          <w:color w:val="auto"/>
        </w:rPr>
        <w:t>The following tables show transactions between our Automotive segments, Cruise and GM Financial. These amounts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presented in GM Financial's condensed consolidated balance sheets and statements of income.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Sheets(a)</w:t>
            </w:r>
          </w:p>
        </w:tc>
        <w:tc>
          <w:tcPr>
            <w:tcW w:w="2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vMerge w:val="continue"/>
          </w:tcPr>
          <w:p>
            <w:pPr>
              <w:spacing w:after="0"/>
              <w:rPr>
                <w:sz w:val="18"/>
                <w:szCs w:val="18"/>
                <w:color w:val="auto"/>
              </w:rPr>
            </w:pP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finance receivables due from GM consolidated dealers</w:t>
            </w:r>
          </w:p>
        </w:tc>
        <w:tc>
          <w:tcPr>
            <w:tcW w:w="2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finance receivables due from Cruise</w:t>
            </w:r>
          </w:p>
        </w:tc>
        <w:tc>
          <w:tcPr>
            <w:tcW w:w="2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Subvention receivable from GM(b)</w:t>
            </w:r>
          </w:p>
        </w:tc>
        <w:tc>
          <w:tcPr>
            <w:tcW w:w="2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loan funding payable to GM</w:t>
            </w:r>
          </w:p>
        </w:tc>
        <w:tc>
          <w:tcPr>
            <w:tcW w:w="2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2"/>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64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920" w:type="dxa"/>
            <w:vAlign w:val="bottom"/>
            <w:gridSpan w:val="4"/>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8"/>
        </w:trPr>
        <w:tc>
          <w:tcPr>
            <w:tcW w:w="48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21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28"/>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subvention earned on finance receivables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vehicle subvention earned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20" w:hanging="313"/>
        <w:spacing w:after="0"/>
        <w:tabs>
          <w:tab w:leader="none" w:pos="3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balance sheet amounts are eliminated upon consolidation.</w:t>
      </w:r>
    </w:p>
    <w:p>
      <w:pPr>
        <w:spacing w:after="0" w:line="11" w:lineRule="exact"/>
        <w:rPr>
          <w:rFonts w:ascii="Times New Roman" w:cs="Times New Roman" w:eastAsia="Times New Roman" w:hAnsi="Times New Roman"/>
          <w:sz w:val="16"/>
          <w:szCs w:val="16"/>
          <w:color w:val="auto"/>
        </w:rPr>
      </w:pPr>
    </w:p>
    <w:p>
      <w:pPr>
        <w:ind w:left="340" w:hanging="333"/>
        <w:spacing w:after="0" w:line="268"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Automotive segments made cash payments to GM Financial for subvention of $934 million and $915 million in the three months ended June 30, 2024 and 2023 and $1.7 billion in the six months ended June 30, 2024 and 2023.</w:t>
      </w:r>
    </w:p>
    <w:p>
      <w:pPr>
        <w:spacing w:after="0" w:line="195"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GM Financial's Board of Directors declared and paid dividends of $450 million on its common stock in the three months ended June 30, 2024 and 2023 and $900 million in the six months ended June 30, 2024 and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7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productive material, supplies and work in process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product, including service parts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9,039</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Inventories are reflected net of allowances totaling $2.1 billion and $2.2 billion, of which $1.7 billion and $1.9 billion are electric vehicle (EV)-related, to remeasure inventory on-hand to net realizable value at June 30, 2024 and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Equipment on Operating Leases</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Equipment on operating leases consists of leases to retail customers of GM Financial.</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7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on operating leases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36,993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37,921</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98"/>
              </w:rPr>
              <w:t>(6,648)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98"/>
              </w:rPr>
              <w:t>(7,338)</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on operating leases,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30,345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30,582</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The estimated residual value of our leased assets at the end of the lease term was $22.4 billion and $22.7 billion at June 30, 2024 and December 31, 2023.</w:t>
      </w:r>
    </w:p>
    <w:p>
      <w:pPr>
        <w:spacing w:after="0" w:line="261"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Depreciation expense related to Equipment on operating leases, net was $1.2 billion in the three months ended June 30, 2024 and 2023 and $2.4 billion and $2.5 billion in the six months ended June 30, 2024 and 2023.</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lease payments due to GM Financial on leases to retail customers: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8"/>
          </w:tcPr>
          <w:p>
            <w:pPr>
              <w:ind w:left="64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5"/>
        </w:trPr>
        <w:tc>
          <w:tcPr>
            <w:tcW w:w="3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8"/>
        </w:trPr>
        <w:tc>
          <w:tcPr>
            <w:tcW w:w="3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00" w:type="dxa"/>
            <w:vAlign w:val="bottom"/>
          </w:tcPr>
          <w:p>
            <w:pPr>
              <w:spacing w:after="0"/>
              <w:rPr>
                <w:sz w:val="16"/>
                <w:szCs w:val="16"/>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receipts under operating leases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9,767</w:t>
            </w:r>
          </w:p>
        </w:tc>
      </w:tr>
      <w:tr>
        <w:trPr>
          <w:trHeight w:val="887"/>
        </w:trPr>
        <w:tc>
          <w:tcPr>
            <w:tcW w:w="3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56"/>
        </w:trPr>
        <w:tc>
          <w:tcPr>
            <w:tcW w:w="3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Equity in Net Assets of Nonconsolidated Affiliates</w:t>
      </w:r>
    </w:p>
    <w:p>
      <w:pPr>
        <w:spacing w:after="0" w:line="25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Nonconsolidated affiliates are entities in which we maintain an equity ownership interest and for which we use the equity method of accounting due to our ability to exert significant influence over decisions relating to their operating and financial affairs. Revenue and expenses of our joint ventures are not consolidated into our financial statements; rather, our proportionate share of the earnings of each joint venture is reflected as Equity income (loss) or Automotive and other cost of sales.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760" w:type="dxa"/>
            <w:vAlign w:val="bottom"/>
            <w:gridSpan w:val="4"/>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5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8"/>
        </w:trPr>
        <w:tc>
          <w:tcPr>
            <w:tcW w:w="5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228"/>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China joint ventures equity income (loss)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8"/>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Ultium Cells Holdings LLC equity income (loss)(a)</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joint ventures equity income (loss)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2"/>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 income (loss)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0"/>
        </w:trPr>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68" w:lineRule="auto"/>
        <w:tabs>
          <w:tab w:leader="none" w:pos="33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earnings related to Ultium Cells Holdings LLC, an equally owned joint venture with LG Energy Solution (LGES), are presented in Automotive and other cost of sales as this entity is integral to the operations of our business by providing battery cells for our EVs.</w:t>
      </w:r>
    </w:p>
    <w:p>
      <w:pPr>
        <w:spacing w:after="0" w:line="195"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There have been no significant ownership changes in our Automotive China joint ventures (Automotive China JVs) or Ultium Cells Holdings LLC since December 31, 2023.</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760" w:type="dxa"/>
            <w:vAlign w:val="bottom"/>
            <w:gridSpan w:val="4"/>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215"/>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Operating Data of Automotive China JVs</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China JVs' net sales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13,959</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 China JVs' net income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r>
    </w:tbl>
    <w:p>
      <w:pPr>
        <w:spacing w:after="0" w:line="312"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Dividends declared but not paid from our nonconsolidated affiliates were $410 million and an insignificant amount at June 30, 2024 and December 31, 2023. Dividends received from our nonconsolidated affiliates were insignificant and $190 million in the three and six months ended June 30, 2024 and $400 million and $413 million in the three and six months ended June 30, 2023. Undistributed earnings from our nonconsolidated affiliates were $1.8 billion and $1.7 billion at June 30, 2024 and December 31,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Variable Interest Entities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VIEs</w:t>
      </w:r>
    </w:p>
    <w:p>
      <w:pPr>
        <w:spacing w:after="0" w:line="1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Automotive Financing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GM Financial</w:t>
      </w:r>
    </w:p>
    <w:p>
      <w:pPr>
        <w:spacing w:after="0" w:line="119"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finance receivables and leasing-related assets transferred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of the VIEs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to provide additional financial support to these SPEs. While these subsidiaries are included in GM Financial's condensed consolidated financial statements, they are separate legal entities and the finance receivables, lease-related assets and cash held by them are legally owned by them and are not available to GM Financial's creditors or creditors of GM Financial's other subsidiaries.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assets and liabilities related to GM Financial's consolidated VIEs: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7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 current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 non-current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receivables – current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22,990</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 Financial receivables – non-current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23,535</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equipment on operating leases, net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15,794</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 Financial short-term debt and current portion of long-term debt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22,088</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long-term debt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23,210</w:t>
            </w:r>
          </w:p>
        </w:tc>
      </w:tr>
    </w:tbl>
    <w:p>
      <w:pPr>
        <w:spacing w:after="0" w:line="3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Financial recognizes finance charge, leased vehicle and fee income on the Securitized Assets and interest expense on the secured debt issued in a securitization transaction and records a provision for loan losses to recognize loan losses expected over the remaining life of the finance receivables.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Nonconsolidated VIEs</w:t>
      </w:r>
    </w:p>
    <w:p>
      <w:pPr>
        <w:spacing w:after="0" w:line="1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Automotive</w:t>
      </w:r>
    </w:p>
    <w:p>
      <w:pPr>
        <w:spacing w:after="0" w:line="119"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Nonconsolidated VIEs principally include automotive related operating entities to which we provided financial support to ensure that our supply needs for production are met or are not disrupted. Our variable interests in these nonconsolidated VIEs include equity investments, accounts and loans receivable, committed financial support and other off-balance sheet arrangements. The carrying amounts of assets were approximately $3.2 billion and $2.4 billion and liabilities were insignificant related to our nonconsolidated VIEs at June 30, 2024 and December 31, 2023. Our maximum exposure to loss as a result of our involvement with these VIEs was approximately $3.7 billion and $3.5 billion, inclusive of approximately $0.3 billion and $0.8 billion in committed capital contributions to Ultium Cells Holdings LLC, at June 30, 2024 and December 31, 2023. Our maximum exposure to loss, and required capital contributions, could vary depending on Ultium Cells Holdings LLC's requirements and access to capital. We currently lack the power through voting or similar rights to direct the activities of these entities that most significantly affect their economic performance.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Debt</w:t>
      </w:r>
    </w:p>
    <w:p>
      <w:pPr>
        <w:spacing w:after="0" w:line="2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Automotive </w:t>
      </w:r>
      <w:r>
        <w:rPr>
          <w:rFonts w:ascii="Times New Roman" w:cs="Times New Roman" w:eastAsia="Times New Roman" w:hAnsi="Times New Roman"/>
          <w:sz w:val="18"/>
          <w:szCs w:val="18"/>
          <w:color w:val="auto"/>
        </w:rPr>
        <w:t>The following table presents debt in our automotive operations: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4"/>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8"/>
        </w:trPr>
        <w:tc>
          <w:tcPr>
            <w:tcW w:w="50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4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debt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132</w:t>
            </w: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debt(a)</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15,539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15,911</w:t>
            </w: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447</w:t>
            </w:r>
          </w:p>
        </w:tc>
      </w:tr>
      <w:tr>
        <w:trPr>
          <w:trHeight w:val="222"/>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automotive debt(b)</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16,069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16,490</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6"/>
        </w:trPr>
        <w:tc>
          <w:tcPr>
            <w:tcW w:w="5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utilizing Level 1 inputs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15,128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15,457</w:t>
            </w: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utilizing Level 2 inputs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1,033</w:t>
            </w:r>
          </w:p>
        </w:tc>
      </w:tr>
      <w:tr>
        <w:trPr>
          <w:trHeight w:val="269"/>
        </w:trPr>
        <w:tc>
          <w:tcPr>
            <w:tcW w:w="5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under credit facility agreements(c)</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13,551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16,446</w:t>
            </w: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on outstanding short-term debt(d)</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on outstanding long-term debt(d)</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20" w:hanging="313"/>
        <w:spacing w:after="0"/>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senior notes.</w:t>
      </w:r>
    </w:p>
    <w:p>
      <w:pPr>
        <w:spacing w:after="0" w:line="11"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discount and debt issuance costs of $481 million and $527 million at June 30, 2024 and December 31, 2023.</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our 364-day, $2.0 billion facility allocated for exclusive use by GM Financial.</w:t>
      </w:r>
    </w:p>
    <w:p>
      <w:pPr>
        <w:spacing w:after="0" w:line="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coupon rates on debt denominated in various foreign currencies and interest free loans.</w:t>
      </w:r>
    </w:p>
    <w:p>
      <w:pPr>
        <w:spacing w:after="0" w:line="237"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March 2024, we renewed our 364-day, $2.0 billion revolving credit facility allocated for the exclusive use of GM Financial, which now matures March 27, 2025. Interest rates on obligations under the renewed credit facility are based on Term Secured Overnight Financing Rate (SOFR).</w:t>
      </w:r>
    </w:p>
    <w:p>
      <w:pPr>
        <w:spacing w:after="0" w:line="189"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March 2024, we terminated our unsecured 364-day delayed draw term loan credit agreement that permitted the Company to borrow up to $3.0 billion executed in November 2023, resulting in an insignificant loss.</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GM Financial </w:t>
      </w:r>
      <w:r>
        <w:rPr>
          <w:rFonts w:ascii="Times New Roman" w:cs="Times New Roman" w:eastAsia="Times New Roman" w:hAnsi="Times New Roman"/>
          <w:sz w:val="18"/>
          <w:szCs w:val="18"/>
          <w:color w:val="auto"/>
        </w:rPr>
        <w:t>The following table presents debt of GM Financial: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debt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44,971</w:t>
            </w:r>
          </w:p>
        </w:tc>
      </w:tr>
      <w:tr>
        <w:trPr>
          <w:trHeight w:val="228"/>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Unsecured debt</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65,476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65,271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60,084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59,651</w:t>
            </w: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GM Financial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104,622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utilizing Level 2 inputs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102,262</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utilizing Level 3 inputs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r>
    </w:tbl>
    <w:p>
      <w:pPr>
        <w:spacing w:after="0" w:line="29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Secured debt consists of revolving credit facilities and securitization notes payable. Most of the secured debt was issued by VIEs and is repayable only from proceeds related to the underlying pledged assets. Refer to Note 8 to our condensed consolidated financial statements for additional information on GM Financial's involvement with VIEs. In the six months ended June 30, 2024, GM Financial renewed revolving credit facilities with total borrowing capacity of $17.0 billion and issued $13.5 billion in aggregate principal amount of securitization notes payable with an initial weighted-average interest rate of 5.4% and maturity dates ranging from 2024 to 2036.</w:t>
      </w:r>
    </w:p>
    <w:p>
      <w:pPr>
        <w:spacing w:after="0" w:line="21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Unsecured debt consists of senior notes, credit facilities and other unsecured debt. In the six months ended June 30, 2024, GM Financial issued $10.7 billion in aggregate principal amount of senior notes with an initial weighted-average interest rate of 5.4% and maturity dates ranging from 2027 to 2034.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Derivative Financial Instruments</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presents the gross fair value amounts of GM Financial's derivative financial instruments and the associated notional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7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20" w:type="dxa"/>
            <w:vAlign w:val="bottom"/>
            <w:tcBorders>
              <w:top w:val="single" w:sz="8" w:color="auto"/>
            </w:tcBorders>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36"/>
              <w:spacing w:after="0" w:line="135"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56"/>
              <w:spacing w:after="0" w:line="135"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9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hedges(a)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8"/>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swaps(b)</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hedges(a)</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9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0" w:type="dxa"/>
            <w:vAlign w:val="bottom"/>
          </w:tcPr>
          <w:p>
            <w:pPr>
              <w:spacing w:after="0"/>
              <w:rPr>
                <w:sz w:val="1"/>
                <w:szCs w:val="1"/>
                <w:color w:val="auto"/>
              </w:rPr>
            </w:pPr>
          </w:p>
        </w:tc>
      </w:tr>
      <w:tr>
        <w:trPr>
          <w:trHeight w:val="247"/>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financial instruments(c)</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51" w:lineRule="auto"/>
        <w:tabs>
          <w:tab w:leader="none" w:pos="33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gains/losses included in our condensed consolidated income statements and statements of comprehensive income for the three and six months ended June 30, 2024 and 2023 were insignificant, unless otherwise noted. Amounts accrued for interest payments in a net receivable position are included in Other assets. Amounts accrued for interest payments in a net payable position are included in Other liabilities.</w:t>
      </w:r>
    </w:p>
    <w:p>
      <w:pPr>
        <w:jc w:val="both"/>
        <w:ind w:left="340" w:hanging="333"/>
        <w:spacing w:after="0" w:line="252"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foreign currency cash flow hedges recognized in Accumulated other comprehensive loss in the condensed consolidated statements of comprehensive income includes an insignificant loss and an insignificant gain for the three months ended June 30, 2024 and 2023, and losses of $215 million and an insignificant gain for the six months ended June 30, 2024 and 2023. The effect of foreign currency cash flow hedges reclassified from Accumulated other comprehensive loss in the condensed consolidated statements of comprehensive income into income includes an insignificant loss and an insignificant gain for the three months ended June 30, 2024 and 2023, and losses of $212 million and an insignificant gain for the six months ended June 30, 2024 and 2023.</w:t>
      </w:r>
    </w:p>
    <w:p>
      <w:pPr>
        <w:spacing w:after="0" w:line="1" w:lineRule="exact"/>
        <w:rPr>
          <w:rFonts w:ascii="Times New Roman" w:cs="Times New Roman" w:eastAsia="Times New Roman" w:hAnsi="Times New Roman"/>
          <w:sz w:val="16"/>
          <w:szCs w:val="16"/>
          <w:color w:val="auto"/>
        </w:rPr>
      </w:pPr>
    </w:p>
    <w:p>
      <w:pPr>
        <w:ind w:left="340" w:hanging="333"/>
        <w:spacing w:after="0" w:line="268" w:lineRule="auto"/>
        <w:tabs>
          <w:tab w:leader="none" w:pos="33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GM Financial held $436 million and $457 million of collateral from counterparties available for netting against GM Financial's asset positions and posted $1.3 billion and $1.2 billion of collateral to counterparties available for netting against GM Financial's liability positions at June 30, 2024 and December 31, 2023.</w:t>
      </w:r>
    </w:p>
    <w:p>
      <w:pPr>
        <w:spacing w:after="0" w:line="208"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The fair value for Level 2 instruments was derived using the market approach based on observable market inputs including quoted prices of similar instruments and foreign exchange and interest rate forward curves.</w:t>
      </w:r>
    </w:p>
    <w:p>
      <w:pPr>
        <w:spacing w:after="0" w:line="189"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The following amounts were recorded in the condensed consolidated balance sheets related to items designated and qualifying as hedged items in fair value hedging relationships: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720" w:type="dxa"/>
            <w:vAlign w:val="bottom"/>
            <w:gridSpan w:val="5"/>
          </w:tcPr>
          <w:p>
            <w:pPr>
              <w:ind w:left="1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20" w:type="dxa"/>
            <w:vAlign w:val="bottom"/>
          </w:tcPr>
          <w:p>
            <w:pPr>
              <w:spacing w:after="0"/>
              <w:rPr>
                <w:sz w:val="16"/>
                <w:szCs w:val="16"/>
                <w:color w:val="auto"/>
              </w:rPr>
            </w:pPr>
          </w:p>
        </w:tc>
        <w:tc>
          <w:tcPr>
            <w:tcW w:w="3620" w:type="dxa"/>
            <w:vAlign w:val="bottom"/>
            <w:gridSpan w:val="4"/>
          </w:tcPr>
          <w:p>
            <w:pPr>
              <w:jc w:val="right"/>
              <w:ind w:right="136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3040" w:type="dxa"/>
            <w:vAlign w:val="bottom"/>
          </w:tcPr>
          <w:p>
            <w:pPr>
              <w:spacing w:after="0"/>
              <w:rPr>
                <w:sz w:val="2"/>
                <w:szCs w:val="2"/>
                <w:color w:val="auto"/>
              </w:rPr>
            </w:pPr>
          </w:p>
        </w:tc>
        <w:tc>
          <w:tcPr>
            <w:tcW w:w="18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gridSpan w:val="2"/>
          </w:tcPr>
          <w:p>
            <w:pPr>
              <w:spacing w:after="0"/>
              <w:rPr>
                <w:sz w:val="2"/>
                <w:szCs w:val="2"/>
                <w:color w:val="auto"/>
              </w:rPr>
            </w:pPr>
          </w:p>
        </w:tc>
        <w:tc>
          <w:tcPr>
            <w:tcW w:w="18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121"/>
        </w:trPr>
        <w:tc>
          <w:tcPr>
            <w:tcW w:w="3040" w:type="dxa"/>
            <w:vAlign w:val="bottom"/>
          </w:tcPr>
          <w:p>
            <w:pPr>
              <w:spacing w:after="0"/>
              <w:rPr>
                <w:sz w:val="10"/>
                <w:szCs w:val="10"/>
                <w:color w:val="auto"/>
              </w:rPr>
            </w:pPr>
          </w:p>
        </w:tc>
        <w:tc>
          <w:tcPr>
            <w:tcW w:w="1860" w:type="dxa"/>
            <w:vAlign w:val="bottom"/>
            <w:tcBorders>
              <w:top w:val="single" w:sz="8" w:color="auto"/>
            </w:tcBorders>
            <w:gridSpan w:val="3"/>
          </w:tcPr>
          <w:p>
            <w:pPr>
              <w:jc w:val="center"/>
              <w:ind w:right="120"/>
              <w:spacing w:after="0" w:line="121" w:lineRule="exact"/>
              <w:rPr>
                <w:sz w:val="20"/>
                <w:szCs w:val="20"/>
                <w:color w:val="auto"/>
              </w:rPr>
            </w:pPr>
            <w:r>
              <w:rPr>
                <w:rFonts w:ascii="Times New Roman" w:cs="Times New Roman" w:eastAsia="Times New Roman" w:hAnsi="Times New Roman"/>
                <w:sz w:val="13"/>
                <w:szCs w:val="13"/>
                <w:b w:val="1"/>
                <w:bCs w:val="1"/>
                <w:color w:val="auto"/>
                <w:w w:val="96"/>
              </w:rPr>
              <w:t>Carrying Amount of Hedged</w:t>
            </w:r>
          </w:p>
        </w:tc>
        <w:tc>
          <w:tcPr>
            <w:tcW w:w="14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tcPr>
          <w:p>
            <w:pPr>
              <w:jc w:val="center"/>
              <w:ind w:right="61"/>
              <w:spacing w:after="0" w:line="121" w:lineRule="exact"/>
              <w:rPr>
                <w:sz w:val="20"/>
                <w:szCs w:val="20"/>
                <w:color w:val="auto"/>
              </w:rPr>
            </w:pPr>
            <w:r>
              <w:rPr>
                <w:rFonts w:ascii="Times New Roman" w:cs="Times New Roman" w:eastAsia="Times New Roman" w:hAnsi="Times New Roman"/>
                <w:sz w:val="13"/>
                <w:szCs w:val="13"/>
                <w:b w:val="1"/>
                <w:bCs w:val="1"/>
                <w:color w:val="auto"/>
                <w:w w:val="95"/>
              </w:rPr>
              <w:t>Cumulative Amount of Fair Value</w:t>
            </w:r>
          </w:p>
        </w:tc>
        <w:tc>
          <w:tcPr>
            <w:tcW w:w="100" w:type="dxa"/>
            <w:vAlign w:val="bottom"/>
          </w:tcPr>
          <w:p>
            <w:pPr>
              <w:spacing w:after="0"/>
              <w:rPr>
                <w:sz w:val="10"/>
                <w:szCs w:val="10"/>
                <w:color w:val="auto"/>
              </w:rPr>
            </w:pPr>
          </w:p>
        </w:tc>
        <w:tc>
          <w:tcPr>
            <w:tcW w:w="1860" w:type="dxa"/>
            <w:vAlign w:val="bottom"/>
            <w:tcBorders>
              <w:top w:val="single" w:sz="8" w:color="auto"/>
            </w:tcBorders>
            <w:gridSpan w:val="3"/>
          </w:tcPr>
          <w:p>
            <w:pPr>
              <w:jc w:val="center"/>
              <w:ind w:right="120"/>
              <w:spacing w:after="0" w:line="121" w:lineRule="exact"/>
              <w:rPr>
                <w:sz w:val="20"/>
                <w:szCs w:val="20"/>
                <w:color w:val="auto"/>
              </w:rPr>
            </w:pPr>
            <w:r>
              <w:rPr>
                <w:rFonts w:ascii="Times New Roman" w:cs="Times New Roman" w:eastAsia="Times New Roman" w:hAnsi="Times New Roman"/>
                <w:sz w:val="13"/>
                <w:szCs w:val="13"/>
                <w:b w:val="1"/>
                <w:bCs w:val="1"/>
                <w:color w:val="auto"/>
                <w:w w:val="96"/>
              </w:rPr>
              <w:t>Carrying Amount of Hedged</w:t>
            </w:r>
          </w:p>
        </w:tc>
        <w:tc>
          <w:tcPr>
            <w:tcW w:w="14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tcPr>
          <w:p>
            <w:pPr>
              <w:jc w:val="right"/>
              <w:ind w:right="101"/>
              <w:spacing w:after="0" w:line="121" w:lineRule="exact"/>
              <w:rPr>
                <w:sz w:val="20"/>
                <w:szCs w:val="20"/>
                <w:color w:val="auto"/>
              </w:rPr>
            </w:pPr>
            <w:r>
              <w:rPr>
                <w:rFonts w:ascii="Times New Roman" w:cs="Times New Roman" w:eastAsia="Times New Roman" w:hAnsi="Times New Roman"/>
                <w:sz w:val="13"/>
                <w:szCs w:val="13"/>
                <w:b w:val="1"/>
                <w:bCs w:val="1"/>
                <w:color w:val="auto"/>
                <w:w w:val="96"/>
              </w:rPr>
              <w:t>Cumulative Amount of Fair Value</w:t>
            </w:r>
          </w:p>
        </w:tc>
      </w:tr>
      <w:tr>
        <w:trPr>
          <w:trHeight w:val="175"/>
        </w:trPr>
        <w:tc>
          <w:tcPr>
            <w:tcW w:w="3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Items</w:t>
            </w:r>
          </w:p>
        </w:tc>
        <w:tc>
          <w:tcPr>
            <w:tcW w:w="140" w:type="dxa"/>
            <w:vAlign w:val="bottom"/>
          </w:tcPr>
          <w:p>
            <w:pPr>
              <w:spacing w:after="0"/>
              <w:rPr>
                <w:sz w:val="15"/>
                <w:szCs w:val="15"/>
                <w:color w:val="auto"/>
              </w:rPr>
            </w:pPr>
          </w:p>
        </w:tc>
        <w:tc>
          <w:tcPr>
            <w:tcW w:w="2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Hedging Adjustments(a)</w:t>
            </w:r>
          </w:p>
        </w:tc>
        <w:tc>
          <w:tcPr>
            <w:tcW w:w="420" w:type="dxa"/>
            <w:vAlign w:val="bottom"/>
          </w:tcPr>
          <w:p>
            <w:pPr>
              <w:spacing w:after="0"/>
              <w:rPr>
                <w:sz w:val="15"/>
                <w:szCs w:val="15"/>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Items</w:t>
            </w:r>
          </w:p>
        </w:tc>
        <w:tc>
          <w:tcPr>
            <w:tcW w:w="140" w:type="dxa"/>
            <w:vAlign w:val="bottom"/>
          </w:tcPr>
          <w:p>
            <w:pPr>
              <w:spacing w:after="0"/>
              <w:rPr>
                <w:sz w:val="15"/>
                <w:szCs w:val="15"/>
                <w:color w:val="auto"/>
              </w:rPr>
            </w:pPr>
          </w:p>
        </w:tc>
        <w:tc>
          <w:tcPr>
            <w:tcW w:w="2040" w:type="dxa"/>
            <w:vAlign w:val="bottom"/>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Hedging Adjustments(a)</w:t>
            </w:r>
          </w:p>
        </w:tc>
      </w:tr>
      <w:tr>
        <w:trPr>
          <w:trHeight w:val="228"/>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unsecured debt</w:t>
            </w: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8"/>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unsecured debt</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1,037</w:t>
            </w:r>
          </w:p>
        </w:tc>
      </w:tr>
      <w:tr>
        <w:trPr>
          <w:trHeight w:val="247"/>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unsecured debt</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1,029</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40" w:right="20" w:hanging="333"/>
        <w:spacing w:after="0" w:line="272" w:lineRule="auto"/>
        <w:tabs>
          <w:tab w:leader="none" w:pos="33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$852 million and $872 million of unamortized losses remaining on hedged items for which hedge accounting has been discontinued at June 30,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Product Warranty and Related Liabilities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680" w:type="dxa"/>
            <w:vAlign w:val="bottom"/>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88"/>
        </w:trPr>
        <w:tc>
          <w:tcPr>
            <w:tcW w:w="54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215"/>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 Warranty and Related Liabilities</w:t>
            </w: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28"/>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at beginning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w:t>
            </w:r>
          </w:p>
        </w:tc>
      </w:tr>
      <w:tr>
        <w:trPr>
          <w:trHeight w:val="22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 – recall campaigns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28"/>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 – product warranty</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r>
      <w:tr>
        <w:trPr>
          <w:trHeight w:val="22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r>
      <w:tr>
        <w:trPr>
          <w:trHeight w:val="228"/>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pre-existing warranties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28"/>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currency and other</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at end of period</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8,741</w:t>
            </w:r>
          </w:p>
        </w:tc>
      </w:tr>
      <w:tr>
        <w:trPr>
          <w:trHeight w:val="228"/>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Supplier recoveries balance at end of period(a)</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47"/>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net of supplier recoveries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The current portion of supplier recoveries is recorded in Accounts and notes receivable, net of allowance and the non-current portion is recorded in Other assets.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660" w:type="dxa"/>
            <w:vAlign w:val="bottom"/>
            <w:gridSpan w:val="4"/>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5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88"/>
        </w:trPr>
        <w:tc>
          <w:tcPr>
            <w:tcW w:w="54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21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 Warranty Expense, Net of Recoveries</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2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r>
      <w:tr>
        <w:trPr>
          <w:trHeight w:val="25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Supplier recoveries accrued in period</w:t>
            </w: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2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and other</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22"/>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expense, net of supplier recoveries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w:t>
            </w:r>
          </w:p>
        </w:tc>
      </w:tr>
      <w:tr>
        <w:trPr>
          <w:trHeight w:val="20"/>
        </w:trPr>
        <w:tc>
          <w:tcPr>
            <w:tcW w:w="5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the three and six months ended June 30, 2024, we recorded insignificant charges to supplier recoveries and in the three months ended June 30, 2023, we recorded $792 million in charges to supplier recoveries related to a settlement for Chevrolet Bolt recall costs. For estimates related to reasonably possible losses in excess of amounts accrued for recall campaigns, refer to Note 13 to our condensed consolidated financial statements for additional information.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Pensions and Other Postretirement Benefits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6"/>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1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260" w:type="dxa"/>
            <w:vAlign w:val="bottom"/>
          </w:tcPr>
          <w:p>
            <w:pPr>
              <w:spacing w:after="0"/>
              <w:rPr>
                <w:sz w:val="19"/>
                <w:szCs w:val="19"/>
                <w:color w:val="auto"/>
              </w:rPr>
            </w:pPr>
          </w:p>
        </w:tc>
        <w:tc>
          <w:tcPr>
            <w:tcW w:w="20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7"/>
        </w:trPr>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4"/>
                <w:szCs w:val="4"/>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14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4"/>
                <w:szCs w:val="4"/>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00" w:type="dxa"/>
            <w:vAlign w:val="bottom"/>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00" w:type="dxa"/>
            <w:vAlign w:val="bottom"/>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8"/>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8"/>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8"/>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(gains) losses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2"/>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periodic pension and OPEB (income) expense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1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260" w:type="dxa"/>
            <w:vAlign w:val="bottom"/>
          </w:tcPr>
          <w:p>
            <w:pPr>
              <w:spacing w:after="0"/>
              <w:rPr>
                <w:sz w:val="19"/>
                <w:szCs w:val="19"/>
                <w:color w:val="auto"/>
              </w:rPr>
            </w:pPr>
          </w:p>
        </w:tc>
        <w:tc>
          <w:tcPr>
            <w:tcW w:w="20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4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4"/>
                <w:szCs w:val="4"/>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14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4"/>
                <w:szCs w:val="4"/>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4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00" w:type="dxa"/>
            <w:vAlign w:val="bottom"/>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00" w:type="dxa"/>
            <w:vAlign w:val="bottom"/>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8"/>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118</w:t>
            </w:r>
          </w:p>
        </w:tc>
        <w:tc>
          <w:tcPr>
            <w:tcW w:w="0" w:type="dxa"/>
            <w:vAlign w:val="bottom"/>
          </w:tcPr>
          <w:p>
            <w:pPr>
              <w:spacing w:after="0"/>
              <w:rPr>
                <w:sz w:val="1"/>
                <w:szCs w:val="1"/>
                <w:color w:val="auto"/>
              </w:rPr>
            </w:pPr>
          </w:p>
        </w:tc>
      </w:tr>
      <w:tr>
        <w:trPr>
          <w:trHeight w:val="228"/>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8"/>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(gains) losses</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222"/>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periodic pension and OPEB (income) expense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118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70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110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non-service cost components of net periodic pension and other postretirement benefits (OPEB) income presented in Interest income and other non-operating income, net are insignificant in the three months ended June 30, 2024 and 2023 and insignificant and $172 million in the six months ended June 30, 2024 and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2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Litigation-Related Liability and Tax Administrative Matters </w:t>
      </w:r>
      <w:r>
        <w:rPr>
          <w:rFonts w:ascii="Times New Roman" w:cs="Times New Roman" w:eastAsia="Times New Roman" w:hAnsi="Times New Roman"/>
          <w:sz w:val="18"/>
          <w:szCs w:val="18"/>
          <w:color w:val="auto"/>
        </w:rPr>
        <w:t>In the normal course of our business, we are named from time to time as a defendant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various legal actions, including arbitrations, class actions and other litigation. We identify below the material individual proceedings and investigations where we believe a material loss is reasonably possible or probable. We accrue for matters when we believe that losses are probable and can be reasonably estimated. At June 30, 2024 and December 31, 2023, we had accruals of $1.2 billion in Accrued liabilities and Other liabilities. In many matters, it is inherently difficult to determine whether a loss is probable or reasonably possible or to estimate the size or range of the potential loss. Some matters may involve compensatory, punitive or other treble damage claims, environmental remediation programs or sanctions that, if granted, could require us to pay damages or make other expenditures in amounts that cannot be reasonably estimated. Accordingly, while we believe that appropriate accruals have been established for losses that are probable and can be reasonably estimated, it is possible that adverse outcomes from such proceedings could exceed the amounts accrued by an amount that could be material to our results of operations or cash flows in any particular reporting period.</w:t>
      </w:r>
    </w:p>
    <w:p>
      <w:pPr>
        <w:spacing w:after="0" w:line="213"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Korea Subcontract Workers Litigation </w:t>
      </w:r>
      <w:r>
        <w:rPr>
          <w:rFonts w:ascii="Times New Roman" w:cs="Times New Roman" w:eastAsia="Times New Roman" w:hAnsi="Times New Roman"/>
          <w:sz w:val="18"/>
          <w:szCs w:val="18"/>
          <w:color w:val="auto"/>
        </w:rPr>
        <w:t>GM Korea Company (GM Korea) is party to litigation with current and former subcontract workers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allegations that they are entitled to the same wages and benefits provided to full-time employees, and to be hired as full-time employees. In May 2018 and September 2020, the Korean labor authorities issued adverse administrative orders finding that GM Korea must hire certain current subcontract workers as full-time employees. GM Korea appealed the May 2018 and September 2020 orders. Since June 2020, the Seoul High Court (an intermediate-level appellate court) ruled against GM Korea in eight subcontract worker claims. Although GM Korea has appealed these decisions to the Supreme Court of the Republic of Korea, GM Korea has since hired certain of its subcontract workers as full-time employees. At June 30, 2024, our accrual covering certain asserted claims and claims that we believe are probable of assertion and for which liability is probable was approximately $147 million. We estimate the reasonably possible loss in excess of amounts accrued for other current subcontract workers who may assert similar claims to be approximately $53 million at June 30, 2024. We are currently unable to estimate any reasonably possible material loss or range of loss that may result from additional claims that may be asserted by former subcontract workers.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372"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Litigation-Related Liability and Tax Administrative Matters </w:t>
      </w:r>
      <w:r>
        <w:rPr>
          <w:rFonts w:ascii="Times New Roman" w:cs="Times New Roman" w:eastAsia="Times New Roman" w:hAnsi="Times New Roman"/>
          <w:sz w:val="18"/>
          <w:szCs w:val="18"/>
          <w:color w:val="auto"/>
        </w:rPr>
        <w:t>Various other legal actions, including class actions, governmental investigations,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claims and proceedings are pending against us or our related companies or joint ventures, including, but not limited to, matters arising out of alleged product defects; employment-related matters; product and workplace safety, vehicle emissions and fuel economy regulations; product warranties; financial services; dealer, supplier and other contractual relationships; competition issues; tax-related matters not subject to the provision of Accounting Standards Codification 740, "Income Taxes" (indirect tax-related matters); product design, manufacture and performance; consumer protection laws; and environmental protection laws, including laws regulating air emissions, water discharges, waste management and environmental remediation from stationary sources. We also from time to time receive subpoenas and other inquiries or requests for information from agencies or other representatives of U.S. federal, state and foreign governments on a variety of issues.</w:t>
      </w:r>
    </w:p>
    <w:p>
      <w:pPr>
        <w:spacing w:after="0" w:line="21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There are several putative class actions pending against GM in the U.S. and Canada alleging that various vehicles sold, including model year 2011–2016 Duramax Diesel Chevrolet Silverado and GMC Sierra vehicles, violate federal, state and foreign emission standards. In July 2023, the putative class actions pending in the U.S. were dismissed with prejudice and judgment entered in favor of GM, and plaintiffs appealed the dismissal. We are currently unable to estimate any reasonably possible material loss or range of loss that may result from these actions. GM has also faced a series of additional lawsuits in the U.S. based on these allegations, including a shareholder demand lawsuit that remains pending.</w:t>
      </w:r>
    </w:p>
    <w:p>
      <w:pPr>
        <w:spacing w:after="0" w:line="213"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There are several putative class actions and two certified class actions pending against GM in the U.S. alleging that various 2011–2014 model year vehicles are defective because they excessively consume oil. While many of these proceedings have been dismissed or have been settled for insignificant amounts, several remain outstanding, and in October 2022, we received an adverse jury verdict in a certified class action proceeding involving three states. We do not believe that the verdict is supported by the evidence and plan to appeal. We are currently unable to estimate any reasonably possible material loss or range of loss that may result from the putative class action proceedings and have previously accrued an immaterial amount related to one of the certified class action proceedings.</w:t>
      </w:r>
    </w:p>
    <w:p>
      <w:pPr>
        <w:spacing w:after="0" w:line="212"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There is one putative class action and one certified class action pending against GM in the U.S. alleging that various 2015–2022 model year vehicles are defective because they are equipped with faulty 8-speed transmissions. In March 2023, the judge overseeing the class action concerning 2015–2019 model year vehicles certified 26 state subclasses. The Sixth Circuit has agreed to hear our appeal of this class certification order. The putative class action concerning 2020–2022 model year vehicles is pending in front of a different judge that has not yet addressed class certification. We have similar cases pending in Canada concerning these vehicles. We are currently unable to estimate any reasonably possible or probable material loss or range of loss that may result from these proceedings in excess of amounts accrued.</w:t>
      </w:r>
    </w:p>
    <w:p>
      <w:pPr>
        <w:spacing w:after="0" w:line="212"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There is a class action pending against GM in the U.S., and a putative class action in Canada, alleging that 2011–2016 model year Duramax Diesel Chevrolet Silverado and GMC Sierra vehicles are equipped with defective fuel pumps that are prone to failure. In March 2023, the U.S. court certified seven state subclasses. We reached an agreement to settle this matter on terms consistent with our accrual and the settlement agreement is pending final court approval.</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Beyond the class action litigations disclosed, we have several other class action litigations pending at any given time. Historically, relatively few classes have been certified in these types of cases. Therefore, we will generally only disclose specific class actions if a class is certified and we believe there is a reasonably possible material exposure to the Company.</w:t>
      </w:r>
    </w:p>
    <w:p>
      <w:pPr>
        <w:spacing w:after="0" w:line="204"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In June 2024, following completion of discussions with the Environmental Protection Agency (EPA) and the National Highway Traffic Safety Administration (NHTSA) regarding in-use verification program testing results for carbon-related exhaust emissions on approximately 6 million GM vehicles from model years 2012 through 2018, we agreed to voluntarily (i) recalculate our EPA greenhouse gas (GHG) credit balance and retire GHG credits generated in the 2009-2016 model years (some of which we purchased from other original equipment manufacturers) and (ii) pay NHTSA Corporate Average Fuel Economy (CAFE) civil penalties and retire CAFE credits generated in the 2008-2010 model years. The federal government did not require any fuel economy label adjustments. This resolution brought the total costs expensed in connection with these matters to approximately $450 million, which is consistent with our previous accruals.</w:t>
      </w:r>
    </w:p>
    <w:p>
      <w:pPr>
        <w:spacing w:after="0" w:line="21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Indirect tax-related matters are being evaluated globally pertaining to value added taxes, customs, duties, sales tax, property taxes and other non-income tax exposures. Certain administrative proceedings are indirect tax-related and may require that we deposit funds in escrow or provide an alternative form of security. For indirect tax-related matters, we estimate our reasonably possible loss in excess of amounts accrued to be up to approximately $1.7 billion at June 30, 2024.</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3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Takata Matters </w:t>
      </w:r>
      <w:r>
        <w:rPr>
          <w:rFonts w:ascii="Times New Roman" w:cs="Times New Roman" w:eastAsia="Times New Roman" w:hAnsi="Times New Roman"/>
          <w:sz w:val="18"/>
          <w:szCs w:val="18"/>
          <w:color w:val="auto"/>
        </w:rPr>
        <w:t>In November 2020, NHTSA directed that we replace the Takata Corporation (Takata) airbag inflators in our GMT900 vehicles,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full-size pickup trucks and sport utility vehicles (SUVs), and we decided not to contest NHTSA's decision. While we have already begun the process of executing the recall, given the number of vehicles in this population, the recall will take several years to be completed. Accordingly, in the year ended December 31, 2020, we recorded a warranty accrual of $1.1 billion for the expected costs of complying with the recall remedy. At June 30, 2024, our remaining accrual for these matters was $584 million, and we believe the currently accrued amount remains reasonable.</w:t>
      </w:r>
    </w:p>
    <w:p>
      <w:pPr>
        <w:spacing w:after="0" w:line="208" w:lineRule="exact"/>
        <w:rPr>
          <w:sz w:val="20"/>
          <w:szCs w:val="20"/>
          <w:color w:val="auto"/>
        </w:rPr>
      </w:pPr>
    </w:p>
    <w:p>
      <w:pPr>
        <w:jc w:val="both"/>
        <w:ind w:firstLine="161"/>
        <w:spacing w:after="0" w:line="287" w:lineRule="auto"/>
        <w:rPr>
          <w:sz w:val="20"/>
          <w:szCs w:val="20"/>
          <w:color w:val="auto"/>
        </w:rPr>
      </w:pPr>
      <w:r>
        <w:rPr>
          <w:rFonts w:ascii="Times New Roman" w:cs="Times New Roman" w:eastAsia="Times New Roman" w:hAnsi="Times New Roman"/>
          <w:sz w:val="17"/>
          <w:szCs w:val="17"/>
          <w:color w:val="auto"/>
        </w:rPr>
        <w:t>GM has recalled certain vehicles sold outside of the U.S. to replace Takata inflators in those vehicles. There are significant differences in vehicle and inflator design between the relevant vehicles sold internationally and those sold in the U.S. We continue to gather and analyze evidence about these inflators and to share our findings with regulators. Any additional recalls relating to these inflators could be material to our results of operations and cash flows.</w:t>
      </w:r>
    </w:p>
    <w:p>
      <w:pPr>
        <w:spacing w:after="0" w:line="186"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There are several putative class actions that have been filed against GM, including in the U.S. and Canada, arising out of allegations that airbag inflators manufactured by Takata are defective. In March 2023, a U.S. court overseeing one of the putative class actions issued a final judgment in favor of GM on all claims in eight states at issue in that proceeding. Plaintiffs have appealed this decision. In August 2023, the U.S. court granted class certification as to a Louisiana claim, but denied certification as to seven other states. At this stage of these proceedings, we are unable to provide an estimate of the amounts or range of reasonably possible material loss.</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ARC Matters </w:t>
      </w:r>
      <w:r>
        <w:rPr>
          <w:rFonts w:ascii="Times New Roman" w:cs="Times New Roman" w:eastAsia="Times New Roman" w:hAnsi="Times New Roman"/>
          <w:sz w:val="18"/>
          <w:szCs w:val="18"/>
          <w:color w:val="auto"/>
        </w:rPr>
        <w:t>In May 2023, we initiated a voluntary recall covering nearly one million 2014–2017 model year Buick Enclave, Chevrolet Traverse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GMC Acadia SUVs equipped with driver front airbag inflators manufactured by ARC Automotive, Inc. (ARC), and accrued an insignificant amount for the expected costs of the recall. As part of its ongoing investigation into ARC airbag inflators, on September 5, 2023, NHTSA issued an initial decision that approximately 52 million frontal driver and passenger airbag inflators manufactured by ARC and Delphi Automotive Systems LLC over a roughly 20-year period contain a safety-related defect and must be recalled. NHTSA’s initial decision is based on the occurrence of seven field ruptures involving ARC-manufactured frontal airbag inflators. We are continuing to investigate the cause of the ruptures in GM vehicles in connection with our existing recalls. The administrative record for NHTSA’s investigation closed on December 18, 2023, and we are waiting for NHTSA to issue its final decision. As indicated in GM's filed comment in the record, we do not believe that further GM vehicle recalls are necessary or appropriate at this time. However, depending on the outcome of the dispute between NHTSA and ARC, and the possibility of additional recalls, the cost of which may not be fully recoverable, it is reasonably possible that the costs associated with these matters in excess of amounts accrued could be material, but we are unable to provide an estimate of the amounts or range of reasonably possible material loss at this time.</w:t>
      </w:r>
    </w:p>
    <w:p>
      <w:pPr>
        <w:spacing w:after="0" w:line="220"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There are several putative class actions that have been filed against GM, including in the U.S., Canada and Israel, arising out of allegations that airbag inflators manufactured by ARC are defective. At this stage of these proceedings, we are unable to provide an estimate of the amounts or range of reasonably possible material loss.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Chevrolet Bolt Recall </w:t>
      </w:r>
      <w:r>
        <w:rPr>
          <w:rFonts w:ascii="Times New Roman" w:cs="Times New Roman" w:eastAsia="Times New Roman" w:hAnsi="Times New Roman"/>
          <w:sz w:val="18"/>
          <w:szCs w:val="18"/>
          <w:color w:val="auto"/>
        </w:rPr>
        <w:t>In July 2021, we initiated a voluntary recall for certain 2017–2019 model year Chevrolet Bolt EVs due to the risk that two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defects present in the same battery cell could cause a high voltage battery fire in certain of these vehicles. After further investigation into the manufacturing processes at our battery supplier, LGES, and disassembling battery packs, we determined that the risk of battery cell defects was not confined to the initial recall population. As a result, in August 2021, we expanded the recall to include all 2017–2022 model year Chevrolet Bolt EV and Chevrolet Bolt Electric Utility Vehicles (EUVs). LG Electronics, Inc. (LGE) and LGES (collectively, LG), have agreed to reimburse GM for certain costs and expenses associated with the recall. The commercial negotiations with LG also resolved other commercial matters associated with our Ultium Cells Holdings LLC joint venture with LGES. Accordingly, as of December 31, 2023, we had accrued a total of $2.6 billion and recognized receivables totaling $1.6 billion in connection with these matters. At June 30, 2024, our remaining accrual for these matters was $0.4 billion. These charges reflect our current best estimate for the cost of the recall remedy, which includes non-traditional recall remedies provided by GM to enhance customer satisfaction. The actual costs of the recall could be materially higher or lower.</w:t>
      </w:r>
    </w:p>
    <w:p>
      <w:pPr>
        <w:spacing w:after="0" w:line="21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addition, putative class actions have been filed against GM in the U.S. and Canada alleging that the batteries contained in the Bolt EVs and EUVs included in the recall population are defective. GM has agreed to settle the U.S. class actions for an immaterial amount and the settlement agreement is pending final court approval.</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Opel/Vauxhall Sale </w:t>
      </w:r>
      <w:r>
        <w:rPr>
          <w:rFonts w:ascii="Times New Roman" w:cs="Times New Roman" w:eastAsia="Times New Roman" w:hAnsi="Times New Roman"/>
          <w:sz w:val="18"/>
          <w:szCs w:val="18"/>
          <w:color w:val="auto"/>
        </w:rPr>
        <w:t>In 2017, we sold the Opel and Vauxhall businesses and certain other assets in Europe (the Opel/Vauxhall Business) to PSA Group, now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Stellantis N.V. (Stellantis), under a Master Agreement (the Agreement). We also sold the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European financing subsidiaries and branches to Banque PSA Finance S.A. and BNP Paribas Personal Finance S.A. Although the sale reduced our new vehicle presence in Europe, we may still be impacted by actions taken by regulators related to vehicles sold before the sale. General Motors Holdings LLC agreed, on behalf of our wholly owned subsidiary (the Seller), to indemnify Stellantis for certain losses resulting from any inaccuracy of the representations and warranties or breaches of our covenants included in the Agreement and for certain other liabilities, including costs related to certain emissions claims, product liabilities and recalls. We are unable to estimate any reasonably possible material loss or range of loss that may result from these actions either directly or through an indemnification claim from Stellantis. Certain of these indemnification obligations are subject to time limitations, thresholds and/or caps as to the amount of required payments.</w:t>
      </w:r>
    </w:p>
    <w:p>
      <w:pPr>
        <w:spacing w:after="0" w:line="21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Currently, various consumer lawsuits have been filed against the Seller and Stellantis in Germany, the United Kingdom (UK), Austria and the Netherlands alleging that Opel and Vauxhall vehicles sold by the Seller violated applicable emissions standards. In addition, we indemnified Stellantis for an immaterial amount for certain recalls that Stellantis has conducted or will conduct, including recalls in certain geographic locations that Stellantis intends to conduct related to Takata inflators in legacy Opel vehicles. We may in the future be required to further indemnify Stellantis relating to its Takata recalls, but we believe such further indemnification to be remote at this time.</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European Commission and UK Competition and Markets Authority Matter </w:t>
      </w:r>
      <w:r>
        <w:rPr>
          <w:rFonts w:ascii="Times New Roman" w:cs="Times New Roman" w:eastAsia="Times New Roman" w:hAnsi="Times New Roman"/>
          <w:sz w:val="18"/>
          <w:szCs w:val="18"/>
          <w:color w:val="auto"/>
        </w:rPr>
        <w:t>In March 2022, the European Commission and UK Competition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Authority (CMA) conducted inspections at the premises of, and sent out formal requests for information to, several companies and associations active in the automotive sector. The investigations concern conduct related to coordination regarding the collection, treatment and recovery of end-of-life cars and vans (ELVs), which are considered waste. GM was not the subject of the inspections but has since received requests for information related to activities conducted by Opel, a former subsidiary business we sold to Stellantis in 2017. GM has replied to the European Commission’s and CMA’s requests for information. The inspections and requests for information are preliminary investigatory steps and do not prejudge the outcome of the investigations, and in the three months ended June 30, 2024, we accrued an immaterial amount related to this matter. If an infringement is established as to Opel’s conduct, there are a range of possible outcomes, including fines, which could be material.</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Privacy and Consumer Protection Matters </w:t>
      </w:r>
      <w:r>
        <w:rPr>
          <w:rFonts w:ascii="Times New Roman" w:cs="Times New Roman" w:eastAsia="Times New Roman" w:hAnsi="Times New Roman"/>
          <w:sz w:val="18"/>
          <w:szCs w:val="18"/>
          <w:color w:val="auto"/>
        </w:rPr>
        <w:t>There are several putative class actions pending against GM in federal courts in the U.S. alleging violations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and federal privacy and consumer protection laws related to the collection and use of certain consumer data obtained through our former OnStar Smart Driver product. In June 2024, those class actions were consolidated into a multi-district litigation proceeding in the Northern District of Georgia. In addition, a number of federal and state agencies and attorneys general have opened investigations or made inquiries of us relating to these alleged consumer protection and privacy issues. The Company is fully cooperating with these agencies and attorneys general. At this stage, we are not able to estimate any reasonably possible or probable material loss or range of loss that may result from these actions.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Product Liability </w:t>
      </w:r>
      <w:r>
        <w:rPr>
          <w:rFonts w:ascii="Times New Roman" w:cs="Times New Roman" w:eastAsia="Times New Roman" w:hAnsi="Times New Roman"/>
          <w:sz w:val="18"/>
          <w:szCs w:val="18"/>
          <w:color w:val="auto"/>
        </w:rPr>
        <w:t>We recorded liabilities of $649 million and $615 million in Accrued liabilities and Other liabilities at June 30, 2024 and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for the expected cost of all known product liability claims, plus an estimate of the expected cost for product liability claims that have already been incurred and are expected to be filed in the future for which we are self-insured. It is reasonably possible that our accruals for product liability claims may increase in future periods in material amounts, although we cannot estimate a reasonable range of incremental loss based on currently available information. We believe that any judgment against us involving our products for actual damages will be adequately covered by our recorded accruals and, where applicable, excess liability insurance coverage.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Guarantees </w:t>
      </w:r>
      <w:r>
        <w:rPr>
          <w:rFonts w:ascii="Times New Roman" w:cs="Times New Roman" w:eastAsia="Times New Roman" w:hAnsi="Times New Roman"/>
          <w:sz w:val="18"/>
          <w:szCs w:val="18"/>
          <w:color w:val="auto"/>
        </w:rPr>
        <w:t>We enter into indemnification agreements for liability claims involving products manufactured primarily by certain joint ventures.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guarantees terminate in years ranging from 2024 to 2029, or upon the occurrence of specific events or are ongoing. We believe that the related potential costs incurred are adequately covered by our recorded accruals, which are insignificant. The maximum future undiscounted payments mainly based on royalties received associated with vehicles sold to date were $3.8 billion and $3.5 billion for these guarantees at June 30, 2024 and December 31, 2023, the majority of which relates to the indemnification agreements.</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provide payment guarantees on commercial loans outstanding with third parties such as dealers. In some instances, certain assets of the party or our payables to the party whose debt or performance we have guaranteed may offset, to some degree, the amount of any potential future payments. We are also exposed to residual value guarantees associated with certain sales to rental car companies.</w:t>
      </w:r>
    </w:p>
    <w:p>
      <w:pPr>
        <w:spacing w:after="0" w:line="2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We periodically enter into agreements that incorporate indemnification provisions in the normal course of business. It is not possible to estimate our maximum exposure under these indemnifications or guarantees due to the conditional nature of these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obligations. Insignificant amounts have been recorded for such obligations as the majority of them are not probable or estimable at this time and the fair value of the guarantees at issuance was insignificant. Refer to the Opel/Vauxhall Sale section of this note for additional information on our indemnification obligations to Stellantis under the Agreement.</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Supplier Finance Programs </w:t>
      </w:r>
      <w:r>
        <w:rPr>
          <w:rFonts w:ascii="Times New Roman" w:cs="Times New Roman" w:eastAsia="Times New Roman" w:hAnsi="Times New Roman"/>
          <w:sz w:val="18"/>
          <w:szCs w:val="18"/>
          <w:color w:val="auto"/>
        </w:rPr>
        <w:t>Third-party finance providers offer certain suppliers the option for payment in advance of their invoice due date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programs that we established. We retain our obligation to the participating suppliers, and we make payments directly to the third-party finance providers on the original invoice due date pursuant to the original invoice terms. There are no assets pledged as security or other forms of guarantees provided for committed payments. Our outstanding eligible balances under our supplier finance programs were $1.4 billion and $1.3 billion at June 30, 2024 and December 31, 2023, which are recorded in Accounts payable (principally trade).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25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three months ended June 30, 2024 and 2023, Income tax expense of $767 million and $522 million was primarily due to tax expense attributable to entities included in our effective tax rate calculation. In the six months ended June 30, 2024 and 2023, Income tax expense of $1.5 billion and $950 million was primarily due to tax expense attributable to entities included in our effective tax rate calculation.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Restructuring and Other Initiatives</w:t>
      </w:r>
    </w:p>
    <w:p>
      <w:pPr>
        <w:spacing w:after="0" w:line="25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We have executed various restructuring and other initiatives and we may execute additional initiatives in the future, if necessary, to streamline manufacturing capacity and reduce other costs to improve the utilization of remaining facilities. To the extent these programs involve voluntary separations, a liability is generally recorded at the time offers to employees are accepted. To the extent these programs provide separation benefits in accordance with pre-existing agreements, a liability is recorded once the amount is probable and reasonably estimable. If employees are involuntarily terminated, a liability is generally recorded at the communication date. Related charges are recorded in Automotive and other cost of sales and Automotive and other selling, general and administrative expense.</w:t>
      </w:r>
    </w:p>
    <w:p>
      <w:pPr>
        <w:spacing w:after="0" w:line="212"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 summarizes the reserves and charges related to restructuring and other initiatives, including postemployment benefit reserves and charges: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76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8"/>
        </w:trPr>
        <w:tc>
          <w:tcPr>
            <w:tcW w:w="48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228"/>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2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interest accretion and other</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28"/>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28"/>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Revisions to estimates and effect of foreign currency</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7"/>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the three and six months ended June 30, 2024, restructuring and other initiatives included strategic activities in GMNA related to Buick dealerships. We recorded charges of $75 million and $171 million in the three and six months ended June 30, 2024, which are included in the table above, and incurred $276 million in net cash outflows resulting from these dealer restructurings in the six months ended June 30, 2024. Cumulatively, we have incurred charges of approximately $1.3 billion and net cash outflows of $1.1 billion related to this initiative. The remaining $181 million is expected to be paid by the end of 2024.</w:t>
      </w:r>
    </w:p>
    <w:p>
      <w:pPr>
        <w:spacing w:after="0" w:line="213"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In the three months ended June 30, 2024, we announced restructuring actions in GMI related to the closure of manufacturing operations in Colombia and Ecuador. We recorded charges before noncontrolling interest of $122 million primarily related to employee separations of $56 million and supplier related charges of $33 million, both of which are included in the table above, and non-cash restructuring charges of $32 million primarily related to accelerated depreciation and amortization, which is not reflected in the table above. As of June 30, 2024, we have incurred $9 million of cash outflows resulting from these restructuring activities. We expect the remaining cash outflows related to these activities of $81 million to be substantially completed by the end of 2024.</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In October 2023, Cruise voluntarily paused all of its driverless, supervised and manual AV operations in the U.S. while it examined its processes, systems and tools. In conjunction with these actions, Cruise recorded charges before noncontrolling interest of $529 million in the year ended December 31, 2023, which included non-cash restructuring charges of $250 million. In the three months ended June 30, 2024, Cruise indefinitely delayed the Cruise Origin and recognized primarily non-cash charges before noncontrolling interest of $631 million. The non-cash restructuring charges are not reflected in the table above. Cumulatively, we have incurred $131 million of cash outflows resulting from these restructuring activities. We expect the remaining cash outflows related to these activities of approximately $198 million to be completed by the end of 2025.</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Stockholders' Equity and Noncontrolling Interests</w:t>
      </w:r>
    </w:p>
    <w:p>
      <w:pPr>
        <w:spacing w:after="0" w:line="25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have 2.0 billion shares of preferred stock and 5.0 billion shares of common stock authorized for issuance. We had no shares of preferred stock issued and outstanding at June 30, 2024 and December 31, 2023. We had 1.1 billion and 1.2 billion shares of common stock issued and outstanding at June 30, 2024 and December 31, 2023.</w:t>
      </w:r>
    </w:p>
    <w:p>
      <w:pPr>
        <w:spacing w:after="0" w:line="200"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Holders of our common stock are entitled to dividends at the sole discretion of our Board of Directors. Our total dividends paid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were $136 million and $274 million for the three and six months ended June 30, 2024 and $124 million and $250 million for the three and six months ended June 30, 2023.</w:t>
      </w:r>
    </w:p>
    <w:p>
      <w:pPr>
        <w:spacing w:after="0" w:line="200"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In November 2023, our Board of Directors increased the capacity under the share repurchase program by $10.0 billion to an aggregate of $11.4 billion and approved an accelerated share repurchase (ASR) program to repurchase an aggregate amount of $10.0 billion of our common stock. In December 2023, pursuant to the agreements entered into in connection with the ASR (collectively, the ASR Agreements), we advanced $10.0 billion and received approximately 215 million shares of our common stock with a value of $6.8 billion, which were immediately retired. In March 2024, upon the first settlement of the transactions contemplated under the ASR Agreements, we received approximately 4 million additional shares, which were immediately retired. The final number of shares ultimately to be purchased will be based on the average of the daily volume-weighted average prices of our common stock during the term of the ASR Agreements, less a discount and subject to adjustments pursuant to the terms and conditions of the ASR Agreements. Upon final settlement, we may receive additional shares of common stock, or, under certain circumstances, we may be required to deliver shares of common stock or to make a cash payment, at our election. The final settlement of the transactions contemplated under the ASR Agreements in connection with the ASR program is expected to occur no later than the three months ending December 31, 2024.</w:t>
      </w:r>
    </w:p>
    <w:p>
      <w:pPr>
        <w:spacing w:after="0" w:line="2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June 2024, our Board of Directors approved a new share repurchase authorization to repurchase up to an additional $6.0 billion of our outstanding common stock.</w:t>
      </w:r>
    </w:p>
    <w:p>
      <w:pPr>
        <w:spacing w:after="0" w:line="18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six months ended June 30, 2024, in addition to shares received under the ASR program, we purchased approximately 31 million shares of our outstanding common stock for $1.4 billion, including an insignificant amount related to purchases initiated in June 2024 that settled in July 2024. In the six months ended June 30, 2023, we purchased 24 million shares of our outstanding common stock for $869 million.</w:t>
      </w:r>
    </w:p>
    <w:p>
      <w:pPr>
        <w:spacing w:after="0" w:line="200"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Common Shares </w:t>
      </w:r>
      <w:r>
        <w:rPr>
          <w:rFonts w:ascii="Times New Roman" w:cs="Times New Roman" w:eastAsia="Times New Roman" w:hAnsi="Times New Roman"/>
          <w:sz w:val="18"/>
          <w:szCs w:val="18"/>
          <w:color w:val="auto"/>
        </w:rPr>
        <w:t>During the three and six months ended June 30, 2024, GM Cruise Holdings LLC (Cruise Holdings) issued an insignificant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Class B Common Shares to net settle vested awards under Cruise's 2018 Employee Incentive Plan and to fund the payment of statutory tax withholding obligations resulting from the settlement or exercise of vested awards. The Class B Common Shares are classified as noncontrolling interests in our condensed consolidated financial statements.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significant components of Accumulated other comprehensive loss: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660" w:type="dxa"/>
            <w:vAlign w:val="bottom"/>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5"/>
        </w:trPr>
        <w:tc>
          <w:tcPr>
            <w:tcW w:w="5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4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215"/>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Adjustments</w:t>
            </w: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0" w:type="dxa"/>
            <w:vAlign w:val="bottom"/>
          </w:tcPr>
          <w:p>
            <w:pPr>
              <w:spacing w:after="0"/>
              <w:rPr>
                <w:sz w:val="1"/>
                <w:szCs w:val="1"/>
                <w:color w:val="auto"/>
              </w:rPr>
            </w:pPr>
          </w:p>
        </w:tc>
      </w:tr>
      <w:tr>
        <w:trPr>
          <w:trHeight w:val="175"/>
        </w:trPr>
        <w:tc>
          <w:tcPr>
            <w:tcW w:w="546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Other comprehensive income (loss) and noncontrolling interests, net of</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reclassification adjustment and tax(a)(b)(c)</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47"/>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Defined Benefit Plans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54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0" w:type="dxa"/>
            <w:vAlign w:val="bottom"/>
          </w:tcPr>
          <w:p>
            <w:pPr>
              <w:spacing w:after="0"/>
              <w:rPr>
                <w:sz w:val="1"/>
                <w:szCs w:val="1"/>
                <w:color w:val="auto"/>
              </w:rPr>
            </w:pPr>
          </w:p>
        </w:tc>
      </w:tr>
      <w:tr>
        <w:trPr>
          <w:trHeight w:val="175"/>
        </w:trPr>
        <w:tc>
          <w:tcPr>
            <w:tcW w:w="546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Other comprehensive income (loss) before reclassification adjustment, net</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tax(c)</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net of tax(c)</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2"/>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tax(c)</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47"/>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noncontrolling interests were insignificant in the three and six months ended June 30, 2024 and 2023.</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reclassification adjustment was insignificant in the three and six months ended June 30, 2024 and 2023.</w:t>
      </w:r>
    </w:p>
    <w:p>
      <w:pPr>
        <w:spacing w:after="0" w:line="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income tax effect was insignificant in the three and six months ended June 30, 2024 and 2023.</w:t>
      </w:r>
    </w:p>
    <w:p>
      <w:pPr>
        <w:spacing w:after="0" w:line="7" w:lineRule="exact"/>
        <w:rPr>
          <w:rFonts w:ascii="Times New Roman" w:cs="Times New Roman" w:eastAsia="Times New Roman" w:hAnsi="Times New Roman"/>
          <w:sz w:val="16"/>
          <w:szCs w:val="16"/>
          <w:color w:val="auto"/>
        </w:rPr>
      </w:pPr>
    </w:p>
    <w:p>
      <w:pPr>
        <w:ind w:left="340" w:hanging="333"/>
        <w:spacing w:after="0" w:line="268" w:lineRule="auto"/>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unamortized actuarial loss on our defined benefit plans. Refer to Note 2. Significant Accounting Policies of our 2023 Form 10-K for additional information.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Earnings Per Share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76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5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8"/>
        </w:trPr>
        <w:tc>
          <w:tcPr>
            <w:tcW w:w="5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215"/>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2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stockholders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w:t>
            </w:r>
          </w:p>
        </w:tc>
      </w:tr>
      <w:tr>
        <w:trPr>
          <w:trHeight w:val="228"/>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cumulative dividends on subsidiary preferred stock(a)</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47"/>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54"/>
        </w:trPr>
        <w:tc>
          <w:tcPr>
            <w:tcW w:w="5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2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r>
      <w:tr>
        <w:trPr>
          <w:trHeight w:val="107"/>
        </w:trPr>
        <w:tc>
          <w:tcPr>
            <w:tcW w:w="5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2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28"/>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 – diluted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w:t>
            </w:r>
          </w:p>
        </w:tc>
      </w:tr>
      <w:tr>
        <w:trPr>
          <w:trHeight w:val="107"/>
        </w:trPr>
        <w:tc>
          <w:tcPr>
            <w:tcW w:w="5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2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r>
      <w:tr>
        <w:trPr>
          <w:trHeight w:val="228"/>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awards under stock incentive plans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7"/>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54"/>
        </w:trPr>
        <w:tc>
          <w:tcPr>
            <w:tcW w:w="5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2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Potentially dilutive securities(b)</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20" w:hanging="313"/>
        <w:spacing w:after="0"/>
        <w:tabs>
          <w:tab w:leader="none" w:pos="3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an insignificant amount in participating securities income from a subsidiary for the three and six months ended June 30, 2024.</w:t>
      </w:r>
    </w:p>
    <w:p>
      <w:pPr>
        <w:spacing w:after="0" w:line="7" w:lineRule="exact"/>
        <w:rPr>
          <w:rFonts w:ascii="Times New Roman" w:cs="Times New Roman" w:eastAsia="Times New Roman" w:hAnsi="Times New Roman"/>
          <w:sz w:val="16"/>
          <w:szCs w:val="16"/>
          <w:color w:val="auto"/>
        </w:rPr>
      </w:pPr>
    </w:p>
    <w:p>
      <w:pPr>
        <w:jc w:val="both"/>
        <w:ind w:left="340" w:hanging="333"/>
        <w:spacing w:after="0" w:line="265"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Potentially dilutive securities attributable to outstanding stock options and Restricted Stock Units (RSUs) at June 30, 2024 and outstanding stock options, RSUs and Performance Stock Units at June 30, 2023, were excluded from the computation of diluted earnings per share (EPS) because the securities would have had an antidilutive effect.</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Stock Incentive Plans</w:t>
      </w:r>
    </w:p>
    <w:p>
      <w:pPr>
        <w:spacing w:after="0" w:line="250"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Stock Incentive Awards </w:t>
      </w:r>
      <w:r>
        <w:rPr>
          <w:rFonts w:ascii="Times New Roman" w:cs="Times New Roman" w:eastAsia="Times New Roman" w:hAnsi="Times New Roman"/>
          <w:sz w:val="18"/>
          <w:szCs w:val="18"/>
          <w:color w:val="auto"/>
        </w:rPr>
        <w:t>In the six months ended June 30, 2024 and 2023, we conducted recurring tender offers and paid $214 million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$136 million in cash to purchase tendered Cruise Class B Common Shares. The final tender offer was completed in April 2024, after which, substantially all remaining outstanding unvested Cruise RSUs were exchanged by participants for unvested cash payment rights. The remaining outstanding Cruise RSUs are insignificant and are now presented in permanent equity. Total compensation expense related to Cruise Holdings' share-based awards was insignificant in the three and six months ended June 30, 2024 and $174 million and $277 million in the three and six months ended June 30,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Segment Reporting</w:t>
      </w:r>
    </w:p>
    <w:p>
      <w:pPr>
        <w:spacing w:after="0" w:line="254"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We analyze the results of our business through the following reportable segments: GMNA, GMI, Cruise and GM Financial. The chief operating decision-maker evaluates the operating results and performance of our automotive segments and Cruise through earnings before interest and income taxes (EBIT)-adjusted, which is presented net of noncontrolling interests. The chief operating decision-maker evaluates GM Financial through earnings before income taxes (EBT)-adjusted because interest income and interest expense are part of operating results when assessing and measuring the operational and financial performance of the segment. Each segment has a manager responsible for executing our strategic initiatives. While not all vehicles within a segment are individually profitable, those vehicles attract customers to dealer showrooms and help maintain sales volumes for other, more profitable vehicles and contribute towards our commitment to an all-electric future and meeting required fuel efficiency standards. As a result of these and other factors, we do not manage our business on an individual brand or vehicle basis.</w:t>
      </w:r>
    </w:p>
    <w:p>
      <w:pPr>
        <w:spacing w:after="0" w:line="216"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Substantially all of the trucks, crossovers, cars and automobile parts produced are marketed through retail dealers in North America and through distributors and dealers outside of North America, the substantial majority of which are independently owned. In addition to the products sold to dealers for consumer retail sales, trucks, crossovers and cars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212"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GMNA meets the demands of customers in North America and GMI primarily meets the demands of customers outside North America with vehicles developed, manufactured and/or marketed under the Buick, Cadillac, Chevrolet and GMC brands. We also have equity ownership stakes in entities that meet the demands of customers in other countries, primarily China, with vehicles developed, manufactured and/or marketed under the Baojun, Buick, Cadillac, Chevrolet and Wuling brands. Cruise is our global segment responsible for the development and commercialization of AV technology, and includes AV-related engineering and other costs. We provide automotive financing services through our GM Financial segment.</w:t>
      </w:r>
    </w:p>
    <w:p>
      <w:pPr>
        <w:spacing w:after="0" w:line="213" w:lineRule="exact"/>
        <w:rPr>
          <w:sz w:val="20"/>
          <w:szCs w:val="20"/>
          <w:color w:val="auto"/>
        </w:rPr>
      </w:pPr>
    </w:p>
    <w:p>
      <w:pPr>
        <w:jc w:val="both"/>
        <w:ind w:firstLine="161"/>
        <w:spacing w:after="0" w:line="287" w:lineRule="auto"/>
        <w:rPr>
          <w:sz w:val="20"/>
          <w:szCs w:val="20"/>
          <w:color w:val="auto"/>
        </w:rPr>
      </w:pPr>
      <w:r>
        <w:rPr>
          <w:rFonts w:ascii="Times New Roman" w:cs="Times New Roman" w:eastAsia="Times New Roman" w:hAnsi="Times New Roman"/>
          <w:sz w:val="17"/>
          <w:szCs w:val="17"/>
          <w:color w:val="auto"/>
        </w:rPr>
        <w:t>Our automotive interest income and interest expense, legacy costs from the Opel/Vauxhall Business (primarily pension costs), corporate expenditures and certain revenues and expenses that are not part of a reportable segment are recorded centrally in Corporate. Corporate assets primarily consist of cash and cash equivalents, marketable debt securities and intersegment balances. All intersegment balances and transactions have been eliminated in consolidation.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tables summarize key financial information by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1"/>
          </w:tcPr>
          <w:p>
            <w:pPr>
              <w:ind w:left="460"/>
              <w:spacing w:after="0"/>
              <w:rPr>
                <w:sz w:val="20"/>
                <w:szCs w:val="20"/>
                <w:color w:val="auto"/>
              </w:rPr>
            </w:pPr>
            <w:r>
              <w:rPr>
                <w:rFonts w:ascii="Times New Roman" w:cs="Times New Roman" w:eastAsia="Times New Roman" w:hAnsi="Times New Roman"/>
                <w:sz w:val="13"/>
                <w:szCs w:val="13"/>
                <w:b w:val="1"/>
                <w:bCs w:val="1"/>
                <w:color w:val="auto"/>
              </w:rPr>
              <w:t>At and For the Three Months Ended June 30, 2024</w:t>
            </w:r>
          </w:p>
        </w:tc>
        <w:tc>
          <w:tcPr>
            <w:tcW w:w="6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GMI</w:t>
            </w:r>
          </w:p>
        </w:tc>
        <w:tc>
          <w:tcPr>
            <w:tcW w:w="10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Eliminations/Reclassifications</w:t>
            </w:r>
          </w:p>
        </w:tc>
        <w:tc>
          <w:tcPr>
            <w:tcW w:w="180" w:type="dxa"/>
            <w:vAlign w:val="bottom"/>
          </w:tcPr>
          <w:p>
            <w:pPr>
              <w:spacing w:after="0"/>
              <w:rPr>
                <w:sz w:val="15"/>
                <w:szCs w:val="15"/>
                <w:color w:val="auto"/>
              </w:rPr>
            </w:pPr>
          </w:p>
        </w:tc>
        <w:tc>
          <w:tcPr>
            <w:tcW w:w="68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5"/>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40,725</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44,060</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3,918</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47,969</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w w:val="98"/>
              </w:rPr>
              <w:t>Earnings (loss) before interest and taxes-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4,433</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4,082</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w:t>
            </w:r>
          </w:p>
        </w:tc>
        <w:tc>
          <w:tcPr>
            <w:tcW w:w="100" w:type="dxa"/>
            <w:vAlign w:val="bottom"/>
          </w:tcPr>
          <w:p>
            <w:pPr>
              <w:spacing w:after="0"/>
              <w:rPr>
                <w:sz w:val="15"/>
                <w:szCs w:val="15"/>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4,438</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3,643</w:t>
            </w:r>
          </w:p>
        </w:tc>
        <w:tc>
          <w:tcPr>
            <w:tcW w:w="0" w:type="dxa"/>
            <w:vAlign w:val="bottom"/>
          </w:tcPr>
          <w:p>
            <w:pPr>
              <w:spacing w:after="0"/>
              <w:rPr>
                <w:sz w:val="1"/>
                <w:szCs w:val="1"/>
                <w:color w:val="auto"/>
              </w:rPr>
            </w:pPr>
          </w:p>
        </w:tc>
      </w:tr>
      <w:tr>
        <w:trPr>
          <w:trHeight w:val="169"/>
        </w:trPr>
        <w:tc>
          <w:tcPr>
            <w:tcW w:w="2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(767)</w:t>
            </w:r>
          </w:p>
        </w:tc>
        <w:tc>
          <w:tcPr>
            <w:tcW w:w="0" w:type="dxa"/>
            <w:vAlign w:val="bottom"/>
          </w:tcPr>
          <w:p>
            <w:pPr>
              <w:spacing w:after="0"/>
              <w:rPr>
                <w:sz w:val="1"/>
                <w:szCs w:val="1"/>
                <w:color w:val="auto"/>
              </w:rPr>
            </w:pPr>
          </w:p>
        </w:tc>
      </w:tr>
      <w:tr>
        <w:trPr>
          <w:trHeight w:val="174"/>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2,877</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loss (income) attributable to</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07"/>
        </w:trPr>
        <w:tc>
          <w:tcPr>
            <w:tcW w:w="2140" w:type="dxa"/>
            <w:vAlign w:val="bottom"/>
            <w:shd w:val="clear" w:color="auto" w:fill="CCEEFF"/>
          </w:tcPr>
          <w:p>
            <w:pPr>
              <w:ind w:left="20"/>
              <w:spacing w:after="0" w:line="107" w:lineRule="exact"/>
              <w:rPr>
                <w:sz w:val="20"/>
                <w:szCs w:val="20"/>
                <w:color w:val="auto"/>
              </w:rPr>
            </w:pPr>
            <w:r>
              <w:rPr>
                <w:rFonts w:ascii="Times New Roman" w:cs="Times New Roman" w:eastAsia="Times New Roman" w:hAnsi="Times New Roman"/>
                <w:sz w:val="11"/>
                <w:szCs w:val="11"/>
                <w:color w:val="auto"/>
              </w:rPr>
              <w:t>Net income (loss) attributable to</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2,933</w:t>
            </w:r>
          </w:p>
        </w:tc>
        <w:tc>
          <w:tcPr>
            <w:tcW w:w="0" w:type="dxa"/>
            <w:vAlign w:val="bottom"/>
          </w:tcPr>
          <w:p>
            <w:pPr>
              <w:spacing w:after="0"/>
              <w:rPr>
                <w:sz w:val="1"/>
                <w:szCs w:val="1"/>
                <w:color w:val="auto"/>
              </w:rPr>
            </w:pPr>
          </w:p>
        </w:tc>
      </w:tr>
      <w:tr>
        <w:trPr>
          <w:trHeight w:val="181"/>
        </w:trPr>
        <w:tc>
          <w:tcPr>
            <w:tcW w:w="2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stockholders</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1"/>
        </w:trPr>
        <w:tc>
          <w:tcPr>
            <w:tcW w:w="214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3"/>
                <w:szCs w:val="13"/>
                <w:color w:val="auto"/>
              </w:rPr>
              <w:t>Equity in net assets of nonconsolidated</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affiliates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1,675</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10,734</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 and intangibles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2,717</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1,346</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4,778</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163,099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25,867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41,356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w w:val="98"/>
              </w:rPr>
              <w:t>(83,178)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147,144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135,902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282,956</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1,515</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1,682</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1,192</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2,880</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0" w:type="dxa"/>
            <w:vAlign w:val="bottom"/>
          </w:tcPr>
          <w:p>
            <w:pPr>
              <w:spacing w:after="0"/>
              <w:rPr>
                <w:sz w:val="1"/>
                <w:szCs w:val="1"/>
                <w:color w:val="auto"/>
              </w:rPr>
            </w:pPr>
          </w:p>
        </w:tc>
      </w:tr>
      <w:tr>
        <w:trPr>
          <w:trHeight w:val="164"/>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income (loss)(b)</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280" w:hanging="273"/>
        <w:spacing w:after="0"/>
        <w:tabs>
          <w:tab w:leader="none" w:pos="2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charges for strategic activities related to Buick dealerships in GMNA, charges related to manufacturing operations wind down in GMI and charges related to Cruise restructuring.</w:t>
      </w:r>
    </w:p>
    <w:p>
      <w:pPr>
        <w:ind w:left="340" w:hanging="333"/>
        <w:spacing w:after="0" w:line="238" w:lineRule="auto"/>
        <w:tabs>
          <w:tab w:leader="none" w:pos="289"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Equity earnings related to Ultium Cells Holdings LLC are presented in Automotive and other cost of sales as this entity is integral to the operations of our business by providing battery cells for our EVs. Refer to Note 7 to our condensed consolidated financial statements for additional information.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1"/>
          </w:tcPr>
          <w:p>
            <w:pPr>
              <w:ind w:left="460"/>
              <w:spacing w:after="0"/>
              <w:rPr>
                <w:sz w:val="20"/>
                <w:szCs w:val="20"/>
                <w:color w:val="auto"/>
              </w:rPr>
            </w:pPr>
            <w:r>
              <w:rPr>
                <w:rFonts w:ascii="Times New Roman" w:cs="Times New Roman" w:eastAsia="Times New Roman" w:hAnsi="Times New Roman"/>
                <w:sz w:val="13"/>
                <w:szCs w:val="13"/>
                <w:b w:val="1"/>
                <w:bCs w:val="1"/>
                <w:color w:val="auto"/>
              </w:rPr>
              <w:t>At and For the Three Months Ended June 30, 2023</w:t>
            </w:r>
          </w:p>
        </w:tc>
        <w:tc>
          <w:tcPr>
            <w:tcW w:w="6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GMI</w:t>
            </w:r>
          </w:p>
        </w:tc>
        <w:tc>
          <w:tcPr>
            <w:tcW w:w="10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Eliminations/Reclassifications</w:t>
            </w:r>
          </w:p>
        </w:tc>
        <w:tc>
          <w:tcPr>
            <w:tcW w:w="180" w:type="dxa"/>
            <w:vAlign w:val="bottom"/>
          </w:tcPr>
          <w:p>
            <w:pPr>
              <w:spacing w:after="0"/>
              <w:rPr>
                <w:sz w:val="15"/>
                <w:szCs w:val="15"/>
                <w:color w:val="auto"/>
              </w:rPr>
            </w:pPr>
          </w:p>
        </w:tc>
        <w:tc>
          <w:tcPr>
            <w:tcW w:w="68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5"/>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37,220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41,254</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3,498</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44,746</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w w:val="98"/>
              </w:rPr>
              <w:t>Earnings (loss) before interest and taxes-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3,083</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w:t>
            </w:r>
          </w:p>
        </w:tc>
        <w:tc>
          <w:tcPr>
            <w:tcW w:w="100" w:type="dxa"/>
            <w:vAlign w:val="bottom"/>
          </w:tcPr>
          <w:p>
            <w:pPr>
              <w:spacing w:after="0"/>
              <w:rPr>
                <w:sz w:val="15"/>
                <w:szCs w:val="15"/>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3,234</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3,029</w:t>
            </w:r>
          </w:p>
        </w:tc>
        <w:tc>
          <w:tcPr>
            <w:tcW w:w="0" w:type="dxa"/>
            <w:vAlign w:val="bottom"/>
          </w:tcPr>
          <w:p>
            <w:pPr>
              <w:spacing w:after="0"/>
              <w:rPr>
                <w:sz w:val="1"/>
                <w:szCs w:val="1"/>
                <w:color w:val="auto"/>
              </w:rPr>
            </w:pPr>
          </w:p>
        </w:tc>
      </w:tr>
      <w:tr>
        <w:trPr>
          <w:trHeight w:val="169"/>
        </w:trPr>
        <w:tc>
          <w:tcPr>
            <w:tcW w:w="2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0" w:type="dxa"/>
            <w:vAlign w:val="bottom"/>
          </w:tcPr>
          <w:p>
            <w:pPr>
              <w:spacing w:after="0"/>
              <w:rPr>
                <w:sz w:val="1"/>
                <w:szCs w:val="1"/>
                <w:color w:val="auto"/>
              </w:rPr>
            </w:pPr>
          </w:p>
        </w:tc>
      </w:tr>
      <w:tr>
        <w:trPr>
          <w:trHeight w:val="174"/>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2,507</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loss (income) attributable to</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107"/>
        </w:trPr>
        <w:tc>
          <w:tcPr>
            <w:tcW w:w="2140" w:type="dxa"/>
            <w:vAlign w:val="bottom"/>
            <w:shd w:val="clear" w:color="auto" w:fill="CCEEFF"/>
          </w:tcPr>
          <w:p>
            <w:pPr>
              <w:ind w:left="20"/>
              <w:spacing w:after="0" w:line="107" w:lineRule="exact"/>
              <w:rPr>
                <w:sz w:val="20"/>
                <w:szCs w:val="20"/>
                <w:color w:val="auto"/>
              </w:rPr>
            </w:pPr>
            <w:r>
              <w:rPr>
                <w:rFonts w:ascii="Times New Roman" w:cs="Times New Roman" w:eastAsia="Times New Roman" w:hAnsi="Times New Roman"/>
                <w:sz w:val="11"/>
                <w:szCs w:val="11"/>
                <w:color w:val="auto"/>
              </w:rPr>
              <w:t>Net income (loss) attributable to</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2,566</w:t>
            </w:r>
          </w:p>
        </w:tc>
        <w:tc>
          <w:tcPr>
            <w:tcW w:w="0" w:type="dxa"/>
            <w:vAlign w:val="bottom"/>
          </w:tcPr>
          <w:p>
            <w:pPr>
              <w:spacing w:after="0"/>
              <w:rPr>
                <w:sz w:val="1"/>
                <w:szCs w:val="1"/>
                <w:color w:val="auto"/>
              </w:rPr>
            </w:pPr>
          </w:p>
        </w:tc>
      </w:tr>
      <w:tr>
        <w:trPr>
          <w:trHeight w:val="181"/>
        </w:trPr>
        <w:tc>
          <w:tcPr>
            <w:tcW w:w="2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stockholders</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1"/>
        </w:trPr>
        <w:tc>
          <w:tcPr>
            <w:tcW w:w="214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3"/>
                <w:szCs w:val="13"/>
                <w:color w:val="auto"/>
              </w:rPr>
              <w:t>Equity in net assets of nonconsolidated</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affiliates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1,667</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10,064</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 and intangibles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2,141</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2,869</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1,354</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4,950</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150,624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24,509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44,892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w w:val="98"/>
              </w:rPr>
              <w:t>(74,453)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145,572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127,175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275,833</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1,531</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1,680</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1,245</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2,936</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income (loss)(b)</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12" w:lineRule="exact"/>
        <w:rPr>
          <w:sz w:val="20"/>
          <w:szCs w:val="20"/>
          <w:color w:val="auto"/>
        </w:rPr>
      </w:pPr>
    </w:p>
    <w:p>
      <w:pPr>
        <w:ind w:left="280" w:hanging="273"/>
        <w:spacing w:after="0"/>
        <w:tabs>
          <w:tab w:leader="none" w:pos="2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charges for strategic activities related to Buick dealerships in GMNA and the partial resolution of Korean subcontractor matters in GMI.</w:t>
      </w:r>
    </w:p>
    <w:p>
      <w:pPr>
        <w:ind w:left="340" w:hanging="333"/>
        <w:spacing w:after="0" w:line="238" w:lineRule="auto"/>
        <w:tabs>
          <w:tab w:leader="none" w:pos="289"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Equity earnings related to Ultium Cells Holdings LLC are presented in Automotive and other cost of sales as this entity is integral to the operations of our business by providing battery cells for our EVs. Refer to Note 7 to our condensed consolidated financial statements for additional information.</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gridSpan w:val="11"/>
          </w:tcPr>
          <w:p>
            <w:pPr>
              <w:ind w:left="520"/>
              <w:spacing w:after="0"/>
              <w:rPr>
                <w:sz w:val="20"/>
                <w:szCs w:val="20"/>
                <w:color w:val="auto"/>
              </w:rPr>
            </w:pPr>
            <w:r>
              <w:rPr>
                <w:rFonts w:ascii="Times New Roman" w:cs="Times New Roman" w:eastAsia="Times New Roman" w:hAnsi="Times New Roman"/>
                <w:sz w:val="13"/>
                <w:szCs w:val="13"/>
                <w:b w:val="1"/>
                <w:bCs w:val="1"/>
                <w:color w:val="auto"/>
              </w:rPr>
              <w:t>At and For the Six Months Ended June 30, 2024</w:t>
            </w:r>
          </w:p>
        </w:tc>
        <w:tc>
          <w:tcPr>
            <w:tcW w:w="7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121"/>
        </w:trPr>
        <w:tc>
          <w:tcPr>
            <w:tcW w:w="2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3"/>
                <w:szCs w:val="13"/>
                <w:b w:val="1"/>
                <w:bCs w:val="1"/>
                <w:color w:val="auto"/>
                <w:w w:val="89"/>
              </w:rPr>
              <w:t>GM</w:t>
            </w: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82"/>
        </w:trPr>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4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GMI</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2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4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10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Eliminations/Reclassifications</w:t>
            </w:r>
          </w:p>
        </w:tc>
        <w:tc>
          <w:tcPr>
            <w:tcW w:w="160" w:type="dxa"/>
            <w:vAlign w:val="bottom"/>
          </w:tcPr>
          <w:p>
            <w:pPr>
              <w:spacing w:after="0"/>
              <w:rPr>
                <w:sz w:val="15"/>
                <w:szCs w:val="15"/>
                <w:color w:val="auto"/>
              </w:rPr>
            </w:pPr>
          </w:p>
        </w:tc>
        <w:tc>
          <w:tcPr>
            <w:tcW w:w="66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5"/>
        </w:trPr>
        <w:tc>
          <w:tcPr>
            <w:tcW w:w="2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76,824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83,272</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7,730</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jc w:val="center"/>
              <w:ind w:left="577"/>
              <w:spacing w:after="0"/>
              <w:rPr>
                <w:sz w:val="20"/>
                <w:szCs w:val="20"/>
                <w:color w:val="auto"/>
              </w:rPr>
            </w:pPr>
            <w:r>
              <w:rPr>
                <w:rFonts w:ascii="Times New Roman" w:cs="Times New Roman" w:eastAsia="Times New Roman" w:hAnsi="Times New Roman"/>
                <w:sz w:val="13"/>
                <w:szCs w:val="13"/>
                <w:color w:val="auto"/>
              </w:rPr>
              <w:t>(69)</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90,983</w:t>
            </w:r>
          </w:p>
        </w:tc>
      </w:tr>
      <w:tr>
        <w:trPr>
          <w:trHeight w:val="121"/>
        </w:trPr>
        <w:tc>
          <w:tcPr>
            <w:tcW w:w="202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Earnings (loss) before interest and</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80"/>
        </w:trPr>
        <w:tc>
          <w:tcPr>
            <w:tcW w:w="2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taxes-adjusted</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7,667</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1,559</w:t>
            </w:r>
          </w:p>
        </w:tc>
        <w:tc>
          <w:tcPr>
            <w:tcW w:w="10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center"/>
              <w:ind w:left="577"/>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8,310</w:t>
            </w:r>
          </w:p>
        </w:tc>
      </w:tr>
      <w:tr>
        <w:trPr>
          <w:trHeight w:val="183"/>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center"/>
              <w:ind w:left="47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(857)</w:t>
            </w:r>
          </w:p>
        </w:tc>
      </w:tr>
      <w:tr>
        <w:trPr>
          <w:trHeight w:val="169"/>
        </w:trPr>
        <w:tc>
          <w:tcPr>
            <w:tcW w:w="2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w:t>
            </w:r>
          </w:p>
        </w:tc>
      </w:tr>
      <w:tr>
        <w:trPr>
          <w:trHeight w:val="180"/>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w:t>
            </w:r>
          </w:p>
        </w:tc>
      </w:tr>
      <w:tr>
        <w:trPr>
          <w:trHeight w:val="121"/>
        </w:trPr>
        <w:tc>
          <w:tcPr>
            <w:tcW w:w="202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82"/>
        </w:trPr>
        <w:tc>
          <w:tcPr>
            <w:tcW w:w="2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4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75"/>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7,359</w:t>
            </w:r>
          </w:p>
        </w:tc>
      </w:tr>
      <w:tr>
        <w:trPr>
          <w:trHeight w:val="169"/>
        </w:trPr>
        <w:tc>
          <w:tcPr>
            <w:tcW w:w="2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(1,529)</w:t>
            </w:r>
          </w:p>
        </w:tc>
      </w:tr>
      <w:tr>
        <w:trPr>
          <w:trHeight w:val="174"/>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5,830</w:t>
            </w:r>
          </w:p>
        </w:tc>
      </w:tr>
      <w:tr>
        <w:trPr>
          <w:trHeight w:val="121"/>
        </w:trPr>
        <w:tc>
          <w:tcPr>
            <w:tcW w:w="202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loss (income) attributable to</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82"/>
        </w:trPr>
        <w:tc>
          <w:tcPr>
            <w:tcW w:w="2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4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07"/>
        </w:trPr>
        <w:tc>
          <w:tcPr>
            <w:tcW w:w="2020" w:type="dxa"/>
            <w:vAlign w:val="bottom"/>
            <w:shd w:val="clear" w:color="auto" w:fill="CCEEFF"/>
          </w:tcPr>
          <w:p>
            <w:pPr>
              <w:ind w:left="20"/>
              <w:spacing w:after="0" w:line="107" w:lineRule="exact"/>
              <w:rPr>
                <w:sz w:val="20"/>
                <w:szCs w:val="20"/>
                <w:color w:val="auto"/>
              </w:rPr>
            </w:pPr>
            <w:r>
              <w:rPr>
                <w:rFonts w:ascii="Times New Roman" w:cs="Times New Roman" w:eastAsia="Times New Roman" w:hAnsi="Times New Roman"/>
                <w:sz w:val="11"/>
                <w:szCs w:val="11"/>
                <w:color w:val="auto"/>
              </w:rPr>
              <w:t>Net income (loss) attributable to</w:t>
            </w: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r>
      <w:tr>
        <w:trPr>
          <w:trHeight w:val="186"/>
        </w:trPr>
        <w:tc>
          <w:tcPr>
            <w:tcW w:w="2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stockholders</w:t>
            </w: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5,913</w:t>
            </w: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175"/>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center"/>
              <w:ind w:left="47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5,678</w:t>
            </w:r>
          </w:p>
        </w:tc>
      </w:tr>
      <w:tr>
        <w:trPr>
          <w:trHeight w:val="169"/>
        </w:trPr>
        <w:tc>
          <w:tcPr>
            <w:tcW w:w="2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center"/>
              <w:ind w:left="47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w:t>
            </w:r>
          </w:p>
        </w:tc>
      </w:tr>
      <w:tr>
        <w:trPr>
          <w:trHeight w:val="180"/>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income (loss)(b)</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center"/>
              <w:ind w:left="47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280" w:hanging="273"/>
        <w:spacing w:after="0"/>
        <w:tabs>
          <w:tab w:leader="none" w:pos="2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charges for strategic activities related to Buick dealerships in GMNA, charges related to manufacturing operations wind down in GMI and charges related to Cruise restructuring.</w:t>
      </w:r>
    </w:p>
    <w:p>
      <w:pPr>
        <w:ind w:left="340" w:hanging="333"/>
        <w:spacing w:after="0" w:line="238" w:lineRule="auto"/>
        <w:tabs>
          <w:tab w:leader="none" w:pos="289"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Equity earnings related to Ultium Cells Holdings LLC are presented in Automotive and other cost of sales as this entity is integral to the operations of our business by providing battery cells for our EVs. Refer to Note 7 to our condensed consolidated financial statements for additional information.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gridSpan w:val="11"/>
          </w:tcPr>
          <w:p>
            <w:pPr>
              <w:ind w:left="540"/>
              <w:spacing w:after="0"/>
              <w:rPr>
                <w:sz w:val="20"/>
                <w:szCs w:val="20"/>
                <w:color w:val="auto"/>
              </w:rPr>
            </w:pPr>
            <w:r>
              <w:rPr>
                <w:rFonts w:ascii="Times New Roman" w:cs="Times New Roman" w:eastAsia="Times New Roman" w:hAnsi="Times New Roman"/>
                <w:sz w:val="13"/>
                <w:szCs w:val="13"/>
                <w:b w:val="1"/>
                <w:bCs w:val="1"/>
                <w:color w:val="auto"/>
              </w:rPr>
              <w:t>At and For the Six Months Ended June 30, 2023</w:t>
            </w:r>
          </w:p>
        </w:tc>
        <w:tc>
          <w:tcPr>
            <w:tcW w:w="7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GMI</w:t>
            </w: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6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Eliminations/Reclassifications</w:t>
            </w:r>
          </w:p>
        </w:tc>
        <w:tc>
          <w:tcPr>
            <w:tcW w:w="180" w:type="dxa"/>
            <w:vAlign w:val="bottom"/>
          </w:tcPr>
          <w:p>
            <w:pPr>
              <w:spacing w:after="0"/>
              <w:rPr>
                <w:sz w:val="15"/>
                <w:szCs w:val="15"/>
                <w:color w:val="auto"/>
              </w:rPr>
            </w:pPr>
          </w:p>
        </w:tc>
        <w:tc>
          <w:tcPr>
            <w:tcW w:w="68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5"/>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70,108</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77,900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6,841</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84,732</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w w:val="98"/>
              </w:rPr>
              <w:t>Earnings (loss) before interest and taxes-</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6,769</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6,678</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(1,172)</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1,537</w:t>
            </w:r>
          </w:p>
        </w:tc>
        <w:tc>
          <w:tcPr>
            <w:tcW w:w="10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7,037</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(1,144)</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5,803</w:t>
            </w:r>
          </w:p>
        </w:tc>
        <w:tc>
          <w:tcPr>
            <w:tcW w:w="0" w:type="dxa"/>
            <w:vAlign w:val="bottom"/>
          </w:tcPr>
          <w:p>
            <w:pPr>
              <w:spacing w:after="0"/>
              <w:rPr>
                <w:sz w:val="1"/>
                <w:szCs w:val="1"/>
                <w:color w:val="auto"/>
              </w:rPr>
            </w:pPr>
          </w:p>
        </w:tc>
      </w:tr>
      <w:tr>
        <w:trPr>
          <w:trHeight w:val="169"/>
        </w:trPr>
        <w:tc>
          <w:tcPr>
            <w:tcW w:w="2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0" w:type="dxa"/>
            <w:vAlign w:val="bottom"/>
          </w:tcPr>
          <w:p>
            <w:pPr>
              <w:spacing w:after="0"/>
              <w:rPr>
                <w:sz w:val="1"/>
                <w:szCs w:val="1"/>
                <w:color w:val="auto"/>
              </w:rPr>
            </w:pPr>
          </w:p>
        </w:tc>
      </w:tr>
      <w:tr>
        <w:trPr>
          <w:trHeight w:val="174"/>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4,853</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loss (income) attributable to</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0" w:type="dxa"/>
            <w:vAlign w:val="bottom"/>
          </w:tcPr>
          <w:p>
            <w:pPr>
              <w:spacing w:after="0"/>
              <w:rPr>
                <w:sz w:val="1"/>
                <w:szCs w:val="1"/>
                <w:color w:val="auto"/>
              </w:rPr>
            </w:pPr>
          </w:p>
        </w:tc>
      </w:tr>
      <w:tr>
        <w:trPr>
          <w:trHeight w:val="107"/>
        </w:trPr>
        <w:tc>
          <w:tcPr>
            <w:tcW w:w="2140" w:type="dxa"/>
            <w:vAlign w:val="bottom"/>
            <w:shd w:val="clear" w:color="auto" w:fill="CCEEFF"/>
          </w:tcPr>
          <w:p>
            <w:pPr>
              <w:ind w:left="20"/>
              <w:spacing w:after="0" w:line="107" w:lineRule="exact"/>
              <w:rPr>
                <w:sz w:val="20"/>
                <w:szCs w:val="20"/>
                <w:color w:val="auto"/>
              </w:rPr>
            </w:pPr>
            <w:r>
              <w:rPr>
                <w:rFonts w:ascii="Times New Roman" w:cs="Times New Roman" w:eastAsia="Times New Roman" w:hAnsi="Times New Roman"/>
                <w:sz w:val="11"/>
                <w:szCs w:val="11"/>
                <w:color w:val="auto"/>
              </w:rPr>
              <w:t>Net income (loss) attributable to</w:t>
            </w: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4,962</w:t>
            </w:r>
          </w:p>
        </w:tc>
        <w:tc>
          <w:tcPr>
            <w:tcW w:w="0" w:type="dxa"/>
            <w:vAlign w:val="bottom"/>
          </w:tcPr>
          <w:p>
            <w:pPr>
              <w:spacing w:after="0"/>
              <w:rPr>
                <w:sz w:val="1"/>
                <w:szCs w:val="1"/>
                <w:color w:val="auto"/>
              </w:rPr>
            </w:pPr>
          </w:p>
        </w:tc>
      </w:tr>
      <w:tr>
        <w:trPr>
          <w:trHeight w:val="181"/>
        </w:trPr>
        <w:tc>
          <w:tcPr>
            <w:tcW w:w="2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stockholders</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2,496</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5,746</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income (loss)(b)</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14" w:lineRule="exact"/>
        <w:rPr>
          <w:sz w:val="20"/>
          <w:szCs w:val="20"/>
          <w:color w:val="auto"/>
        </w:rPr>
      </w:pPr>
    </w:p>
    <w:p>
      <w:pPr>
        <w:ind w:left="280" w:hanging="273"/>
        <w:spacing w:after="0"/>
        <w:tabs>
          <w:tab w:leader="none" w:pos="28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charges for strategic activities related to Buick dealerships and charges related to the voluntary separation program (VSP) in GMNA and the partial resolution of Korean subcontractor matters in GMI.</w:t>
      </w:r>
    </w:p>
    <w:p>
      <w:pPr>
        <w:spacing w:after="0" w:line="21" w:lineRule="exact"/>
        <w:rPr>
          <w:rFonts w:ascii="Times New Roman" w:cs="Times New Roman" w:eastAsia="Times New Roman" w:hAnsi="Times New Roman"/>
          <w:sz w:val="11"/>
          <w:szCs w:val="11"/>
          <w:color w:val="auto"/>
        </w:rPr>
      </w:pPr>
    </w:p>
    <w:p>
      <w:pPr>
        <w:ind w:left="340" w:hanging="333"/>
        <w:spacing w:after="0" w:line="238" w:lineRule="auto"/>
        <w:tabs>
          <w:tab w:leader="none" w:pos="289"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Equity earnings related to Ultium Cells Holdings LLC are presented in Automotive and other cost of sales as this entity is integral to the operations of our business by providing battery cells for our EVs. Refer to Note 7 to our condensed consolidated financial statements for additional information.</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This Management's Discussion and Analysis of Financial Condition and Results of Operations (MD&amp;A) should be read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conjunction with the accompanying condensed consolidated financial statements and the notes thereto, and the audited consolidated financial statements and notes thereto included in our 2023 Form 10-K.</w:t>
      </w:r>
    </w:p>
    <w:p>
      <w:pPr>
        <w:spacing w:after="0" w:line="200"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Forward-looking statements in this MD&amp;A are not guarantees of future performance and may involve risks and uncertainties that could cause actual results to differ materially from those projected. Refer to the "Forward-Looking Statements" section of this MD&amp;A and Part 1, Item 1A. Risk Factors of our 2023 Form 10-K for a discussion of these risks and uncertainties. Except for per share amounts or as otherwise specified, dollar amounts presented within tables are stated in millions. Certain columns and rows may not add due to rounding.</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Overview </w:t>
      </w:r>
      <w:r>
        <w:rPr>
          <w:rFonts w:ascii="Times New Roman" w:cs="Times New Roman" w:eastAsia="Times New Roman" w:hAnsi="Times New Roman"/>
          <w:sz w:val="18"/>
          <w:szCs w:val="18"/>
          <w:color w:val="auto"/>
        </w:rPr>
        <w:t>Our vision for the future is a world with zero crashes, zero emissions and zero congestion. We will adapt to customer preferences while executing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growth-focused strategy to invest in EVs, hybrids, AVs, software-enabled services and other new business opportunities. To support strong margins and cash flow during this transition, we are strengthening our market position in profitable internal combustion engine (ICE) vehicles, such as trucks and SUVs. We plan to execute our strategy with a steadfast commitment to good corporate citizenship through more sustainable operations and a leading health and safety culture.</w:t>
      </w:r>
    </w:p>
    <w:p>
      <w:pPr>
        <w:spacing w:after="0" w:line="208"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Our financial performance continues to be driven by the strength of our vehicle portfolio including high margin full-size pickup trucks and SUVs, strong consumer demand for our products and the execution of our core business strategy. We remain focused on reducing fixed costs and maintaining pricing discipline. We are monitoring industry pricing pressures, higher interest rates, inflation and consumer demand trends. We continue to prioritize driving down costs and building scale in our EV portfolio to improve profitability. Cruise has also resumed certain on-road operations with a focused and more capital efficient operating plan.</w:t>
      </w:r>
    </w:p>
    <w:p>
      <w:pPr>
        <w:spacing w:after="0" w:line="21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As we continue to assess our performance and the needs of our evolving business, additional restructuring and rationalization actions could be required. These actions could give rise to future asset impairments or other charges, which may have a material impact on our operating results. Refer to the Consolidated Results and regional sections of this MD&amp;A for additional information.</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face continuing market, operating and regulatory challenges in several countries across the globe due to, among other factors, competitive pressures, our product portfolio offerings, heightened emission standards, labor disruptions, foreign exchange volatility, evolving trade policy and political uncertainty. Refer to Part I, Item 1A. Risk Factors in our 2023 Form 10-K for a discussion of these challenges.</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For the year ending December 31, 2024, we expect Net income attributable to stockholders of between $10.0 billion and $11.4 billion, EBIT-adjusted of between $13.0 billion and $15.0 billion, EPS-diluted of between $8.93 and $9.93 and EPS-diluted-adjusted of between $9.50 and $10.50. Refer to the "Non-GAAP Measures" section of this MD&amp;A for additional information.</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expected Net income attributable to stockholders under U.S. GAAP to expected EBIT-adjusted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60" w:type="dxa"/>
            <w:vAlign w:val="bottom"/>
          </w:tcPr>
          <w:p>
            <w:pPr>
              <w:spacing w:after="0"/>
              <w:rPr>
                <w:sz w:val="16"/>
                <w:szCs w:val="16"/>
                <w:color w:val="auto"/>
              </w:rPr>
            </w:pPr>
          </w:p>
        </w:tc>
        <w:tc>
          <w:tcPr>
            <w:tcW w:w="328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Year Ending December 31, 2024</w:t>
            </w:r>
          </w:p>
        </w:tc>
      </w:tr>
      <w:tr>
        <w:trPr>
          <w:trHeight w:val="25"/>
        </w:trPr>
        <w:tc>
          <w:tcPr>
            <w:tcW w:w="7960" w:type="dxa"/>
            <w:vAlign w:val="bottom"/>
            <w:tcBorders>
              <w:bottom w:val="single" w:sz="8" w:color="CCEEFF"/>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2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$ 10.0-11.4</w:t>
            </w: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r>
      <w:tr>
        <w:trPr>
          <w:trHeight w:val="22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interest income, net</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8"/>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3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4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3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$ 13.0-15.0</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68" w:lineRule="auto"/>
        <w:tabs>
          <w:tab w:leader="none" w:pos="33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attributable to stockholders under U.S. GAAP to EBIT-adjusted within the MD&amp;A for adjustment details. These expected financial results do not include the potential impact of future adjustments related to special items.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expected EPS-diluted under U.S. GAAP to expected EPS-diluted-adjusted</w:t>
      </w:r>
      <w:r>
        <w:rPr>
          <w:rFonts w:ascii="Times New Roman" w:cs="Times New Roman" w:eastAsia="Times New Roman" w:hAnsi="Times New Roman"/>
          <w:sz w:val="16"/>
          <w:szCs w:val="16"/>
          <w:color w:val="auto"/>
        </w:rPr>
        <w:t>:</w:t>
      </w:r>
    </w:p>
    <w:p>
      <w:pPr>
        <w:spacing w:after="0" w:line="284"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Ending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32955" cy="1536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Diluted earnings per common share</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Adjustments(a)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2955" cy="1708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17081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EPS-diluted-adjusted</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left="220" w:hanging="138"/>
        <w:spacing w:after="0"/>
        <w:tabs>
          <w:tab w:leader="none" w:pos="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8.93-9.93</w:t>
      </w:r>
    </w:p>
    <w:p>
      <w:pPr>
        <w:spacing w:after="0" w:line="38"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0.57</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$ 9.50-10.50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49530</wp:posOffset>
            </wp:positionV>
            <wp:extent cx="20821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82165" cy="8255"/>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9600" w:space="720"/>
            <w:col w:w="92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40" w:right="20" w:hanging="333"/>
        <w:spacing w:after="0" w:line="255" w:lineRule="auto"/>
        <w:tabs>
          <w:tab w:leader="none" w:pos="33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diluted earnings per common share under U.S. GAAP to EPS-diluted-adjusted within the MD&amp;A for adjustment details. These expected financial results do not include the potential impact of future adjustments related to special items.</w:t>
      </w:r>
    </w:p>
    <w:p>
      <w:pPr>
        <w:spacing w:after="0" w:line="214"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w:t>
      </w:r>
      <w:r>
        <w:rPr>
          <w:rFonts w:ascii="Times New Roman" w:cs="Times New Roman" w:eastAsia="Times New Roman" w:hAnsi="Times New Roman"/>
          <w:sz w:val="18"/>
          <w:szCs w:val="18"/>
          <w:color w:val="auto"/>
        </w:rPr>
        <w:t>Industry sales in North America were 9.9 million units in the six months ended June 30, 2024, representing an increase of 3.4%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corresponding period in 2023. U.S. industry sales were 8.0 million units in the six months ended June 30, 2024, representing an increase of 1.7% compared to the corresponding period in 2023.</w:t>
      </w:r>
    </w:p>
    <w:p>
      <w:pPr>
        <w:spacing w:after="0" w:line="200"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Our total vehicle sales in the U.S., our largest market in North America, were 1.3 million units for market share of 16.0% in the six months ended June 30, 2024, representing a decrease of 0.3 percentage points compared to the corresponding period in 2023.</w:t>
      </w:r>
    </w:p>
    <w:p>
      <w:pPr>
        <w:spacing w:after="0" w:line="189"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expect to sustain relatively strong EBIT-adjusted margins in 2024 on the continued strength of our product portfolio, improved EV margins and ongoing fixed cost reduction efforts, partially offset by pricing moderation with increased incentives. While we expect EV margins to improve in 2024, it is possible that we will continue to recognize losses to adjust inventory to net realizable value. Our outlook is dependent on the resiliency of the U.S. economy, continuing improvement of supply chain availability, EV-related cost reduction and overall economic conditions.</w:t>
      </w:r>
    </w:p>
    <w:p>
      <w:pPr>
        <w:spacing w:after="0" w:line="204"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w:t>
      </w:r>
      <w:r>
        <w:rPr>
          <w:rFonts w:ascii="Times New Roman" w:cs="Times New Roman" w:eastAsia="Times New Roman" w:hAnsi="Times New Roman"/>
          <w:sz w:val="18"/>
          <w:szCs w:val="18"/>
          <w:color w:val="auto"/>
        </w:rPr>
        <w:t>Industry sales in China were 11.5 million units in the six months ended June 30, 2024, representing an increase of 2.4%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corresponding period in 2023. Our total vehicle sales in China were 0.8 million units for market share of 7.1% in the six months ended June 30, 2024, representing a decrease of 1.7 percentage points compared to the corresponding period in 2023. Our Automotive China JVs generated an equity loss of $0.2 billion in the six months ended June 30, 2024, driven primarily by a decline in wholesale volumes amid intense competition in a market with significant excess capacity from both new market entrants and established competitors offering vehicles at lower prices. This intense price competition and an increasingly challenging regulatory environment related to emissions, fuel consumption and new energy vehicles continue to negatively impact the profitability of our operations in China. Additionally, independent, Chinese automakers are expanding market share and prioritizing production volumes over profitability, with the ability to produce vehicles at costs well below foreign automakers, including our Automotive China JVs. These factors are impacting our China JVs’ ability to grow vehicle sales in China and our ability to generate sustainable equity income from our China JVs. As a result, we are working closely with our JV partners to restructure our operations in China and we believe we have an increased likelihood of recording future charges, which could be material, if losses continue in the near term.</w:t>
      </w:r>
    </w:p>
    <w:p>
      <w:pPr>
        <w:spacing w:after="0" w:line="220"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Outside of China, industry sales were 12.4 million units in the six months ended June 30, 2024, representing a decrease of 1.0% compared to the corresponding period in 2023. Our total vehicle sales outside of China were 0.4 million units for market share of 3.5% in the six months ended June 30, 2024, representing a decrease of 0.3 percentage points compared to the corresponding period in 2023.</w:t>
      </w:r>
    </w:p>
    <w:p>
      <w:pPr>
        <w:spacing w:after="0" w:line="200"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w:t>
      </w:r>
      <w:r>
        <w:rPr>
          <w:rFonts w:ascii="Times New Roman" w:cs="Times New Roman" w:eastAsia="Times New Roman" w:hAnsi="Times New Roman"/>
          <w:sz w:val="18"/>
          <w:szCs w:val="18"/>
          <w:color w:val="auto"/>
        </w:rPr>
        <w:t>Cruise Holdings, our majority-owned subsidiary, is pursuing the development and commercialization of AV technology. In April 2024, Cruise AVs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returned to public roads for manual driving operations following a voluntary pause that resulted from an October 2023 accident. Subsequently, Cruise resumed supervised operations and expanded to additional cities. Currently, Cruise is operating supervised and manual driving in Phoenix, Arizona; Dallas, Texas; and Houston, Texas. We expect Cruise to return to driverless operations and commercial AV operations based on safety and other criteria but we have not yet determined the timing of such return.</w:t>
      </w:r>
    </w:p>
    <w:p>
      <w:pPr>
        <w:spacing w:after="0" w:line="208"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Cruise continues to develop its next generation technology for deployment of AVs to be used in future scaling of a robotaxi business. Cruise now expects to deploy this technology in a vehicle based on the next generation Chevrolet Bolt EUV, which we expect to result in a lower cost per vehicle solution while also reducing regulatory uncertainty that surrounded the Cruise Origin. As a result, in the three months ended June 30, 2024, Cruise indefinitely delayed development work on the Origin and recorded restructuring charges of $0.6 billion primarily related to non-cash write-offs of Origin assets. Refer to Note 15 to our condensed consolidated financial statements for additional information related to Cruise's restructuring actions.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also continue to engage with certain federal and state agencies, including the California Department of Motor Vehicles, the California Public Utilities Commission, NHTSA, the U.S. Department of Justice and the SEC, who have opened investigations or made inquiries to us and Cruise in connection with the October 2023 incident and are actively cooperating with all government regulators and agencies in connection with these matters. Refer to Part I, Item 1A. Risk Factors of our 2023 Form 10-K for a further discussion of the risks associated with our AV strategy.</w:t>
      </w:r>
    </w:p>
    <w:p>
      <w:pPr>
        <w:spacing w:after="0" w:line="204"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Vehicle Sales </w:t>
      </w:r>
      <w:r>
        <w:rPr>
          <w:rFonts w:ascii="Times New Roman" w:cs="Times New Roman" w:eastAsia="Times New Roman" w:hAnsi="Times New Roman"/>
          <w:sz w:val="18"/>
          <w:szCs w:val="18"/>
          <w:color w:val="auto"/>
        </w:rPr>
        <w:t>The principal factors that determine consumer vehicle preferences in the markets in which we operate include overall vehicle design,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quality, available options, safety, reliability, fuel economy or range and functionality. Market leadership in individual countries in which we compete varies widely.</w:t>
      </w:r>
    </w:p>
    <w:p>
      <w:pPr>
        <w:spacing w:after="0" w:line="200"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present both wholesale and total vehicle sales data to assist in the analysis of our revenue and market share. Wholesale vehicle sales data consists of sales to GM's dealers and distributors as well as sales to the U.S. government and excludes vehicles sold by our joint ventures. Wholesale vehicle sales data correlates to our revenue recognized from the sale of vehicles, which is the largest component of Automotive net sales and revenue. In the six months ended June 30, 2024, 26.6% of our wholesale vehicle sales volume was generated outside the U.S. The following table summarizes wholesale vehicle sales by automotive segment (vehicles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5"/>
        </w:trPr>
        <w:tc>
          <w:tcPr>
            <w:tcW w:w="196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8"/>
        </w:trPr>
        <w:tc>
          <w:tcPr>
            <w:tcW w:w="196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660" w:type="dxa"/>
            <w:vAlign w:val="bottom"/>
            <w:tcBorders>
              <w:bottom w:val="single" w:sz="8" w:color="auto"/>
            </w:tcBorders>
          </w:tcPr>
          <w:p>
            <w:pPr>
              <w:spacing w:after="0"/>
              <w:rPr>
                <w:sz w:val="16"/>
                <w:szCs w:val="16"/>
                <w:color w:val="auto"/>
              </w:rPr>
            </w:pPr>
          </w:p>
        </w:tc>
      </w:tr>
      <w:tr>
        <w:trPr>
          <w:trHeight w:val="228"/>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1,556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84.4 %</w:t>
            </w:r>
          </w:p>
        </w:tc>
      </w:tr>
      <w:tr>
        <w:trPr>
          <w:trHeight w:val="228"/>
        </w:trPr>
        <w:tc>
          <w:tcPr>
            <w:tcW w:w="1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15.6 %</w:t>
            </w:r>
          </w:p>
        </w:tc>
      </w:tr>
      <w:tr>
        <w:trPr>
          <w:trHeight w:val="247"/>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1,844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Total vehicle sales data represents: (1) retail sales (i.e., sales to consumers who purchase new vehicles from dealers or distributors); (2) fleet sales (i.e., sales to large and small businesses, governments and daily rental car companies); and (3) certain vehicles used by dealers in their business.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we recognize during a particular period, we believe it is indicative of the underlying demand for our vehicles. Total vehicle sales data represents management's good faith estimate based on sales reported by our dealers, distributors and joint ventures; commercially available data sources such as registration and insurance data; and internal estimates and forecasts when other data is not available.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industry and GM total vehicle sales and our related competitive position by geographic region (vehicles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7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5"/>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5"/>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5"/>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5"/>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7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7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GM</w:t>
            </w:r>
          </w:p>
        </w:tc>
        <w:tc>
          <w:tcPr>
            <w:tcW w:w="660" w:type="dxa"/>
            <w:vAlign w:val="bottom"/>
          </w:tcPr>
          <w:p>
            <w:pPr>
              <w:jc w:val="center"/>
              <w:ind w:right="1"/>
              <w:spacing w:after="0" w:line="135" w:lineRule="exact"/>
              <w:rPr>
                <w:sz w:val="20"/>
                <w:szCs w:val="20"/>
                <w:color w:val="auto"/>
              </w:rPr>
            </w:pPr>
            <w:r>
              <w:rPr>
                <w:rFonts w:ascii="Times New Roman" w:cs="Times New Roman" w:eastAsia="Times New Roman" w:hAnsi="Times New Roman"/>
                <w:sz w:val="14"/>
                <w:szCs w:val="14"/>
                <w:b w:val="1"/>
                <w:bCs w:val="1"/>
                <w:color w:val="auto"/>
              </w:rPr>
              <w:t>Market</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GM</w:t>
            </w:r>
          </w:p>
        </w:tc>
        <w:tc>
          <w:tcPr>
            <w:tcW w:w="680" w:type="dxa"/>
            <w:vAlign w:val="bottom"/>
          </w:tcPr>
          <w:p>
            <w:pPr>
              <w:jc w:val="center"/>
              <w:ind w:right="20"/>
              <w:spacing w:after="0" w:line="135" w:lineRule="exact"/>
              <w:rPr>
                <w:sz w:val="20"/>
                <w:szCs w:val="20"/>
                <w:color w:val="auto"/>
              </w:rPr>
            </w:pPr>
            <w:r>
              <w:rPr>
                <w:rFonts w:ascii="Times New Roman" w:cs="Times New Roman" w:eastAsia="Times New Roman" w:hAnsi="Times New Roman"/>
                <w:sz w:val="14"/>
                <w:szCs w:val="14"/>
                <w:b w:val="1"/>
                <w:bCs w:val="1"/>
                <w:color w:val="auto"/>
              </w:rPr>
              <w:t>Market</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GM</w:t>
            </w:r>
          </w:p>
        </w:tc>
        <w:tc>
          <w:tcPr>
            <w:tcW w:w="680" w:type="dxa"/>
            <w:vAlign w:val="bottom"/>
          </w:tcPr>
          <w:p>
            <w:pPr>
              <w:jc w:val="center"/>
              <w:ind w:right="21"/>
              <w:spacing w:after="0" w:line="135" w:lineRule="exact"/>
              <w:rPr>
                <w:sz w:val="20"/>
                <w:szCs w:val="20"/>
                <w:color w:val="auto"/>
              </w:rPr>
            </w:pPr>
            <w:r>
              <w:rPr>
                <w:rFonts w:ascii="Times New Roman" w:cs="Times New Roman" w:eastAsia="Times New Roman" w:hAnsi="Times New Roman"/>
                <w:sz w:val="14"/>
                <w:szCs w:val="14"/>
                <w:b w:val="1"/>
                <w:bCs w:val="1"/>
                <w:color w:val="auto"/>
              </w:rPr>
              <w:t>Market</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GM</w:t>
            </w:r>
          </w:p>
        </w:tc>
        <w:tc>
          <w:tcPr>
            <w:tcW w:w="680" w:type="dxa"/>
            <w:vAlign w:val="bottom"/>
          </w:tcPr>
          <w:p>
            <w:pPr>
              <w:jc w:val="right"/>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95"/>
        </w:trPr>
        <w:tc>
          <w:tcPr>
            <w:tcW w:w="17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68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99"/>
        </w:trPr>
        <w:tc>
          <w:tcPr>
            <w:tcW w:w="1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North America</w:t>
            </w:r>
          </w:p>
        </w:tc>
        <w:tc>
          <w:tcPr>
            <w:tcW w:w="7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4,195</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4,227</w:t>
            </w:r>
          </w:p>
        </w:tc>
        <w:tc>
          <w:tcPr>
            <w:tcW w:w="70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8,048</w:t>
            </w:r>
          </w:p>
        </w:tc>
        <w:tc>
          <w:tcPr>
            <w:tcW w:w="70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7,909</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0" w:type="dxa"/>
            <w:vAlign w:val="bottom"/>
          </w:tcPr>
          <w:p>
            <w:pPr>
              <w:spacing w:after="0"/>
              <w:rPr>
                <w:sz w:val="1"/>
                <w:szCs w:val="1"/>
                <w:color w:val="auto"/>
              </w:rPr>
            </w:pPr>
          </w:p>
        </w:tc>
      </w:tr>
      <w:tr>
        <w:trPr>
          <w:trHeight w:val="212"/>
        </w:trPr>
        <w:tc>
          <w:tcPr>
            <w:tcW w:w="1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70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w:t>
            </w:r>
          </w:p>
        </w:tc>
        <w:tc>
          <w:tcPr>
            <w:tcW w:w="70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12.6 %</w:t>
            </w:r>
          </w:p>
        </w:tc>
        <w:tc>
          <w:tcPr>
            <w:tcW w:w="0" w:type="dxa"/>
            <w:vAlign w:val="bottom"/>
          </w:tcPr>
          <w:p>
            <w:pPr>
              <w:spacing w:after="0"/>
              <w:rPr>
                <w:sz w:val="1"/>
                <w:szCs w:val="1"/>
                <w:color w:val="auto"/>
              </w:rPr>
            </w:pPr>
          </w:p>
        </w:tc>
      </w:tr>
      <w:tr>
        <w:trPr>
          <w:trHeight w:val="211"/>
        </w:trPr>
        <w:tc>
          <w:tcPr>
            <w:tcW w:w="1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North America</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5,202</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15.9 %</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5,148</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9,946</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1,537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9,623</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15.7 %</w:t>
            </w:r>
          </w:p>
        </w:tc>
        <w:tc>
          <w:tcPr>
            <w:tcW w:w="0" w:type="dxa"/>
            <w:vAlign w:val="bottom"/>
          </w:tcPr>
          <w:p>
            <w:pPr>
              <w:spacing w:after="0"/>
              <w:rPr>
                <w:sz w:val="1"/>
                <w:szCs w:val="1"/>
                <w:color w:val="auto"/>
              </w:rPr>
            </w:pPr>
          </w:p>
        </w:tc>
      </w:tr>
      <w:tr>
        <w:trPr>
          <w:trHeight w:val="141"/>
        </w:trPr>
        <w:tc>
          <w:tcPr>
            <w:tcW w:w="17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Asia/Pacific, Middle East</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7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and Africa</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China(a)</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5,870</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6,149</w:t>
            </w:r>
          </w:p>
        </w:tc>
        <w:tc>
          <w:tcPr>
            <w:tcW w:w="70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11,525</w:t>
            </w:r>
          </w:p>
        </w:tc>
        <w:tc>
          <w:tcPr>
            <w:tcW w:w="70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11,251</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0" w:type="dxa"/>
            <w:vAlign w:val="bottom"/>
          </w:tcPr>
          <w:p>
            <w:pPr>
              <w:spacing w:after="0"/>
              <w:rPr>
                <w:sz w:val="1"/>
                <w:szCs w:val="1"/>
                <w:color w:val="auto"/>
              </w:rPr>
            </w:pPr>
          </w:p>
        </w:tc>
      </w:tr>
      <w:tr>
        <w:trPr>
          <w:trHeight w:val="212"/>
        </w:trPr>
        <w:tc>
          <w:tcPr>
            <w:tcW w:w="1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5,107</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5,236</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144"/>
        </w:trPr>
        <w:tc>
          <w:tcPr>
            <w:tcW w:w="178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Total Asia/Pacific, Middle</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10,977</w:t>
            </w:r>
          </w:p>
        </w:tc>
        <w:tc>
          <w:tcPr>
            <w:tcW w:w="7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11,384</w:t>
            </w:r>
          </w:p>
        </w:tc>
        <w:tc>
          <w:tcPr>
            <w:tcW w:w="700" w:type="dxa"/>
            <w:vAlign w:val="bottom"/>
            <w:gridSpan w:val="3"/>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22,170</w:t>
            </w:r>
          </w:p>
        </w:tc>
        <w:tc>
          <w:tcPr>
            <w:tcW w:w="700" w:type="dxa"/>
            <w:vAlign w:val="bottom"/>
            <w:gridSpan w:val="3"/>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1,047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22,067</w:t>
            </w:r>
          </w:p>
        </w:tc>
        <w:tc>
          <w:tcPr>
            <w:tcW w:w="7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0" w:type="dxa"/>
            <w:vAlign w:val="bottom"/>
          </w:tcPr>
          <w:p>
            <w:pPr>
              <w:spacing w:after="0"/>
              <w:rPr>
                <w:sz w:val="1"/>
                <w:szCs w:val="1"/>
                <w:color w:val="auto"/>
              </w:rPr>
            </w:pPr>
          </w:p>
        </w:tc>
      </w:tr>
      <w:tr>
        <w:trPr>
          <w:trHeight w:val="215"/>
        </w:trPr>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East and Africa</w:t>
            </w:r>
          </w:p>
        </w:tc>
        <w:tc>
          <w:tcPr>
            <w:tcW w:w="700" w:type="dxa"/>
            <w:vAlign w:val="bottom"/>
            <w:vMerge w:val="continue"/>
            <w:shd w:val="clear" w:color="auto" w:fill="CCEEFF"/>
          </w:tcPr>
          <w:p>
            <w:pPr>
              <w:spacing w:after="0"/>
              <w:rPr>
                <w:sz w:val="18"/>
                <w:szCs w:val="18"/>
                <w:color w:val="auto"/>
              </w:rPr>
            </w:pPr>
          </w:p>
        </w:tc>
        <w:tc>
          <w:tcPr>
            <w:tcW w:w="70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70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70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70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South America</w:t>
            </w:r>
          </w:p>
        </w:tc>
        <w:tc>
          <w:tcPr>
            <w:tcW w:w="7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70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70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0" w:type="dxa"/>
            <w:vAlign w:val="bottom"/>
          </w:tcPr>
          <w:p>
            <w:pPr>
              <w:spacing w:after="0"/>
              <w:rPr>
                <w:sz w:val="1"/>
                <w:szCs w:val="1"/>
                <w:color w:val="auto"/>
              </w:rPr>
            </w:pPr>
          </w:p>
        </w:tc>
      </w:tr>
      <w:tr>
        <w:trPr>
          <w:trHeight w:val="212"/>
        </w:trPr>
        <w:tc>
          <w:tcPr>
            <w:tcW w:w="1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70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70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0" w:type="dxa"/>
            <w:vAlign w:val="bottom"/>
          </w:tcPr>
          <w:p>
            <w:pPr>
              <w:spacing w:after="0"/>
              <w:rPr>
                <w:sz w:val="1"/>
                <w:szCs w:val="1"/>
                <w:color w:val="auto"/>
              </w:rPr>
            </w:pPr>
          </w:p>
        </w:tc>
      </w:tr>
      <w:tr>
        <w:trPr>
          <w:trHeight w:val="211"/>
        </w:trPr>
        <w:tc>
          <w:tcPr>
            <w:tcW w:w="1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South America</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0" w:type="dxa"/>
            <w:vAlign w:val="bottom"/>
          </w:tcPr>
          <w:p>
            <w:pPr>
              <w:spacing w:after="0"/>
              <w:rPr>
                <w:sz w:val="1"/>
                <w:szCs w:val="1"/>
                <w:color w:val="auto"/>
              </w:rPr>
            </w:pPr>
          </w:p>
        </w:tc>
      </w:tr>
      <w:tr>
        <w:trPr>
          <w:trHeight w:val="206"/>
        </w:trPr>
        <w:tc>
          <w:tcPr>
            <w:tcW w:w="1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in GM markets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33,885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33,414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0" w:type="dxa"/>
            <w:vAlign w:val="bottom"/>
          </w:tcPr>
          <w:p>
            <w:pPr>
              <w:spacing w:after="0"/>
              <w:rPr>
                <w:sz w:val="1"/>
                <w:szCs w:val="1"/>
                <w:color w:val="auto"/>
              </w:rPr>
            </w:pPr>
          </w:p>
        </w:tc>
      </w:tr>
      <w:tr>
        <w:trPr>
          <w:trHeight w:val="218"/>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Europe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4,353</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4,314</w:t>
            </w:r>
          </w:p>
        </w:tc>
        <w:tc>
          <w:tcPr>
            <w:tcW w:w="70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8,721</w:t>
            </w:r>
          </w:p>
        </w:tc>
        <w:tc>
          <w:tcPr>
            <w:tcW w:w="70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8,402</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8"/>
        </w:trPr>
        <w:tc>
          <w:tcPr>
            <w:tcW w:w="1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Worldwide(b)</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21,477</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21,717</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42,606</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2,780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41,816</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0" w:type="dxa"/>
            <w:vAlign w:val="bottom"/>
          </w:tcPr>
          <w:p>
            <w:pPr>
              <w:spacing w:after="0"/>
              <w:rPr>
                <w:sz w:val="1"/>
                <w:szCs w:val="1"/>
                <w:color w:val="auto"/>
              </w:rPr>
            </w:pPr>
          </w:p>
        </w:tc>
      </w:tr>
      <w:tr>
        <w:trPr>
          <w:trHeight w:val="20"/>
        </w:trPr>
        <w:tc>
          <w:tcPr>
            <w:tcW w:w="17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7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auto"/>
              </w:rPr>
              <w:t>United States</w:t>
            </w: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70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70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0" w:type="dxa"/>
            <w:vAlign w:val="bottom"/>
          </w:tcPr>
          <w:p>
            <w:pPr>
              <w:spacing w:after="0"/>
              <w:rPr>
                <w:sz w:val="1"/>
                <w:szCs w:val="1"/>
                <w:color w:val="auto"/>
              </w:rPr>
            </w:pPr>
          </w:p>
        </w:tc>
      </w:tr>
      <w:tr>
        <w:trPr>
          <w:trHeight w:val="218"/>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Trucks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70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30.2 %</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w:t>
            </w:r>
          </w:p>
        </w:tc>
        <w:tc>
          <w:tcPr>
            <w:tcW w:w="70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0" w:type="dxa"/>
            <w:vAlign w:val="bottom"/>
          </w:tcPr>
          <w:p>
            <w:pPr>
              <w:spacing w:after="0"/>
              <w:rPr>
                <w:sz w:val="1"/>
                <w:szCs w:val="1"/>
                <w:color w:val="auto"/>
              </w:rPr>
            </w:pPr>
          </w:p>
        </w:tc>
      </w:tr>
      <w:tr>
        <w:trPr>
          <w:trHeight w:val="212"/>
        </w:trPr>
        <w:tc>
          <w:tcPr>
            <w:tcW w:w="1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Crossovers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2,260</w:t>
            </w:r>
          </w:p>
        </w:tc>
        <w:tc>
          <w:tcPr>
            <w:tcW w:w="70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4,496</w:t>
            </w:r>
          </w:p>
        </w:tc>
        <w:tc>
          <w:tcPr>
            <w:tcW w:w="70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4,239</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0" w:type="dxa"/>
            <w:vAlign w:val="bottom"/>
          </w:tcPr>
          <w:p>
            <w:pPr>
              <w:spacing w:after="0"/>
              <w:rPr>
                <w:sz w:val="1"/>
                <w:szCs w:val="1"/>
                <w:color w:val="auto"/>
              </w:rPr>
            </w:pPr>
          </w:p>
        </w:tc>
      </w:tr>
      <w:tr>
        <w:trPr>
          <w:trHeight w:val="236"/>
        </w:trPr>
        <w:tc>
          <w:tcPr>
            <w:tcW w:w="1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United States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4,195</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4,227</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8,048</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7,909</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China(a)</w:t>
            </w: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78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SGMS</w:t>
            </w:r>
          </w:p>
        </w:tc>
        <w:tc>
          <w:tcPr>
            <w:tcW w:w="7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SGMW</w:t>
            </w:r>
          </w:p>
        </w:tc>
        <w:tc>
          <w:tcPr>
            <w:tcW w:w="7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China</w:t>
            </w:r>
          </w:p>
        </w:tc>
        <w:tc>
          <w:tcPr>
            <w:tcW w:w="7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5,870</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6,149</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11,525</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11,251</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8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20" w:hanging="313"/>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sales by the Automotive China JVs: SAIC General Motors Sales Co., Ltd. (SGMS) and SAIC GM Wuling Automobile Co., Ltd. (SGMW).</w:t>
      </w:r>
    </w:p>
    <w:p>
      <w:pPr>
        <w:spacing w:after="0" w:line="14" w:lineRule="exact"/>
        <w:rPr>
          <w:rFonts w:ascii="Times New Roman" w:cs="Times New Roman" w:eastAsia="Times New Roman" w:hAnsi="Times New Roman"/>
          <w:sz w:val="16"/>
          <w:szCs w:val="16"/>
          <w:color w:val="auto"/>
        </w:rPr>
      </w:pPr>
    </w:p>
    <w:p>
      <w:pPr>
        <w:ind w:left="340" w:hanging="333"/>
        <w:spacing w:after="0" w:line="255"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Cuba, Iran, North Korea, Sudan and Syria are subject to broad economic sanctions. Accordingly, these countries are excluded from industry sales data and corresponding calculation of market share.</w:t>
      </w:r>
    </w:p>
    <w:p>
      <w:pPr>
        <w:spacing w:after="0" w:line="21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40" w:type="dxa"/>
            <w:vAlign w:val="bottom"/>
          </w:tcPr>
          <w:p>
            <w:pPr>
              <w:spacing w:after="0"/>
              <w:rPr>
                <w:sz w:val="16"/>
                <w:szCs w:val="16"/>
                <w:color w:val="auto"/>
              </w:rPr>
            </w:pPr>
          </w:p>
        </w:tc>
        <w:tc>
          <w:tcPr>
            <w:tcW w:w="350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0" w:type="dxa"/>
            <w:vAlign w:val="bottom"/>
            <w:gridSpan w:val="3"/>
          </w:tcPr>
          <w:p>
            <w:pPr>
              <w:jc w:val="right"/>
              <w:ind w:right="105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434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1740" w:type="dxa"/>
            <w:vAlign w:val="bottom"/>
            <w:gridSpan w:val="2"/>
          </w:tcPr>
          <w:p>
            <w:pPr>
              <w:spacing w:after="0"/>
              <w:rPr>
                <w:sz w:val="2"/>
                <w:szCs w:val="2"/>
                <w:color w:val="auto"/>
              </w:rPr>
            </w:pPr>
          </w:p>
        </w:tc>
        <w:tc>
          <w:tcPr>
            <w:tcW w:w="174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r>
      <w:tr>
        <w:trPr>
          <w:trHeight w:val="188"/>
        </w:trPr>
        <w:tc>
          <w:tcPr>
            <w:tcW w:w="4340" w:type="dxa"/>
            <w:vAlign w:val="bottom"/>
          </w:tcPr>
          <w:p>
            <w:pPr>
              <w:spacing w:after="0"/>
              <w:rPr>
                <w:sz w:val="16"/>
                <w:szCs w:val="16"/>
                <w:color w:val="auto"/>
              </w:rPr>
            </w:pPr>
          </w:p>
        </w:tc>
        <w:tc>
          <w:tcPr>
            <w:tcW w:w="176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4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0" w:type="dxa"/>
            <w:vAlign w:val="bottom"/>
          </w:tcPr>
          <w:p>
            <w:pPr>
              <w:spacing w:after="0"/>
              <w:rPr>
                <w:sz w:val="16"/>
                <w:szCs w:val="16"/>
                <w:color w:val="auto"/>
              </w:rPr>
            </w:pPr>
          </w:p>
        </w:tc>
        <w:tc>
          <w:tcPr>
            <w:tcW w:w="1740" w:type="dxa"/>
            <w:vAlign w:val="bottom"/>
            <w:tcBorders>
              <w:top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6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228"/>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w:t>
            </w:r>
          </w:p>
        </w:tc>
        <w:tc>
          <w:tcPr>
            <w:tcW w:w="16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373</w:t>
            </w:r>
          </w:p>
        </w:tc>
      </w:tr>
      <w:tr>
        <w:trPr>
          <w:trHeight w:val="228"/>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16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208</w:t>
            </w:r>
          </w:p>
        </w:tc>
      </w:tr>
      <w:tr>
        <w:trPr>
          <w:trHeight w:val="247"/>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fleet sales</w:t>
            </w:r>
          </w:p>
        </w:tc>
        <w:tc>
          <w:tcPr>
            <w:tcW w:w="16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581</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Fleet sales as a percentage of total vehicle sales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r>
      <w:tr>
        <w:trPr>
          <w:trHeight w:val="645"/>
        </w:trPr>
        <w:tc>
          <w:tcPr>
            <w:tcW w:w="4340" w:type="dxa"/>
            <w:vAlign w:val="bottom"/>
          </w:tcPr>
          <w:p>
            <w:pPr>
              <w:spacing w:after="0"/>
              <w:rPr>
                <w:sz w:val="24"/>
                <w:szCs w:val="24"/>
                <w:color w:val="auto"/>
              </w:rPr>
            </w:pPr>
          </w:p>
        </w:tc>
        <w:tc>
          <w:tcPr>
            <w:tcW w:w="164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56"/>
        </w:trPr>
        <w:tc>
          <w:tcPr>
            <w:tcW w:w="43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w:t>
      </w:r>
      <w:r>
        <w:rPr>
          <w:rFonts w:ascii="Times New Roman" w:cs="Times New Roman" w:eastAsia="Times New Roman" w:hAnsi="Times New Roman"/>
          <w:sz w:val="18"/>
          <w:szCs w:val="18"/>
          <w:color w:val="auto"/>
        </w:rPr>
        <w:t>We believe that offering a comprehensive suite of financing products will generate incremental sales of our vehicles, drive incremental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GM Financial earnings and help support our sales throughout various economic cycles. GM Financial's penetration of our retail sales in the U.S. was 39% in the six months ended June 30, 2024 and 44% in the corresponding period in 2023. Penetration levels vary depending on incentive financing programs available and competing third-party financing products in the market. GM Financial's prime loan originations as a percentage of total loan originations in North America decreased to 79% in the six months ended June 30, 2024 from 82% in the corresponding period in 2023. In the six months ended June 30, 2024, GM Financial's revenue consisted of leased vehicle income of 47%, retail finance charge income of 39% and commercial finance charge income of 8%.</w:t>
      </w:r>
    </w:p>
    <w:p>
      <w:pPr>
        <w:spacing w:after="0" w:line="211"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GM Financial's leasing program is exposed to residual values, which are heavily dependent on used vehicle prices. Gains on terminations of leased vehicles of $0.2 billion and $0.4 billion were included in GM Financial interest, operating and other expenses for the three and six months ended June 30, 2024 and 2023. The following table summarizes the estimated residual value based on GM Financial's most recent estimates and the number of units included in GM Financial Equipment on operating leases, net by vehicle type (units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540" w:type="dxa"/>
            <w:vAlign w:val="bottom"/>
          </w:tcPr>
          <w:p>
            <w:pPr>
              <w:spacing w:after="0"/>
              <w:rPr>
                <w:sz w:val="16"/>
                <w:szCs w:val="16"/>
                <w:color w:val="auto"/>
              </w:rPr>
            </w:pPr>
          </w:p>
        </w:tc>
      </w:tr>
      <w:tr>
        <w:trPr>
          <w:trHeight w:val="25"/>
        </w:trPr>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60" w:type="dxa"/>
            <w:vAlign w:val="bottom"/>
            <w:gridSpan w:val="2"/>
          </w:tcPr>
          <w:p>
            <w:pPr>
              <w:spacing w:after="0"/>
              <w:rPr>
                <w:sz w:val="2"/>
                <w:szCs w:val="2"/>
                <w:color w:val="auto"/>
              </w:rPr>
            </w:pPr>
          </w:p>
        </w:tc>
        <w:tc>
          <w:tcPr>
            <w:tcW w:w="16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6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r>
      <w:tr>
        <w:trPr>
          <w:trHeight w:val="188"/>
        </w:trPr>
        <w:tc>
          <w:tcPr>
            <w:tcW w:w="2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Residual Value</w:t>
            </w:r>
          </w:p>
        </w:tc>
        <w:tc>
          <w:tcPr>
            <w:tcW w:w="1460" w:type="dxa"/>
            <w:vAlign w:val="bottom"/>
            <w:tcBorders>
              <w:top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52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Residual Value</w:t>
            </w:r>
          </w:p>
        </w:tc>
        <w:tc>
          <w:tcPr>
            <w:tcW w:w="1460" w:type="dxa"/>
            <w:vAlign w:val="bottom"/>
            <w:tcBorders>
              <w:top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54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28"/>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Crossovers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12,598</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r>
      <w:tr>
        <w:trPr>
          <w:trHeight w:val="22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Trucks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r>
      <w:tr>
        <w:trPr>
          <w:trHeight w:val="228"/>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SUVs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28"/>
        </w:trPr>
        <w:tc>
          <w:tcPr>
            <w:tcW w:w="2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Cars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47"/>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Consolidated Results </w:t>
      </w:r>
      <w:r>
        <w:rPr>
          <w:rFonts w:ascii="Times New Roman" w:cs="Times New Roman" w:eastAsia="Times New Roman" w:hAnsi="Times New Roman"/>
          <w:sz w:val="18"/>
          <w:szCs w:val="18"/>
          <w:color w:val="auto"/>
        </w:rPr>
        <w:t>We review changes in our results of operations under five categories: Volume, Mix, Price, Cost and Other. Volume measures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impact 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primarily includes: (1) material and freight; (2) manufacturing, engineering, advertising, administrative and selling and warranty expense; and (3) non-vehicle related activity. Other primarily includes foreign exchange and non-vehicle related automotive revenues as well as equity income or loss from our nonconsolidated affiliates. Refer to the regional sections of this MD&amp;A for additional information.</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Total Net Sales and Revenue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2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w w:val="94"/>
              </w:rPr>
              <w:t>Volume</w:t>
            </w:r>
          </w:p>
        </w:tc>
        <w:tc>
          <w:tcPr>
            <w:tcW w:w="200" w:type="dxa"/>
            <w:vAlign w:val="bottom"/>
          </w:tcPr>
          <w:p>
            <w:pPr>
              <w:spacing w:after="0"/>
              <w:rPr>
                <w:sz w:val="16"/>
                <w:szCs w:val="16"/>
                <w:color w:val="auto"/>
              </w:rPr>
            </w:pPr>
          </w:p>
        </w:tc>
        <w:tc>
          <w:tcPr>
            <w:tcW w:w="62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Mix</w:t>
            </w:r>
          </w:p>
        </w:tc>
        <w:tc>
          <w:tcPr>
            <w:tcW w:w="200" w:type="dxa"/>
            <w:vAlign w:val="bottom"/>
          </w:tcPr>
          <w:p>
            <w:pPr>
              <w:spacing w:after="0"/>
              <w:rPr>
                <w:sz w:val="16"/>
                <w:szCs w:val="16"/>
                <w:color w:val="auto"/>
              </w:rPr>
            </w:pPr>
          </w:p>
        </w:tc>
        <w:tc>
          <w:tcPr>
            <w:tcW w:w="60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58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5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3"/>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GMNA</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0.3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GMI</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Automotive</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44,060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41,254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Cruise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 Financial</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Eliminations/reclassifications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sales and revenue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47,969</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44,746</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16"/>
        </w:trPr>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gridSpan w:val="5"/>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24"/>
                <w:szCs w:val="24"/>
                <w:color w:val="auto"/>
              </w:rPr>
            </w:pPr>
          </w:p>
        </w:tc>
        <w:tc>
          <w:tcPr>
            <w:tcW w:w="104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3"/>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8"/>
              </w:rPr>
              <w:t>Variance Due To</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2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100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2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0" w:type="dxa"/>
            <w:vAlign w:val="bottom"/>
            <w:gridSpan w:val="2"/>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200" w:type="dxa"/>
            <w:vAlign w:val="bottom"/>
          </w:tcPr>
          <w:p>
            <w:pPr>
              <w:spacing w:after="0"/>
              <w:rPr>
                <w:sz w:val="16"/>
                <w:szCs w:val="16"/>
                <w:color w:val="auto"/>
              </w:rPr>
            </w:pPr>
          </w:p>
        </w:tc>
        <w:tc>
          <w:tcPr>
            <w:tcW w:w="62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Mix</w:t>
            </w:r>
          </w:p>
        </w:tc>
        <w:tc>
          <w:tcPr>
            <w:tcW w:w="200" w:type="dxa"/>
            <w:vAlign w:val="bottom"/>
          </w:tcPr>
          <w:p>
            <w:pPr>
              <w:spacing w:after="0"/>
              <w:rPr>
                <w:sz w:val="16"/>
                <w:szCs w:val="16"/>
                <w:color w:val="auto"/>
              </w:rPr>
            </w:pPr>
          </w:p>
        </w:tc>
        <w:tc>
          <w:tcPr>
            <w:tcW w:w="60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58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3"/>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GMNA</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GMI</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Automotive</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83,272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0.6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Cruise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 Financial</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Eliminations/reclassifications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sales and revenue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90,983</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84,732</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0.6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bl>
    <w:p>
      <w:pPr>
        <w:spacing w:after="0" w:line="3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Refer to the regional sections of this MD&amp;A for additional information on Volume, Mix, Price and Other.</w:t>
      </w:r>
    </w:p>
    <w:p>
      <w:pPr>
        <w:spacing w:after="0" w:line="2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Automotive and Other Cost of Sales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8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40" w:type="dxa"/>
            <w:vAlign w:val="bottom"/>
          </w:tcPr>
          <w:p>
            <w:pPr>
              <w:spacing w:after="0"/>
              <w:rPr>
                <w:sz w:val="16"/>
                <w:szCs w:val="16"/>
                <w:color w:val="auto"/>
              </w:rPr>
            </w:pPr>
          </w:p>
        </w:tc>
        <w:tc>
          <w:tcPr>
            <w:tcW w:w="104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00" w:type="dxa"/>
            <w:vAlign w:val="bottom"/>
          </w:tcPr>
          <w:p>
            <w:pPr>
              <w:spacing w:after="0"/>
              <w:rPr>
                <w:sz w:val="16"/>
                <w:szCs w:val="16"/>
                <w:color w:val="auto"/>
              </w:rPr>
            </w:pPr>
          </w:p>
        </w:tc>
        <w:tc>
          <w:tcPr>
            <w:tcW w:w="62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Mix</w:t>
            </w:r>
          </w:p>
        </w:tc>
        <w:tc>
          <w:tcPr>
            <w:tcW w:w="220" w:type="dxa"/>
            <w:vAlign w:val="bottom"/>
          </w:tcPr>
          <w:p>
            <w:pPr>
              <w:spacing w:after="0"/>
              <w:rPr>
                <w:sz w:val="16"/>
                <w:szCs w:val="16"/>
                <w:color w:val="auto"/>
              </w:rPr>
            </w:pPr>
          </w:p>
        </w:tc>
        <w:tc>
          <w:tcPr>
            <w:tcW w:w="62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6"/>
                <w:szCs w:val="16"/>
                <w:color w:val="auto"/>
              </w:rPr>
            </w:pPr>
          </w:p>
        </w:tc>
        <w:tc>
          <w:tcPr>
            <w:tcW w:w="58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3"/>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GMNA</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32,422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center"/>
              <w:ind w:left="102"/>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2"/>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GMI</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483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9"/>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Cruise</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4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automotive and other cost of</w:t>
            </w: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38,615</w:t>
            </w:r>
          </w:p>
        </w:tc>
        <w:tc>
          <w:tcPr>
            <w:tcW w:w="12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36,632</w:t>
            </w:r>
          </w:p>
        </w:tc>
        <w:tc>
          <w:tcPr>
            <w:tcW w:w="10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(1,983)</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center"/>
              <w:ind w:left="102"/>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(0.7)</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0.8</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33"/>
        </w:trPr>
        <w:tc>
          <w:tcPr>
            <w:tcW w:w="2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sales</w:t>
            </w:r>
          </w:p>
        </w:tc>
        <w:tc>
          <w:tcPr>
            <w:tcW w:w="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88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40" w:type="dxa"/>
            <w:vAlign w:val="bottom"/>
          </w:tcPr>
          <w:p>
            <w:pPr>
              <w:spacing w:after="0"/>
              <w:rPr>
                <w:sz w:val="16"/>
                <w:szCs w:val="16"/>
                <w:color w:val="auto"/>
              </w:rPr>
            </w:pPr>
          </w:p>
        </w:tc>
        <w:tc>
          <w:tcPr>
            <w:tcW w:w="104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00" w:type="dxa"/>
            <w:vAlign w:val="bottom"/>
          </w:tcPr>
          <w:p>
            <w:pPr>
              <w:spacing w:after="0"/>
              <w:rPr>
                <w:sz w:val="16"/>
                <w:szCs w:val="16"/>
                <w:color w:val="auto"/>
              </w:rPr>
            </w:pPr>
          </w:p>
        </w:tc>
        <w:tc>
          <w:tcPr>
            <w:tcW w:w="62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Mix</w:t>
            </w:r>
          </w:p>
        </w:tc>
        <w:tc>
          <w:tcPr>
            <w:tcW w:w="220" w:type="dxa"/>
            <w:vAlign w:val="bottom"/>
          </w:tcPr>
          <w:p>
            <w:pPr>
              <w:spacing w:after="0"/>
              <w:rPr>
                <w:sz w:val="16"/>
                <w:szCs w:val="16"/>
                <w:color w:val="auto"/>
              </w:rPr>
            </w:pPr>
          </w:p>
        </w:tc>
        <w:tc>
          <w:tcPr>
            <w:tcW w:w="62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6"/>
                <w:szCs w:val="16"/>
                <w:color w:val="auto"/>
              </w:rPr>
            </w:pPr>
          </w:p>
        </w:tc>
        <w:tc>
          <w:tcPr>
            <w:tcW w:w="58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4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3"/>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GMNA</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60,844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(4,473)</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center"/>
              <w:ind w:left="102"/>
              <w:spacing w:after="0"/>
              <w:rPr>
                <w:sz w:val="20"/>
                <w:szCs w:val="20"/>
                <w:color w:val="auto"/>
              </w:rPr>
            </w:pPr>
            <w:r>
              <w:rPr>
                <w:rFonts w:ascii="Times New Roman" w:cs="Times New Roman" w:eastAsia="Times New Roman" w:hAnsi="Times New Roman"/>
                <w:sz w:val="16"/>
                <w:szCs w:val="16"/>
                <w:color w:val="auto"/>
              </w:rPr>
              <w:t>(3.9)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2"/>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GMI</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6,738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914</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13.6 %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9"/>
              </w:rPr>
              <w:t>0.7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146</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75.3 %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Cruise</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(0.3)</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4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automotive and other cost of</w:t>
            </w: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72,611</w:t>
            </w:r>
          </w:p>
        </w:tc>
        <w:tc>
          <w:tcPr>
            <w:tcW w:w="120" w:type="dxa"/>
            <w:vAlign w:val="bottom"/>
          </w:tcPr>
          <w:p>
            <w:pPr>
              <w:spacing w:after="0"/>
              <w:rPr>
                <w:sz w:val="12"/>
                <w:szCs w:val="12"/>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68,879</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(3,732)</w:t>
            </w:r>
          </w:p>
        </w:tc>
        <w:tc>
          <w:tcPr>
            <w:tcW w:w="10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center"/>
              <w:ind w:left="102"/>
              <w:spacing w:after="0"/>
              <w:rPr>
                <w:sz w:val="20"/>
                <w:szCs w:val="20"/>
                <w:color w:val="auto"/>
              </w:rPr>
            </w:pPr>
            <w:r>
              <w:rPr>
                <w:rFonts w:ascii="Times New Roman" w:cs="Times New Roman" w:eastAsia="Times New Roman" w:hAnsi="Times New Roman"/>
                <w:sz w:val="16"/>
                <w:szCs w:val="16"/>
                <w:color w:val="auto"/>
              </w:rPr>
              <w:t>(3.2)</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33"/>
        </w:trPr>
        <w:tc>
          <w:tcPr>
            <w:tcW w:w="2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sales</w:t>
            </w:r>
          </w:p>
        </w:tc>
        <w:tc>
          <w:tcPr>
            <w:tcW w:w="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 the three months ended June 30, 2024, decreased Cost was primarily due to: (1) decreased campaigns and other warranty-related costs of $0.7 billion;</w:t>
      </w:r>
    </w:p>
    <w:p>
      <w:pPr>
        <w:spacing w:after="0" w:line="27" w:lineRule="exact"/>
        <w:rPr>
          <w:sz w:val="20"/>
          <w:szCs w:val="20"/>
          <w:color w:val="auto"/>
        </w:rPr>
      </w:pPr>
    </w:p>
    <w:p>
      <w:pPr>
        <w:jc w:val="both"/>
        <w:ind w:firstLine="7"/>
        <w:spacing w:after="0" w:line="252" w:lineRule="auto"/>
        <w:tabs>
          <w:tab w:leader="none" w:pos="2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EV-related charges of $0.5 billion, primarily due to inventory adjustments to reflect the net realizable value at period end; and (3) increased equity earnings related to Ultium Cells Holdings LLC of $0.3 billion; partially offset by (4) charges of $0.6 billion related to Cruise restructuring; and (5) increased manufacturing labor costs of $0.2 billion. In the three months ended June 30, 2024, unfavorable Other was primarily due to the strengthening of the Mexican peso and other currencies partially offset by the weakening of the Brazilian real and other currencies, all against the U.S. dollar.</w:t>
      </w:r>
    </w:p>
    <w:p>
      <w:pPr>
        <w:spacing w:after="0" w:line="21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In the six months ended June 30, 2024, decreased Cost was primarily due to: (1) the non-recurrence of charges of $0.7 billion related to the VSP; (2) decreased campaigns and other warranty-related costs of $0.6 billion; (3) decreased EV-related charges of $0.4 billion, primarily due to inventory adjustments to reflect the net realizable value at period end; and (4) increased equity earnings related to Ultium Cells Holdings LLC of $0.4 billion; partially offset by (5) charges of $0.6 billion related to Cruise restructuring; and (6) increased manufacturing labor costs of $0.4 billion. In the six months ended June 30, 2024, unfavorable Other was primarily due to the strengthening of the Mexican peso and other currencies partially offset by the weakening of the Korean won and other currencies, all against the U.S. dollar.</w:t>
      </w:r>
    </w:p>
    <w:p>
      <w:pPr>
        <w:spacing w:after="0" w:line="2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Refer to the regional sections of this MD&amp;A for additional information on Volume and Mix.</w:t>
      </w:r>
    </w:p>
    <w:p>
      <w:pPr>
        <w:spacing w:after="0" w:line="2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Automotive and Other Selling, General and Administrative Expense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46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Favorable/</w:t>
            </w: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544"/>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Favorable/</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40" w:type="dxa"/>
            <w:vAlign w:val="bottom"/>
          </w:tcPr>
          <w:p>
            <w:pPr>
              <w:spacing w:after="0"/>
              <w:rPr>
                <w:sz w:val="15"/>
                <w:szCs w:val="15"/>
                <w:color w:val="auto"/>
              </w:rPr>
            </w:pPr>
          </w:p>
        </w:tc>
        <w:tc>
          <w:tcPr>
            <w:tcW w:w="920" w:type="dxa"/>
            <w:vAlign w:val="bottom"/>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w w:val="97"/>
              </w:rPr>
              <w:t>June 30, 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820" w:type="dxa"/>
            <w:vAlign w:val="bottom"/>
          </w:tcPr>
          <w:p>
            <w:pPr>
              <w:jc w:val="right"/>
              <w:ind w:right="264"/>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40" w:type="dxa"/>
            <w:vAlign w:val="bottom"/>
          </w:tcPr>
          <w:p>
            <w:pPr>
              <w:spacing w:after="0"/>
              <w:rPr>
                <w:sz w:val="15"/>
                <w:szCs w:val="15"/>
                <w:color w:val="auto"/>
              </w:rPr>
            </w:pPr>
          </w:p>
        </w:tc>
        <w:tc>
          <w:tcPr>
            <w:tcW w:w="940" w:type="dxa"/>
            <w:vAlign w:val="bottom"/>
          </w:tcPr>
          <w:p>
            <w:pPr>
              <w:jc w:val="right"/>
              <w:ind w:right="104"/>
              <w:spacing w:after="0"/>
              <w:rPr>
                <w:sz w:val="20"/>
                <w:szCs w:val="20"/>
                <w:color w:val="auto"/>
              </w:rPr>
            </w:pPr>
            <w:r>
              <w:rPr>
                <w:rFonts w:ascii="Times New Roman" w:cs="Times New Roman" w:eastAsia="Times New Roman" w:hAnsi="Times New Roman"/>
                <w:sz w:val="13"/>
                <w:szCs w:val="13"/>
                <w:b w:val="1"/>
                <w:bCs w:val="1"/>
                <w:color w:val="auto"/>
                <w:w w:val="97"/>
              </w:rPr>
              <w:t>June 30, 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(Unfavorable)</w:t>
            </w:r>
          </w:p>
        </w:tc>
        <w:tc>
          <w:tcPr>
            <w:tcW w:w="840" w:type="dxa"/>
            <w:vAlign w:val="bottom"/>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0"/>
        </w:trPr>
        <w:tc>
          <w:tcPr>
            <w:tcW w:w="2460" w:type="dxa"/>
            <w:vAlign w:val="bottom"/>
            <w:tcBorders>
              <w:top w:val="single" w:sz="8" w:color="CCEEFF"/>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Automotive and other selling,</w:t>
            </w: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180"/>
              <w:spacing w:after="0" w:line="180" w:lineRule="exact"/>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2,372</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2,558</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15"/>
                <w:szCs w:val="15"/>
                <w:color w:val="auto"/>
              </w:rPr>
            </w:pPr>
          </w:p>
        </w:tc>
        <w:tc>
          <w:tcPr>
            <w:tcW w:w="9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7.3 %</w:t>
            </w:r>
          </w:p>
        </w:tc>
        <w:tc>
          <w:tcPr>
            <w:tcW w:w="2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5,105</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28"/>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tcBorders>
              <w:right w:val="single" w:sz="8" w:color="auto"/>
            </w:tcBorders>
            <w:gridSpan w:val="2"/>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three months ended June 30, 2024, Automotive and other selling, general and administrative expense decreased primarily due to decreased advertising costs of $0.2 billion.</w:t>
      </w:r>
    </w:p>
    <w:p>
      <w:pPr>
        <w:spacing w:after="0" w:line="189"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six months ended June 30, 2024, Automotive and other selling, general and administrative expense decreased primarily due to: (1) decreased advertising costs of $0.4 billion; and (2) the non-recurrence of charges of $0.2 billion related to the VSP.</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Non-operating Income, net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4"/>
          </w:tcPr>
          <w:p>
            <w:pPr>
              <w:jc w:val="right"/>
              <w:ind w:right="40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3"/>
              </w:rPr>
              <w:t>Favorable/</w:t>
            </w:r>
          </w:p>
        </w:tc>
        <w:tc>
          <w:tcPr>
            <w:tcW w:w="9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right"/>
              <w:ind w:right="504"/>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Favorable/</w:t>
            </w:r>
          </w:p>
        </w:tc>
        <w:tc>
          <w:tcPr>
            <w:tcW w:w="920" w:type="dxa"/>
            <w:vAlign w:val="bottom"/>
          </w:tcPr>
          <w:p>
            <w:pPr>
              <w:spacing w:after="0"/>
              <w:rPr>
                <w:sz w:val="19"/>
                <w:szCs w:val="19"/>
                <w:color w:val="auto"/>
              </w:rPr>
            </w:pPr>
          </w:p>
        </w:tc>
      </w:tr>
      <w:tr>
        <w:trPr>
          <w:trHeight w:val="182"/>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w w:val="95"/>
              </w:rPr>
              <w:t>June 30, 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920" w:type="dxa"/>
            <w:vAlign w:val="bottom"/>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20" w:type="dxa"/>
            <w:vAlign w:val="bottom"/>
          </w:tcPr>
          <w:p>
            <w:pPr>
              <w:spacing w:after="0"/>
              <w:rPr>
                <w:sz w:val="15"/>
                <w:szCs w:val="15"/>
                <w:color w:val="auto"/>
              </w:rPr>
            </w:pPr>
          </w:p>
        </w:tc>
        <w:tc>
          <w:tcPr>
            <w:tcW w:w="900" w:type="dxa"/>
            <w:vAlign w:val="bottom"/>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w w:val="97"/>
              </w:rPr>
              <w:t>June 30, 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920" w:type="dxa"/>
            <w:vAlign w:val="bottom"/>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61"/>
        </w:trPr>
        <w:tc>
          <w:tcPr>
            <w:tcW w:w="242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Interest income and other non-</w:t>
            </w: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r>
      <w:tr>
        <w:trPr>
          <w:trHeight w:val="242"/>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767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r>
    </w:tbl>
    <w:p>
      <w:pPr>
        <w:spacing w:after="0" w:line="304" w:lineRule="exact"/>
        <w:rPr>
          <w:sz w:val="20"/>
          <w:szCs w:val="20"/>
          <w:color w:val="auto"/>
        </w:rPr>
      </w:pPr>
    </w:p>
    <w:p>
      <w:pPr>
        <w:ind w:right="20" w:firstLine="161"/>
        <w:spacing w:after="0" w:line="280" w:lineRule="auto"/>
        <w:rPr>
          <w:sz w:val="20"/>
          <w:szCs w:val="20"/>
          <w:color w:val="auto"/>
        </w:rPr>
      </w:pPr>
      <w:r>
        <w:rPr>
          <w:rFonts w:ascii="Times New Roman" w:cs="Times New Roman" w:eastAsia="Times New Roman" w:hAnsi="Times New Roman"/>
          <w:sz w:val="18"/>
          <w:szCs w:val="18"/>
          <w:color w:val="auto"/>
        </w:rPr>
        <w:t>In the three months ended June 30, 2024, Interest income and other non-operating income, net decreased primarily due to: (1) $0.1 billion in losses related to revaluation of investments; and (2) $0.2 billion in losses in several individually insignificant items.</w:t>
      </w:r>
    </w:p>
    <w:p>
      <w:pPr>
        <w:spacing w:after="0" w:line="189" w:lineRule="exact"/>
        <w:rPr>
          <w:sz w:val="20"/>
          <w:szCs w:val="20"/>
          <w:color w:val="auto"/>
        </w:rPr>
      </w:pPr>
    </w:p>
    <w:p>
      <w:pPr>
        <w:ind w:right="20" w:firstLine="161"/>
        <w:spacing w:after="0" w:line="280" w:lineRule="auto"/>
        <w:rPr>
          <w:sz w:val="20"/>
          <w:szCs w:val="20"/>
          <w:color w:val="auto"/>
        </w:rPr>
      </w:pPr>
      <w:r>
        <w:rPr>
          <w:rFonts w:ascii="Times New Roman" w:cs="Times New Roman" w:eastAsia="Times New Roman" w:hAnsi="Times New Roman"/>
          <w:sz w:val="18"/>
          <w:szCs w:val="18"/>
          <w:color w:val="auto"/>
        </w:rPr>
        <w:t>In the six months ended June 30, 2024, Interest income and other non-operating income, net decreased primarily due to: (1) $0.2 billion in losses related to revaluation of investments; (2) $0.1 billion decrease in non-service pension and OPEB income; and (3) $0.1 billion decrease in interest income.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jc w:val="right"/>
              <w:ind w:right="40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3"/>
              </w:rPr>
              <w:t>Favorable/</w:t>
            </w:r>
          </w:p>
        </w:tc>
        <w:tc>
          <w:tcPr>
            <w:tcW w:w="9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jc w:val="right"/>
              <w:ind w:right="524"/>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Favorable/</w:t>
            </w:r>
          </w:p>
        </w:tc>
        <w:tc>
          <w:tcPr>
            <w:tcW w:w="920" w:type="dxa"/>
            <w:vAlign w:val="bottom"/>
          </w:tcPr>
          <w:p>
            <w:pPr>
              <w:spacing w:after="0"/>
              <w:rPr>
                <w:sz w:val="19"/>
                <w:szCs w:val="19"/>
                <w:color w:val="auto"/>
              </w:rPr>
            </w:pPr>
          </w:p>
        </w:tc>
      </w:tr>
      <w:tr>
        <w:trPr>
          <w:trHeight w:val="182"/>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w w:val="95"/>
              </w:rPr>
              <w:t>June 30, 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920" w:type="dxa"/>
            <w:vAlign w:val="bottom"/>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40" w:type="dxa"/>
            <w:vAlign w:val="bottom"/>
          </w:tcPr>
          <w:p>
            <w:pPr>
              <w:spacing w:after="0"/>
              <w:rPr>
                <w:sz w:val="15"/>
                <w:szCs w:val="15"/>
                <w:color w:val="auto"/>
              </w:rPr>
            </w:pPr>
          </w:p>
        </w:tc>
        <w:tc>
          <w:tcPr>
            <w:tcW w:w="900" w:type="dxa"/>
            <w:vAlign w:val="bottom"/>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w w:val="95"/>
              </w:rPr>
              <w:t>June 30, 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(Unfavorable)</w:t>
            </w:r>
          </w:p>
        </w:tc>
        <w:tc>
          <w:tcPr>
            <w:tcW w:w="920" w:type="dxa"/>
            <w:vAlign w:val="bottom"/>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28"/>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r>
    </w:tbl>
    <w:p>
      <w:pPr>
        <w:spacing w:after="0" w:line="3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 the six months ended June 30, 2024, Income tax expense increased primarily due to a higher effective tax rate and higher pre-tax income.</w:t>
      </w:r>
    </w:p>
    <w:p>
      <w:pPr>
        <w:spacing w:after="0" w:line="250"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For the six months ended June 30, 2024, our effective tax rate-adjusted (ETR-adjusted) was 20.8%. We expect our adjusted effective tax rate to be between 18% and 20% for the year ending December 31, 2024.</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Refer to Note 14 to our condensed consolidated financial statements for additional information related to Income tax expense.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North America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4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80" w:type="dxa"/>
            <w:vAlign w:val="bottom"/>
          </w:tcPr>
          <w:p>
            <w:pPr>
              <w:spacing w:after="0"/>
              <w:rPr>
                <w:sz w:val="17"/>
                <w:szCs w:val="17"/>
                <w:color w:val="auto"/>
              </w:rPr>
            </w:pPr>
          </w:p>
        </w:tc>
        <w:tc>
          <w:tcPr>
            <w:tcW w:w="12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4"/>
              </w:rPr>
              <w:t>Volume</w:t>
            </w:r>
          </w:p>
        </w:tc>
        <w:tc>
          <w:tcPr>
            <w:tcW w:w="220" w:type="dxa"/>
            <w:vAlign w:val="bottom"/>
          </w:tcPr>
          <w:p>
            <w:pPr>
              <w:spacing w:after="0"/>
              <w:rPr>
                <w:sz w:val="17"/>
                <w:szCs w:val="17"/>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Mix</w:t>
            </w:r>
          </w:p>
        </w:tc>
        <w:tc>
          <w:tcPr>
            <w:tcW w:w="180" w:type="dxa"/>
            <w:vAlign w:val="bottom"/>
          </w:tcPr>
          <w:p>
            <w:pPr>
              <w:spacing w:after="0"/>
              <w:rPr>
                <w:sz w:val="17"/>
                <w:szCs w:val="17"/>
                <w:color w:val="auto"/>
              </w:rPr>
            </w:pP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7"/>
                <w:szCs w:val="17"/>
                <w:color w:val="auto"/>
              </w:rPr>
            </w:pPr>
          </w:p>
        </w:tc>
        <w:tc>
          <w:tcPr>
            <w:tcW w:w="4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7"/>
                <w:szCs w:val="17"/>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4"/>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4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40,725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37,220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3,505</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w w:val="98"/>
              </w:rPr>
              <w:t>(0.1)</w:t>
            </w:r>
          </w:p>
        </w:tc>
        <w:tc>
          <w:tcPr>
            <w:tcW w:w="0" w:type="dxa"/>
            <w:vAlign w:val="bottom"/>
          </w:tcPr>
          <w:p>
            <w:pPr>
              <w:spacing w:after="0"/>
              <w:rPr>
                <w:sz w:val="1"/>
                <w:szCs w:val="1"/>
                <w:color w:val="auto"/>
              </w:rPr>
            </w:pPr>
          </w:p>
        </w:tc>
      </w:tr>
      <w:tr>
        <w:trPr>
          <w:trHeight w:val="228"/>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4,433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3,194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center"/>
              <w:ind w:left="36"/>
              <w:spacing w:after="0"/>
              <w:rPr>
                <w:sz w:val="20"/>
                <w:szCs w:val="20"/>
                <w:color w:val="auto"/>
              </w:rPr>
            </w:pPr>
            <w:r>
              <w:rPr>
                <w:rFonts w:ascii="Times New Roman" w:cs="Times New Roman" w:eastAsia="Times New Roman" w:hAnsi="Times New Roman"/>
                <w:sz w:val="18"/>
                <w:szCs w:val="18"/>
                <w:color w:val="auto"/>
                <w:w w:val="98"/>
              </w:rPr>
              <w:t>(0.4)</w:t>
            </w:r>
          </w:p>
        </w:tc>
        <w:tc>
          <w:tcPr>
            <w:tcW w:w="0" w:type="dxa"/>
            <w:vAlign w:val="bottom"/>
          </w:tcPr>
          <w:p>
            <w:pPr>
              <w:spacing w:after="0"/>
              <w:rPr>
                <w:sz w:val="1"/>
                <w:szCs w:val="1"/>
                <w:color w:val="auto"/>
              </w:rPr>
            </w:pPr>
          </w:p>
        </w:tc>
      </w:tr>
      <w:tr>
        <w:trPr>
          <w:trHeight w:val="22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 margin</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903</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833</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3"/>
            <w:vMerge w:val="restart"/>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60" w:type="dxa"/>
            <w:vAlign w:val="bottom"/>
          </w:tcPr>
          <w:p>
            <w:pPr>
              <w:spacing w:after="0"/>
              <w:rPr>
                <w:sz w:val="24"/>
                <w:szCs w:val="24"/>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4"/>
            <w:vMerge w:val="restart"/>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4"/>
            <w:vMerge w:val="continue"/>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98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80" w:type="dxa"/>
            <w:vAlign w:val="bottom"/>
          </w:tcPr>
          <w:p>
            <w:pPr>
              <w:spacing w:after="0"/>
              <w:rPr>
                <w:sz w:val="16"/>
                <w:szCs w:val="16"/>
                <w:color w:val="auto"/>
              </w:rPr>
            </w:pPr>
          </w:p>
        </w:tc>
        <w:tc>
          <w:tcPr>
            <w:tcW w:w="12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4"/>
              </w:rPr>
              <w:t>Volume</w:t>
            </w:r>
          </w:p>
        </w:tc>
        <w:tc>
          <w:tcPr>
            <w:tcW w:w="220" w:type="dxa"/>
            <w:vAlign w:val="bottom"/>
          </w:tcPr>
          <w:p>
            <w:pPr>
              <w:spacing w:after="0"/>
              <w:rPr>
                <w:sz w:val="16"/>
                <w:szCs w:val="16"/>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Mix</w:t>
            </w:r>
          </w:p>
        </w:tc>
        <w:tc>
          <w:tcPr>
            <w:tcW w:w="180" w:type="dxa"/>
            <w:vAlign w:val="bottom"/>
          </w:tcPr>
          <w:p>
            <w:pPr>
              <w:spacing w:after="0"/>
              <w:rPr>
                <w:sz w:val="16"/>
                <w:szCs w:val="16"/>
                <w:color w:val="auto"/>
              </w:rPr>
            </w:pP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4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6"/>
                <w:szCs w:val="16"/>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4"/>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4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76,824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70,108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6,716</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w w:val="97"/>
              </w:rPr>
              <w:t>0.3</w:t>
            </w:r>
          </w:p>
        </w:tc>
        <w:tc>
          <w:tcPr>
            <w:tcW w:w="0" w:type="dxa"/>
            <w:vAlign w:val="bottom"/>
          </w:tcPr>
          <w:p>
            <w:pPr>
              <w:spacing w:after="0"/>
              <w:rPr>
                <w:sz w:val="1"/>
                <w:szCs w:val="1"/>
                <w:color w:val="auto"/>
              </w:rPr>
            </w:pPr>
          </w:p>
        </w:tc>
      </w:tr>
      <w:tr>
        <w:trPr>
          <w:trHeight w:val="228"/>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8,273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6,769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1,504</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center"/>
              <w:ind w:left="36"/>
              <w:spacing w:after="0"/>
              <w:rPr>
                <w:sz w:val="20"/>
                <w:szCs w:val="20"/>
                <w:color w:val="auto"/>
              </w:rPr>
            </w:pPr>
            <w:r>
              <w:rPr>
                <w:rFonts w:ascii="Times New Roman" w:cs="Times New Roman" w:eastAsia="Times New Roman" w:hAnsi="Times New Roman"/>
                <w:sz w:val="18"/>
                <w:szCs w:val="18"/>
                <w:color w:val="auto"/>
                <w:w w:val="98"/>
              </w:rPr>
              <w:t>(0.3)</w:t>
            </w:r>
          </w:p>
        </w:tc>
        <w:tc>
          <w:tcPr>
            <w:tcW w:w="0" w:type="dxa"/>
            <w:vAlign w:val="bottom"/>
          </w:tcPr>
          <w:p>
            <w:pPr>
              <w:spacing w:after="0"/>
              <w:rPr>
                <w:sz w:val="1"/>
                <w:szCs w:val="1"/>
                <w:color w:val="auto"/>
              </w:rPr>
            </w:pPr>
          </w:p>
        </w:tc>
      </w:tr>
      <w:tr>
        <w:trPr>
          <w:trHeight w:val="22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 margin</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1,695</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1,556</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Total Net Sales and Revenue </w:t>
      </w:r>
      <w:r>
        <w:rPr>
          <w:rFonts w:ascii="Times New Roman" w:cs="Times New Roman" w:eastAsia="Times New Roman" w:hAnsi="Times New Roman"/>
          <w:sz w:val="18"/>
          <w:szCs w:val="18"/>
          <w:color w:val="auto"/>
        </w:rPr>
        <w:t>In the three months ended June 30, 2024, Total net sales and revenue increased primarily due to: (1) increased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wholesale volumes due to increased sales of full-size pickup trucks and crossover vehicles; (2) favorable Mix due to increased sales of full-size pickup trucks, full-size SUVs and mid-size pickup trucks, partially offset by increased sales of crossover vehicles; and (3) favorable Price as a result of stable dealer inventory levels and strong demand for our products.</w:t>
      </w:r>
    </w:p>
    <w:p>
      <w:pPr>
        <w:spacing w:after="0" w:line="20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six months ended June 30, 2024, Total net sales and revenue increased primarily due to: (1) increased net wholesale volumes due to increased sales of full-size pickup trucks and mid-size pickup trucks; (2) favorable Mix due to increased sales of full-size pickup trucks and full-size SUVs, partially offset by increased sales of crossover vehicles and mid-size pickup trucks; and (3) favorable Other due to increased sales of parts and accessories.</w:t>
      </w:r>
    </w:p>
    <w:p>
      <w:pPr>
        <w:spacing w:after="0" w:line="200"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EBIT-Adjusted </w:t>
      </w:r>
      <w:r>
        <w:rPr>
          <w:rFonts w:ascii="Times New Roman" w:cs="Times New Roman" w:eastAsia="Times New Roman" w:hAnsi="Times New Roman"/>
          <w:sz w:val="18"/>
          <w:szCs w:val="18"/>
          <w:color w:val="auto"/>
        </w:rPr>
        <w:t>In the three months ended June 30, 2024, EBIT-adjusted increased primarily due to: (1) favorable Cost primarily due to decreased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campaigns and other warranty-related costs of $0.7 billion, decreased EV-related charges of $0.5 billion, primarily due to inventory adjustments to reflect the net realizable value at period end, and increased equity earnings related to Ultium Cells Holdings LLC of $0.3 billion; partially offset by increased engineering costs of $0.3 billion and increased manufacturing labor costs of $0.2 billion; (2) increased net wholesale volumes; and (3) favorable Price; partially offset by (4) unfavorable Mix due to increased sales of crossover vehicles, partially offset by increased sales of full-size pickup trucks and full-size SUVs; and (5) unfavorable Other due to the foreign currency effect resulting from the strengthening of the Mexican peso against the U.S. dollar.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ind w:firstLine="161"/>
        <w:spacing w:after="0" w:line="275" w:lineRule="auto"/>
        <w:rPr>
          <w:sz w:val="20"/>
          <w:szCs w:val="20"/>
          <w:color w:val="auto"/>
        </w:rPr>
      </w:pPr>
      <w:r>
        <w:rPr>
          <w:rFonts w:ascii="Times New Roman" w:cs="Times New Roman" w:eastAsia="Times New Roman" w:hAnsi="Times New Roman"/>
          <w:sz w:val="17"/>
          <w:szCs w:val="17"/>
          <w:color w:val="auto"/>
        </w:rPr>
        <w:t>In the six months ended June 30, 2024, EBIT-adjusted increased primarily due to: (1) increased net wholesale volumes; and (2) favorable Cost primarily due to decreased campaigns and other warranty-related costs of $0.6 billion, decreased EV-related charges of $0.4 billion, primarily due to inventory adjustments to reflect the net realizable value at period end, and increased equity earnings related to Ultium Cells Holdings LLC of $0.4 billion; partially offset by increased manufacturing labor costs of $0.4 billion; partially offset by (3) unfavorable Mix due to increased sales of crossover vehicles and mid-size pickup trucks; and (4) unfavorable Other due to the foreign currency effect resulting from the strengthening of the Mexican peso against the U.S. dollar.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International</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122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940" w:type="dxa"/>
            <w:vAlign w:val="bottom"/>
            <w:gridSpan w:val="2"/>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80" w:type="dxa"/>
            <w:vAlign w:val="bottom"/>
          </w:tcPr>
          <w:p>
            <w:pPr>
              <w:spacing w:after="0"/>
              <w:rPr>
                <w:sz w:val="16"/>
                <w:szCs w:val="16"/>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60" w:type="dxa"/>
            <w:vAlign w:val="bottom"/>
          </w:tcPr>
          <w:p>
            <w:pPr>
              <w:spacing w:after="0"/>
              <w:rPr>
                <w:sz w:val="16"/>
                <w:szCs w:val="16"/>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2"/>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00" w:type="dxa"/>
            <w:vAlign w:val="bottom"/>
          </w:tcPr>
          <w:p>
            <w:pPr>
              <w:spacing w:after="0"/>
              <w:rPr>
                <w:sz w:val="16"/>
                <w:szCs w:val="16"/>
                <w:color w:val="auto"/>
              </w:rPr>
            </w:pPr>
          </w:p>
        </w:tc>
        <w:tc>
          <w:tcPr>
            <w:tcW w:w="50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w w:val="99"/>
              </w:rPr>
              <w:t>Mix</w:t>
            </w:r>
          </w:p>
        </w:tc>
        <w:tc>
          <w:tcPr>
            <w:tcW w:w="18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8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6"/>
                <w:szCs w:val="16"/>
                <w:color w:val="auto"/>
              </w:rPr>
            </w:pPr>
          </w:p>
        </w:tc>
        <w:tc>
          <w:tcPr>
            <w:tcW w:w="5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2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3"/>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4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3,298</w:t>
            </w:r>
          </w:p>
        </w:tc>
        <w:tc>
          <w:tcPr>
            <w:tcW w:w="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3,955</w:t>
            </w: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(657)</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tcBorders>
              <w:right w:val="single" w:sz="8" w:color="auto"/>
            </w:tcBorders>
            <w:shd w:val="clear" w:color="auto" w:fill="CCEEFF"/>
          </w:tcPr>
          <w:p>
            <w:pPr>
              <w:spacing w:after="0"/>
              <w:rPr>
                <w:sz w:val="20"/>
                <w:szCs w:val="20"/>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8"/>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236</w:t>
            </w:r>
          </w:p>
        </w:tc>
        <w:tc>
          <w:tcPr>
            <w:tcW w:w="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(186)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60" w:type="dxa"/>
            <w:vAlign w:val="bottom"/>
            <w:tcBorders>
              <w:right w:val="single" w:sz="8" w:color="auto"/>
            </w:tcBorders>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ind w:left="54"/>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8"/>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 margin</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4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i w:val="1"/>
                <w:iCs w:val="1"/>
                <w:color w:val="auto"/>
              </w:rPr>
              <w:t>Equity income (loss) —</w:t>
            </w:r>
          </w:p>
        </w:tc>
        <w:tc>
          <w:tcPr>
            <w:tcW w:w="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200" w:type="dxa"/>
            <w:vAlign w:val="bottom"/>
            <w:vMerge w:val="restart"/>
          </w:tcPr>
          <w:p>
            <w:pPr>
              <w:jc w:val="right"/>
              <w:ind w:right="115"/>
              <w:spacing w:after="0"/>
              <w:rPr>
                <w:sz w:val="20"/>
                <w:szCs w:val="20"/>
                <w:color w:val="auto"/>
              </w:rPr>
            </w:pPr>
            <w:r>
              <w:rPr>
                <w:rFonts w:ascii="Times New Roman" w:cs="Times New Roman" w:eastAsia="Times New Roman" w:hAnsi="Times New Roman"/>
                <w:sz w:val="18"/>
                <w:szCs w:val="18"/>
                <w:i w:val="1"/>
                <w:iCs w:val="1"/>
                <w:color w:val="auto"/>
              </w:rPr>
              <w:t>(104)</w:t>
            </w:r>
          </w:p>
        </w:tc>
        <w:tc>
          <w:tcPr>
            <w:tcW w:w="28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i w:val="1"/>
                <w:iCs w:val="1"/>
                <w:color w:val="auto"/>
              </w:rPr>
              <w:t>$</w:t>
            </w:r>
          </w:p>
        </w:tc>
        <w:tc>
          <w:tcPr>
            <w:tcW w:w="1160" w:type="dxa"/>
            <w:vAlign w:val="bottom"/>
            <w:vMerge w:val="restart"/>
          </w:tcPr>
          <w:p>
            <w:pPr>
              <w:jc w:val="right"/>
              <w:ind w:right="133"/>
              <w:spacing w:after="0"/>
              <w:rPr>
                <w:sz w:val="20"/>
                <w:szCs w:val="20"/>
                <w:color w:val="auto"/>
              </w:rPr>
            </w:pPr>
            <w:r>
              <w:rPr>
                <w:rFonts w:ascii="Times New Roman" w:cs="Times New Roman" w:eastAsia="Times New Roman" w:hAnsi="Times New Roman"/>
                <w:sz w:val="18"/>
                <w:szCs w:val="18"/>
                <w:i w:val="1"/>
                <w:iCs w:val="1"/>
                <w:color w:val="auto"/>
              </w:rPr>
              <w:t>78</w:t>
            </w:r>
          </w:p>
        </w:tc>
        <w:tc>
          <w:tcPr>
            <w:tcW w:w="40" w:type="dxa"/>
            <w:vAlign w:val="bottom"/>
          </w:tcPr>
          <w:p>
            <w:pPr>
              <w:spacing w:after="0"/>
              <w:rPr>
                <w:sz w:val="15"/>
                <w:szCs w:val="15"/>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00" w:type="dxa"/>
            <w:vAlign w:val="bottom"/>
            <w:vMerge w:val="restart"/>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(182)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n.m.</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Automotive China</w:t>
            </w:r>
          </w:p>
        </w:tc>
        <w:tc>
          <w:tcPr>
            <w:tcW w:w="200" w:type="dxa"/>
            <w:vAlign w:val="bottom"/>
            <w:gridSpan w:val="2"/>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28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Borders>
              <w:right w:val="single" w:sz="8" w:color="auto"/>
            </w:tcBorders>
            <w:gridSpan w:val="2"/>
            <w:vMerge w:val="continue"/>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i w:val="1"/>
                <w:iCs w:val="1"/>
                <w:color w:val="auto"/>
              </w:rPr>
              <w:t>EBIT-adjusted — excluding</w:t>
            </w:r>
          </w:p>
        </w:tc>
        <w:tc>
          <w:tcPr>
            <w:tcW w:w="2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200" w:type="dxa"/>
            <w:vAlign w:val="bottom"/>
            <w:vMerge w:val="restart"/>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i w:val="1"/>
                <w:iCs w:val="1"/>
                <w:color w:val="auto"/>
              </w:rPr>
              <w:t>154</w:t>
            </w:r>
          </w:p>
        </w:tc>
        <w:tc>
          <w:tcPr>
            <w:tcW w:w="28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i w:val="1"/>
                <w:iCs w:val="1"/>
                <w:color w:val="auto"/>
              </w:rPr>
              <w:t>$</w:t>
            </w:r>
          </w:p>
        </w:tc>
        <w:tc>
          <w:tcPr>
            <w:tcW w:w="1160" w:type="dxa"/>
            <w:vAlign w:val="bottom"/>
            <w:vMerge w:val="restart"/>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i w:val="1"/>
                <w:iCs w:val="1"/>
                <w:color w:val="auto"/>
              </w:rPr>
              <w:t>158</w:t>
            </w:r>
          </w:p>
        </w:tc>
        <w:tc>
          <w:tcPr>
            <w:tcW w:w="4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00" w:type="dxa"/>
            <w:vAlign w:val="bottom"/>
            <w:vMerge w:val="restart"/>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w:t>
            </w:r>
          </w:p>
        </w:tc>
        <w:tc>
          <w:tcPr>
            <w:tcW w:w="1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Equity income (loss)</w:t>
            </w:r>
          </w:p>
        </w:tc>
        <w:tc>
          <w:tcPr>
            <w:tcW w:w="200" w:type="dxa"/>
            <w:vAlign w:val="bottom"/>
            <w:gridSpan w:val="2"/>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160" w:type="dxa"/>
            <w:vAlign w:val="bottom"/>
            <w:tcBorders>
              <w:right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147</w:t>
            </w: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Borders>
              <w:right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__________</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n.m. = not meaningful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80" w:type="dxa"/>
            <w:vAlign w:val="bottom"/>
            <w:gridSpan w:val="4"/>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60" w:type="dxa"/>
            <w:vAlign w:val="bottom"/>
          </w:tcPr>
          <w:p>
            <w:pPr>
              <w:spacing w:after="0"/>
              <w:rPr>
                <w:sz w:val="22"/>
                <w:szCs w:val="22"/>
                <w:color w:val="auto"/>
              </w:rPr>
            </w:pPr>
          </w:p>
        </w:tc>
        <w:tc>
          <w:tcPr>
            <w:tcW w:w="12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3"/>
            <w:vMerge w:val="restart"/>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4"/>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940" w:type="dxa"/>
            <w:vAlign w:val="bottom"/>
            <w:gridSpan w:val="2"/>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80" w:type="dxa"/>
            <w:vAlign w:val="bottom"/>
          </w:tcPr>
          <w:p>
            <w:pPr>
              <w:spacing w:after="0"/>
              <w:rPr>
                <w:sz w:val="16"/>
                <w:szCs w:val="16"/>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60" w:type="dxa"/>
            <w:vAlign w:val="bottom"/>
          </w:tcPr>
          <w:p>
            <w:pPr>
              <w:spacing w:after="0"/>
              <w:rPr>
                <w:sz w:val="16"/>
                <w:szCs w:val="16"/>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40" w:type="dxa"/>
            <w:vAlign w:val="bottom"/>
            <w:gridSpan w:val="2"/>
            <w:vMerge w:val="continue"/>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4"/>
              </w:rPr>
              <w:t>Volume</w:t>
            </w:r>
          </w:p>
        </w:tc>
        <w:tc>
          <w:tcPr>
            <w:tcW w:w="200" w:type="dxa"/>
            <w:vAlign w:val="bottom"/>
          </w:tcPr>
          <w:p>
            <w:pPr>
              <w:spacing w:after="0"/>
              <w:rPr>
                <w:sz w:val="16"/>
                <w:szCs w:val="16"/>
                <w:color w:val="auto"/>
              </w:rPr>
            </w:pPr>
          </w:p>
        </w:tc>
        <w:tc>
          <w:tcPr>
            <w:tcW w:w="50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Mix</w:t>
            </w:r>
          </w:p>
        </w:tc>
        <w:tc>
          <w:tcPr>
            <w:tcW w:w="180" w:type="dxa"/>
            <w:vAlign w:val="bottom"/>
          </w:tcPr>
          <w:p>
            <w:pPr>
              <w:spacing w:after="0"/>
              <w:rPr>
                <w:sz w:val="16"/>
                <w:szCs w:val="16"/>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8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6"/>
                <w:szCs w:val="16"/>
                <w:color w:val="auto"/>
              </w:rPr>
            </w:pPr>
          </w:p>
        </w:tc>
        <w:tc>
          <w:tcPr>
            <w:tcW w:w="5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4"/>
        </w:trPr>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gridSpan w:val="4"/>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1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6,380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7,682</w:t>
            </w: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(1,302)</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w w:val="98"/>
              </w:rPr>
              <w:t>(1.0)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8"/>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583</w:t>
            </w:r>
          </w:p>
        </w:tc>
        <w:tc>
          <w:tcPr>
            <w:tcW w:w="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(543)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(93.1)%</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ind w:left="54"/>
              <w:spacing w:after="0"/>
              <w:rPr>
                <w:sz w:val="20"/>
                <w:szCs w:val="20"/>
                <w:color w:val="auto"/>
              </w:rPr>
            </w:pPr>
            <w:r>
              <w:rPr>
                <w:rFonts w:ascii="Times New Roman" w:cs="Times New Roman" w:eastAsia="Times New Roman" w:hAnsi="Times New Roman"/>
                <w:sz w:val="18"/>
                <w:szCs w:val="18"/>
                <w:color w:val="auto"/>
                <w:w w:val="98"/>
              </w:rPr>
              <w:t>(0.2)</w:t>
            </w:r>
          </w:p>
        </w:tc>
        <w:tc>
          <w:tcPr>
            <w:tcW w:w="2060" w:type="dxa"/>
            <w:vAlign w:val="bottom"/>
            <w:gridSpan w:val="5"/>
          </w:tcPr>
          <w:p>
            <w:pPr>
              <w:jc w:val="right"/>
              <w:ind w:right="22"/>
              <w:spacing w:after="0"/>
              <w:rPr>
                <w:sz w:val="20"/>
                <w:szCs w:val="20"/>
                <w:color w:val="auto"/>
              </w:rPr>
            </w:pPr>
            <w:r>
              <w:rPr>
                <w:rFonts w:ascii="Times New Roman" w:cs="Times New Roman" w:eastAsia="Times New Roman" w:hAnsi="Times New Roman"/>
                <w:sz w:val="18"/>
                <w:szCs w:val="18"/>
                <w:color w:val="auto"/>
              </w:rPr>
              <w:t>$   —  $   —  $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8"/>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 margin</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7.6 %</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4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i w:val="1"/>
                <w:iCs w:val="1"/>
                <w:color w:val="auto"/>
              </w:rPr>
              <w:t>Equity income (loss) —</w:t>
            </w:r>
          </w:p>
        </w:tc>
        <w:tc>
          <w:tcPr>
            <w:tcW w:w="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w:t>
            </w:r>
          </w:p>
        </w:tc>
        <w:tc>
          <w:tcPr>
            <w:tcW w:w="1200" w:type="dxa"/>
            <w:vAlign w:val="bottom"/>
            <w:vMerge w:val="restart"/>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(210)</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60" w:type="dxa"/>
            <w:vAlign w:val="bottom"/>
            <w:vMerge w:val="restart"/>
          </w:tcPr>
          <w:p>
            <w:pPr>
              <w:jc w:val="right"/>
              <w:ind w:right="93"/>
              <w:spacing w:after="0"/>
              <w:rPr>
                <w:sz w:val="20"/>
                <w:szCs w:val="20"/>
                <w:color w:val="auto"/>
              </w:rPr>
            </w:pPr>
            <w:r>
              <w:rPr>
                <w:rFonts w:ascii="Times New Roman" w:cs="Times New Roman" w:eastAsia="Times New Roman" w:hAnsi="Times New Roman"/>
                <w:sz w:val="18"/>
                <w:szCs w:val="18"/>
                <w:i w:val="1"/>
                <w:iCs w:val="1"/>
                <w:color w:val="auto"/>
              </w:rPr>
              <w:t>161</w:t>
            </w:r>
          </w:p>
        </w:tc>
        <w:tc>
          <w:tcPr>
            <w:tcW w:w="40" w:type="dxa"/>
            <w:vAlign w:val="bottom"/>
          </w:tcPr>
          <w:p>
            <w:pPr>
              <w:spacing w:after="0"/>
              <w:rPr>
                <w:sz w:val="15"/>
                <w:szCs w:val="15"/>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00" w:type="dxa"/>
            <w:vAlign w:val="bottom"/>
            <w:vMerge w:val="restart"/>
          </w:tcPr>
          <w:p>
            <w:pPr>
              <w:jc w:val="right"/>
              <w:ind w:right="55"/>
              <w:spacing w:after="0"/>
              <w:rPr>
                <w:sz w:val="20"/>
                <w:szCs w:val="20"/>
                <w:color w:val="auto"/>
              </w:rPr>
            </w:pPr>
            <w:r>
              <w:rPr>
                <w:rFonts w:ascii="Times New Roman" w:cs="Times New Roman" w:eastAsia="Times New Roman" w:hAnsi="Times New Roman"/>
                <w:sz w:val="18"/>
                <w:szCs w:val="18"/>
                <w:i w:val="1"/>
                <w:iCs w:val="1"/>
                <w:color w:val="auto"/>
              </w:rPr>
              <w:t>(371)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n.m.</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Automotive China</w:t>
            </w:r>
          </w:p>
        </w:tc>
        <w:tc>
          <w:tcPr>
            <w:tcW w:w="200" w:type="dxa"/>
            <w:vAlign w:val="bottom"/>
            <w:gridSpan w:val="2"/>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28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Borders>
              <w:right w:val="single" w:sz="8" w:color="auto"/>
            </w:tcBorders>
            <w:gridSpan w:val="2"/>
            <w:vMerge w:val="continue"/>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i w:val="1"/>
                <w:iCs w:val="1"/>
                <w:color w:val="auto"/>
              </w:rPr>
              <w:t>EBIT-adjusted — excluding</w:t>
            </w:r>
          </w:p>
        </w:tc>
        <w:tc>
          <w:tcPr>
            <w:tcW w:w="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w:t>
            </w:r>
          </w:p>
        </w:tc>
        <w:tc>
          <w:tcPr>
            <w:tcW w:w="1200" w:type="dxa"/>
            <w:vAlign w:val="bottom"/>
            <w:vMerge w:val="restart"/>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i w:val="1"/>
                <w:iCs w:val="1"/>
                <w:color w:val="auto"/>
              </w:rPr>
              <w:t>250</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60" w:type="dxa"/>
            <w:vAlign w:val="bottom"/>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i w:val="1"/>
                <w:iCs w:val="1"/>
                <w:color w:val="auto"/>
              </w:rPr>
              <w:t>423</w:t>
            </w:r>
          </w:p>
        </w:tc>
        <w:tc>
          <w:tcPr>
            <w:tcW w:w="4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0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i w:val="1"/>
                <w:iCs w:val="1"/>
                <w:color w:val="auto"/>
              </w:rPr>
              <w:t>(173)</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tcBorders>
              <w:right w:val="single" w:sz="8" w:color="auto"/>
            </w:tcBorders>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(40.9)%</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Equity income (loss)</w:t>
            </w:r>
          </w:p>
        </w:tc>
        <w:tc>
          <w:tcPr>
            <w:tcW w:w="200" w:type="dxa"/>
            <w:vAlign w:val="bottom"/>
            <w:gridSpan w:val="2"/>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tcBorders>
              <w:right w:val="single" w:sz="8" w:color="auto"/>
            </w:tcBorders>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243</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288</w:t>
            </w: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37"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vehicle sales of our Automotive China JVs are not recorded in Total net sales and revenue. The results of our joint ventures are recorded in Equity income (loss), which is included in EBIT-adjusted above.</w:t>
      </w:r>
    </w:p>
    <w:p>
      <w:pPr>
        <w:spacing w:after="0" w:line="185"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Total Net Sales and Revenue </w:t>
      </w:r>
      <w:r>
        <w:rPr>
          <w:rFonts w:ascii="Times New Roman" w:cs="Times New Roman" w:eastAsia="Times New Roman" w:hAnsi="Times New Roman"/>
          <w:sz w:val="18"/>
          <w:szCs w:val="18"/>
          <w:color w:val="auto"/>
        </w:rPr>
        <w:t>In the three months ended June 30, 2024, Total net sales and revenue decreased primarily due to: (1) unfavorable Mix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Brazil and in the Middle East; (2) decreased net wholesale volumes in Asia/Pacific and in the Middle East primarily due to decreased sales of crossover vehicles; partially offset by increased volumes in Brazil primarily due to increased sales of passenger cars; and (3) unfavorable Other primarily due to decreased components sales and the foreign currency effect resulting from the weakening of the Brazilian real and Egyptian pound against the U.S. dollar.</w:t>
      </w:r>
    </w:p>
    <w:p>
      <w:pPr>
        <w:spacing w:after="0" w:line="20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six months ended June 30, 2024, Total net sales and revenue decreased primarily due to: (1) decreased net wholesale volumes in Asia/Pacific, in the Middle East and in South America primarily due to decreased sales of crossover vehicles and passenger cars; and (2) unfavorable Other primarily due to decreased components sales and the foreign currency effect resulting from the weakening of various currencies against the U.S. dollar.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ind w:firstLine="161"/>
        <w:spacing w:after="0" w:line="315" w:lineRule="auto"/>
        <w:rPr>
          <w:sz w:val="20"/>
          <w:szCs w:val="20"/>
          <w:color w:val="auto"/>
        </w:rPr>
      </w:pPr>
      <w:r>
        <w:rPr>
          <w:rFonts w:ascii="Times New Roman" w:cs="Times New Roman" w:eastAsia="Times New Roman" w:hAnsi="Times New Roman"/>
          <w:sz w:val="17"/>
          <w:szCs w:val="17"/>
          <w:b w:val="1"/>
          <w:bCs w:val="1"/>
          <w:i w:val="1"/>
          <w:iCs w:val="1"/>
          <w:color w:val="auto"/>
        </w:rPr>
        <w:t xml:space="preserve">GMI EBIT-Adjusted </w:t>
      </w:r>
      <w:r>
        <w:rPr>
          <w:rFonts w:ascii="Times New Roman" w:cs="Times New Roman" w:eastAsia="Times New Roman" w:hAnsi="Times New Roman"/>
          <w:sz w:val="17"/>
          <w:szCs w:val="17"/>
          <w:color w:val="auto"/>
        </w:rPr>
        <w:t>In the three months ended June 30, 2024, EBIT-adjusted decreased primarily due to: (1) unfavorable Mix; and (2) unfavorable Other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primarily due to decreased Automotive China equity income (loss); partially offset by (3) favorable Cost primarily due to decreased warranty-related costs.</w:t>
      </w:r>
    </w:p>
    <w:p>
      <w:pPr>
        <w:spacing w:after="0" w:line="163" w:lineRule="exact"/>
        <w:rPr>
          <w:sz w:val="20"/>
          <w:szCs w:val="20"/>
          <w:color w:val="auto"/>
        </w:rPr>
      </w:pPr>
    </w:p>
    <w:p>
      <w:pPr>
        <w:ind w:right="20" w:firstLine="161"/>
        <w:spacing w:after="0" w:line="280" w:lineRule="auto"/>
        <w:rPr>
          <w:sz w:val="20"/>
          <w:szCs w:val="20"/>
          <w:color w:val="auto"/>
        </w:rPr>
      </w:pPr>
      <w:r>
        <w:rPr>
          <w:rFonts w:ascii="Times New Roman" w:cs="Times New Roman" w:eastAsia="Times New Roman" w:hAnsi="Times New Roman"/>
          <w:sz w:val="18"/>
          <w:szCs w:val="18"/>
          <w:color w:val="auto"/>
        </w:rPr>
        <w:t>In the six months ended June 30, 2024, EBIT-adjusted decreased primarily due to: (1) decreased net wholesale volumes; and (2) unfavorable Other primarily due to decreased Automotive China equity income (loss).</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certain key operational and financial data for the Automotive China JVs (vehicles in thousands):</w:t>
      </w:r>
    </w:p>
    <w:p>
      <w:pPr>
        <w:spacing w:after="0" w:line="136" w:lineRule="exact"/>
        <w:rPr>
          <w:sz w:val="20"/>
          <w:szCs w:val="20"/>
          <w:color w:val="auto"/>
        </w:rPr>
      </w:pPr>
    </w:p>
    <w:tbl>
      <w:tblPr>
        <w:tblLayout w:type="fixed"/>
        <w:tblInd w:w="5200" w:type="dxa"/>
        <w:tblCellMar>
          <w:top w:w="0" w:type="dxa"/>
          <w:left w:w="0" w:type="dxa"/>
          <w:bottom w:w="0" w:type="dxa"/>
          <w:right w:w="0" w:type="dxa"/>
        </w:tblCellMar>
      </w:tblPr>
      <w:tr>
        <w:trPr>
          <w:trHeight w:val="188"/>
        </w:trPr>
        <w:tc>
          <w:tcPr>
            <w:tcW w:w="304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960" w:type="dxa"/>
            <w:vAlign w:val="bottom"/>
            <w:gridSpan w:val="2"/>
          </w:tcPr>
          <w:p>
            <w:pPr>
              <w:ind w:left="9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1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1"/>
        </w:trPr>
        <w:tc>
          <w:tcPr>
            <w:tcW w:w="14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0" w:type="dxa"/>
            <w:vAlign w:val="bottom"/>
          </w:tcPr>
          <w:p>
            <w:pPr>
              <w:spacing w:after="0"/>
              <w:rPr>
                <w:sz w:val="15"/>
                <w:szCs w:val="15"/>
                <w:color w:val="auto"/>
              </w:rPr>
            </w:pPr>
          </w:p>
        </w:tc>
        <w:tc>
          <w:tcPr>
            <w:tcW w:w="14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June 30, 2023</w:t>
            </w: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line="236" w:lineRule="auto"/>
        <w:rPr>
          <w:sz w:val="20"/>
          <w:szCs w:val="20"/>
          <w:color w:val="auto"/>
        </w:rPr>
      </w:pPr>
      <w:r>
        <w:rPr>
          <w:rFonts w:ascii="Times New Roman" w:cs="Times New Roman" w:eastAsia="Times New Roman" w:hAnsi="Times New Roman"/>
          <w:sz w:val="18"/>
          <w:szCs w:val="18"/>
          <w:color w:val="auto"/>
        </w:rPr>
        <w:t>Wholesale vehicle sales, including vehicles exported to markets outside</w:t>
      </w:r>
    </w:p>
    <w:tbl>
      <w:tblPr>
        <w:tblLayout w:type="fixed"/>
        <w:tblInd w:w="0" w:type="dxa"/>
        <w:tblCellMar>
          <w:top w:w="0" w:type="dxa"/>
          <w:left w:w="0" w:type="dxa"/>
          <w:bottom w:w="0" w:type="dxa"/>
          <w:right w:w="0" w:type="dxa"/>
        </w:tblCellMar>
      </w:tblPr>
      <w:tr>
        <w:trPr>
          <w:trHeight w:val="222"/>
        </w:trPr>
        <w:tc>
          <w:tcPr>
            <w:tcW w:w="1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China</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37"/>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Cruise</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4"/>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25"/>
        </w:trPr>
        <w:tc>
          <w:tcPr>
            <w:tcW w:w="1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0" w:type="dxa"/>
            <w:vAlign w:val="bottom"/>
          </w:tcPr>
          <w:p>
            <w:pPr>
              <w:spacing w:after="0"/>
              <w:rPr>
                <w:sz w:val="1"/>
                <w:szCs w:val="1"/>
                <w:color w:val="auto"/>
              </w:rPr>
            </w:pPr>
          </w:p>
        </w:tc>
      </w:tr>
      <w:tr>
        <w:trPr>
          <w:trHeight w:val="161"/>
        </w:trPr>
        <w:tc>
          <w:tcPr>
            <w:tcW w:w="1900" w:type="dxa"/>
            <w:vAlign w:val="bottom"/>
          </w:tcPr>
          <w:p>
            <w:pPr>
              <w:ind w:left="20"/>
              <w:spacing w:after="0" w:line="161" w:lineRule="exact"/>
              <w:rPr>
                <w:sz w:val="20"/>
                <w:szCs w:val="20"/>
                <w:color w:val="auto"/>
              </w:rPr>
            </w:pPr>
            <w:r>
              <w:rPr>
                <w:rFonts w:ascii="Times New Roman" w:cs="Times New Roman" w:eastAsia="Times New Roman" w:hAnsi="Times New Roman"/>
                <w:sz w:val="18"/>
                <w:szCs w:val="18"/>
                <w:color w:val="auto"/>
              </w:rPr>
              <w:t>Total net sales and</w:t>
            </w: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 (loss)-adjusted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599</w:t>
            </w:r>
          </w:p>
        </w:tc>
        <w:tc>
          <w:tcPr>
            <w:tcW w:w="840" w:type="dxa"/>
            <w:vAlign w:val="bottom"/>
          </w:tcPr>
          <w:p>
            <w:pPr>
              <w:spacing w:after="0"/>
              <w:rPr>
                <w:sz w:val="19"/>
                <w:szCs w:val="19"/>
                <w:color w:val="auto"/>
              </w:rPr>
            </w:pPr>
          </w:p>
        </w:tc>
        <w:tc>
          <w:tcPr>
            <w:tcW w:w="7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744</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28"/>
        </w:trPr>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4,677</w:t>
            </w:r>
          </w:p>
        </w:tc>
        <w:tc>
          <w:tcPr>
            <w:tcW w:w="10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8,126</w:t>
            </w:r>
          </w:p>
        </w:tc>
        <w:tc>
          <w:tcPr>
            <w:tcW w:w="8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8,788</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13,959</w:t>
            </w:r>
          </w:p>
        </w:tc>
        <w:tc>
          <w:tcPr>
            <w:tcW w:w="0" w:type="dxa"/>
            <w:vAlign w:val="bottom"/>
          </w:tcPr>
          <w:p>
            <w:pPr>
              <w:spacing w:after="0"/>
              <w:rPr>
                <w:sz w:val="1"/>
                <w:szCs w:val="1"/>
                <w:color w:val="auto"/>
              </w:rPr>
            </w:pPr>
          </w:p>
        </w:tc>
      </w:tr>
      <w:tr>
        <w:trPr>
          <w:trHeight w:val="234"/>
        </w:trPr>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0"/>
                <w:szCs w:val="20"/>
                <w:color w:val="auto"/>
              </w:rPr>
            </w:pP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spacing w:after="0"/>
              <w:rPr>
                <w:sz w:val="20"/>
                <w:szCs w:val="20"/>
                <w:color w:val="auto"/>
              </w:rPr>
            </w:pP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296</w:t>
            </w:r>
          </w:p>
        </w:tc>
        <w:tc>
          <w:tcPr>
            <w:tcW w:w="8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(442)</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658"/>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gridSpan w:val="4"/>
            <w:vMerge w:val="restart"/>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24"/>
                <w:szCs w:val="24"/>
                <w:color w:val="auto"/>
              </w:rPr>
            </w:pPr>
          </w:p>
        </w:tc>
        <w:tc>
          <w:tcPr>
            <w:tcW w:w="128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4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84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11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0" w:type="dxa"/>
            <w:vAlign w:val="bottom"/>
          </w:tcPr>
          <w:p>
            <w:pPr>
              <w:spacing w:after="0"/>
              <w:rPr>
                <w:sz w:val="16"/>
                <w:szCs w:val="16"/>
                <w:color w:val="auto"/>
              </w:rPr>
            </w:pPr>
          </w:p>
        </w:tc>
        <w:tc>
          <w:tcPr>
            <w:tcW w:w="11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7"/>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70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3"/>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4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70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-1245235</wp:posOffset>
            </wp:positionV>
            <wp:extent cx="7107555" cy="1447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7555" cy="144780"/>
                    </a:xfrm>
                    <a:prstGeom prst="rect">
                      <a:avLst/>
                    </a:prstGeom>
                    <a:noFill/>
                  </pic:spPr>
                </pic:pic>
              </a:graphicData>
            </a:graphic>
          </wp:anchor>
        </w:drawing>
        <w:drawing>
          <wp:anchor simplePos="0" relativeHeight="251657728" behindDoc="1" locked="0" layoutInCell="0" allowOverlap="1">
            <wp:simplePos x="0" y="0"/>
            <wp:positionH relativeFrom="column">
              <wp:posOffset>-3550920</wp:posOffset>
            </wp:positionH>
            <wp:positionV relativeFrom="paragraph">
              <wp:posOffset>-1654810</wp:posOffset>
            </wp:positionV>
            <wp:extent cx="7107555" cy="2647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7555" cy="264795"/>
                    </a:xfrm>
                    <a:prstGeom prst="rect">
                      <a:avLst/>
                    </a:prstGeom>
                    <a:noFill/>
                  </pic:spPr>
                </pic:pic>
              </a:graphicData>
            </a:graphic>
          </wp:anchor>
        </w:drawing>
        <w:drawing>
          <wp:anchor simplePos="0" relativeHeight="251657728" behindDoc="1" locked="0" layoutInCell="0" allowOverlap="1">
            <wp:simplePos x="0" y="0"/>
            <wp:positionH relativeFrom="column">
              <wp:posOffset>-3550920</wp:posOffset>
            </wp:positionH>
            <wp:positionV relativeFrom="paragraph">
              <wp:posOffset>-408940</wp:posOffset>
            </wp:positionV>
            <wp:extent cx="7115810" cy="2647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810" cy="264795"/>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5480" w:space="120"/>
            <w:col w:w="564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40" w:right="20" w:hanging="333"/>
        <w:spacing w:after="0" w:line="255" w:lineRule="auto"/>
        <w:tabs>
          <w:tab w:leader="none" w:pos="331"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reclassified to Interest income and other non-operating income, net in our condensed consolidated income statements in the three and six months ended June 30, 2024 and 2023.</w:t>
      </w:r>
    </w:p>
    <w:p>
      <w:pPr>
        <w:spacing w:after="0" w:line="214" w:lineRule="exact"/>
        <w:rPr>
          <w:sz w:val="20"/>
          <w:szCs w:val="20"/>
          <w:color w:val="auto"/>
        </w:rPr>
      </w:pPr>
    </w:p>
    <w:p>
      <w:pPr>
        <w:jc w:val="both"/>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EBIT (Loss)-Adjusted </w:t>
      </w:r>
      <w:r>
        <w:rPr>
          <w:rFonts w:ascii="Times New Roman" w:cs="Times New Roman" w:eastAsia="Times New Roman" w:hAnsi="Times New Roman"/>
          <w:sz w:val="18"/>
          <w:szCs w:val="18"/>
          <w:color w:val="auto"/>
        </w:rPr>
        <w:t>In the three and six months ended June 30, 2024, EBIT (loss)-adjusted decreased primarily due to the restructuring actions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taken in the three months ended December 31, 2023 that resulted in a decrease in development costs associated with Cruise's refocused operating strategy.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Financial</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840" w:type="dxa"/>
            <w:vAlign w:val="bottom"/>
          </w:tcPr>
          <w:p>
            <w:pPr>
              <w:spacing w:after="0"/>
              <w:rPr>
                <w:sz w:val="18"/>
                <w:szCs w:val="18"/>
                <w:color w:val="auto"/>
              </w:rPr>
            </w:pPr>
          </w:p>
        </w:tc>
      </w:tr>
      <w:tr>
        <w:trPr>
          <w:trHeight w:val="196"/>
        </w:trPr>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7"/>
                <w:szCs w:val="17"/>
                <w:color w:val="auto"/>
              </w:rPr>
            </w:pPr>
          </w:p>
        </w:tc>
        <w:tc>
          <w:tcPr>
            <w:tcW w:w="104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8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7"/>
                <w:szCs w:val="17"/>
                <w:color w:val="auto"/>
              </w:rPr>
            </w:pP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8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8"/>
        </w:trPr>
        <w:tc>
          <w:tcPr>
            <w:tcW w:w="1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3,918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3,498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7,730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6,841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r>
      <w:tr>
        <w:trPr>
          <w:trHeight w:val="228"/>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298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26.8 %</w:t>
            </w:r>
          </w:p>
        </w:tc>
      </w:tr>
      <w:tr>
        <w:trPr>
          <w:trHeight w:val="228"/>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EBT-adjusted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766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1,559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1,537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183"/>
        </w:trPr>
        <w:tc>
          <w:tcPr>
            <w:tcW w:w="188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w w:val="99"/>
              </w:rPr>
              <w:t>Average debt outstanding</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33"/>
        </w:trPr>
        <w:tc>
          <w:tcPr>
            <w:tcW w:w="1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(dollars in billions)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107.7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99.7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98.3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183"/>
        </w:trPr>
        <w:tc>
          <w:tcPr>
            <w:tcW w:w="188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Effective rate of interest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33"/>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bl>
    <w:p>
      <w:pPr>
        <w:spacing w:after="0" w:line="314" w:lineRule="exact"/>
        <w:rPr>
          <w:sz w:val="20"/>
          <w:szCs w:val="20"/>
          <w:color w:val="auto"/>
        </w:rPr>
      </w:pPr>
    </w:p>
    <w:p>
      <w:pPr>
        <w:jc w:val="both"/>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Revenue </w:t>
      </w:r>
      <w:r>
        <w:rPr>
          <w:rFonts w:ascii="Times New Roman" w:cs="Times New Roman" w:eastAsia="Times New Roman" w:hAnsi="Times New Roman"/>
          <w:sz w:val="18"/>
          <w:szCs w:val="18"/>
          <w:color w:val="auto"/>
        </w:rPr>
        <w:t>In the three months ended June 30, 2024, total revenue increased primarily due to increased finance charge income of $0.4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billion primarily due to an increase in the effective yield resulting from higher average interest rates on new loans and growth in the size of the portfolio.</w:t>
      </w:r>
    </w:p>
    <w:p>
      <w:pPr>
        <w:spacing w:after="0" w:line="186"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six months ended June 30, 2024, total revenue increased primarily due to: (1) increased finance charge income of $0.8 billion primarily due to an increase in the effective yield resulting from higher average interest rates on new loans and growth in the size of the portfolio; and (2) increased investment income of $0.1 billion primarily due to an increase in the average investment balance and higher benchmark interest rates.</w:t>
      </w:r>
    </w:p>
    <w:p>
      <w:pPr>
        <w:spacing w:after="0" w:line="200" w:lineRule="exact"/>
        <w:rPr>
          <w:sz w:val="20"/>
          <w:szCs w:val="20"/>
          <w:color w:val="auto"/>
        </w:rPr>
      </w:pPr>
    </w:p>
    <w:p>
      <w:pPr>
        <w:jc w:val="both"/>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EBT-Adjusted </w:t>
      </w:r>
      <w:r>
        <w:rPr>
          <w:rFonts w:ascii="Times New Roman" w:cs="Times New Roman" w:eastAsia="Times New Roman" w:hAnsi="Times New Roman"/>
          <w:sz w:val="18"/>
          <w:szCs w:val="18"/>
          <w:color w:val="auto"/>
        </w:rPr>
        <w:t>In the three months ended June 30, 2024, EBT-adjusted increased primarily due to: (1) increased finance charge income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$0.4 billion primarily due to an increase in the effective yield resulting from higher average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interest rates on new loans and growth in the size of the portfolio; partially offset by (2) increased interest expense of $0.4 billion primarily due to an increased effective rate of interest on debt, resulting from higher benchmark interest rates on new issuances relative to maturing debt, as well as an increase in average debt outstanding.</w:t>
      </w:r>
    </w:p>
    <w:p>
      <w:pPr>
        <w:spacing w:after="0" w:line="20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In the six months ended June 30, 2024, EBT-adjusted increased primarily due to: (1) increased finance charge income of $0.8 billion primarily due to an increase in the effective yield resulting from higher average interest rates on new loans and growth in the size of the portfolio; and (2) increased investment income of $0.1 billion primarily due to an increase in the average investment balance and higher benchmark interest rates; partially offset by (3) increased interest expense of $0.7 billion primarily due to an increased effective rate of interest on debt, resulting from higher benchmark interest rates on new issuances relative to maturing debt, as well as an increase in average debt outstanding; and (4) increased provision for loan losses of $0.1 billion primarily due to moderating credit performance and recovery rates.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Liquidity and Capital Resources </w:t>
      </w:r>
      <w:r>
        <w:rPr>
          <w:rFonts w:ascii="Times New Roman" w:cs="Times New Roman" w:eastAsia="Times New Roman" w:hAnsi="Times New Roman"/>
          <w:sz w:val="18"/>
          <w:szCs w:val="18"/>
          <w:color w:val="auto"/>
        </w:rPr>
        <w:t>We believe our current levels of cash, cash equivalents, marketable debt securities, available borrowing capacity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credit facilities and other liquidity actions currently available to us are sufficient to meet our liquidity requirements. We also maintain access to the capital markets and may issue debt or equity securities, which may provide an additional source of liquidity. We have substantial cash requirements going forward, which we plan to fund through our total available liquidity, cash flows from operating activities and additional liquidity measures, if determined to be necessary.</w:t>
      </w:r>
    </w:p>
    <w:p>
      <w:pPr>
        <w:spacing w:after="0" w:line="195"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Our known current material uses of cash include, among other possible demands: (1) capital spending and our investments in our battery cell manufacturing joint ventures of approximately $10.5 billion to $11.5 billion in 2024; (2) payments for engineering and product development activities, including investing in the development and commercialization of AV technology by Cruise; (3) payments associated with previously announced vehicle recalls and any other recall-related contingencies; (4) payments to service debt and other long-term obligations, including discretionary and mandatory contributions to our pension plans; (5) dividend payments on our common stock that are declared by our Board of Directors; (6) payments to purchase shares of our common stock authorized by our Board of Directors; and (7) payments of emission related compliance costs. Our material future uses of cash, which may vary from time to time based on market conditions and other factors, are focused on the three objectives of our capital allocation program: (1) grow our business at an average target return on invested capital-adjusted (ROIC-adjusted) rate of 20% or greater; (2) maintain a strong investment-grade balance sheet, including a target average automotive cash balance of $18.0 billion; and (3) after the first two objectives are met, return available cash to shareholders. Our senior management evaluates our capital allocation program on an ongoing basis and recommends any modifications to the program to our Board of Directors not less than once annually.</w:t>
      </w:r>
    </w:p>
    <w:p>
      <w:pPr>
        <w:spacing w:after="0" w:line="216" w:lineRule="exact"/>
        <w:rPr>
          <w:sz w:val="20"/>
          <w:szCs w:val="20"/>
          <w:color w:val="auto"/>
        </w:rPr>
      </w:pPr>
    </w:p>
    <w:p>
      <w:pPr>
        <w:jc w:val="both"/>
        <w:ind w:firstLine="161"/>
        <w:spacing w:after="0" w:line="273" w:lineRule="auto"/>
        <w:rPr>
          <w:sz w:val="20"/>
          <w:szCs w:val="20"/>
          <w:color w:val="auto"/>
        </w:rPr>
      </w:pPr>
      <w:r>
        <w:rPr>
          <w:rFonts w:ascii="Times New Roman" w:cs="Times New Roman" w:eastAsia="Times New Roman" w:hAnsi="Times New Roman"/>
          <w:sz w:val="17"/>
          <w:szCs w:val="17"/>
          <w:color w:val="auto"/>
        </w:rPr>
        <w:t>We continue to monitor and evaluate opportunities to strengthen our competitive position over the long term while maintaining a strong investment-grade balance sheet. These actions may include opportunistic payments to reduce our long-term obligations, as well as the possibility of acquisitions, dispositions and investments with joint venture partners, as well as strategic alliances that we believe would generate significant advantages and substantially strengthen our business. To support our transition to EVs, we anticipate making investments in suppliers or providing funding towards the execution of strategic, multi-year supply agreements to secure critical materials. In addition, we have entered, and plan to continue to enter, into offtake agreements that generally obligate us to purchase defined quantities of output. These arrangements could have a short-term adverse impact on our cash and increase our inventory.</w:t>
      </w:r>
    </w:p>
    <w:p>
      <w:pPr>
        <w:spacing w:after="0" w:line="19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Our liquidity plans are subject to a number of risks and uncertainties, including those described in the "Forward-Looking Statements" section of this MD&amp;A and Part I, Item 1A. Risk Factors of our 2023 Form 10-K, some of which are outside of our control.</w:t>
      </w:r>
    </w:p>
    <w:p>
      <w:pPr>
        <w:spacing w:after="0" w:line="189"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In November 2023, our Board of Directors increased the capacity under our previously announced share repurchase program by $10.0 billion to an aggregate of $11.4 billion and approved a $10.0 billion ASR program. In December 2023, pursuant to the agreements entered into in connection with the ASR, we advanced $10.0 billion and received approximately 215 million shares of common stock with a value of $6.8 billion, which were immediately retired. In March 2024, upon the first settlement of the transactions contemplated under the ASR Agreements, we received approximately 4 million additional shares, which were immediately retired. The final number of shares ultimately to be purchased will be based on the average of the daily volume-weighted average prices of our common stock during the term of the ASR Agreements, less a discount and subject to adjustments pursuant to the terms and conditions of the ASR Agreements. Upon final settlement, we may receive additional shares of common stock, or, under certain circumstances, we may be required to deliver shares of common stock or to make a cash payment, at our election. The final settlement of the transactions contemplated under the ASR Agreements is expected to occur no later than the three months ending December 31, 2024.</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June 2024, our Board of Directors approved a new share repurchase authorization to repurchase up to an additional $6.0 billion of our outstanding common stock.</w:t>
      </w:r>
    </w:p>
    <w:p>
      <w:pPr>
        <w:spacing w:after="0" w:line="18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six months ended June 30, 2024, in addition to shares received under the ASR program, we purchased approximately 31 million shares of our outstanding common stock for $1.4 billion, including an insignificant amount related to purchases initiated in June 2024 that settled in July 2024. We have $6.0 billion in capacity remaining under our share repurchase program as of June 30, 2024, with no expiration date.</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 the six months ended June 30, 2024, we paid dividends of $0.3 billion to holders of our common stock.</w:t>
      </w:r>
    </w:p>
    <w:p>
      <w:pPr>
        <w:spacing w:after="0" w:line="250"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Cash flows that occur amongst our Automotive, Cruise and GM Financial operations are eliminated when we consolidate our cash flows. Such eliminations include, among other things, collections by Automotive on wholesale accounts receivables financed by dealers through GM Financial, payments between Automotive and GM Financial for accounts receivables transferred by Automotive to GM Financial, loans to Automotive and Cruise from GM Financial, dividends issued by GM Financial to Automotive, tax payments by GM Financial to Automotive and Automotive cash injections in Cruise. The presentation of Automotive liquidity, Cruise liquidity and GM Financial liquidity presented below includes the impact of cash transactions amongst the sectors that are ultimately eliminated in consolidation.</w:t>
      </w:r>
    </w:p>
    <w:p>
      <w:pPr>
        <w:spacing w:after="0" w:line="208"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Liquidity </w:t>
      </w:r>
      <w:r>
        <w:rPr>
          <w:rFonts w:ascii="Times New Roman" w:cs="Times New Roman" w:eastAsia="Times New Roman" w:hAnsi="Times New Roman"/>
          <w:sz w:val="18"/>
          <w:szCs w:val="18"/>
          <w:color w:val="auto"/>
        </w:rPr>
        <w:t>Total available liquidity includes cash, cash equivalents, marketable debt securities and funds available under credit facilities.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available liquidity is subject to seasonal fluctuations and includes balances held by various business units and subsidiaries worldwide that are needed to fund their operations. We have not significantly changed the management of our liquidity, including our allocation of available liquidity, our portfolio composition and our investment guidelines since December 31, 2023. Refer to Part II, Item 7. MD&amp;A of our 2023 Form 10-K.</w:t>
      </w:r>
    </w:p>
    <w:p>
      <w:pPr>
        <w:spacing w:after="0" w:line="205"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March 2024, we renewed our 364-day, $2.0 billion revolving credit facility allocated for the exclusive use of GM Financial, which now matures March 27, 2025. Interest rates on obligations under the renewed credit facility are based on Term SOFR.</w:t>
      </w:r>
    </w:p>
    <w:p>
      <w:pPr>
        <w:spacing w:after="0" w:line="189"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March 2024, we terminated our unsecured 364-day delayed draw term loan credit agreement that permitted the Company to borrow up to $3.0 billion executed in November 2023, resulting in an insignificant loss.</w:t>
      </w:r>
    </w:p>
    <w:p>
      <w:pPr>
        <w:spacing w:after="0" w:line="18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use credit facilities as a mechanism to provide additional flexibility in managing our global liquidity. Our Automotive borrowing capacity under credit facilities totaled $14.1 billion at June 30, 2024, which consisted of two credit facilities and $17.1 billion at December 31, 2023, which consisted of three credit facilities. Total Automotive borrowing capacity under our credit facilities does not include our 364-day, $2.0 billion facility allocated for exclusive use of GM Financial. We did not have any borrowings against our primary facilities, but had letters of credit outstanding under our sub-facility of $0.5 billion and $0.7 billion at June 30, 2024 and December 31, 2023.</w:t>
      </w:r>
    </w:p>
    <w:p>
      <w:pPr>
        <w:spacing w:after="0" w:line="21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If available capacity permits, GM Financial continues to have access to our automotive credit facilities. GM Financial did not have borrowings outstanding against any of these facilities at June 30, 2024 and December 31, 2023. We had intercompany loans from GM Financial of $0.2 billion at June 30, 2024 and December 31, 2023, which primarily consisted of commercial loans to dealers we consolidate. We did not have intercompany loans to GM Financial at June 30, 2024 and December 31, 2023. Refer to Note 4 to our condensed consolidated financial statements for additional information.</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Several of our loan facilities, including our revolving credit facilities, require compliance with certain financial and operational covenants as well as regular reporting to lenders. We have reviewed our covenants in effect as of June 30, 2024 and determined we are in compliance and expect to remain in compliance in the future.</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GM Financial's Board of Directors declared and paid dividends of $0.9 billion on its common stock in the six months ended June 30, 2024. Future dividends from GM Financial will depend on several factors including business and economic conditions, its financial condition, earnings, liquidity requirements and leverage ratio.</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our Automotive available liquidity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15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 cash and cash equivalents</w:t>
            </w: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 cash, cash equivalents and marketable debt securities</w:t>
            </w: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19.8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Available under credit facilities(a)</w:t>
            </w:r>
          </w:p>
        </w:tc>
        <w:tc>
          <w:tcPr>
            <w:tcW w:w="1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Automotive available liquidity</w:t>
            </w:r>
          </w:p>
        </w:tc>
        <w:tc>
          <w:tcPr>
            <w:tcW w:w="1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36.3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1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720" w:type="dxa"/>
            <w:vAlign w:val="bottom"/>
            <w:gridSpan w:val="2"/>
            <w:vMerge w:val="continue"/>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580" w:type="dxa"/>
            <w:vAlign w:val="bottom"/>
            <w:gridSpan w:val="9"/>
          </w:tcPr>
          <w:p>
            <w:pPr>
              <w:jc w:val="right"/>
              <w:ind w:right="800"/>
              <w:spacing w:after="0"/>
              <w:rPr>
                <w:sz w:val="20"/>
                <w:szCs w:val="20"/>
                <w:color w:val="auto"/>
              </w:rPr>
            </w:pPr>
            <w:r>
              <w:rPr>
                <w:rFonts w:ascii="Times New Roman" w:cs="Times New Roman" w:eastAsia="Times New Roman" w:hAnsi="Times New Roman"/>
                <w:sz w:val="16"/>
                <w:szCs w:val="16"/>
                <w:color w:val="auto"/>
              </w:rPr>
              <w:t>(a)  We had letters of credit outstanding under our sub-facility of $0.5 billion and $0.7 billion at June 30, 2024 and December 31, 2023.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7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The following table summarizes the changes in our Automotive available liquidity (dollars in billions):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7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6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670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w:t>
            </w: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and payments to purchase common stock</w:t>
            </w: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GM investment in Cruise</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Ultium Cells Holdings LLC</w:t>
            </w: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Decrease in available credit facilities</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w:t>
            </w: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Total change in automotive available liquidity</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i w:val="1"/>
                <w:iCs w:val="1"/>
                <w:color w:val="auto"/>
              </w:rPr>
              <w:t>Automotive Cash Flow (dollars in billions)</w:t>
            </w: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1"/>
        </w:trPr>
        <w:tc>
          <w:tcPr>
            <w:tcW w:w="20" w:type="dxa"/>
            <w:vAlign w:val="bottom"/>
          </w:tcPr>
          <w:p>
            <w:pPr>
              <w:spacing w:after="0"/>
              <w:rPr>
                <w:sz w:val="24"/>
                <w:szCs w:val="24"/>
                <w:color w:val="auto"/>
              </w:rPr>
            </w:pPr>
          </w:p>
        </w:tc>
        <w:tc>
          <w:tcPr>
            <w:tcW w:w="67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2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impairment charges</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OPEB activities</w:t>
            </w: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(0.2)</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 and income taxes</w:t>
            </w: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8"/>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Other(a)</w:t>
            </w:r>
          </w:p>
        </w:tc>
        <w:tc>
          <w:tcPr>
            <w:tcW w:w="1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8"/>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automotive cash provided by (used in) operating activities(b)</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40" w:hanging="333"/>
        <w:spacing w:after="0" w:line="260" w:lineRule="auto"/>
        <w:tabs>
          <w:tab w:leader="none" w:pos="33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$0.9 billion in dividends received from GM Financial in the six months ended June 30, 2024 and 2023; partially offset by changes in other assets and liabilities in the six months ended June 30, 2023</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6"/>
          <w:szCs w:val="16"/>
          <w:color w:val="auto"/>
        </w:rPr>
      </w:pPr>
    </w:p>
    <w:p>
      <w:pPr>
        <w:jc w:val="both"/>
        <w:ind w:left="340" w:hanging="333"/>
        <w:spacing w:after="0" w:line="252" w:lineRule="auto"/>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$4.2 billion and $1.1 billion in the six months ended June 30, 2024 and 2023, which are eliminated within the condensed consolidated statements of cash flows. Amounts eliminated primarily relate to purchases of, and collections on, wholesale finance receivables provided by GM Financial to our dealers and dividends issued by GM Financial to us.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3000" w:type="dxa"/>
            <w:vAlign w:val="bottom"/>
            <w:gridSpan w:val="4"/>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and liquidations of marketable securities, net</w:t>
            </w:r>
          </w:p>
        </w:tc>
        <w:tc>
          <w:tcPr>
            <w:tcW w:w="1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(0.7)</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Other(a)</w:t>
            </w:r>
          </w:p>
        </w:tc>
        <w:tc>
          <w:tcPr>
            <w:tcW w:w="12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automotive cash provided by (used in) investing activities(b)</w:t>
            </w:r>
          </w:p>
        </w:tc>
        <w:tc>
          <w:tcPr>
            <w:tcW w:w="1240" w:type="dxa"/>
            <w:vAlign w:val="bottom"/>
            <w:tcBorders>
              <w:bottom w:val="single" w:sz="8" w:color="auto"/>
            </w:tcBorders>
          </w:tcPr>
          <w:p>
            <w:pPr>
              <w:jc w:val="right"/>
              <w:ind w:right="10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(7.7)</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51" w:lineRule="auto"/>
        <w:tabs>
          <w:tab w:leader="none" w:pos="331"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$1.2 billion investment in Cruise which is inclusive of $0.9 billion convertible note issued by Cruise to us in the six months ended June 30, 2024, $0.4 billion of GM's investment in Ultium Cells Holdings LLC in the six months ended June 30, 2024 and 2023; and a $0.3 billion investment in Lithium Americas in the six months ended June 30, 2023.</w:t>
      </w:r>
    </w:p>
    <w:p>
      <w:pPr>
        <w:ind w:left="340" w:hanging="333"/>
        <w:spacing w:after="0" w:line="268" w:lineRule="auto"/>
        <w:tabs>
          <w:tab w:leader="none" w:pos="3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$1.2 billion investment in Cruise which is inclusive of $0.9 billion convertible note issued by Cruise to us in the six months ended June 30, 2024 which is eliminated within the condensed consolidated statements of cash flows.</w:t>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3000" w:type="dxa"/>
            <w:vAlign w:val="bottom"/>
            <w:gridSpan w:val="4"/>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 (payments) from short-term debt</w:t>
            </w:r>
          </w:p>
        </w:tc>
        <w:tc>
          <w:tcPr>
            <w:tcW w:w="126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7"/>
              </w:rPr>
              <w:t>1.5</w:t>
            </w:r>
          </w:p>
        </w:tc>
        <w:tc>
          <w:tcPr>
            <w:tcW w:w="0" w:type="dxa"/>
            <w:vAlign w:val="bottom"/>
          </w:tcPr>
          <w:p>
            <w:pPr>
              <w:spacing w:after="0"/>
              <w:rPr>
                <w:sz w:val="1"/>
                <w:szCs w:val="1"/>
                <w:color w:val="auto"/>
              </w:rPr>
            </w:pPr>
          </w:p>
        </w:tc>
      </w:tr>
      <w:tr>
        <w:trPr>
          <w:trHeight w:val="228"/>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Other(a)</w:t>
            </w:r>
          </w:p>
        </w:tc>
        <w:tc>
          <w:tcPr>
            <w:tcW w:w="1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55"/>
              <w:spacing w:after="0"/>
              <w:rPr>
                <w:sz w:val="20"/>
                <w:szCs w:val="20"/>
                <w:color w:val="auto"/>
              </w:rPr>
            </w:pPr>
            <w:r>
              <w:rPr>
                <w:rFonts w:ascii="Times New Roman" w:cs="Times New Roman" w:eastAsia="Times New Roman" w:hAnsi="Times New Roman"/>
                <w:sz w:val="18"/>
                <w:szCs w:val="18"/>
                <w:color w:val="auto"/>
                <w:w w:val="98"/>
              </w:rPr>
              <w:t>(0.3)</w:t>
            </w:r>
          </w:p>
        </w:tc>
        <w:tc>
          <w:tcPr>
            <w:tcW w:w="0" w:type="dxa"/>
            <w:vAlign w:val="bottom"/>
          </w:tcPr>
          <w:p>
            <w:pPr>
              <w:spacing w:after="0"/>
              <w:rPr>
                <w:sz w:val="1"/>
                <w:szCs w:val="1"/>
                <w:color w:val="auto"/>
              </w:rPr>
            </w:pPr>
          </w:p>
        </w:tc>
      </w:tr>
      <w:tr>
        <w:trPr>
          <w:trHeight w:val="247"/>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automotive cash provided by (used in) financing activities</w:t>
            </w:r>
          </w:p>
        </w:tc>
        <w:tc>
          <w:tcPr>
            <w:tcW w:w="1260" w:type="dxa"/>
            <w:vAlign w:val="bottom"/>
            <w:tcBorders>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7"/>
              </w:rPr>
              <w:t>1.2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40" w:right="20" w:hanging="333"/>
        <w:spacing w:after="0" w:line="272" w:lineRule="auto"/>
        <w:tabs>
          <w:tab w:leader="none" w:pos="33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$1.3 billion and $0.9 billion for payments to purchase common stock in the six months ended June 30, 2024 and 2023; and $0.3 billion and $0.2 billion for dividends paid in the six months ended June 30, 2024 and 2023.</w:t>
      </w:r>
    </w:p>
    <w:p>
      <w:pPr>
        <w:spacing w:after="0" w:line="190" w:lineRule="exact"/>
        <w:rPr>
          <w:sz w:val="20"/>
          <w:szCs w:val="20"/>
          <w:color w:val="auto"/>
        </w:rPr>
      </w:pPr>
    </w:p>
    <w:p>
      <w:pPr>
        <w:jc w:val="both"/>
        <w:ind w:firstLine="161"/>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Adjusted Automotive Free Cash Flow </w:t>
      </w:r>
      <w:r>
        <w:rPr>
          <w:rFonts w:ascii="Times New Roman" w:cs="Times New Roman" w:eastAsia="Times New Roman" w:hAnsi="Times New Roman"/>
          <w:sz w:val="18"/>
          <w:szCs w:val="18"/>
          <w:color w:val="auto"/>
        </w:rPr>
        <w:t>We measure adjusted automotive free cash flow as automotive operating cash flow from operations less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expenditures adjusted for management actions. In the six months ended June 30, 2024, net automotive cash provided by operating activities under U.S. GAAP was $11.3 billion, capital expenditures were $5.3 billion and adjustments for management actions were $0.3 billion.</w:t>
      </w:r>
    </w:p>
    <w:p>
      <w:pPr>
        <w:spacing w:after="0" w:line="20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six months ended June 30, 2023, net automotive cash provided by operating activities under U.S. GAAP was $9.3 billion, capital expenditures were $4.5 billion and adjustments for management actions related to Buick dealer strategy and employee separation costs were $0.6 billion.</w:t>
      </w:r>
    </w:p>
    <w:p>
      <w:pPr>
        <w:spacing w:after="0" w:line="187" w:lineRule="exact"/>
        <w:rPr>
          <w:sz w:val="20"/>
          <w:szCs w:val="20"/>
          <w:color w:val="auto"/>
        </w:rPr>
      </w:pPr>
    </w:p>
    <w:p>
      <w:pPr>
        <w:jc w:val="both"/>
        <w:ind w:firstLine="161"/>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Status of Credit Ratings </w:t>
      </w:r>
      <w:r>
        <w:rPr>
          <w:rFonts w:ascii="Times New Roman" w:cs="Times New Roman" w:eastAsia="Times New Roman" w:hAnsi="Times New Roman"/>
          <w:sz w:val="18"/>
          <w:szCs w:val="18"/>
          <w:color w:val="auto"/>
        </w:rPr>
        <w:t>We receive ratings from four independent credit rating agencies: DBRS Limited, Fitch Ratings, Moody's Investors Service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 &amp; Poor's. All four credit rating agencies currently rate our corporate credit at investment grade. As of July 16, 2024, all credit ratings remained unchanged since December 31, 2023.</w:t>
      </w:r>
    </w:p>
    <w:p>
      <w:pPr>
        <w:spacing w:after="0" w:line="213"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Liquidity </w:t>
      </w:r>
      <w:r>
        <w:rPr>
          <w:rFonts w:ascii="Times New Roman" w:cs="Times New Roman" w:eastAsia="Times New Roman" w:hAnsi="Times New Roman"/>
          <w:sz w:val="18"/>
          <w:szCs w:val="18"/>
          <w:color w:val="auto"/>
        </w:rPr>
        <w:t>In June 2024, Cruise issued to us a convertible note in the amount of $0.9 billion and may issue, at the request of certain of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with preemptive rights, additional convertible notes with an initial aggregate principal amount of up to $0.1 billion. Notes issued under this series are convertible into certain Cruise equity interests. Cruise available liquidity of $1.1 billion and $1.3 billion at June 30, 2024 and December 31, 2023 consists primarily of cash and cash equivalents. Cruise available liquidity excludes a multi-year credit agreement with GM Financial whereby Cruise may borrow a remaining aggregate amount of $3.4 billion through 2024 to fund the purchase of AVs from GM. At June 30, 2024, Cruise had total borrowings of $0.4 billion with GM Financial under this credit agreement. This also excludes a multi-year framework agreement with us whereby Cruise can defer payments until June 2028 on up to $0.8 billion of invoices, which are related to engineering and capital spending incurred by us on behalf of Cruise, and an agreement with us whereby Cruise can defer reimbursing us for amounts we paid related to its restructuring actions that commenced in October 2023. Refer to Note 15 to our condensed consolidated financial statements for additional information related to Cruise's restructuring actions. At June 30, 2024, Cruise deferred $1.2 billion under these agreements.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changes in Cruise's available liquidity (dollars in billions):</w:t>
      </w:r>
    </w:p>
    <w:p>
      <w:pPr>
        <w:spacing w:after="0" w:line="127" w:lineRule="exact"/>
        <w:rPr>
          <w:sz w:val="20"/>
          <w:szCs w:val="20"/>
          <w:color w:val="auto"/>
        </w:rPr>
      </w:pPr>
    </w:p>
    <w:p>
      <w:pPr>
        <w:jc w:val="center"/>
        <w:ind w:left="9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jc w:val="center"/>
        <w:ind w:left="946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32955" cy="1536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cash flow</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GM investment in GM Cruise</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non-operating</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change in Cruise available liquidity</w:t>
      </w:r>
    </w:p>
    <w:p>
      <w:pPr>
        <w:spacing w:after="0" w:line="3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Cruise Cash Flow (dollars in billions)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center"/>
              <w:ind w:left="674"/>
              <w:spacing w:after="0"/>
              <w:rPr>
                <w:sz w:val="20"/>
                <w:szCs w:val="20"/>
                <w:color w:val="auto"/>
              </w:rPr>
            </w:pPr>
            <w:r>
              <w:rPr>
                <w:rFonts w:ascii="Times New Roman" w:cs="Times New Roman" w:eastAsia="Times New Roman" w:hAnsi="Times New Roman"/>
                <w:sz w:val="18"/>
                <w:szCs w:val="18"/>
                <w:color w:val="auto"/>
                <w:w w:val="98"/>
              </w:rPr>
              <w:t>(1.3)</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jc w:val="center"/>
              <w:ind w:left="674"/>
              <w:spacing w:after="0"/>
              <w:rPr>
                <w:sz w:val="20"/>
                <w:szCs w:val="20"/>
                <w:color w:val="auto"/>
              </w:rPr>
            </w:pPr>
            <w:r>
              <w:rPr>
                <w:rFonts w:ascii="Times New Roman" w:cs="Times New Roman" w:eastAsia="Times New Roman" w:hAnsi="Times New Roman"/>
                <w:sz w:val="18"/>
                <w:szCs w:val="18"/>
                <w:color w:val="auto"/>
                <w:w w:val="97"/>
              </w:rPr>
              <w:t>1.2</w:t>
            </w:r>
          </w:p>
        </w:tc>
        <w:tc>
          <w:tcPr>
            <w:tcW w:w="0" w:type="dxa"/>
            <w:vAlign w:val="bottom"/>
          </w:tcPr>
          <w:p>
            <w:pPr>
              <w:spacing w:after="0"/>
              <w:rPr>
                <w:sz w:val="1"/>
                <w:szCs w:val="1"/>
                <w:color w:val="auto"/>
              </w:rPr>
            </w:pPr>
          </w:p>
        </w:tc>
      </w:tr>
      <w:tr>
        <w:trPr>
          <w:trHeight w:val="233"/>
        </w:trPr>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left="674"/>
              <w:spacing w:after="0"/>
              <w:rPr>
                <w:sz w:val="20"/>
                <w:szCs w:val="20"/>
                <w:color w:val="auto"/>
              </w:rPr>
            </w:pPr>
            <w:r>
              <w:rPr>
                <w:rFonts w:ascii="Times New Roman" w:cs="Times New Roman" w:eastAsia="Times New Roman" w:hAnsi="Times New Roman"/>
                <w:sz w:val="18"/>
                <w:szCs w:val="18"/>
                <w:color w:val="auto"/>
                <w:w w:val="98"/>
              </w:rPr>
              <w:t>(0.1)</w:t>
            </w:r>
          </w:p>
        </w:tc>
        <w:tc>
          <w:tcPr>
            <w:tcW w:w="0" w:type="dxa"/>
            <w:vAlign w:val="bottom"/>
          </w:tcPr>
          <w:p>
            <w:pPr>
              <w:spacing w:after="0"/>
              <w:rPr>
                <w:sz w:val="1"/>
                <w:szCs w:val="1"/>
                <w:color w:val="auto"/>
              </w:rPr>
            </w:pPr>
          </w:p>
        </w:tc>
      </w:tr>
      <w:tr>
        <w:trPr>
          <w:trHeight w:val="222"/>
        </w:trPr>
        <w:tc>
          <w:tcPr>
            <w:tcW w:w="1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center"/>
              <w:ind w:left="674"/>
              <w:spacing w:after="0"/>
              <w:rPr>
                <w:sz w:val="20"/>
                <w:szCs w:val="20"/>
                <w:color w:val="auto"/>
              </w:rPr>
            </w:pPr>
            <w:r>
              <w:rPr>
                <w:rFonts w:ascii="Times New Roman" w:cs="Times New Roman" w:eastAsia="Times New Roman" w:hAnsi="Times New Roman"/>
                <w:sz w:val="18"/>
                <w:szCs w:val="18"/>
                <w:color w:val="auto"/>
                <w:w w:val="98"/>
              </w:rPr>
              <w:t>(0.2)</w:t>
            </w:r>
          </w:p>
        </w:tc>
        <w:tc>
          <w:tcPr>
            <w:tcW w:w="0" w:type="dxa"/>
            <w:vAlign w:val="bottom"/>
          </w:tcPr>
          <w:p>
            <w:pPr>
              <w:spacing w:after="0"/>
              <w:rPr>
                <w:sz w:val="1"/>
                <w:szCs w:val="1"/>
                <w:color w:val="auto"/>
              </w:rPr>
            </w:pPr>
          </w:p>
        </w:tc>
      </w:tr>
      <w:tr>
        <w:trPr>
          <w:trHeight w:val="20"/>
        </w:trPr>
        <w:tc>
          <w:tcPr>
            <w:tcW w:w="2740" w:type="dxa"/>
            <w:vAlign w:val="bottom"/>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2"/>
        </w:trPr>
        <w:tc>
          <w:tcPr>
            <w:tcW w:w="3380" w:type="dxa"/>
            <w:vAlign w:val="bottom"/>
            <w:gridSpan w:val="3"/>
          </w:tcPr>
          <w:p>
            <w:pPr>
              <w:jc w:val="right"/>
              <w:ind w:right="103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6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1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1"/>
        </w:trPr>
        <w:tc>
          <w:tcPr>
            <w:tcW w:w="16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70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-4262120</wp:posOffset>
            </wp:positionH>
            <wp:positionV relativeFrom="paragraph">
              <wp:posOffset>-1014095</wp:posOffset>
            </wp:positionV>
            <wp:extent cx="7132955" cy="1447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000" w:space="720"/>
            <w:col w:w="45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(0.4)</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7"/>
              </w:rPr>
              <w:t>1.2</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(1.2)</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activities(a)</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7"/>
              </w:rPr>
              <w:t>0.2</w:t>
            </w: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0.9</w:t>
            </w: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40" w:hanging="333"/>
        <w:spacing w:after="0" w:line="255" w:lineRule="auto"/>
        <w:tabs>
          <w:tab w:leader="none" w:pos="331"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$1.2 billion investment in Cruise which is inclusive of $0.9 billion convertible note issued by Cruise to us in the six months ended June 30, 2024 which is eliminated within the condensed consolidated statements of cash flows.</w:t>
      </w:r>
    </w:p>
    <w:p>
      <w:pPr>
        <w:spacing w:after="0" w:line="2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We expect Cruise will require additional liquidity in order to support the continued development of AV technology.</w:t>
      </w:r>
    </w:p>
    <w:p>
      <w:pPr>
        <w:spacing w:after="0" w:line="246"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Financing – GM Financial Liquidity </w:t>
      </w:r>
      <w:r>
        <w:rPr>
          <w:rFonts w:ascii="Times New Roman" w:cs="Times New Roman" w:eastAsia="Times New Roman" w:hAnsi="Times New Roman"/>
          <w:sz w:val="18"/>
          <w:szCs w:val="18"/>
          <w:color w:val="auto"/>
        </w:rPr>
        <w:t>GM Financial's primary sources of cash are finance charge income, leasing income and proceeds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sale of terminated leased vehicles, net proceeds from credit facilities, securitizations, secured and unsecured borrowings and collections and recoveries on finance receivables. GM Financial's primary uses of cash are purchases and funding of finance receivables and leased vehicles, repayment or repurchases of secured and unsecured debt, funding credit enhancement requirements in connection with securitizations and secured credit facilities, interest costs, operating expenses, income taxes and dividend payments. GM Financial continues to monitor and evaluate opportunities to optimize its liquidity position and the mix of its debt between secured and unsecured debt.</w:t>
      </w:r>
    </w:p>
    <w:p>
      <w:pPr>
        <w:spacing w:after="0" w:line="2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GM Financial's available liquidity (dollars in billions):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78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6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 capacity on unpledged eligible assets</w:t>
            </w:r>
          </w:p>
        </w:tc>
        <w:tc>
          <w:tcPr>
            <w:tcW w:w="1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 capacity on committed unsecured lines of credit</w:t>
            </w: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Borrowing capacity on revolving credit facility, exclusive to GM Financial</w:t>
            </w:r>
          </w:p>
        </w:tc>
        <w:tc>
          <w:tcPr>
            <w:tcW w:w="1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GM Financial available liquidity</w:t>
            </w:r>
          </w:p>
        </w:tc>
        <w:tc>
          <w:tcPr>
            <w:tcW w:w="1260" w:type="dxa"/>
            <w:vAlign w:val="bottom"/>
            <w:tcBorders>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Financial structures liquidity to support at least six months of GM Financial's expected net cash flows, including new originations, without access to new debt financing transactions or other capital markets activity. At June 30, 2024, available liquidity exceeded GM Financial's liquidity targets.</w:t>
      </w:r>
    </w:p>
    <w:p>
      <w:pPr>
        <w:spacing w:after="0" w:line="189"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Financial did not have any borrowings outstanding against our credit facility designated for their exclusive use or the remainder of our revolving credit facilities at June 30, 2024 and December 31, 2023. Refer to the "Automotive Liquidity" section of this MD&amp;A for additional details.</w:t>
      </w:r>
    </w:p>
    <w:p>
      <w:pPr>
        <w:spacing w:after="0" w:line="187"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In the normal course of business, in addition to using its available cash, GM Financial utilizes borrowings under its credit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be secured or unsecured, and GM Financial repays these borrowings as appropriate under its cash management strategy. At June 30, 2024, secured, committed unsecured and uncommitted unsecured credit facilities totaled $27.1 billion, $0.7 billion and $1.9 billion with advances outstanding of $1.7 billion, an insignificant amount and $1.9 billion.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GM Financial Cash Flow (dollars in billions)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300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67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260" w:type="dxa"/>
            <w:vAlign w:val="bottom"/>
            <w:shd w:val="clear" w:color="auto" w:fill="CCEEFF"/>
          </w:tcPr>
          <w:p>
            <w:pPr>
              <w:jc w:val="right"/>
              <w:ind w:right="105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8"/>
              </w:rPr>
              <w:t>(0.2)</w:t>
            </w:r>
          </w:p>
        </w:tc>
        <w:tc>
          <w:tcPr>
            <w:tcW w:w="0" w:type="dxa"/>
            <w:vAlign w:val="bottom"/>
          </w:tcPr>
          <w:p>
            <w:pPr>
              <w:spacing w:after="0"/>
              <w:rPr>
                <w:sz w:val="1"/>
                <w:szCs w:val="1"/>
                <w:color w:val="auto"/>
              </w:rPr>
            </w:pPr>
          </w:p>
        </w:tc>
      </w:tr>
      <w:tr>
        <w:trPr>
          <w:trHeight w:val="22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activities(a)</w:t>
            </w:r>
          </w:p>
        </w:tc>
        <w:tc>
          <w:tcPr>
            <w:tcW w:w="1260" w:type="dxa"/>
            <w:vAlign w:val="bottom"/>
          </w:tcPr>
          <w:p>
            <w:pPr>
              <w:jc w:val="right"/>
              <w:ind w:right="105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(5.8)</w:t>
            </w:r>
          </w:p>
        </w:tc>
        <w:tc>
          <w:tcPr>
            <w:tcW w:w="120" w:type="dxa"/>
            <w:vAlign w:val="bottom"/>
          </w:tcPr>
          <w:p>
            <w:pPr>
              <w:spacing w:after="0"/>
              <w:rPr>
                <w:sz w:val="19"/>
                <w:szCs w:val="19"/>
                <w:color w:val="auto"/>
              </w:rPr>
            </w:pPr>
          </w:p>
        </w:tc>
        <w:tc>
          <w:tcPr>
            <w:tcW w:w="1240" w:type="dxa"/>
            <w:vAlign w:val="bottom"/>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w w:val="98"/>
              </w:rPr>
              <w:t>(1.4)</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activities(b)</w:t>
            </w:r>
          </w:p>
        </w:tc>
        <w:tc>
          <w:tcPr>
            <w:tcW w:w="1260" w:type="dxa"/>
            <w:vAlign w:val="bottom"/>
            <w:shd w:val="clear" w:color="auto" w:fill="CCEEFF"/>
          </w:tcPr>
          <w:p>
            <w:pPr>
              <w:jc w:val="right"/>
              <w:ind w:right="105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7"/>
              </w:rPr>
              <w:t>1.8</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40" w:hanging="333"/>
        <w:spacing w:after="0" w:line="256" w:lineRule="auto"/>
        <w:tabs>
          <w:tab w:leader="none" w:pos="331"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$3.3 billion and $0.2 billion in the six months ended June 30, 2024 and 2023 primarily driven by purchases of, and collections on, wholesale finance receivables which are eliminated within the condensed consolidated statements of cash flows.</w:t>
      </w:r>
    </w:p>
    <w:p>
      <w:pPr>
        <w:spacing w:after="0" w:line="1" w:lineRule="exact"/>
        <w:rPr>
          <w:rFonts w:ascii="Times New Roman" w:cs="Times New Roman" w:eastAsia="Times New Roman" w:hAnsi="Times New Roman"/>
          <w:sz w:val="16"/>
          <w:szCs w:val="16"/>
          <w:color w:val="auto"/>
        </w:rPr>
      </w:pPr>
    </w:p>
    <w:p>
      <w:pPr>
        <w:ind w:left="340" w:hanging="333"/>
        <w:spacing w:after="0" w:line="255" w:lineRule="auto"/>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$0.9 billion in the six months ended June 30, 2024 and 2023 for dividends to GM which are eliminated within the condensed consolidated statements of cash flows.</w:t>
      </w:r>
    </w:p>
    <w:p>
      <w:pPr>
        <w:spacing w:after="0" w:line="2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six months ended June 30, 2024, Net cash provided by operating activities decreased primarily due to an increase in interest paid and a net decrease in cash provided by counterparty derivative collateral posting activities, partially offset by an increase in finance charge income.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Critical Accounting Estimates </w:t>
      </w:r>
      <w:r>
        <w:rPr>
          <w:rFonts w:ascii="Times New Roman" w:cs="Times New Roman" w:eastAsia="Times New Roman" w:hAnsi="Times New Roman"/>
          <w:sz w:val="18"/>
          <w:szCs w:val="18"/>
          <w:color w:val="auto"/>
        </w:rPr>
        <w:t>The condensed consolidated financial statements are prepared in conformity with U.S. GAAP, which requires the use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in our 2023 Form 10-K.</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Non-GAAP Measures </w:t>
      </w:r>
      <w:r>
        <w:rPr>
          <w:rFonts w:ascii="Times New Roman" w:cs="Times New Roman" w:eastAsia="Times New Roman" w:hAnsi="Times New Roman"/>
          <w:sz w:val="18"/>
          <w:szCs w:val="18"/>
          <w:color w:val="auto"/>
        </w:rPr>
        <w:t>We use both GAAP and non-GAAP financial measures for operational and financial decision making, and to assess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segment business performance. Our non-GAAP measures include: EBIT-adjusted, presented net of noncontrolling interests; EBT-adjusted for our GM Financial segment; EPS-diluted-adjusted; ETR-adjusted;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11"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209"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EBIT-adjusted </w:t>
      </w:r>
      <w:r>
        <w:rPr>
          <w:rFonts w:ascii="Times New Roman" w:cs="Times New Roman" w:eastAsia="Times New Roman" w:hAnsi="Times New Roman"/>
          <w:sz w:val="18"/>
          <w:szCs w:val="18"/>
          <w:i w:val="1"/>
          <w:iCs w:val="1"/>
          <w:color w:val="auto"/>
        </w:rPr>
        <w:t>(Most comparable GAAP measure: Net income attributable to stockholders)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EBIT-adjusted is presented net of noncontrolling interests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used by management and can be used by investors to review our 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certain costs arising from legal matters.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209"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EPS-diluted-adjusted </w:t>
      </w:r>
      <w:r>
        <w:rPr>
          <w:rFonts w:ascii="Times New Roman" w:cs="Times New Roman" w:eastAsia="Times New Roman" w:hAnsi="Times New Roman"/>
          <w:sz w:val="18"/>
          <w:szCs w:val="18"/>
          <w:i w:val="1"/>
          <w:iCs w:val="1"/>
          <w:color w:val="auto"/>
        </w:rPr>
        <w:t>(Most comparable GAAP measure: Diluted earnings per common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EPS-diluted-adjusted is used by management and can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used by investors to review our consolidated diluted EPS results on a consistent basis. EPS-diluted-adjusted is calculated as net income attributable to common stockholders-diluted less adjustments noted above for EBIT-</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adjusted and certain income tax adjustments divided by weighted-average common shares outstanding-diluted. Examples of income tax adjustments include the establishment or release of significant deferred tax asset valuation allowances.</w:t>
      </w:r>
    </w:p>
    <w:p>
      <w:pPr>
        <w:spacing w:after="0" w:line="185"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ETR-adjusted </w:t>
      </w:r>
      <w:r>
        <w:rPr>
          <w:rFonts w:ascii="Times New Roman" w:cs="Times New Roman" w:eastAsia="Times New Roman" w:hAnsi="Times New Roman"/>
          <w:sz w:val="18"/>
          <w:szCs w:val="18"/>
          <w:i w:val="1"/>
          <w:iCs w:val="1"/>
          <w:color w:val="auto"/>
        </w:rPr>
        <w:t>(Most comparable GAAP measure: Effective tax 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ETR-adjusted is used by management and can be used by investors to review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effective tax rate for our core operations on 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204"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ROIC-adjusted </w:t>
      </w:r>
      <w:r>
        <w:rPr>
          <w:rFonts w:ascii="Times New Roman" w:cs="Times New Roman" w:eastAsia="Times New Roman" w:hAnsi="Times New Roman"/>
          <w:sz w:val="18"/>
          <w:szCs w:val="18"/>
          <w:i w:val="1"/>
          <w:iCs w:val="1"/>
          <w:color w:val="auto"/>
        </w:rPr>
        <w:t>(Most comparable GAAP measure: Return on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ROIC-adjusted is used by management and can be used by investors to review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and capital allocation decisions. We define ROIC-adjusted as EBIT-adjusted for the trailing four quarters divided by ROIC-adjusted average net assets, which is considered to be the average equity balances adjusted for average automotive debt and interest liabilities, exclusive of finance leases; average automotive net pension and OPEB liabilities; and average automotive net income tax assets during the same period.</w:t>
      </w:r>
    </w:p>
    <w:p>
      <w:pPr>
        <w:spacing w:after="0" w:line="201"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automotive free cash flow </w:t>
      </w:r>
      <w:r>
        <w:rPr>
          <w:rFonts w:ascii="Times New Roman" w:cs="Times New Roman" w:eastAsia="Times New Roman" w:hAnsi="Times New Roman"/>
          <w:sz w:val="18"/>
          <w:szCs w:val="18"/>
          <w:i w:val="1"/>
          <w:iCs w:val="1"/>
          <w:color w:val="auto"/>
        </w:rPr>
        <w:t>(Most comparable GAAP measure: Net automotive cash provided by operating activities)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Adjusted automotive free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flow is used by management and can be used by investors to review the liquidity of 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 Refer to the "Liquidity and Capital Resources" section of this MD&amp;A for additional information.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Net income attributable to stockholders under U.S. GAAP to EBIT-adjusted:</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5"/>
        </w:trPr>
        <w:tc>
          <w:tcPr>
            <w:tcW w:w="4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4"/>
          </w:tcPr>
          <w:p>
            <w:pPr>
              <w:spacing w:after="0"/>
              <w:rPr>
                <w:sz w:val="2"/>
                <w:szCs w:val="2"/>
                <w:color w:val="auto"/>
              </w:rPr>
            </w:pPr>
          </w:p>
        </w:tc>
      </w:tr>
      <w:tr>
        <w:trPr>
          <w:trHeight w:val="188"/>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6"/>
                <w:szCs w:val="16"/>
                <w:color w:val="auto"/>
              </w:rPr>
            </w:pPr>
          </w:p>
        </w:tc>
        <w:tc>
          <w:tcPr>
            <w:tcW w:w="152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40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r>
      <w:tr>
        <w:trPr>
          <w:trHeight w:val="228"/>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28"/>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interest expense</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8"/>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 interest income</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8"/>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8"/>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Cruise restructuring(a)</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GMI plant wind down(b)</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Buick dealer strategy(c)</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Voluntary separation program(d)</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GM Korea wage litigation(e)</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India asset sales(f)</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Russia exit(g)</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adjustments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w:t>
            </w: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jc w:val="both"/>
        <w:ind w:left="340" w:hanging="333"/>
        <w:spacing w:after="0" w:line="252" w:lineRule="auto"/>
        <w:tabs>
          <w:tab w:leader="none" w:pos="331"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restructuring costs resulting from Cruise voluntarily pausing its driverless, supervised and manual AV operations in the U.S. and the indefinite delay of the Cruise Origin. The adjustments primarily consist of non-cash restructuring charges, supplier related charges and employee separation charges.</w:t>
      </w:r>
    </w:p>
    <w:p>
      <w:pPr>
        <w:spacing w:after="0" w:line="2"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the wind down of our manufacturing operations in Colombia and Ecuador.</w:t>
      </w:r>
    </w:p>
    <w:p>
      <w:pPr>
        <w:spacing w:after="0" w:line="7"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strategic activities to transition certain Buick dealers out of our dealer network as part of Buick’s EV strategy.</w:t>
      </w:r>
    </w:p>
    <w:p>
      <w:pPr>
        <w:spacing w:after="0" w:line="14" w:lineRule="exact"/>
        <w:rPr>
          <w:rFonts w:ascii="Times New Roman" w:cs="Times New Roman" w:eastAsia="Times New Roman" w:hAnsi="Times New Roman"/>
          <w:sz w:val="16"/>
          <w:szCs w:val="16"/>
          <w:color w:val="auto"/>
        </w:rPr>
      </w:pPr>
    </w:p>
    <w:p>
      <w:pPr>
        <w:ind w:left="340" w:hanging="333"/>
        <w:spacing w:after="0" w:line="254" w:lineRule="auto"/>
        <w:tabs>
          <w:tab w:leader="none" w:pos="3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the acceleration of attrition as part of the cost reduction program announced in January 2023, primarily in the U.S.</w:t>
      </w:r>
    </w:p>
    <w:p>
      <w:pPr>
        <w:ind w:left="320" w:hanging="313"/>
        <w:spacing w:after="0"/>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the partial resolution of subcontractor matters in Korea.</w:t>
      </w:r>
    </w:p>
    <w:p>
      <w:pPr>
        <w:spacing w:after="0" w:line="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an asset sale resulting from our strategic decision in 2020 to exit India.</w:t>
      </w:r>
    </w:p>
    <w:p>
      <w:pPr>
        <w:spacing w:after="0" w:line="7" w:lineRule="exact"/>
        <w:rPr>
          <w:rFonts w:ascii="Times New Roman" w:cs="Times New Roman" w:eastAsia="Times New Roman" w:hAnsi="Times New Roman"/>
          <w:sz w:val="16"/>
          <w:szCs w:val="16"/>
          <w:color w:val="auto"/>
        </w:rPr>
      </w:pPr>
    </w:p>
    <w:p>
      <w:pPr>
        <w:ind w:left="340" w:hanging="333"/>
        <w:spacing w:after="0" w:line="268" w:lineRule="auto"/>
        <w:tabs>
          <w:tab w:leader="none" w:pos="3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was excluded because it relates to the shutdown of our Russia business including the write off of our net investment and release of accumulated translation losses into earnings.</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diluted earnings per common share under U.S. GAAP to EPS-diluted-adjusted: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5"/>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gridSpan w:val="5"/>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gridSpan w:val="5"/>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gridSpan w:val="5"/>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gridSpan w:val="4"/>
          </w:tcPr>
          <w:p>
            <w:pPr>
              <w:spacing w:after="0"/>
              <w:rPr>
                <w:sz w:val="2"/>
                <w:szCs w:val="2"/>
                <w:color w:val="auto"/>
              </w:rPr>
            </w:pPr>
          </w:p>
        </w:tc>
      </w:tr>
      <w:tr>
        <w:trPr>
          <w:trHeight w:val="188"/>
        </w:trPr>
        <w:tc>
          <w:tcPr>
            <w:tcW w:w="37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195"/>
        </w:trPr>
        <w:tc>
          <w:tcPr>
            <w:tcW w:w="37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28"/>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center"/>
              <w:ind w:left="196"/>
              <w:spacing w:after="0"/>
              <w:rPr>
                <w:sz w:val="20"/>
                <w:szCs w:val="20"/>
                <w:color w:val="auto"/>
              </w:rPr>
            </w:pPr>
            <w:r>
              <w:rPr>
                <w:rFonts w:ascii="Times New Roman" w:cs="Times New Roman" w:eastAsia="Times New Roman" w:hAnsi="Times New Roman"/>
                <w:sz w:val="18"/>
                <w:szCs w:val="18"/>
                <w:color w:val="auto"/>
                <w:w w:val="95"/>
              </w:rPr>
              <w:t>2.55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center"/>
              <w:ind w:left="194"/>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center"/>
              <w:ind w:left="196"/>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center"/>
              <w:ind w:left="194"/>
              <w:spacing w:after="0"/>
              <w:rPr>
                <w:sz w:val="20"/>
                <w:szCs w:val="20"/>
                <w:color w:val="auto"/>
              </w:rPr>
            </w:pPr>
            <w:r>
              <w:rPr>
                <w:rFonts w:ascii="Times New Roman" w:cs="Times New Roman" w:eastAsia="Times New Roman" w:hAnsi="Times New Roman"/>
                <w:sz w:val="18"/>
                <w:szCs w:val="18"/>
                <w:color w:val="auto"/>
              </w:rPr>
              <w:t>3.52</w:t>
            </w:r>
          </w:p>
        </w:tc>
      </w:tr>
      <w:tr>
        <w:trPr>
          <w:trHeight w:val="22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center"/>
              <w:ind w:left="196"/>
              <w:spacing w:after="0"/>
              <w:rPr>
                <w:sz w:val="20"/>
                <w:szCs w:val="20"/>
                <w:color w:val="auto"/>
              </w:rPr>
            </w:pPr>
            <w:r>
              <w:rPr>
                <w:rFonts w:ascii="Times New Roman" w:cs="Times New Roman" w:eastAsia="Times New Roman" w:hAnsi="Times New Roman"/>
                <w:sz w:val="18"/>
                <w:szCs w:val="18"/>
                <w:color w:val="auto"/>
                <w:w w:val="95"/>
              </w:rPr>
              <w:t>0.66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ind w:left="194"/>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ind w:left="196"/>
              <w:spacing w:after="0"/>
              <w:rPr>
                <w:sz w:val="20"/>
                <w:szCs w:val="20"/>
                <w:color w:val="auto"/>
              </w:rPr>
            </w:pPr>
            <w:r>
              <w:rPr>
                <w:rFonts w:ascii="Times New Roman" w:cs="Times New Roman" w:eastAsia="Times New Roman" w:hAnsi="Times New Roman"/>
                <w:sz w:val="18"/>
                <w:szCs w:val="18"/>
                <w:color w:val="auto"/>
              </w:rPr>
              <w:t>0.74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ind w:left="194"/>
              <w:spacing w:after="0"/>
              <w:rPr>
                <w:sz w:val="20"/>
                <w:szCs w:val="20"/>
                <w:color w:val="auto"/>
              </w:rPr>
            </w:pPr>
            <w:r>
              <w:rPr>
                <w:rFonts w:ascii="Times New Roman" w:cs="Times New Roman" w:eastAsia="Times New Roman" w:hAnsi="Times New Roman"/>
                <w:sz w:val="18"/>
                <w:szCs w:val="18"/>
                <w:color w:val="auto"/>
              </w:rPr>
              <w:t>0.82</w:t>
            </w:r>
          </w:p>
        </w:tc>
      </w:tr>
      <w:tr>
        <w:trPr>
          <w:trHeight w:val="228"/>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 on adjustments(b)</w:t>
            </w: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ind w:left="156"/>
              <w:spacing w:after="0"/>
              <w:rPr>
                <w:sz w:val="20"/>
                <w:szCs w:val="20"/>
                <w:color w:val="auto"/>
              </w:rPr>
            </w:pPr>
            <w:r>
              <w:rPr>
                <w:rFonts w:ascii="Times New Roman" w:cs="Times New Roman" w:eastAsia="Times New Roman" w:hAnsi="Times New Roman"/>
                <w:sz w:val="18"/>
                <w:szCs w:val="18"/>
                <w:color w:val="auto"/>
                <w:w w:val="96"/>
              </w:rPr>
              <w:t>(0.15)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ind w:left="156"/>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rPr>
              <w:t>(0.21)</w:t>
            </w:r>
          </w:p>
        </w:tc>
      </w:tr>
      <w:tr>
        <w:trPr>
          <w:trHeight w:val="222"/>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EPS-diluted-adjusted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center"/>
              <w:ind w:left="196"/>
              <w:spacing w:after="0"/>
              <w:rPr>
                <w:sz w:val="20"/>
                <w:szCs w:val="20"/>
                <w:color w:val="auto"/>
              </w:rPr>
            </w:pPr>
            <w:r>
              <w:rPr>
                <w:rFonts w:ascii="Times New Roman" w:cs="Times New Roman" w:eastAsia="Times New Roman" w:hAnsi="Times New Roman"/>
                <w:sz w:val="18"/>
                <w:szCs w:val="18"/>
                <w:color w:val="auto"/>
                <w:w w:val="95"/>
              </w:rPr>
              <w:t>3.06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center"/>
              <w:ind w:left="194"/>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center"/>
              <w:ind w:left="196"/>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center"/>
              <w:ind w:left="194"/>
              <w:spacing w:after="0"/>
              <w:rPr>
                <w:sz w:val="20"/>
                <w:szCs w:val="20"/>
                <w:color w:val="auto"/>
              </w:rPr>
            </w:pPr>
            <w:r>
              <w:rPr>
                <w:rFonts w:ascii="Times New Roman" w:cs="Times New Roman" w:eastAsia="Times New Roman" w:hAnsi="Times New Roman"/>
                <w:sz w:val="18"/>
                <w:szCs w:val="18"/>
                <w:color w:val="auto"/>
              </w:rPr>
              <w:t>4.12</w:t>
            </w:r>
          </w:p>
        </w:tc>
      </w:tr>
      <w:tr>
        <w:trPr>
          <w:trHeight w:val="20"/>
        </w:trPr>
        <w:tc>
          <w:tcPr>
            <w:tcW w:w="3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40" w:hanging="333"/>
        <w:spacing w:after="0" w:line="254" w:lineRule="auto"/>
        <w:tabs>
          <w:tab w:leader="none" w:pos="33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attributable to stockholders under U.S. GAAP to EBIT-adjusted within this section of MD&amp;A for the details of each individual adjustment.</w:t>
      </w:r>
    </w:p>
    <w:p>
      <w:pPr>
        <w:ind w:left="320" w:hanging="313"/>
        <w:spacing w:after="0"/>
        <w:tabs>
          <w:tab w:leader="none" w:pos="3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effect of each adjustment is determined based on the tax laws and valuation allowance status of the jurisdiction to which the adjustment relates.</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our effective tax rate under U.S. GAAP to ETR-adjusted:</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5"/>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5"/>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4"/>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5"/>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46"/>
              <w:spacing w:after="0" w:line="121"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0"/>
                <w:szCs w:val="10"/>
                <w:color w:val="auto"/>
              </w:rPr>
            </w:pPr>
          </w:p>
        </w:tc>
        <w:tc>
          <w:tcPr>
            <w:tcW w:w="78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Income tax</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46"/>
              <w:spacing w:after="0" w:line="121"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0"/>
                <w:szCs w:val="10"/>
                <w:color w:val="auto"/>
              </w:rPr>
            </w:pPr>
          </w:p>
        </w:tc>
        <w:tc>
          <w:tcPr>
            <w:tcW w:w="80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Income tax</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46"/>
              <w:spacing w:after="0" w:line="121"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0"/>
                <w:szCs w:val="10"/>
                <w:color w:val="auto"/>
              </w:rPr>
            </w:pPr>
          </w:p>
        </w:tc>
        <w:tc>
          <w:tcPr>
            <w:tcW w:w="8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3"/>
              </w:rPr>
              <w:t>Income tax</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46"/>
              <w:spacing w:after="0" w:line="121"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0"/>
                <w:szCs w:val="10"/>
                <w:color w:val="auto"/>
              </w:rPr>
            </w:pPr>
          </w:p>
        </w:tc>
        <w:tc>
          <w:tcPr>
            <w:tcW w:w="820" w:type="dxa"/>
            <w:vAlign w:val="bottom"/>
            <w:gridSpan w:val="4"/>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Income tax</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26"/>
              <w:spacing w:after="0" w:line="121" w:lineRule="exact"/>
              <w:rPr>
                <w:sz w:val="20"/>
                <w:szCs w:val="20"/>
                <w:color w:val="auto"/>
              </w:rPr>
            </w:pPr>
            <w:r>
              <w:rPr>
                <w:rFonts w:ascii="Times New Roman" w:cs="Times New Roman" w:eastAsia="Times New Roman" w:hAnsi="Times New Roman"/>
                <w:sz w:val="13"/>
                <w:szCs w:val="13"/>
                <w:b w:val="1"/>
                <w:bCs w:val="1"/>
                <w:color w:val="auto"/>
                <w:w w:val="95"/>
              </w:rPr>
              <w:t>before</w:t>
            </w:r>
          </w:p>
        </w:tc>
        <w:tc>
          <w:tcPr>
            <w:tcW w:w="100" w:type="dxa"/>
            <w:vAlign w:val="bottom"/>
          </w:tcPr>
          <w:p>
            <w:pPr>
              <w:spacing w:after="0"/>
              <w:rPr>
                <w:sz w:val="10"/>
                <w:szCs w:val="10"/>
                <w:color w:val="auto"/>
              </w:rPr>
            </w:pPr>
          </w:p>
        </w:tc>
        <w:tc>
          <w:tcPr>
            <w:tcW w:w="780" w:type="dxa"/>
            <w:vAlign w:val="bottom"/>
            <w:gridSpan w:val="4"/>
            <w:vMerge w:val="continue"/>
          </w:tcPr>
          <w:p>
            <w:pPr>
              <w:spacing w:after="0"/>
              <w:rPr>
                <w:sz w:val="10"/>
                <w:szCs w:val="10"/>
                <w:color w:val="auto"/>
              </w:rPr>
            </w:pPr>
          </w:p>
        </w:tc>
        <w:tc>
          <w:tcPr>
            <w:tcW w:w="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Effective tax</w:t>
            </w:r>
          </w:p>
        </w:tc>
        <w:tc>
          <w:tcPr>
            <w:tcW w:w="120" w:type="dxa"/>
            <w:vAlign w:val="bottom"/>
          </w:tcPr>
          <w:p>
            <w:pPr>
              <w:spacing w:after="0"/>
              <w:rPr>
                <w:sz w:val="10"/>
                <w:szCs w:val="10"/>
                <w:color w:val="auto"/>
              </w:rPr>
            </w:pPr>
          </w:p>
        </w:tc>
        <w:tc>
          <w:tcPr>
            <w:tcW w:w="560" w:type="dxa"/>
            <w:vAlign w:val="bottom"/>
          </w:tcPr>
          <w:p>
            <w:pPr>
              <w:jc w:val="center"/>
              <w:ind w:right="26"/>
              <w:spacing w:after="0" w:line="121" w:lineRule="exact"/>
              <w:rPr>
                <w:sz w:val="20"/>
                <w:szCs w:val="20"/>
                <w:color w:val="auto"/>
              </w:rPr>
            </w:pPr>
            <w:r>
              <w:rPr>
                <w:rFonts w:ascii="Times New Roman" w:cs="Times New Roman" w:eastAsia="Times New Roman" w:hAnsi="Times New Roman"/>
                <w:sz w:val="13"/>
                <w:szCs w:val="13"/>
                <w:b w:val="1"/>
                <w:bCs w:val="1"/>
                <w:color w:val="auto"/>
                <w:w w:val="95"/>
              </w:rPr>
              <w:t>before</w:t>
            </w:r>
          </w:p>
        </w:tc>
        <w:tc>
          <w:tcPr>
            <w:tcW w:w="100" w:type="dxa"/>
            <w:vAlign w:val="bottom"/>
          </w:tcPr>
          <w:p>
            <w:pPr>
              <w:spacing w:after="0"/>
              <w:rPr>
                <w:sz w:val="10"/>
                <w:szCs w:val="10"/>
                <w:color w:val="auto"/>
              </w:rPr>
            </w:pPr>
          </w:p>
        </w:tc>
        <w:tc>
          <w:tcPr>
            <w:tcW w:w="800" w:type="dxa"/>
            <w:vAlign w:val="bottom"/>
            <w:gridSpan w:val="4"/>
            <w:vMerge w:val="continue"/>
          </w:tcPr>
          <w:p>
            <w:pPr>
              <w:spacing w:after="0"/>
              <w:rPr>
                <w:sz w:val="10"/>
                <w:szCs w:val="10"/>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Effective tax</w:t>
            </w:r>
          </w:p>
        </w:tc>
        <w:tc>
          <w:tcPr>
            <w:tcW w:w="120" w:type="dxa"/>
            <w:vAlign w:val="bottom"/>
          </w:tcPr>
          <w:p>
            <w:pPr>
              <w:spacing w:after="0"/>
              <w:rPr>
                <w:sz w:val="10"/>
                <w:szCs w:val="10"/>
                <w:color w:val="auto"/>
              </w:rPr>
            </w:pPr>
          </w:p>
        </w:tc>
        <w:tc>
          <w:tcPr>
            <w:tcW w:w="560" w:type="dxa"/>
            <w:vAlign w:val="bottom"/>
          </w:tcPr>
          <w:p>
            <w:pPr>
              <w:jc w:val="center"/>
              <w:ind w:right="66"/>
              <w:spacing w:after="0" w:line="121" w:lineRule="exact"/>
              <w:rPr>
                <w:sz w:val="20"/>
                <w:szCs w:val="20"/>
                <w:color w:val="auto"/>
              </w:rPr>
            </w:pPr>
            <w:r>
              <w:rPr>
                <w:rFonts w:ascii="Times New Roman" w:cs="Times New Roman" w:eastAsia="Times New Roman" w:hAnsi="Times New Roman"/>
                <w:sz w:val="13"/>
                <w:szCs w:val="13"/>
                <w:b w:val="1"/>
                <w:bCs w:val="1"/>
                <w:color w:val="auto"/>
                <w:w w:val="95"/>
              </w:rPr>
              <w:t>before</w:t>
            </w:r>
          </w:p>
        </w:tc>
        <w:tc>
          <w:tcPr>
            <w:tcW w:w="10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Effective tax</w:t>
            </w:r>
          </w:p>
        </w:tc>
        <w:tc>
          <w:tcPr>
            <w:tcW w:w="120" w:type="dxa"/>
            <w:vAlign w:val="bottom"/>
          </w:tcPr>
          <w:p>
            <w:pPr>
              <w:spacing w:after="0"/>
              <w:rPr>
                <w:sz w:val="10"/>
                <w:szCs w:val="10"/>
                <w:color w:val="auto"/>
              </w:rPr>
            </w:pPr>
          </w:p>
        </w:tc>
        <w:tc>
          <w:tcPr>
            <w:tcW w:w="560" w:type="dxa"/>
            <w:vAlign w:val="bottom"/>
          </w:tcPr>
          <w:p>
            <w:pPr>
              <w:jc w:val="center"/>
              <w:ind w:right="66"/>
              <w:spacing w:after="0" w:line="121" w:lineRule="exact"/>
              <w:rPr>
                <w:sz w:val="20"/>
                <w:szCs w:val="20"/>
                <w:color w:val="auto"/>
              </w:rPr>
            </w:pPr>
            <w:r>
              <w:rPr>
                <w:rFonts w:ascii="Times New Roman" w:cs="Times New Roman" w:eastAsia="Times New Roman" w:hAnsi="Times New Roman"/>
                <w:sz w:val="13"/>
                <w:szCs w:val="13"/>
                <w:b w:val="1"/>
                <w:bCs w:val="1"/>
                <w:color w:val="auto"/>
                <w:w w:val="95"/>
              </w:rPr>
              <w:t>before</w:t>
            </w:r>
          </w:p>
        </w:tc>
        <w:tc>
          <w:tcPr>
            <w:tcW w:w="100" w:type="dxa"/>
            <w:vAlign w:val="bottom"/>
          </w:tcPr>
          <w:p>
            <w:pPr>
              <w:spacing w:after="0"/>
              <w:rPr>
                <w:sz w:val="10"/>
                <w:szCs w:val="10"/>
                <w:color w:val="auto"/>
              </w:rPr>
            </w:pPr>
          </w:p>
        </w:tc>
        <w:tc>
          <w:tcPr>
            <w:tcW w:w="820" w:type="dxa"/>
            <w:vAlign w:val="bottom"/>
            <w:gridSpan w:val="4"/>
            <w:vMerge w:val="continue"/>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Effective tax</w:t>
            </w:r>
          </w:p>
        </w:tc>
        <w:tc>
          <w:tcPr>
            <w:tcW w:w="0" w:type="dxa"/>
            <w:vAlign w:val="bottom"/>
          </w:tcPr>
          <w:p>
            <w:pPr>
              <w:spacing w:after="0"/>
              <w:rPr>
                <w:sz w:val="1"/>
                <w:szCs w:val="1"/>
                <w:color w:val="auto"/>
              </w:rPr>
            </w:pPr>
          </w:p>
        </w:tc>
      </w:tr>
      <w:tr>
        <w:trPr>
          <w:trHeight w:val="121"/>
        </w:trPr>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26"/>
              <w:spacing w:after="0" w:line="121" w:lineRule="exact"/>
              <w:rPr>
                <w:sz w:val="20"/>
                <w:szCs w:val="20"/>
                <w:color w:val="auto"/>
              </w:rPr>
            </w:pPr>
            <w:r>
              <w:rPr>
                <w:rFonts w:ascii="Times New Roman" w:cs="Times New Roman" w:eastAsia="Times New Roman" w:hAnsi="Times New Roman"/>
                <w:sz w:val="13"/>
                <w:szCs w:val="13"/>
                <w:b w:val="1"/>
                <w:bCs w:val="1"/>
                <w:color w:val="auto"/>
                <w:w w:val="95"/>
              </w:rPr>
              <w:t>income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3"/>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color w:val="auto"/>
                <w:w w:val="96"/>
              </w:rPr>
              <w:t>expense</w:t>
            </w: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46"/>
              <w:spacing w:after="0" w:line="121" w:lineRule="exact"/>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3"/>
          </w:tcPr>
          <w:p>
            <w:pPr>
              <w:jc w:val="center"/>
              <w:ind w:right="280"/>
              <w:spacing w:after="0" w:line="121" w:lineRule="exact"/>
              <w:rPr>
                <w:sz w:val="20"/>
                <w:szCs w:val="20"/>
                <w:color w:val="auto"/>
              </w:rPr>
            </w:pPr>
            <w:r>
              <w:rPr>
                <w:rFonts w:ascii="Times New Roman" w:cs="Times New Roman" w:eastAsia="Times New Roman" w:hAnsi="Times New Roman"/>
                <w:sz w:val="13"/>
                <w:szCs w:val="13"/>
                <w:b w:val="1"/>
                <w:bCs w:val="1"/>
                <w:color w:val="auto"/>
                <w:w w:val="92"/>
              </w:rPr>
              <w:t>expense</w:t>
            </w: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66"/>
              <w:spacing w:after="0" w:line="121" w:lineRule="exact"/>
              <w:rPr>
                <w:sz w:val="20"/>
                <w:szCs w:val="20"/>
                <w:color w:val="auto"/>
              </w:rPr>
            </w:pPr>
            <w:r>
              <w:rPr>
                <w:rFonts w:ascii="Times New Roman" w:cs="Times New Roman" w:eastAsia="Times New Roman" w:hAnsi="Times New Roman"/>
                <w:sz w:val="13"/>
                <w:szCs w:val="13"/>
                <w:b w:val="1"/>
                <w:bCs w:val="1"/>
                <w:color w:val="auto"/>
                <w:w w:val="95"/>
              </w:rPr>
              <w:t>income</w:t>
            </w:r>
          </w:p>
        </w:tc>
        <w:tc>
          <w:tcPr>
            <w:tcW w:w="100" w:type="dxa"/>
            <w:vAlign w:val="bottom"/>
          </w:tcPr>
          <w:p>
            <w:pPr>
              <w:spacing w:after="0"/>
              <w:rPr>
                <w:sz w:val="10"/>
                <w:szCs w:val="10"/>
                <w:color w:val="auto"/>
              </w:rPr>
            </w:pPr>
          </w:p>
        </w:tc>
        <w:tc>
          <w:tcPr>
            <w:tcW w:w="800" w:type="dxa"/>
            <w:vAlign w:val="bottom"/>
            <w:gridSpan w:val="3"/>
          </w:tcPr>
          <w:p>
            <w:pPr>
              <w:jc w:val="center"/>
              <w:ind w:right="140"/>
              <w:spacing w:after="0" w:line="121" w:lineRule="exact"/>
              <w:rPr>
                <w:sz w:val="20"/>
                <w:szCs w:val="20"/>
                <w:color w:val="auto"/>
              </w:rPr>
            </w:pPr>
            <w:r>
              <w:rPr>
                <w:rFonts w:ascii="Times New Roman" w:cs="Times New Roman" w:eastAsia="Times New Roman" w:hAnsi="Times New Roman"/>
                <w:sz w:val="13"/>
                <w:szCs w:val="13"/>
                <w:b w:val="1"/>
                <w:bCs w:val="1"/>
                <w:color w:val="auto"/>
                <w:w w:val="96"/>
              </w:rPr>
              <w:t>expense</w:t>
            </w: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66"/>
              <w:spacing w:after="0" w:line="121" w:lineRule="exact"/>
              <w:rPr>
                <w:sz w:val="20"/>
                <w:szCs w:val="20"/>
                <w:color w:val="auto"/>
              </w:rPr>
            </w:pPr>
            <w:r>
              <w:rPr>
                <w:rFonts w:ascii="Times New Roman" w:cs="Times New Roman" w:eastAsia="Times New Roman" w:hAnsi="Times New Roman"/>
                <w:sz w:val="13"/>
                <w:szCs w:val="13"/>
                <w:b w:val="1"/>
                <w:bCs w:val="1"/>
                <w:color w:val="auto"/>
                <w:w w:val="95"/>
              </w:rPr>
              <w:t>income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tcPr>
          <w:p>
            <w:pPr>
              <w:spacing w:after="0" w:line="121" w:lineRule="exact"/>
              <w:rPr>
                <w:sz w:val="20"/>
                <w:szCs w:val="20"/>
                <w:color w:val="auto"/>
              </w:rPr>
            </w:pPr>
            <w:r>
              <w:rPr>
                <w:rFonts w:ascii="Times New Roman" w:cs="Times New Roman" w:eastAsia="Times New Roman" w:hAnsi="Times New Roman"/>
                <w:sz w:val="13"/>
                <w:szCs w:val="13"/>
                <w:b w:val="1"/>
                <w:bCs w:val="1"/>
                <w:color w:val="auto"/>
              </w:rPr>
              <w:t>expense</w:t>
            </w: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w w:val="99"/>
              </w:rPr>
              <w:t>taxes</w:t>
            </w:r>
          </w:p>
        </w:tc>
        <w:tc>
          <w:tcPr>
            <w:tcW w:w="100" w:type="dxa"/>
            <w:vAlign w:val="bottom"/>
          </w:tcPr>
          <w:p>
            <w:pPr>
              <w:spacing w:after="0"/>
              <w:rPr>
                <w:sz w:val="15"/>
                <w:szCs w:val="15"/>
                <w:color w:val="auto"/>
              </w:rPr>
            </w:pPr>
          </w:p>
        </w:tc>
        <w:tc>
          <w:tcPr>
            <w:tcW w:w="78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3"/>
              </w:rPr>
              <w:t>(benefit)</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rate</w:t>
            </w:r>
          </w:p>
        </w:tc>
        <w:tc>
          <w:tcPr>
            <w:tcW w:w="120" w:type="dxa"/>
            <w:vAlign w:val="bottom"/>
          </w:tcPr>
          <w:p>
            <w:pPr>
              <w:spacing w:after="0"/>
              <w:rPr>
                <w:sz w:val="15"/>
                <w:szCs w:val="15"/>
                <w:color w:val="auto"/>
              </w:rPr>
            </w:pPr>
          </w:p>
        </w:tc>
        <w:tc>
          <w:tcPr>
            <w:tcW w:w="56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w w:val="99"/>
              </w:rPr>
              <w:t>taxes</w:t>
            </w:r>
          </w:p>
        </w:tc>
        <w:tc>
          <w:tcPr>
            <w:tcW w:w="100" w:type="dxa"/>
            <w:vAlign w:val="bottom"/>
          </w:tcPr>
          <w:p>
            <w:pPr>
              <w:spacing w:after="0"/>
              <w:rPr>
                <w:sz w:val="15"/>
                <w:szCs w:val="15"/>
                <w:color w:val="auto"/>
              </w:rPr>
            </w:pPr>
          </w:p>
        </w:tc>
        <w:tc>
          <w:tcPr>
            <w:tcW w:w="80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3"/>
              </w:rPr>
              <w:t>(benefit)</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rate</w:t>
            </w:r>
          </w:p>
        </w:tc>
        <w:tc>
          <w:tcPr>
            <w:tcW w:w="120" w:type="dxa"/>
            <w:vAlign w:val="bottom"/>
          </w:tcPr>
          <w:p>
            <w:pPr>
              <w:spacing w:after="0"/>
              <w:rPr>
                <w:sz w:val="15"/>
                <w:szCs w:val="15"/>
                <w:color w:val="auto"/>
              </w:rPr>
            </w:pPr>
          </w:p>
        </w:tc>
        <w:tc>
          <w:tcPr>
            <w:tcW w:w="56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w w:val="92"/>
              </w:rPr>
              <w:t>taxes</w:t>
            </w:r>
          </w:p>
        </w:tc>
        <w:tc>
          <w:tcPr>
            <w:tcW w:w="100" w:type="dxa"/>
            <w:vAlign w:val="bottom"/>
          </w:tcPr>
          <w:p>
            <w:pPr>
              <w:spacing w:after="0"/>
              <w:rPr>
                <w:sz w:val="15"/>
                <w:szCs w:val="15"/>
                <w:color w:val="auto"/>
              </w:rPr>
            </w:pP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(benefit)</w:t>
            </w: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rate</w:t>
            </w:r>
          </w:p>
        </w:tc>
        <w:tc>
          <w:tcPr>
            <w:tcW w:w="12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taxes</w:t>
            </w:r>
          </w:p>
        </w:tc>
        <w:tc>
          <w:tcPr>
            <w:tcW w:w="100" w:type="dxa"/>
            <w:vAlign w:val="bottom"/>
          </w:tcPr>
          <w:p>
            <w:pPr>
              <w:spacing w:after="0"/>
              <w:rPr>
                <w:sz w:val="15"/>
                <w:szCs w:val="15"/>
                <w:color w:val="auto"/>
              </w:rPr>
            </w:pPr>
          </w:p>
        </w:tc>
        <w:tc>
          <w:tcPr>
            <w:tcW w:w="82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(benefit)</w:t>
            </w:r>
          </w:p>
        </w:tc>
        <w:tc>
          <w:tcPr>
            <w:tcW w:w="740" w:type="dxa"/>
            <w:vAlign w:val="bottom"/>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rate</w:t>
            </w:r>
          </w:p>
        </w:tc>
        <w:tc>
          <w:tcPr>
            <w:tcW w:w="0" w:type="dxa"/>
            <w:vAlign w:val="bottom"/>
          </w:tcPr>
          <w:p>
            <w:pPr>
              <w:spacing w:after="0"/>
              <w:rPr>
                <w:sz w:val="1"/>
                <w:szCs w:val="1"/>
                <w:color w:val="auto"/>
              </w:rPr>
            </w:pPr>
          </w:p>
        </w:tc>
      </w:tr>
      <w:tr>
        <w:trPr>
          <w:trHeight w:val="228"/>
        </w:trPr>
        <w:tc>
          <w:tcPr>
            <w:tcW w:w="1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3,643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3,029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7,359</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$ 1,529</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5,803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0" w:type="dxa"/>
            <w:vAlign w:val="bottom"/>
          </w:tcPr>
          <w:p>
            <w:pPr>
              <w:spacing w:after="0"/>
              <w:rPr>
                <w:sz w:val="1"/>
                <w:szCs w:val="1"/>
                <w:color w:val="auto"/>
              </w:rPr>
            </w:pPr>
          </w:p>
        </w:tc>
      </w:tr>
      <w:tr>
        <w:trPr>
          <w:trHeight w:val="228"/>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120" w:type="dxa"/>
            <w:vAlign w:val="bottom"/>
          </w:tcPr>
          <w:p>
            <w:pPr>
              <w:spacing w:after="0"/>
              <w:rPr>
                <w:sz w:val="19"/>
                <w:szCs w:val="19"/>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8"/>
                <w:szCs w:val="18"/>
                <w:color w:val="auto"/>
              </w:rPr>
              <w:t>924</w:t>
            </w:r>
          </w:p>
        </w:tc>
        <w:tc>
          <w:tcPr>
            <w:tcW w:w="760" w:type="dxa"/>
            <w:vAlign w:val="bottom"/>
            <w:gridSpan w:val="2"/>
          </w:tcPr>
          <w:p>
            <w:pPr>
              <w:jc w:val="right"/>
              <w:ind w:right="7"/>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ETR-adjusted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4,471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3,199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8,283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$ 1,723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6,947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56" w:lineRule="auto"/>
        <w:tabs>
          <w:tab w:leader="none" w:pos="331"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attributable to stockholders under U.S. GAAP to EBIT-adjusted within this section of MD&amp;A for adjustment details. These adjustments include Net income attributable to noncontrolling interests where applicable. The tax effect of each adjustment is determined based on the tax laws and valuation allowance status of the jurisdiction to which the adjustment relates.</w:t>
      </w:r>
    </w:p>
    <w:p>
      <w:pPr>
        <w:spacing w:after="0" w:line="21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define return on equity (ROE) as Net income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4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Four Quarters Ended</w:t>
            </w: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8"/>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20" w:type="dxa"/>
            <w:vAlign w:val="bottom"/>
          </w:tcPr>
          <w:p>
            <w:pPr>
              <w:spacing w:after="0"/>
              <w:rPr>
                <w:sz w:val="16"/>
                <w:szCs w:val="16"/>
                <w:color w:val="auto"/>
              </w:rPr>
            </w:pPr>
          </w:p>
        </w:tc>
        <w:tc>
          <w:tcPr>
            <w:tcW w:w="14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w w:val="98"/>
              </w:rPr>
              <w:t>June 30, 2023</w:t>
            </w:r>
          </w:p>
        </w:tc>
        <w:tc>
          <w:tcPr>
            <w:tcW w:w="2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equity(a)</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70.5</w:t>
            </w: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ROE</w:t>
            </w: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20" w:type="dxa"/>
            <w:vAlign w:val="bottom"/>
          </w:tcPr>
          <w:p>
            <w:pPr>
              <w:spacing w:after="0"/>
              <w:rPr>
                <w:sz w:val="19"/>
                <w:szCs w:val="19"/>
                <w:color w:val="auto"/>
              </w:rPr>
            </w:pPr>
          </w:p>
        </w:tc>
      </w:tr>
      <w:tr>
        <w:trPr>
          <w:trHeight w:val="268"/>
        </w:trPr>
        <w:tc>
          <w:tcPr>
            <w:tcW w:w="6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__________</w:t>
            </w:r>
          </w:p>
        </w:tc>
        <w:tc>
          <w:tcPr>
            <w:tcW w:w="3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0"/>
        </w:trPr>
        <w:tc>
          <w:tcPr>
            <w:tcW w:w="97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(a)  Includes equity of noncontrolling interests where the corresponding earnings (loss) are included in Net income attributable to stockholders.</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49"/>
        </w:trPr>
        <w:tc>
          <w:tcPr>
            <w:tcW w:w="20" w:type="dxa"/>
            <w:vAlign w:val="bottom"/>
          </w:tcPr>
          <w:p>
            <w:pPr>
              <w:spacing w:after="0"/>
              <w:rPr>
                <w:sz w:val="24"/>
                <w:szCs w:val="24"/>
                <w:color w:val="auto"/>
              </w:rPr>
            </w:pPr>
          </w:p>
        </w:tc>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following table summarizes the calculation of ROIC-adjusted (dollars in billions):</w:t>
            </w: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4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Four Quarters Ended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8"/>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20" w:type="dxa"/>
            <w:vAlign w:val="bottom"/>
          </w:tcPr>
          <w:p>
            <w:pPr>
              <w:spacing w:after="0"/>
              <w:rPr>
                <w:sz w:val="16"/>
                <w:szCs w:val="16"/>
                <w:color w:val="auto"/>
              </w:rPr>
            </w:pPr>
          </w:p>
        </w:tc>
        <w:tc>
          <w:tcPr>
            <w:tcW w:w="14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0" w:type="dxa"/>
            <w:vAlign w:val="bottom"/>
          </w:tcPr>
          <w:p>
            <w:pPr>
              <w:spacing w:after="0"/>
              <w:rPr>
                <w:sz w:val="16"/>
                <w:szCs w:val="16"/>
                <w:color w:val="auto"/>
              </w:rPr>
            </w:pPr>
          </w:p>
        </w:tc>
      </w:tr>
      <w:tr>
        <w:trPr>
          <w:trHeight w:val="228"/>
        </w:trPr>
        <w:tc>
          <w:tcPr>
            <w:tcW w:w="20" w:type="dxa"/>
            <w:vAlign w:val="bottom"/>
            <w:tcBorders>
              <w:top w:val="single" w:sz="8" w:color="CCEEFF"/>
            </w:tcBorders>
            <w:shd w:val="clear" w:color="auto" w:fill="CCEEFF"/>
          </w:tcPr>
          <w:p>
            <w:pPr>
              <w:spacing w:after="0"/>
              <w:rPr>
                <w:sz w:val="19"/>
                <w:szCs w:val="19"/>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EBIT-adjusted(a)</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Borders>
              <w:top w:val="single" w:sz="8" w:color="auto"/>
            </w:tcBorders>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Average equity(b)</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70.5</w:t>
            </w:r>
          </w:p>
        </w:tc>
        <w:tc>
          <w:tcPr>
            <w:tcW w:w="20" w:type="dxa"/>
            <w:vAlign w:val="bottom"/>
          </w:tcPr>
          <w:p>
            <w:pPr>
              <w:spacing w:after="0"/>
              <w:rPr>
                <w:sz w:val="19"/>
                <w:szCs w:val="19"/>
                <w:color w:val="auto"/>
              </w:rPr>
            </w:pPr>
          </w:p>
        </w:tc>
      </w:tr>
      <w:tr>
        <w:trPr>
          <w:trHeight w:val="228"/>
        </w:trPr>
        <w:tc>
          <w:tcPr>
            <w:tcW w:w="20" w:type="dxa"/>
            <w:vAlign w:val="bottom"/>
            <w:shd w:val="clear" w:color="auto" w:fill="CCEEFF"/>
          </w:tcPr>
          <w:p>
            <w:pPr>
              <w:spacing w:after="0"/>
              <w:rPr>
                <w:sz w:val="19"/>
                <w:szCs w:val="19"/>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Average automotive debt and interest liabilities (excluding finance leases)</w:t>
            </w: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17.3</w:t>
            </w:r>
          </w:p>
        </w:tc>
        <w:tc>
          <w:tcPr>
            <w:tcW w:w="2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Add: Average automotive net pension &amp; OPEB liability</w:t>
            </w:r>
          </w:p>
        </w:tc>
        <w:tc>
          <w:tcPr>
            <w:tcW w:w="360" w:type="dxa"/>
            <w:vAlign w:val="bottom"/>
          </w:tcPr>
          <w:p>
            <w:pPr>
              <w:spacing w:after="0"/>
              <w:rPr>
                <w:sz w:val="19"/>
                <w:szCs w:val="19"/>
                <w:color w:val="auto"/>
              </w:rPr>
            </w:pPr>
          </w:p>
        </w:tc>
        <w:tc>
          <w:tcPr>
            <w:tcW w:w="17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9"/>
                <w:szCs w:val="19"/>
                <w:color w:val="auto"/>
              </w:rPr>
            </w:pPr>
          </w:p>
        </w:tc>
      </w:tr>
      <w:tr>
        <w:trPr>
          <w:trHeight w:val="228"/>
        </w:trPr>
        <w:tc>
          <w:tcPr>
            <w:tcW w:w="20" w:type="dxa"/>
            <w:vAlign w:val="bottom"/>
            <w:shd w:val="clear" w:color="auto" w:fill="CCEEFF"/>
          </w:tcPr>
          <w:p>
            <w:pPr>
              <w:spacing w:after="0"/>
              <w:rPr>
                <w:sz w:val="19"/>
                <w:szCs w:val="19"/>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Average automotive and other net income tax asset</w:t>
            </w:r>
          </w:p>
        </w:tc>
        <w:tc>
          <w:tcPr>
            <w:tcW w:w="3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(20.7)</w:t>
            </w:r>
          </w:p>
        </w:tc>
        <w:tc>
          <w:tcPr>
            <w:tcW w:w="20" w:type="dxa"/>
            <w:vAlign w:val="bottom"/>
            <w:tcBorders>
              <w:bottom w:val="single" w:sz="8" w:color="auto"/>
            </w:tcBorders>
            <w:shd w:val="clear" w:color="auto" w:fill="CCEEFF"/>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ROIC-adjusted average net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75.0</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ROIC-adjusted</w:t>
            </w: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20" w:type="dxa"/>
            <w:vAlign w:val="bottom"/>
            <w:shd w:val="clear" w:color="auto" w:fill="CCEEFF"/>
          </w:tcPr>
          <w:p>
            <w:pPr>
              <w:spacing w:after="0"/>
              <w:rPr>
                <w:sz w:val="19"/>
                <w:szCs w:val="19"/>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attributable to stockholders under U.S. GAAP to EBIT-adjusted within this section of MD&amp;A.</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equity of noncontrolling interests where the corresponding earnings (loss) are included in EBIT-adjusted.</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Forward-Looking Statements </w:t>
      </w:r>
      <w:r>
        <w:rPr>
          <w:rFonts w:ascii="Times New Roman" w:cs="Times New Roman" w:eastAsia="Times New Roman" w:hAnsi="Times New Roman"/>
          <w:sz w:val="17"/>
          <w:szCs w:val="17"/>
          <w:color w:val="auto"/>
        </w:rPr>
        <w:t>This report and the other reports filed by us with the SEC from time to time, as well as statements incorporated by reference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herein and related comments by our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our ability to deliver new products, services, technologies and customer</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experiences in response to increased competition and changing consumer needs and preferences; (2) our ability to timely fund and introduce new and improved vehicle models, including EVs, that are able to attract a sufficient number of consumers; (3) our ability to profitably deliver a strategic portfolio of EVs that will help drive consumer adoption; (4) the success of our current line of ICE vehicles, particularly our full-size SUVs and full-size pickup trucks;</w:t>
      </w:r>
    </w:p>
    <w:p>
      <w:pPr>
        <w:spacing w:after="0" w:line="1" w:lineRule="exact"/>
        <w:rPr>
          <w:sz w:val="20"/>
          <w:szCs w:val="20"/>
          <w:color w:val="auto"/>
        </w:rPr>
      </w:pPr>
    </w:p>
    <w:p>
      <w:pPr>
        <w:jc w:val="both"/>
        <w:ind w:firstLine="7"/>
        <w:spacing w:after="0" w:line="263" w:lineRule="auto"/>
        <w:tabs>
          <w:tab w:leader="none" w:pos="293"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highly competitive industry, which has been historically characterized by excess manufacturing capacity and the use of incentives, and the introduction of new and improved vehicle models by our competitors; (6) the unique technological, operational, regulatory and competitive risks related to the timing and commercialization of AVs, including the various regulatory approvals and permits required for operating driverless AVs in multiple markets;</w:t>
      </w:r>
    </w:p>
    <w:p>
      <w:pPr>
        <w:spacing w:after="0" w:line="2" w:lineRule="exact"/>
        <w:rPr>
          <w:rFonts w:ascii="Times New Roman" w:cs="Times New Roman" w:eastAsia="Times New Roman" w:hAnsi="Times New Roman"/>
          <w:sz w:val="17"/>
          <w:szCs w:val="17"/>
          <w:color w:val="auto"/>
        </w:rPr>
      </w:pPr>
    </w:p>
    <w:p>
      <w:pPr>
        <w:jc w:val="both"/>
        <w:ind w:firstLine="7"/>
        <w:spacing w:after="0" w:line="249" w:lineRule="auto"/>
        <w:tabs>
          <w:tab w:leader="none" w:pos="27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climate change, including increased regulation of GHG emissions, our transition to EVs and the potential increased impacts of severe weather events; (8) global automobile market sales volume, which can be volatile; (9) inflationary pressures and persistently high prices and uncertain availability of raw materials and commodities used by us and our suppliers, and instability in logistics and related costs; (10) our business in China, which is subject to unique operational, competitive, regulatory and economic risks; (11) the success of our ongoing strategic business relationships, particularly with respect to facilitating access to raw materials necessary for the production of EVs, and of our joint ventures, which we cannot operate solely for our benefit and over which we may have limited control; (12) the international scale and footprint of our operations, which exposes us to a variety of unique political, economic, competitive and regulatory risks, including the risk of changes in government leadership and laws (including labor, trade, tax and other laws), political uncertainty or instability and economic tensions between governments and changes in international trade policies, new barriers to entry and changes to or withdrawals from free trade agreements, changes in foreign exchange rates and interest rates, economic downturns in the countries in which we operate, differing local product preferences and product requirements, changes to and compliance with U.S. and foreign countries' export controls and economic sanctions, differing labor regulations, requirements and union relationships, differing dealer and franchise regulations and relationships, difficulties in obtaining financing in foreign countries, and public health crises, including the occurrence of a contagious disease or illness;</w:t>
      </w:r>
    </w:p>
    <w:p>
      <w:pPr>
        <w:spacing w:after="0" w:line="2" w:lineRule="exact"/>
        <w:rPr>
          <w:rFonts w:ascii="Times New Roman" w:cs="Times New Roman" w:eastAsia="Times New Roman" w:hAnsi="Times New Roman"/>
          <w:sz w:val="18"/>
          <w:szCs w:val="18"/>
          <w:color w:val="auto"/>
        </w:rPr>
      </w:pPr>
    </w:p>
    <w:p>
      <w:pPr>
        <w:jc w:val="both"/>
        <w:ind w:firstLine="7"/>
        <w:spacing w:after="0" w:line="250" w:lineRule="auto"/>
        <w:tabs>
          <w:tab w:leader="none" w:pos="36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disruption, including any work stoppages, at any of our manufacturing facilities; (14) the ability of our suppliers to deliver parts, systems and components without disruption and at such times to allow us to meet production schedules; (15) pandemics, epidemics, disease outbreaks and other public health crises; (16) the possibility that competitors may independently develop products and services similar to ours, or that our intellectual property rights are not sufficient to prevent competitors from developing or selling those products or services; (17) our ability to manage risks related to security breaches, cyberattacks and other disruptions to our information technology systems and networked products, including connected vehicles and in-vehicle systems; (18) our ability to comply with increasingly complex, restrictive and punitive regulations relating to our enterprise data practices, including the collection, use, sharing and security of the personal information of our customers, employees or suppliers; (19) our ability to comply with extensive laws, regulations and policies applicable to our operations and products, including those relating to fuel economy, emissions and AVs; (20) costs and risks associated with litigation and government investigations; (21) the costs and effect on our reputation of product safety recalls and alleged defects in products and services; (22) any additional tax expense or exposure or failure to fully realize available tax incentives; (23) our continued ability to develop captive financing capability through GM Financial; and (24) any significant increase in our pension funding requirements. A further list and description of these risks, uncertainties and other factors can be found in our 2023 Form 10-K and our subsequent filings with the SEC.</w:t>
      </w:r>
    </w:p>
    <w:p>
      <w:pPr>
        <w:spacing w:after="0" w:line="216"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20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There have been no significant changes in our exposure to market risk since December 31, 2023. For further discussion on market risk, refer to Part II, Item 7A. of our 2023 Form 10-K.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0"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Disclosure Controls and Procedures </w:t>
      </w:r>
      <w:r>
        <w:rPr>
          <w:rFonts w:ascii="Times New Roman" w:cs="Times New Roman" w:eastAsia="Times New Roman" w:hAnsi="Times New Roman"/>
          <w:sz w:val="18"/>
          <w:szCs w:val="18"/>
          <w:color w:val="auto"/>
        </w:rPr>
        <w:t>We maintain disclosure controls and procedures designed to provide reasonable assurance that information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spacing w:after="0" w:line="20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Our management, with the participation of our CEO and CFO, evaluated the effectiveness of our disclosure controls and procedures (as defined in Rules 13a-15(e) or 15d-15(e) promulgated under the Exchange Act) as of June 30, 2024 as required by paragraph (b) of Rules 13a-15 or 15d-15. Based on this evaluation, our CEO and CFO concluded that our disclosure controls and procedures were effective as of June 30, 2024.</w:t>
      </w:r>
    </w:p>
    <w:p>
      <w:pPr>
        <w:spacing w:after="0" w:line="200" w:lineRule="exact"/>
        <w:rPr>
          <w:sz w:val="20"/>
          <w:szCs w:val="20"/>
          <w:color w:val="auto"/>
        </w:rPr>
      </w:pPr>
    </w:p>
    <w:p>
      <w:pPr>
        <w:jc w:val="both"/>
        <w:ind w:firstLine="161"/>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Changes in Internal Control over Financial Reporting </w:t>
      </w:r>
      <w:r>
        <w:rPr>
          <w:rFonts w:ascii="Times New Roman" w:cs="Times New Roman" w:eastAsia="Times New Roman" w:hAnsi="Times New Roman"/>
          <w:sz w:val="18"/>
          <w:szCs w:val="18"/>
          <w:color w:val="auto"/>
        </w:rPr>
        <w:t>There have not been any changes in our internal control over financial reporting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 months ended June 30, 2024 that have materially affected, or are reasonably likely to materially affect, our internal control over financial reporting.</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3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SEC regulations require us to disclose certain information about environmental proceedings if a governmental authority is a party to such proceedings and such proceedings involve potential monetary sanctions that we reasonably believe will exceed a stated threshold. Pursuant to the SEC regulations, the Company will use a threshold of $1 million for purposes of determining whether disclosure of any such proceedings is required.</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discussion under Note 13 to our condensed consolidated financial statements is incorporated by reference into this Part II, Item 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face a number of significant risks and uncertainties in connection with our operations. Our business and the results of our operations and financial condition could be materially adversely affected by these risk factors. There have been no material changes to the Risk Factors disclosed in our 2023 Form 10-K.</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Purchases of Equity Securities </w:t>
      </w:r>
      <w:r>
        <w:rPr>
          <w:rFonts w:ascii="Times New Roman" w:cs="Times New Roman" w:eastAsia="Times New Roman" w:hAnsi="Times New Roman"/>
          <w:sz w:val="18"/>
          <w:szCs w:val="18"/>
          <w:color w:val="auto"/>
        </w:rPr>
        <w:t>The following table summarizes our purchases of common stock in the three months ended June 30, 2024:</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34"/>
        </w:trPr>
        <w:tc>
          <w:tcPr>
            <w:tcW w:w="5080" w:type="dxa"/>
            <w:vAlign w:val="bottom"/>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1"/>
                <w:szCs w:val="11"/>
                <w:color w:val="auto"/>
              </w:rPr>
            </w:pPr>
          </w:p>
        </w:tc>
        <w:tc>
          <w:tcPr>
            <w:tcW w:w="106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1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5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120" w:type="dxa"/>
            <w:vAlign w:val="bottom"/>
          </w:tcPr>
          <w:p>
            <w:pPr>
              <w:spacing w:after="0"/>
              <w:rPr>
                <w:sz w:val="12"/>
                <w:szCs w:val="12"/>
                <w:color w:val="auto"/>
              </w:rPr>
            </w:pPr>
          </w:p>
        </w:tc>
        <w:tc>
          <w:tcPr>
            <w:tcW w:w="1880" w:type="dxa"/>
            <w:vAlign w:val="bottom"/>
          </w:tcPr>
          <w:p>
            <w:pPr>
              <w:ind w:left="560"/>
              <w:spacing w:after="0" w:line="148" w:lineRule="exact"/>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Shares Purchased(a)</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Share</w:t>
            </w:r>
          </w:p>
        </w:tc>
        <w:tc>
          <w:tcPr>
            <w:tcW w:w="15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20" w:type="dxa"/>
            <w:vAlign w:val="bottom"/>
          </w:tcPr>
          <w:p>
            <w:pPr>
              <w:spacing w:after="0"/>
              <w:rPr>
                <w:sz w:val="12"/>
                <w:szCs w:val="12"/>
                <w:color w:val="auto"/>
              </w:rPr>
            </w:pPr>
          </w:p>
        </w:tc>
        <w:tc>
          <w:tcPr>
            <w:tcW w:w="18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May Yet be Purchased Under</w:t>
            </w:r>
          </w:p>
        </w:tc>
        <w:tc>
          <w:tcPr>
            <w:tcW w:w="0" w:type="dxa"/>
            <w:vAlign w:val="bottom"/>
          </w:tcPr>
          <w:p>
            <w:pPr>
              <w:spacing w:after="0"/>
              <w:rPr>
                <w:sz w:val="1"/>
                <w:szCs w:val="1"/>
                <w:color w:val="auto"/>
              </w:rPr>
            </w:pPr>
          </w:p>
        </w:tc>
      </w:tr>
      <w:tr>
        <w:trPr>
          <w:trHeight w:val="195"/>
        </w:trPr>
        <w:tc>
          <w:tcPr>
            <w:tcW w:w="50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(b)(c)</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Programs(b)(d)</w:t>
            </w:r>
          </w:p>
        </w:tc>
        <w:tc>
          <w:tcPr>
            <w:tcW w:w="12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Programs(b)(d)</w:t>
            </w:r>
          </w:p>
        </w:tc>
        <w:tc>
          <w:tcPr>
            <w:tcW w:w="0" w:type="dxa"/>
            <w:vAlign w:val="bottom"/>
          </w:tcPr>
          <w:p>
            <w:pPr>
              <w:spacing w:after="0"/>
              <w:rPr>
                <w:sz w:val="1"/>
                <w:szCs w:val="1"/>
                <w:color w:val="auto"/>
              </w:rPr>
            </w:pPr>
          </w:p>
        </w:tc>
      </w:tr>
      <w:tr>
        <w:trPr>
          <w:trHeight w:val="228"/>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2024 through April 30, 2024</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7,358,922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7,327,324</w:t>
            </w:r>
          </w:p>
        </w:tc>
        <w:tc>
          <w:tcPr>
            <w:tcW w:w="1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$0.7 billion</w:t>
            </w:r>
          </w:p>
        </w:tc>
        <w:tc>
          <w:tcPr>
            <w:tcW w:w="0" w:type="dxa"/>
            <w:vAlign w:val="bottom"/>
          </w:tcPr>
          <w:p>
            <w:pPr>
              <w:spacing w:after="0"/>
              <w:rPr>
                <w:sz w:val="1"/>
                <w:szCs w:val="1"/>
                <w:color w:val="auto"/>
              </w:rPr>
            </w:pPr>
          </w:p>
        </w:tc>
      </w:tr>
      <w:tr>
        <w:trPr>
          <w:trHeight w:val="22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2024 through May 31, 2024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7,989,432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7,989,302</w:t>
            </w:r>
          </w:p>
        </w:tc>
        <w:tc>
          <w:tcPr>
            <w:tcW w:w="120" w:type="dxa"/>
            <w:vAlign w:val="bottom"/>
          </w:tcPr>
          <w:p>
            <w:pPr>
              <w:spacing w:after="0"/>
              <w:rPr>
                <w:sz w:val="19"/>
                <w:szCs w:val="19"/>
                <w:color w:val="auto"/>
              </w:rPr>
            </w:pPr>
          </w:p>
        </w:tc>
        <w:tc>
          <w:tcPr>
            <w:tcW w:w="1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$0.4 billion</w:t>
            </w:r>
          </w:p>
        </w:tc>
        <w:tc>
          <w:tcPr>
            <w:tcW w:w="0" w:type="dxa"/>
            <w:vAlign w:val="bottom"/>
          </w:tcPr>
          <w:p>
            <w:pPr>
              <w:spacing w:after="0"/>
              <w:rPr>
                <w:sz w:val="1"/>
                <w:szCs w:val="1"/>
                <w:color w:val="auto"/>
              </w:rPr>
            </w:pPr>
          </w:p>
        </w:tc>
      </w:tr>
      <w:tr>
        <w:trPr>
          <w:trHeight w:val="228"/>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2024 through June 30, 2024</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7,382,554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7,345,945</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$6.0 billion</w:t>
            </w:r>
          </w:p>
        </w:tc>
        <w:tc>
          <w:tcPr>
            <w:tcW w:w="0" w:type="dxa"/>
            <w:vAlign w:val="bottom"/>
          </w:tcPr>
          <w:p>
            <w:pPr>
              <w:spacing w:after="0"/>
              <w:rPr>
                <w:sz w:val="1"/>
                <w:szCs w:val="1"/>
                <w:color w:val="auto"/>
              </w:rPr>
            </w:pPr>
          </w:p>
        </w:tc>
      </w:tr>
      <w:tr>
        <w:trPr>
          <w:trHeight w:val="222"/>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22,730,908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22,662,571</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right="20" w:hanging="333"/>
        <w:spacing w:after="0" w:line="251" w:lineRule="auto"/>
        <w:tabs>
          <w:tab w:leader="none" w:pos="331"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purchased include shares delivered by employees or directors to us for the payment of taxes resulting from the issuance of common stock upon the vesting of RSUs relating to compensation plans. Refer to our 2023 Form 10-K for additional details on employee stock incentive plans.</w:t>
      </w:r>
    </w:p>
    <w:p>
      <w:pPr>
        <w:spacing w:after="0" w:line="1" w:lineRule="exact"/>
        <w:rPr>
          <w:rFonts w:ascii="Times New Roman" w:cs="Times New Roman" w:eastAsia="Times New Roman" w:hAnsi="Times New Roman"/>
          <w:sz w:val="16"/>
          <w:szCs w:val="16"/>
          <w:color w:val="auto"/>
        </w:rPr>
      </w:pPr>
    </w:p>
    <w:p>
      <w:pPr>
        <w:jc w:val="both"/>
        <w:ind w:left="340" w:hanging="333"/>
        <w:spacing w:after="0" w:line="253" w:lineRule="auto"/>
        <w:tabs>
          <w:tab w:leader="none" w:pos="3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months ended December 31, 2023, we entered into the ASR Agreements to repurchase an aggregate $10.0 billion of common stock, and we received and immediately retired approximately 215 million shares of our common stock (68% of the $10.0 billion aggregate purchase price calculated on the basis of a price of $31.60 per share, the closing share price of our common stock on November 29, 2023). In March 2024, upon the first settlement of the transactions contemplated under the ASR Agreements, we received approximately 4 million additional shares of our common stock, which were immediately retired. There was no settlement under the ASR Agreements in the three months ended June 30, 2024. The final number of shares ultimately to be purchased, and the average price paid per share, will be determined at the final settlement of the ASR Agreements and will be based on the average of the daily volume-weighted average prices of our common stock during the term of the ASR Agreements, less a discount and subject to adjustments pursuant to the terms and conditions of the ASR Agreements. The final settlement of the transactions contemplated under the ASR Agreements in connection with the ASR program is expected to occur no later than the three months ending December 31, 2024.</w:t>
      </w:r>
    </w:p>
    <w:p>
      <w:pPr>
        <w:spacing w:after="0" w:line="1"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weighted-average price paid per share excludes broker commissions.</w:t>
      </w:r>
    </w:p>
    <w:p>
      <w:pPr>
        <w:spacing w:after="0" w:line="4" w:lineRule="exact"/>
        <w:rPr>
          <w:rFonts w:ascii="Times New Roman" w:cs="Times New Roman" w:eastAsia="Times New Roman" w:hAnsi="Times New Roman"/>
          <w:sz w:val="16"/>
          <w:szCs w:val="16"/>
          <w:color w:val="auto"/>
        </w:rPr>
      </w:pPr>
    </w:p>
    <w:p>
      <w:pPr>
        <w:jc w:val="both"/>
        <w:ind w:left="340" w:hanging="333"/>
        <w:spacing w:after="0" w:line="259" w:lineRule="auto"/>
        <w:tabs>
          <w:tab w:leader="none" w:pos="3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November 2023, our Board of Directors increased the capacity under the share repurchase program by $10.0 billion to an aggregate of $11.4 billion and approved the $10.0 billion ASR program. In June 2024, our Board of Directors approved a new share repurchase authorization to repurchase up to an additional $6.0 billion of our outstanding common stock. At June 30, 2024, we had $6.0 billion in capacity remaining under the share repurchase program, with no expiration date.</w:t>
      </w:r>
    </w:p>
    <w:p>
      <w:pPr>
        <w:spacing w:after="0" w:line="214" w:lineRule="exact"/>
        <w:rPr>
          <w:rFonts w:ascii="Times New Roman" w:cs="Times New Roman" w:eastAsia="Times New Roman" w:hAnsi="Times New Roman"/>
          <w:sz w:val="16"/>
          <w:szCs w:val="16"/>
          <w:color w:val="auto"/>
        </w:rPr>
      </w:pPr>
    </w:p>
    <w:p>
      <w:pPr>
        <w:ind w:left="50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During the three months ended June 30, 2024, Rory Harvey, Executive Vice President and President, Global Markets, adopted a "Rule 10b5-1 trading arrangement" as such term is defined in Item 408(a) of Regulation S-K, on May 5, 2024, to sell up to 4,145 shares of GM common stock and up to 35,778 shares of GM common stock issuable upon exercise of vested options between August 5, 2024 and April 18, 2025, subject to certain conditions.</w:t>
      </w:r>
    </w:p>
    <w:p>
      <w:pPr>
        <w:spacing w:after="0" w:line="2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 * * * * *</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40" w:type="dxa"/>
            <w:vAlign w:val="bottom"/>
            <w:gridSpan w:val="7"/>
          </w:tcPr>
          <w:p>
            <w:pPr>
              <w:ind w:left="106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6"/>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40" w:type="dxa"/>
            <w:vAlign w:val="bottom"/>
            <w:gridSpan w:val="7"/>
          </w:tcPr>
          <w:p>
            <w:pPr>
              <w:ind w:left="2660"/>
              <w:spacing w:after="0"/>
              <w:rPr>
                <w:sz w:val="20"/>
                <w:szCs w:val="20"/>
                <w:color w:val="auto"/>
              </w:rPr>
            </w:pPr>
            <w:r>
              <w:rPr>
                <w:rFonts w:ascii="Times New Roman" w:cs="Times New Roman" w:eastAsia="Times New Roman" w:hAnsi="Times New Roman"/>
                <w:sz w:val="18"/>
                <w:szCs w:val="18"/>
                <w:b w:val="1"/>
                <w:bCs w:val="1"/>
                <w:color w:val="auto"/>
              </w:rPr>
              <w:t>Exhibit Name</w:t>
            </w: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Borders>
              <w:top w:val="single" w:sz="8" w:color="auto"/>
            </w:tcBorders>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80" w:type="dxa"/>
            <w:vAlign w:val="bottom"/>
            <w:tcBorders>
              <w:top w:val="single" w:sz="8" w:color="auto"/>
            </w:tcBorders>
            <w:gridSpan w:val="9"/>
            <w:shd w:val="clear" w:color="auto" w:fill="CCEEFF"/>
          </w:tcPr>
          <w:p>
            <w:pPr>
              <w:spacing w:after="0" w:line="168"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Restated Certificate of Incorporation of General Motors Company dated December 7, 2010, incorporated by</w:t>
              </w:r>
            </w:hyperlink>
          </w:p>
        </w:tc>
        <w:tc>
          <w:tcPr>
            <w:tcW w:w="1640" w:type="dxa"/>
            <w:vAlign w:val="bottom"/>
            <w:tcBorders>
              <w:top w:val="single" w:sz="8" w:color="CCEEFF"/>
            </w:tcBorders>
            <w:shd w:val="clear" w:color="auto" w:fill="CCEEFF"/>
          </w:tcPr>
          <w:p>
            <w:pPr>
              <w:ind w:left="120"/>
              <w:spacing w:after="0" w:line="168" w:lineRule="exact"/>
              <w:rPr>
                <w:sz w:val="20"/>
                <w:szCs w:val="20"/>
                <w:color w:val="auto"/>
              </w:rPr>
            </w:pPr>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60" w:type="dxa"/>
            <w:vAlign w:val="bottom"/>
            <w:tcBorders>
              <w:top w:val="single" w:sz="8" w:color="0000FF"/>
            </w:tcBorders>
            <w:gridSpan w:val="8"/>
            <w:shd w:val="clear" w:color="auto" w:fill="CCEEFF"/>
          </w:tcPr>
          <w:p>
            <w:pPr>
              <w:spacing w:after="0" w:line="161"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reference to Exhibit 3.2 to the Current Report on Form 8-K of General Motors Company filed December 13,</w:t>
              </w:r>
            </w:hyperlink>
          </w:p>
        </w:tc>
        <w:tc>
          <w:tcPr>
            <w:tcW w:w="2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CCEEFF"/>
            </w:tcBorders>
            <w:shd w:val="clear" w:color="auto" w:fill="CCEEFF"/>
          </w:tcPr>
          <w:p>
            <w:pPr>
              <w:ind w:left="120"/>
              <w:spacing w:after="0" w:line="161"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0000FF"/>
            </w:tcBorders>
            <w:gridSpan w:val="2"/>
            <w:shd w:val="clear" w:color="auto" w:fill="CCEEFF"/>
          </w:tcPr>
          <w:p>
            <w:pPr>
              <w:spacing w:after="0" w:line="168"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2010</w:t>
              </w:r>
            </w:hyperlink>
          </w:p>
        </w:tc>
        <w:tc>
          <w:tcPr>
            <w:tcW w:w="31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420" w:type="dxa"/>
            <w:vAlign w:val="bottom"/>
            <w:tcBorders>
              <w:top w:val="single" w:sz="8" w:color="0000FF"/>
            </w:tcBorders>
            <w:shd w:val="clear" w:color="auto" w:fill="CCEEFF"/>
          </w:tcPr>
          <w:p>
            <w:pPr>
              <w:spacing w:after="0"/>
              <w:rPr>
                <w:sz w:val="14"/>
                <w:szCs w:val="14"/>
                <w:color w:val="auto"/>
              </w:rPr>
            </w:pPr>
          </w:p>
        </w:tc>
        <w:tc>
          <w:tcPr>
            <w:tcW w:w="1380" w:type="dxa"/>
            <w:vAlign w:val="bottom"/>
            <w:tcBorders>
              <w:top w:val="single" w:sz="8" w:color="0000FF"/>
            </w:tcBorders>
            <w:shd w:val="clear" w:color="auto" w:fill="CCEEFF"/>
          </w:tcPr>
          <w:p>
            <w:pPr>
              <w:spacing w:after="0"/>
              <w:rPr>
                <w:sz w:val="14"/>
                <w:szCs w:val="14"/>
                <w:color w:val="auto"/>
              </w:rPr>
            </w:pPr>
          </w:p>
        </w:tc>
        <w:tc>
          <w:tcPr>
            <w:tcW w:w="2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80" w:type="dxa"/>
            <w:vAlign w:val="bottom"/>
            <w:gridSpan w:val="9"/>
          </w:tcPr>
          <w:p>
            <w:pPr>
              <w:spacing w:after="0" w:line="189"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General Motors Company Amended and Restated Bylaws, as amended April 20, 2023, incorporated by</w:t>
              </w:r>
            </w:hyperlink>
          </w:p>
        </w:tc>
        <w:tc>
          <w:tcPr>
            <w:tcW w:w="16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40" w:type="dxa"/>
            <w:vAlign w:val="bottom"/>
            <w:tcBorders>
              <w:top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80">
              <w:r>
                <w:rPr>
                  <w:rFonts w:ascii="Times New Roman" w:cs="Times New Roman" w:eastAsia="Times New Roman" w:hAnsi="Times New Roman"/>
                  <w:sz w:val="17"/>
                  <w:szCs w:val="17"/>
                  <w:color w:val="0000FF"/>
                </w:rPr>
                <w:t>reference to Exhibit 3.1 to the Current Report on Form 8-K of General Motors Company filed April 21, 2023</w:t>
              </w:r>
            </w:hyperlink>
          </w:p>
        </w:tc>
        <w:tc>
          <w:tcPr>
            <w:tcW w:w="40" w:type="dxa"/>
            <w:vAlign w:val="bottom"/>
            <w:gridSpan w:val="2"/>
          </w:tcPr>
          <w:p>
            <w:pPr>
              <w:spacing w:after="0"/>
              <w:rPr>
                <w:sz w:val="13"/>
                <w:szCs w:val="13"/>
                <w:color w:val="auto"/>
              </w:rPr>
            </w:pPr>
          </w:p>
        </w:tc>
        <w:tc>
          <w:tcPr>
            <w:tcW w:w="1640" w:type="dxa"/>
            <w:vAlign w:val="bottom"/>
          </w:tcPr>
          <w:p>
            <w:pPr>
              <w:ind w:left="120"/>
              <w:spacing w:after="0" w:line="154" w:lineRule="exact"/>
              <w:rPr>
                <w:sz w:val="20"/>
                <w:szCs w:val="20"/>
                <w:color w:val="auto"/>
              </w:rPr>
            </w:pPr>
            <w:r>
              <w:rPr>
                <w:rFonts w:ascii="Times New Roman" w:cs="Times New Roman" w:eastAsia="Times New Roman" w:hAnsi="Times New Roman"/>
                <w:sz w:val="17"/>
                <w:szCs w:val="17"/>
                <w:color w:val="auto"/>
              </w:rPr>
              <w:t>Reference</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3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20" w:type="dxa"/>
            <w:vAlign w:val="bottom"/>
            <w:tcBorders>
              <w:top w:val="single" w:sz="8" w:color="0000FF"/>
            </w:tcBorders>
          </w:tcPr>
          <w:p>
            <w:pPr>
              <w:spacing w:after="0"/>
              <w:rPr>
                <w:sz w:val="2"/>
                <w:szCs w:val="2"/>
                <w:color w:val="auto"/>
              </w:rPr>
            </w:pPr>
          </w:p>
        </w:tc>
        <w:tc>
          <w:tcPr>
            <w:tcW w:w="138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8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Senior Advisor Consulting Agreement between General Motors LLC and Michael Abbott</w:t>
            </w:r>
          </w:p>
        </w:tc>
        <w:tc>
          <w:tcPr>
            <w:tcW w:w="164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4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6420" w:type="dxa"/>
            <w:vAlign w:val="bottom"/>
            <w:tcBorders>
              <w:top w:val="single" w:sz="8" w:color="0000FF"/>
            </w:tcBorders>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Section 302 Certification of the Chief Executive Officer</w:t>
            </w:r>
          </w:p>
        </w:tc>
        <w:tc>
          <w:tcPr>
            <w:tcW w:w="1660" w:type="dxa"/>
            <w:vAlign w:val="bottom"/>
            <w:tcBorders>
              <w:top w:val="single" w:sz="8" w:color="CCEEFF"/>
            </w:tcBorders>
            <w:gridSpan w:val="4"/>
          </w:tcPr>
          <w:p>
            <w:pPr>
              <w:spacing w:after="0"/>
              <w:rPr>
                <w:sz w:val="16"/>
                <w:szCs w:val="16"/>
                <w:color w:val="auto"/>
              </w:rPr>
            </w:pPr>
          </w:p>
        </w:tc>
        <w:tc>
          <w:tcPr>
            <w:tcW w:w="1640" w:type="dxa"/>
            <w:vAlign w:val="bottom"/>
            <w:tcBorders>
              <w:top w:val="single" w:sz="8" w:color="CCEEFF"/>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3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8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Section 302 Certification of the Chief Financial Officer</w:t>
            </w:r>
          </w:p>
        </w:tc>
        <w:tc>
          <w:tcPr>
            <w:tcW w:w="164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3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8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w:t>
            </w:r>
          </w:p>
        </w:tc>
        <w:tc>
          <w:tcPr>
            <w:tcW w:w="16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Furnished with this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40" w:type="dxa"/>
            <w:vAlign w:val="bottom"/>
            <w:tcBorders>
              <w:top w:val="single" w:sz="8" w:color="0000FF"/>
            </w:tcBorders>
            <w:gridSpan w:val="7"/>
          </w:tcPr>
          <w:p>
            <w:pPr>
              <w:spacing w:after="0" w:line="154" w:lineRule="exact"/>
              <w:rPr>
                <w:sz w:val="20"/>
                <w:szCs w:val="20"/>
                <w:color w:val="auto"/>
              </w:rPr>
            </w:pPr>
            <w:r>
              <w:rPr>
                <w:rFonts w:ascii="Times New Roman" w:cs="Times New Roman" w:eastAsia="Times New Roman" w:hAnsi="Times New Roman"/>
                <w:sz w:val="17"/>
                <w:szCs w:val="17"/>
                <w:color w:val="0000FF"/>
              </w:rPr>
              <w:t>Act of 2002</w:t>
            </w:r>
          </w:p>
        </w:tc>
        <w:tc>
          <w:tcPr>
            <w:tcW w:w="40" w:type="dxa"/>
            <w:vAlign w:val="bottom"/>
            <w:gridSpan w:val="2"/>
          </w:tcPr>
          <w:p>
            <w:pPr>
              <w:spacing w:after="0"/>
              <w:rPr>
                <w:sz w:val="13"/>
                <w:szCs w:val="13"/>
                <w:color w:val="auto"/>
              </w:rPr>
            </w:pPr>
          </w:p>
        </w:tc>
        <w:tc>
          <w:tcPr>
            <w:tcW w:w="1640" w:type="dxa"/>
            <w:vAlign w:val="bottom"/>
          </w:tcPr>
          <w:p>
            <w:pPr>
              <w:ind w:left="120"/>
              <w:spacing w:after="0" w:line="154" w:lineRule="exact"/>
              <w:rPr>
                <w:sz w:val="20"/>
                <w:szCs w:val="20"/>
                <w:color w:val="auto"/>
              </w:rPr>
            </w:pPr>
            <w:r>
              <w:rPr>
                <w:rFonts w:ascii="Times New Roman" w:cs="Times New Roman" w:eastAsia="Times New Roman" w:hAnsi="Times New Roman"/>
                <w:sz w:val="17"/>
                <w:szCs w:val="17"/>
                <w:color w:val="auto"/>
              </w:rPr>
              <w:t>Report</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3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80" w:type="dxa"/>
            <w:vAlign w:val="bottom"/>
            <w:gridSpan w:val="9"/>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The following financial information from the Company’s Quarterly Report on Form 10-Q for the quarter ended</w:t>
            </w:r>
          </w:p>
        </w:tc>
        <w:tc>
          <w:tcPr>
            <w:tcW w:w="164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80" w:type="dxa"/>
            <w:vAlign w:val="bottom"/>
            <w:gridSpan w:val="9"/>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June 30, 2024, formatted in Inline Extensible Business Reporting Language (iXBRL) includes: (i) the</w:t>
            </w: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80" w:type="dxa"/>
            <w:vAlign w:val="bottom"/>
            <w:gridSpan w:val="9"/>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Condensed Consolidated Income Statements, (ii) the Condensed Consolidated Statements of Comprehensive</w:t>
            </w: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80" w:type="dxa"/>
            <w:vAlign w:val="bottom"/>
            <w:gridSpan w:val="9"/>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Income, (iii) the Condensed Consolidated Balance Sheets, (iv) the Condensed Consolidated Statements of Cash</w:t>
            </w: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80" w:type="dxa"/>
            <w:vAlign w:val="bottom"/>
            <w:gridSpan w:val="9"/>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Flows, (v) the Condensed Consolidated Statements of Equity and (vi) Notes to the Condensed Consolidated</w:t>
            </w: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8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80" w:type="dxa"/>
            <w:vAlign w:val="bottom"/>
            <w:gridSpan w:val="9"/>
          </w:tcPr>
          <w:p>
            <w:pPr>
              <w:spacing w:after="0" w:line="175" w:lineRule="exact"/>
              <w:rPr>
                <w:sz w:val="20"/>
                <w:szCs w:val="20"/>
                <w:color w:val="auto"/>
              </w:rPr>
            </w:pPr>
            <w:r>
              <w:rPr>
                <w:rFonts w:ascii="Times New Roman" w:cs="Times New Roman" w:eastAsia="Times New Roman" w:hAnsi="Times New Roman"/>
                <w:sz w:val="18"/>
                <w:szCs w:val="18"/>
                <w:color w:val="auto"/>
              </w:rPr>
              <w:t>The cover page from the Company's Quarterly Report on Form 10-Q for the quarter ended June 30, 2024,</w:t>
            </w:r>
          </w:p>
        </w:tc>
        <w:tc>
          <w:tcPr>
            <w:tcW w:w="1640" w:type="dxa"/>
            <w:vAlign w:val="bottom"/>
          </w:tcPr>
          <w:p>
            <w:pPr>
              <w:ind w:left="120"/>
              <w:spacing w:after="0" w:line="175"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formatted as Inline XBRL and contained in Exhibit 101</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Management contracts or compensatory plans and arrangements.</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43"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GENERAL MOTORS COMPANY (Registrant)</w:t>
      </w:r>
    </w:p>
    <w:p>
      <w:pPr>
        <w:spacing w:after="0" w:line="200" w:lineRule="exact"/>
        <w:rPr>
          <w:sz w:val="20"/>
          <w:szCs w:val="20"/>
          <w:color w:val="auto"/>
        </w:rPr>
      </w:pPr>
    </w:p>
    <w:p>
      <w:pPr>
        <w:spacing w:after="0" w:line="332" w:lineRule="exact"/>
        <w:rPr>
          <w:sz w:val="20"/>
          <w:szCs w:val="20"/>
          <w:color w:val="auto"/>
        </w:rPr>
      </w:pPr>
    </w:p>
    <w:p>
      <w:pPr>
        <w:ind w:left="5380"/>
        <w:spacing w:after="0"/>
        <w:tabs>
          <w:tab w:leader="none" w:pos="5820" w:val="left"/>
        </w:tabs>
        <w:rPr>
          <w:sz w:val="20"/>
          <w:szCs w:val="20"/>
          <w:color w:val="auto"/>
        </w:rPr>
      </w:pPr>
      <w:r>
        <w:rPr>
          <w:rFonts w:ascii="Times New Roman" w:cs="Times New Roman" w:eastAsia="Times New Roman" w:hAnsi="Times New Roman"/>
          <w:sz w:val="18"/>
          <w:szCs w:val="18"/>
          <w:color w:val="auto"/>
        </w:rPr>
        <w:t>By:</w:t>
        <w:tab/>
        <w:t>/s/ CHRISTOPHER T. HATTO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16510</wp:posOffset>
            </wp:positionV>
            <wp:extent cx="32594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259455" cy="8255"/>
                    </a:xfrm>
                    <a:prstGeom prst="rect">
                      <a:avLst/>
                    </a:prstGeom>
                    <a:noFill/>
                  </pic:spPr>
                </pic:pic>
              </a:graphicData>
            </a:graphic>
          </wp:anchor>
        </w:drawing>
      </w:r>
    </w:p>
    <w:p>
      <w:pPr>
        <w:spacing w:after="0" w:line="1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Christopher T. Hatto, Vice President, Global Business Solutions and</w:t>
      </w:r>
    </w:p>
    <w:p>
      <w:pPr>
        <w:spacing w:after="0" w:line="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July 23, 2024</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21"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April 6, 2024</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Mr. Michael Abbott</w:t>
      </w:r>
    </w:p>
    <w:p>
      <w:pPr>
        <w:spacing w:after="0" w:line="200" w:lineRule="exact"/>
        <w:rPr>
          <w:sz w:val="20"/>
          <w:szCs w:val="20"/>
          <w:color w:val="auto"/>
        </w:rPr>
      </w:pPr>
    </w:p>
    <w:p>
      <w:pPr>
        <w:spacing w:after="0" w:line="29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7"/>
          <w:szCs w:val="17"/>
          <w:b w:val="1"/>
          <w:bCs w:val="1"/>
          <w:u w:val="single" w:color="auto"/>
          <w:color w:val="auto"/>
        </w:rPr>
        <w:t>Senior Advisor Consulting Agreement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Dear Mike:</w:t>
      </w:r>
    </w:p>
    <w:p>
      <w:pPr>
        <w:spacing w:after="0" w:line="21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General Motors LLC wishes to enter into a Senior Advisor Consulting Agreement (“Agreement”) with you for consulting services beginning April 2, 2024, and ending December 31, 2024. In your capacity as Senior Advisor Consultant, you will be expected to be available, from time to time, to consult and provide guidance, advice and other assistance as may be requested by the Chair and Chief Executive Officer (“CEO”).</w:t>
      </w:r>
    </w:p>
    <w:p>
      <w:pPr>
        <w:spacing w:after="0" w:line="20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While it is understood that you will make your services available at all reasonable times, it is also recognized that the services and the time required therefore may vary with different monthly periods. Under this Agreement, you are not expected or required to work on a regular basis, but rather, to make yourself available as needed by the Chair and CEO. For each month covered in this Agreement, you will receive a monthly fee of Twenty-Five-Thousand Dollars ($25,000.00), payable monthly. In addition, you will be reimbursed, upon submission of monthly expense reports, for your reasonable expenses, including travel (transportation and hotel), telephone and other incidental expenses necessarily incurred in connection with the services requested and furnished, conditioned upon their being in compliance with GM’s Expense Policy. Any expenses that are expected to be significant should be discussed in advance. In addition, you will receive the use of two company vehicles under the same provisions as the Senior Executive Vehicle Program.</w:t>
      </w:r>
    </w:p>
    <w:p>
      <w:pPr>
        <w:spacing w:after="0" w:line="25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parties agree and understand that you are free to work for, or consult with others during the period of this Agreement. You represent and agree that in the performance of services under this Agreement, your actions will not and shall not in any manner be contrary or detrimental to the best interests of General Motors Company and that General Motors LLC shall be the sole judge of such actions. It is understood and agreed, and you hereby represent, that in performing services under this Agreement, or in connection therewith, neither you nor any person acting on your behalf, has given or offered to give, or will give or offer, any sum of money, or other material consideration to any person, directly or indirectly as an inducement to influence the granting of any order to General Motors LLC, General Motors Company, or any of their related companies, for parts, supplies, equipment, or services whether or not such an act constitutes a violation of law.</w:t>
      </w:r>
    </w:p>
    <w:p>
      <w:pPr>
        <w:spacing w:after="0" w:line="196"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Any inventions or improvements that you may conceive, make, invent, or suggest in connection with work as a consultant or knowledge affected by such work shall be promptly disclosed to General Motors LLC by you and shall become the absolute property of General Motors LLC or its designate. You shall at any time during the life of this Agreement or thereafter, at the request of General Motors LLC or any of its related companies or delegates, execute any patent papers covering such inventions or improvements, as well as any papers that General Motors LLC or its designate may consider necessary or helpful in the prosecution of applications for patent thereon, or in connection with litigation or controversy relating thereto, provided, however, that all expense incident to the filing of such applications and the prosecution thereof and the conduct of litigation shall be borne by General Motors LLC.</w:t>
      </w:r>
    </w:p>
    <w:p>
      <w:pPr>
        <w:spacing w:after="0" w:line="207"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All information and data of whatsoever kind or nature furnished or made available to you by General Motors LLC or General Motors Company (including its direct and indirect subsidiaries, affiliates and joint ventures) or their representatives, in your capacity as a consultant, shall be treated as confidential and shall not be disclosed to anyone, in any manner whatsoever, either in whole or in part, except upon written authorization by General Motors LLC.</w:t>
      </w:r>
    </w:p>
    <w:p>
      <w:pPr>
        <w:spacing w:after="0" w:line="201"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color w:val="auto"/>
        </w:rPr>
        <w:t>April 2, 2024 is the date of your termination of employment and separation from service for purposes of all GM employee benefit plans and compensation arrangements, including any qualified and nonqualified</w:t>
      </w:r>
    </w:p>
    <w:p>
      <w:pPr>
        <w:sectPr>
          <w:pgSz w:w="11900" w:h="16838" w:orient="portrait"/>
          <w:cols w:equalWidth="0" w:num="1">
            <w:col w:w="11140"/>
          </w:cols>
          <w:pgMar w:left="420" w:top="106" w:right="339" w:bottom="1440" w:gutter="0" w:footer="0" w:header="0"/>
        </w:sectPr>
      </w:pPr>
    </w:p>
    <w:bookmarkStart w:id="55" w:name="page56"/>
    <w:bookmarkEnd w:id="55"/>
    <w:p>
      <w:pPr>
        <w:ind w:left="100" w:right="80"/>
        <w:spacing w:after="0" w:line="255" w:lineRule="auto"/>
        <w:rPr>
          <w:sz w:val="20"/>
          <w:szCs w:val="20"/>
          <w:color w:val="auto"/>
        </w:rPr>
      </w:pPr>
      <w:r>
        <w:rPr>
          <w:rFonts w:ascii="Arial" w:cs="Arial" w:eastAsia="Arial" w:hAnsi="Arial"/>
          <w:sz w:val="18"/>
          <w:szCs w:val="18"/>
          <w:color w:val="auto"/>
        </w:rPr>
        <w:t>deferred compensation arrangements, in which you currently participate. After that date, you will function as an independent contractor and will not have the status of an employee of General Motors LLC or General Motors Company (or any related company). You will not be eligible to accrue any new or additional benefits in any of General Motors’ employee benefit plans or programs. you understand and agree that you will not be a participant in any GM benefit plan by virtue of service as a senior advisor; for example, your services under this Agreement will not be factored in any way under any pension, welfare or benefit plan or program, e.g., the Salaried Retirement Program, the Executive Retirement Program (ERP), the Short Term Incentive Program (STIP), the Salaried Health Care Program, or the Long Term Incentive Program (LTIP).</w:t>
      </w:r>
    </w:p>
    <w:p>
      <w:pPr>
        <w:spacing w:after="0" w:line="167" w:lineRule="exact"/>
        <w:rPr>
          <w:sz w:val="20"/>
          <w:szCs w:val="20"/>
          <w:color w:val="auto"/>
        </w:rPr>
      </w:pPr>
    </w:p>
    <w:p>
      <w:pPr>
        <w:ind w:left="100"/>
        <w:spacing w:after="0" w:line="261" w:lineRule="auto"/>
        <w:rPr>
          <w:sz w:val="20"/>
          <w:szCs w:val="20"/>
          <w:color w:val="auto"/>
        </w:rPr>
      </w:pPr>
      <w:r>
        <w:rPr>
          <w:rFonts w:ascii="Arial" w:cs="Arial" w:eastAsia="Arial" w:hAnsi="Arial"/>
          <w:sz w:val="18"/>
          <w:szCs w:val="18"/>
          <w:color w:val="auto"/>
        </w:rPr>
        <w:t>Because, as a Senior Advisor, you are an independent contractor, General Motors LLC will report your fees to the IRS each year on a Form 1099; however, no deductions from your fees will be made, either for income tax or FICA tax purposes, or other statutory deductions, unless required to do so by some regulation or order. You are exclusively responsible for the payment of taxes relating to this Agreement and services under it.</w:t>
      </w:r>
    </w:p>
    <w:p>
      <w:pPr>
        <w:spacing w:after="0" w:line="201" w:lineRule="exact"/>
        <w:rPr>
          <w:sz w:val="20"/>
          <w:szCs w:val="20"/>
          <w:color w:val="auto"/>
        </w:rPr>
      </w:pPr>
    </w:p>
    <w:p>
      <w:pPr>
        <w:ind w:left="100" w:right="120"/>
        <w:spacing w:after="0" w:line="267" w:lineRule="auto"/>
        <w:rPr>
          <w:sz w:val="20"/>
          <w:szCs w:val="20"/>
          <w:color w:val="auto"/>
        </w:rPr>
      </w:pPr>
      <w:r>
        <w:rPr>
          <w:rFonts w:ascii="Arial" w:cs="Arial" w:eastAsia="Arial" w:hAnsi="Arial"/>
          <w:sz w:val="18"/>
          <w:szCs w:val="18"/>
          <w:color w:val="auto"/>
        </w:rPr>
        <w:t>This Agreement may be terminated by either party at any time upon written notice delivered to the other party at the address set forth below the signature of the party to whom such notice is addressed, except that the terms of this Agreement relating to intellectual property, confidentiality, and your status as an independent contractor shall survive.</w:t>
      </w:r>
    </w:p>
    <w:p>
      <w:pPr>
        <w:spacing w:after="0" w:line="15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If the foregoing is acceptable to you, kindly endorse your acceptance and return to my attention.</w:t>
      </w:r>
    </w:p>
    <w:p>
      <w:pPr>
        <w:spacing w:after="0" w:line="250"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Sincerely,</w:t>
      </w:r>
    </w:p>
    <w:p>
      <w:pPr>
        <w:spacing w:after="0" w:line="250"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 Janice K. Uhlig</w:t>
      </w:r>
    </w:p>
    <w:p>
      <w:pPr>
        <w:spacing w:after="0" w:line="250"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Janice K. Uhlig</w:t>
      </w:r>
    </w:p>
    <w:p>
      <w:pPr>
        <w:spacing w:after="0" w:line="2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Vice President</w:t>
      </w:r>
    </w:p>
    <w:p>
      <w:pPr>
        <w:spacing w:after="0" w:line="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Global Total Rewards General Motors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Accepted this 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April, 2024</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/s/ Michael Abbott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Michael Abbott</w:t>
      </w:r>
    </w:p>
    <w:p>
      <w:pPr>
        <w:sectPr>
          <w:pgSz w:w="11900" w:h="16838" w:orient="portrait"/>
          <w:cols w:equalWidth="0" w:num="1">
            <w:col w:w="11160"/>
          </w:cols>
          <w:pgMar w:left="320" w:top="1411" w:right="41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T. Barra, certify that:</w:t>
      </w:r>
    </w:p>
    <w:p>
      <w:pPr>
        <w:spacing w:after="0" w:line="250" w:lineRule="exact"/>
        <w:rPr>
          <w:sz w:val="20"/>
          <w:szCs w:val="20"/>
          <w:color w:val="auto"/>
        </w:rPr>
      </w:pPr>
    </w:p>
    <w:p>
      <w:pPr>
        <w:ind w:left="380" w:hanging="171"/>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General Motors Company;</w:t>
      </w:r>
    </w:p>
    <w:p>
      <w:pPr>
        <w:spacing w:after="0" w:line="249" w:lineRule="exact"/>
        <w:rPr>
          <w:rFonts w:ascii="Times New Roman" w:cs="Times New Roman" w:eastAsia="Times New Roman" w:hAnsi="Times New Roman"/>
          <w:sz w:val="18"/>
          <w:szCs w:val="18"/>
          <w:color w:val="auto"/>
        </w:rPr>
      </w:pPr>
    </w:p>
    <w:p>
      <w:pPr>
        <w:ind w:firstLine="209"/>
        <w:spacing w:after="0" w:line="280" w:lineRule="auto"/>
        <w:tabs>
          <w:tab w:leader="none" w:pos="39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209"/>
        <w:spacing w:after="0" w:line="280" w:lineRule="auto"/>
        <w:tabs>
          <w:tab w:leader="none" w:pos="39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209"/>
        <w:spacing w:after="0" w:line="264" w:lineRule="auto"/>
        <w:tabs>
          <w:tab w:leader="none" w:pos="41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8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81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380" w:firstLine="192"/>
        <w:spacing w:after="0" w:line="280" w:lineRule="auto"/>
        <w:tabs>
          <w:tab w:leader="none" w:pos="81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9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firstLine="209"/>
        <w:spacing w:after="0" w:line="280" w:lineRule="auto"/>
        <w:tabs>
          <w:tab w:leader="none" w:pos="3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380" w:right="20" w:firstLine="192"/>
        <w:spacing w:after="0" w:line="280" w:lineRule="auto"/>
        <w:tabs>
          <w:tab w:leader="none" w:pos="77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380" w:firstLine="192"/>
        <w:spacing w:after="0" w:line="280" w:lineRule="auto"/>
        <w:tabs>
          <w:tab w:leader="none" w:pos="78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25768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2576830" cy="8255"/>
                    </a:xfrm>
                    <a:prstGeom prst="rect">
                      <a:avLst/>
                    </a:prstGeom>
                    <a:noFill/>
                  </pic:spPr>
                </pic:pic>
              </a:graphicData>
            </a:graphic>
          </wp:anchor>
        </w:drawing>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Mary T. Barra</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July 23, 2024</w:t>
      </w:r>
    </w:p>
    <w:p>
      <w:pPr>
        <w:sectPr>
          <w:pgSz w:w="11900" w:h="16838" w:orient="portrait"/>
          <w:cols w:equalWidth="0" w:num="1">
            <w:col w:w="11240"/>
          </w:cols>
          <w:pgMar w:left="320" w:top="359"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Jacobson, certify that:</w:t>
      </w:r>
    </w:p>
    <w:p>
      <w:pPr>
        <w:spacing w:after="0" w:line="250" w:lineRule="exact"/>
        <w:rPr>
          <w:sz w:val="20"/>
          <w:szCs w:val="20"/>
          <w:color w:val="auto"/>
        </w:rPr>
      </w:pPr>
    </w:p>
    <w:p>
      <w:pPr>
        <w:ind w:left="380" w:hanging="171"/>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General Motors Company;</w:t>
      </w:r>
    </w:p>
    <w:p>
      <w:pPr>
        <w:spacing w:after="0" w:line="249" w:lineRule="exact"/>
        <w:rPr>
          <w:rFonts w:ascii="Times New Roman" w:cs="Times New Roman" w:eastAsia="Times New Roman" w:hAnsi="Times New Roman"/>
          <w:sz w:val="18"/>
          <w:szCs w:val="18"/>
          <w:color w:val="auto"/>
        </w:rPr>
      </w:pPr>
    </w:p>
    <w:p>
      <w:pPr>
        <w:ind w:firstLine="209"/>
        <w:spacing w:after="0" w:line="280" w:lineRule="auto"/>
        <w:tabs>
          <w:tab w:leader="none" w:pos="39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209"/>
        <w:spacing w:after="0" w:line="280" w:lineRule="auto"/>
        <w:tabs>
          <w:tab w:leader="none" w:pos="39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209"/>
        <w:spacing w:after="0" w:line="264" w:lineRule="auto"/>
        <w:tabs>
          <w:tab w:leader="none" w:pos="41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8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81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380" w:firstLine="192"/>
        <w:spacing w:after="0" w:line="280" w:lineRule="auto"/>
        <w:tabs>
          <w:tab w:leader="none" w:pos="81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9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firstLine="209"/>
        <w:spacing w:after="0" w:line="280" w:lineRule="auto"/>
        <w:tabs>
          <w:tab w:leader="none" w:pos="3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380" w:right="20" w:firstLine="192"/>
        <w:spacing w:after="0" w:line="280" w:lineRule="auto"/>
        <w:tabs>
          <w:tab w:leader="none" w:pos="77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380" w:firstLine="192"/>
        <w:spacing w:after="0" w:line="280" w:lineRule="auto"/>
        <w:tabs>
          <w:tab w:leader="none" w:pos="78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16510</wp:posOffset>
            </wp:positionV>
            <wp:extent cx="32766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276600" cy="8255"/>
                    </a:xfrm>
                    <a:prstGeom prst="rect">
                      <a:avLst/>
                    </a:prstGeom>
                    <a:noFill/>
                  </pic:spPr>
                </pic:pic>
              </a:graphicData>
            </a:graphic>
          </wp:anchor>
        </w:drawing>
      </w:r>
    </w:p>
    <w:p>
      <w:pPr>
        <w:spacing w:after="0" w:line="1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Paul A. Jacobson</w:t>
      </w:r>
    </w:p>
    <w:p>
      <w:pPr>
        <w:spacing w:after="0" w:line="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July 23, 2024</w:t>
      </w:r>
    </w:p>
    <w:p>
      <w:pPr>
        <w:sectPr>
          <w:pgSz w:w="11900" w:h="16838" w:orient="portrait"/>
          <w:cols w:equalWidth="0" w:num="1">
            <w:col w:w="11240"/>
          </w:cols>
          <w:pgMar w:left="320" w:top="359"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1" w:lineRule="exact"/>
        <w:rPr>
          <w:sz w:val="20"/>
          <w:szCs w:val="20"/>
          <w:color w:val="auto"/>
        </w:rPr>
      </w:pPr>
    </w:p>
    <w:p>
      <w:pPr>
        <w:jc w:val="both"/>
        <w:ind w:firstLine="202"/>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of General Motors Company (the “Company”) on Form 10-Q for the period ended June 30, 2024 as filed with the Securities and Exchange Commission on the date hereof (the “Report”), each of the undersigned officers of the Company, certify, pursuant to 18 U.S.C.</w:t>
      </w:r>
    </w:p>
    <w:p>
      <w:pPr>
        <w:ind w:left="140" w:hanging="133"/>
        <w:spacing w:after="0"/>
        <w:tabs>
          <w:tab w:leader="none" w:pos="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1350, as adopted pursuant to § 906 of the Sarbanes-Oxley Act of 2002, that to the best of such officer's knowledge:</w:t>
      </w:r>
    </w:p>
    <w:p>
      <w:pPr>
        <w:spacing w:after="0" w:line="231" w:lineRule="exact"/>
        <w:rPr>
          <w:rFonts w:ascii="Times New Roman" w:cs="Times New Roman" w:eastAsia="Times New Roman" w:hAnsi="Times New Roman"/>
          <w:sz w:val="18"/>
          <w:szCs w:val="18"/>
          <w:color w:val="auto"/>
        </w:rPr>
      </w:pPr>
    </w:p>
    <w:p>
      <w:pPr>
        <w:ind w:left="760" w:hanging="188"/>
        <w:spacing w:after="0"/>
        <w:tabs>
          <w:tab w:leader="none" w:pos="7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9" w:lineRule="exact"/>
        <w:rPr>
          <w:rFonts w:ascii="Times New Roman" w:cs="Times New Roman" w:eastAsia="Times New Roman" w:hAnsi="Times New Roman"/>
          <w:sz w:val="18"/>
          <w:szCs w:val="18"/>
          <w:color w:val="auto"/>
        </w:rPr>
      </w:pPr>
    </w:p>
    <w:p>
      <w:pPr>
        <w:ind w:left="760" w:hanging="188"/>
        <w:spacing w:after="0"/>
        <w:tabs>
          <w:tab w:leader="none" w:pos="7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32937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29374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Mary T. Barra</w:t>
      </w:r>
    </w:p>
    <w:p>
      <w:pPr>
        <w:ind w:left="5620"/>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32937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29374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Paul A. Jacobson</w:t>
      </w:r>
    </w:p>
    <w:p>
      <w:pPr>
        <w:ind w:left="56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5"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July 23, 2024</w:t>
      </w:r>
    </w:p>
    <w:sectPr>
      <w:pgSz w:w="11900" w:h="16838" w:orient="portrait"/>
      <w:cols w:equalWidth="0" w:num="1">
        <w:col w:w="11240"/>
      </w:cols>
      <w:pgMar w:left="320" w:top="3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lowerLetter"/>
      <w:start w:val="1"/>
    </w:lvl>
  </w:abstractNum>
  <w:abstractNum w:abstractNumId="3">
    <w:nsid w:val="62BBD95A"/>
    <w:multiLevelType w:val="hybridMultilevel"/>
    <w:lvl w:ilvl="0">
      <w:lvlJc w:val="left"/>
      <w:lvlText w:val="(%1)"/>
      <w:numFmt w:val="lowerLetter"/>
      <w:start w:val="1"/>
    </w:lvl>
  </w:abstractNum>
  <w:abstractNum w:abstractNumId="4">
    <w:nsid w:val="436C6125"/>
    <w:multiLevelType w:val="hybridMultilevel"/>
    <w:lvl w:ilvl="0">
      <w:lvlJc w:val="left"/>
      <w:lvlText w:val="(%1)"/>
      <w:numFmt w:val="lowerLetter"/>
      <w:start w:val="1"/>
    </w:lvl>
  </w:abstractNum>
  <w:abstractNum w:abstractNumId="5">
    <w:nsid w:val="628C895D"/>
    <w:multiLevelType w:val="hybridMultilevel"/>
    <w:lvl w:ilvl="0">
      <w:lvlJc w:val="left"/>
      <w:lvlText w:val="(%1)"/>
      <w:numFmt w:val="lowerLetter"/>
      <w:start w:val="1"/>
    </w:lvl>
  </w:abstractNum>
  <w:abstractNum w:abstractNumId="6">
    <w:nsid w:val="333AB105"/>
    <w:multiLevelType w:val="hybridMultilevel"/>
    <w:lvl w:ilvl="0">
      <w:lvlJc w:val="left"/>
      <w:lvlText w:val="(%1)"/>
      <w:numFmt w:val="lowerLetter"/>
      <w:start w:val="1"/>
    </w:lvl>
  </w:abstractNum>
  <w:abstractNum w:abstractNumId="7">
    <w:nsid w:val="721DA317"/>
    <w:multiLevelType w:val="hybridMultilevel"/>
    <w:lvl w:ilvl="0">
      <w:lvlJc w:val="left"/>
      <w:lvlText w:val="(%1)"/>
      <w:numFmt w:val="lowerLetter"/>
      <w:start w:val="1"/>
    </w:lvl>
  </w:abstractNum>
  <w:abstractNum w:abstractNumId="8">
    <w:nsid w:val="2443A858"/>
    <w:multiLevelType w:val="hybridMultilevel"/>
    <w:lvl w:ilvl="0">
      <w:lvlJc w:val="left"/>
      <w:lvlText w:val="(%1)"/>
      <w:numFmt w:val="lowerLetter"/>
      <w:start w:val="1"/>
    </w:lvl>
  </w:abstractNum>
  <w:abstractNum w:abstractNumId="9">
    <w:nsid w:val="2D1D5AE9"/>
    <w:multiLevelType w:val="hybridMultilevel"/>
    <w:lvl w:ilvl="0">
      <w:lvlJc w:val="left"/>
      <w:lvlText w:val="(%1)"/>
      <w:numFmt w:val="lowerLetter"/>
      <w:start w:val="1"/>
    </w:lvl>
  </w:abstractNum>
  <w:abstractNum w:abstractNumId="10">
    <w:nsid w:val="6763845E"/>
    <w:multiLevelType w:val="hybridMultilevel"/>
    <w:lvl w:ilvl="0">
      <w:lvlJc w:val="left"/>
      <w:lvlText w:val="(%1)"/>
      <w:numFmt w:val="lowerLetter"/>
      <w:start w:val="1"/>
    </w:lvl>
  </w:abstractNum>
  <w:abstractNum w:abstractNumId="11">
    <w:nsid w:val="75A2A8D4"/>
    <w:multiLevelType w:val="hybridMultilevel"/>
    <w:lvl w:ilvl="0">
      <w:lvlJc w:val="left"/>
      <w:lvlText w:val="(%1)"/>
      <w:numFmt w:val="lowerLetter"/>
      <w:start w:val="1"/>
    </w:lvl>
  </w:abstractNum>
  <w:abstractNum w:abstractNumId="12">
    <w:nsid w:val="8EDBDAB"/>
    <w:multiLevelType w:val="hybridMultilevel"/>
    <w:lvl w:ilvl="0">
      <w:lvlJc w:val="left"/>
      <w:lvlText w:val="(%1)"/>
      <w:numFmt w:val="lowerLetter"/>
      <w:start w:val="1"/>
    </w:lvl>
  </w:abstractNum>
  <w:abstractNum w:abstractNumId="13">
    <w:nsid w:val="79838CB2"/>
    <w:multiLevelType w:val="hybridMultilevel"/>
    <w:lvl w:ilvl="0">
      <w:lvlJc w:val="left"/>
      <w:lvlText w:val="(%1)"/>
      <w:numFmt w:val="lowerLetter"/>
      <w:start w:val="1"/>
    </w:lvl>
  </w:abstractNum>
  <w:abstractNum w:abstractNumId="14">
    <w:nsid w:val="4353D0CD"/>
    <w:multiLevelType w:val="hybridMultilevel"/>
    <w:lvl w:ilvl="0">
      <w:lvlJc w:val="left"/>
      <w:lvlText w:val="(%1)"/>
      <w:numFmt w:val="lowerLetter"/>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1)"/>
      <w:numFmt w:val="lowerLetter"/>
      <w:start w:val="1"/>
    </w:lvl>
  </w:abstractNum>
  <w:abstractNum w:abstractNumId="17">
    <w:nsid w:val="54E49EB4"/>
    <w:multiLevelType w:val="hybridMultilevel"/>
    <w:lvl w:ilvl="0">
      <w:lvlJc w:val="left"/>
      <w:lvlText w:val="(%1)"/>
      <w:numFmt w:val="lowerLetter"/>
      <w:start w:val="1"/>
    </w:lvl>
  </w:abstractNum>
  <w:abstractNum w:abstractNumId="18">
    <w:nsid w:val="71F32454"/>
    <w:multiLevelType w:val="hybridMultilevel"/>
    <w:lvl w:ilvl="0">
      <w:lvlJc w:val="left"/>
      <w:lvlText w:val="(%1)"/>
      <w:numFmt w:val="decimal"/>
      <w:start w:val="2"/>
    </w:lvl>
  </w:abstractNum>
  <w:abstractNum w:abstractNumId="19">
    <w:nsid w:val="2CA88611"/>
    <w:multiLevelType w:val="hybridMultilevel"/>
    <w:lvl w:ilvl="0">
      <w:lvlJc w:val="left"/>
      <w:lvlText w:val="(%1)"/>
      <w:numFmt w:val="lowerLetter"/>
      <w:start w:val="1"/>
    </w:lvl>
  </w:abstractNum>
  <w:abstractNum w:abstractNumId="20">
    <w:nsid w:val="836C40E"/>
    <w:multiLevelType w:val="hybridMultilevel"/>
    <w:lvl w:ilvl="0">
      <w:lvlJc w:val="left"/>
      <w:lvlText w:val="(%1)"/>
      <w:numFmt w:val="lowerLetter"/>
      <w:start w:val="1"/>
    </w:lvl>
  </w:abstractNum>
  <w:abstractNum w:abstractNumId="21">
    <w:nsid w:val="2901D82"/>
    <w:multiLevelType w:val="hybridMultilevel"/>
    <w:lvl w:ilvl="0">
      <w:lvlJc w:val="left"/>
      <w:lvlText w:val="(%1)"/>
      <w:numFmt w:val="lowerLetter"/>
      <w:start w:val="1"/>
    </w:lvl>
  </w:abstractNum>
  <w:abstractNum w:abstractNumId="22">
    <w:nsid w:val="3A95F874"/>
    <w:multiLevelType w:val="hybridMultilevel"/>
    <w:lvl w:ilvl="0">
      <w:lvlJc w:val="left"/>
      <w:lvlText w:val="(%1)"/>
      <w:numFmt w:val="lowerLetter"/>
      <w:start w:val="1"/>
    </w:lvl>
  </w:abstractNum>
  <w:abstractNum w:abstractNumId="23">
    <w:nsid w:val="8138641"/>
    <w:multiLevelType w:val="hybridMultilevel"/>
    <w:lvl w:ilvl="0">
      <w:lvlJc w:val="left"/>
      <w:lvlText w:val="(%1)"/>
      <w:numFmt w:val="lowerLetter"/>
      <w:start w:val="1"/>
    </w:lvl>
  </w:abstractNum>
  <w:abstractNum w:abstractNumId="24">
    <w:nsid w:val="1E7FF521"/>
    <w:multiLevelType w:val="hybridMultilevel"/>
    <w:lvl w:ilvl="0">
      <w:lvlJc w:val="left"/>
      <w:lvlText w:val="(%1)"/>
      <w:numFmt w:val="lowerLetter"/>
      <w:start w:val="1"/>
    </w:lvl>
  </w:abstractNum>
  <w:abstractNum w:abstractNumId="25">
    <w:nsid w:val="7C3DBD3D"/>
    <w:multiLevelType w:val="hybridMultilevel"/>
    <w:lvl w:ilvl="0">
      <w:lvlJc w:val="left"/>
      <w:lvlText w:val="(%1)"/>
      <w:numFmt w:val="lowerLetter"/>
      <w:start w:val="1"/>
    </w:lvl>
  </w:abstractNum>
  <w:abstractNum w:abstractNumId="26">
    <w:nsid w:val="737B8DDC"/>
    <w:multiLevelType w:val="hybridMultilevel"/>
    <w:lvl w:ilvl="0">
      <w:lvlJc w:val="left"/>
      <w:lvlText w:val="(%1)"/>
      <w:numFmt w:val="lowerLetter"/>
      <w:start w:val="1"/>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decimal"/>
      <w:start w:val="5"/>
    </w:lvl>
  </w:abstractNum>
  <w:abstractNum w:abstractNumId="30">
    <w:nsid w:val="3006C83E"/>
    <w:multiLevelType w:val="hybridMultilevel"/>
    <w:lvl w:ilvl="0">
      <w:lvlJc w:val="left"/>
      <w:lvlText w:val="(%1)"/>
      <w:numFmt w:val="decimal"/>
      <w:start w:val="7"/>
    </w:lvl>
  </w:abstractNum>
  <w:abstractNum w:abstractNumId="31">
    <w:nsid w:val="614FD4A1"/>
    <w:multiLevelType w:val="hybridMultilevel"/>
    <w:lvl w:ilvl="0">
      <w:lvlJc w:val="left"/>
      <w:lvlText w:val="(%1)"/>
      <w:numFmt w:val="decimal"/>
      <w:start w:val="13"/>
    </w:lvl>
  </w:abstractNum>
  <w:abstractNum w:abstractNumId="32">
    <w:nsid w:val="419AC241"/>
    <w:multiLevelType w:val="hybridMultilevel"/>
    <w:lvl w:ilvl="0">
      <w:lvlJc w:val="left"/>
      <w:lvlText w:val="(%1)"/>
      <w:numFmt w:val="lowerLetter"/>
      <w:start w:val="1"/>
    </w:lvl>
    <w:lvl w:ilvl="1">
      <w:lvlJc w:val="left"/>
      <w:lvlText w:val="*"/>
      <w:numFmt w:val="bullet"/>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79" Type="http://schemas.openxmlformats.org/officeDocument/2006/relationships/hyperlink" Target="https://www.sec.gov/Archives/edgar/data/1467858/000119312510279214/dex32.htm" TargetMode="External"/><Relationship Id="rId80" Type="http://schemas.openxmlformats.org/officeDocument/2006/relationships/hyperlink" Target="https://www.sec.gov/Archives/edgar/data/1467858/000119312523110552/d415489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2024-07-23T14:47:04Z</dcterms:created>
  <dcterms:modified xsi:type="dcterms:W3CDTF">2024-07-23T14:47:04Z</dcterms:modified>
</cp:coreProperties>
</file>