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14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(Rule 14a -101)</w:t>
      </w:r>
    </w:p>
    <w:p>
      <w:pPr>
        <w:spacing w:after="0" w:line="7"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INFORMATION REQUIRED IN PROXY STATEMENT</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SCHEDULE 14A INFORMATION</w:t>
      </w:r>
    </w:p>
    <w:p>
      <w:pPr>
        <w:sectPr>
          <w:pgSz w:w="11900" w:h="16838" w:orient="portrait"/>
          <w:cols w:equalWidth="0" w:num="1">
            <w:col w:w="11140"/>
          </w:cols>
          <w:pgMar w:left="240" w:top="229" w:right="519" w:bottom="1440" w:gutter="0" w:footer="0" w:header="0"/>
        </w:sectPr>
      </w:pPr>
    </w:p>
    <w:p>
      <w:pPr>
        <w:spacing w:after="0" w:line="157"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Proxy Statement Pursuant to Section 14(a) of</w:t>
      </w:r>
    </w:p>
    <w:p>
      <w:pPr>
        <w:spacing w:after="0" w:line="46" w:lineRule="exact"/>
        <w:rPr>
          <w:sz w:val="24"/>
          <w:szCs w:val="24"/>
          <w:color w:val="auto"/>
        </w:rPr>
      </w:pPr>
    </w:p>
    <w:p>
      <w:pPr>
        <w:ind w:left="34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90" w:lineRule="exact"/>
        <w:rPr>
          <w:sz w:val="24"/>
          <w:szCs w:val="24"/>
          <w:color w:val="auto"/>
        </w:rPr>
      </w:pPr>
    </w:p>
    <w:p>
      <w:pPr>
        <w:sectPr>
          <w:pgSz w:w="11900" w:h="16838" w:orient="portrait"/>
          <w:cols w:equalWidth="0" w:num="2">
            <w:col w:w="7380" w:space="540"/>
            <w:col w:w="3220"/>
          </w:cols>
          <w:pgMar w:left="240" w:top="229" w:right="5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Filed by the Registrant x</w:t>
      </w:r>
    </w:p>
    <w:p>
      <w:pPr>
        <w:spacing w:after="0" w:line="6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PreliminaryProxy Statement</w:t>
      </w:r>
    </w:p>
    <w:p>
      <w:pPr>
        <w:spacing w:after="0" w:line="59" w:lineRule="exact"/>
        <w:rPr>
          <w:rFonts w:ascii="Arial" w:cs="Arial" w:eastAsia="Arial" w:hAnsi="Arial"/>
          <w:sz w:val="18"/>
          <w:szCs w:val="18"/>
          <w:color w:val="auto"/>
        </w:rPr>
      </w:pP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Only(as permitted by Rule 14a-6(e)(2))</w:t>
      </w:r>
    </w:p>
    <w:p>
      <w:pPr>
        <w:spacing w:after="0" w:line="6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63" w:lineRule="exact"/>
        <w:rPr>
          <w:rFonts w:ascii="Arial" w:cs="Arial" w:eastAsia="Arial" w:hAnsi="Arial"/>
          <w:sz w:val="18"/>
          <w:szCs w:val="18"/>
          <w:color w:val="auto"/>
        </w:rPr>
      </w:pP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14"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GENERAL MOTORS COMPANY</w:t>
      </w:r>
    </w:p>
    <w:p>
      <w:pPr>
        <w:spacing w:after="0" w:line="72"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322"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500" w:hanging="46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360" w:lineRule="exact"/>
        <w:rPr>
          <w:rFonts w:ascii="Arial" w:cs="Arial" w:eastAsia="Arial" w:hAnsi="Arial"/>
          <w:sz w:val="18"/>
          <w:szCs w:val="18"/>
          <w:color w:val="auto"/>
        </w:rPr>
      </w:pPr>
    </w:p>
    <w:p>
      <w:pPr>
        <w:ind w:left="1340" w:hanging="657"/>
        <w:spacing w:after="0"/>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340" w:hanging="657"/>
        <w:spacing w:after="0"/>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660" w:hanging="977"/>
        <w:spacing w:after="0" w:line="277" w:lineRule="auto"/>
        <w:tabs>
          <w:tab w:leader="none" w:pos="1336"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 w:lineRule="exact"/>
        <w:rPr>
          <w:rFonts w:ascii="Arial" w:cs="Arial" w:eastAsia="Arial" w:hAnsi="Arial"/>
          <w:sz w:val="18"/>
          <w:szCs w:val="18"/>
          <w:color w:val="auto"/>
        </w:rPr>
      </w:pPr>
    </w:p>
    <w:p>
      <w:pPr>
        <w:ind w:left="1340" w:hanging="657"/>
        <w:spacing w:after="0"/>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340" w:hanging="657"/>
        <w:spacing w:after="0"/>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98" w:lineRule="exact"/>
        <w:rPr>
          <w:rFonts w:ascii="Arial" w:cs="Arial" w:eastAsia="Arial" w:hAnsi="Arial"/>
          <w:sz w:val="18"/>
          <w:szCs w:val="18"/>
          <w:color w:val="auto"/>
        </w:rPr>
      </w:pPr>
    </w:p>
    <w:p>
      <w:pPr>
        <w:ind w:left="500" w:hanging="46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Arial" w:cs="Arial" w:eastAsia="Arial" w:hAnsi="Arial"/>
          <w:sz w:val="18"/>
          <w:szCs w:val="18"/>
          <w:color w:val="auto"/>
        </w:rPr>
      </w:pPr>
    </w:p>
    <w:p>
      <w:pPr>
        <w:ind w:left="500" w:right="120" w:hanging="465"/>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9" w:lineRule="exact"/>
        <w:rPr>
          <w:rFonts w:ascii="Arial" w:cs="Arial" w:eastAsia="Arial" w:hAnsi="Arial"/>
          <w:sz w:val="17"/>
          <w:szCs w:val="17"/>
          <w:color w:val="auto"/>
        </w:rPr>
      </w:pPr>
    </w:p>
    <w:p>
      <w:pPr>
        <w:ind w:left="1340" w:hanging="657"/>
        <w:spacing w:after="0"/>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340" w:hanging="657"/>
        <w:spacing w:after="0"/>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340" w:hanging="657"/>
        <w:spacing w:after="0"/>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340" w:hanging="657"/>
        <w:spacing w:after="0"/>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-1579880</wp:posOffset>
            </wp:positionV>
            <wp:extent cx="65601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-1759585</wp:posOffset>
            </wp:positionV>
            <wp:extent cx="6560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-2077085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31750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-147320</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ectPr>
          <w:pgSz w:w="11900" w:h="16838" w:orient="portrait"/>
          <w:cols w:equalWidth="0" w:num="1">
            <w:col w:w="11140"/>
          </w:cols>
          <w:pgMar w:left="240" w:top="229" w:right="519" w:bottom="1440" w:gutter="0" w:footer="0" w:header="0"/>
          <w:type w:val="continuous"/>
        </w:sectPr>
      </w:pPr>
    </w:p>
    <w:bookmarkStart w:id="1" w:name="page2"/>
    <w:bookmarkEnd w:id="1"/>
    <w:p>
      <w:pPr>
        <w:ind w:left="8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174625</wp:posOffset>
            </wp:positionH>
            <wp:positionV relativeFrom="page">
              <wp:posOffset>346075</wp:posOffset>
            </wp:positionV>
            <wp:extent cx="660400" cy="660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60400" cy="660400"/>
                    </a:xfrm>
                    <a:prstGeom prst="rect">
                      <a:avLst/>
                    </a:prstGeom>
                    <a:noFill/>
                  </pic:spPr>
                </pic:pic>
              </a:graphicData>
            </a:graphic>
          </wp:anchor>
        </w:drawing>
        <w:t>300 Renaissance Center</w:t>
      </w:r>
    </w:p>
    <w:p>
      <w:pPr>
        <w:ind w:left="8600"/>
        <w:spacing w:after="0" w:line="234" w:lineRule="auto"/>
        <w:rPr>
          <w:sz w:val="20"/>
          <w:szCs w:val="20"/>
          <w:color w:val="auto"/>
        </w:rPr>
      </w:pPr>
      <w:r>
        <w:rPr>
          <w:rFonts w:ascii="Arial" w:cs="Arial" w:eastAsia="Arial" w:hAnsi="Arial"/>
          <w:sz w:val="18"/>
          <w:szCs w:val="18"/>
          <w:color w:val="auto"/>
        </w:rPr>
        <w:t>P.O. Box 300</w:t>
      </w:r>
    </w:p>
    <w:p>
      <w:pPr>
        <w:spacing w:after="0" w:line="1"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Detroit, MI 48265-3000</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24,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You are cordially invited to attend the Annual Meeting of Stockholders of General Motors Company ("GM," or "General Motors," or the "Company," "we," "us," or "our"). It will be held at 9:30 a.m. Eastern Time on Tuesday, June 9, 2015, at General Motors Global Headquarters, 300 Renaissance Center, Detroit, Michigan 48243.</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matters to be acted upon at the meeting are described in the Notice of the 2015 Annual Meeting of Stockholders and the Proxy Statement. Additionally, there will be a report on the Company’s business operations, and we will provide time for business-related questions and comments. If you plan to attend the meeting, you must request an admission ticket in advance. Please see </w:t>
      </w:r>
      <w:r>
        <w:rPr>
          <w:rFonts w:ascii="Arial" w:cs="Arial" w:eastAsia="Arial" w:hAnsi="Arial"/>
          <w:sz w:val="18"/>
          <w:szCs w:val="18"/>
          <w:i w:val="1"/>
          <w:iCs w:val="1"/>
          <w:color w:val="auto"/>
        </w:rPr>
        <w:t>"How can I attend the annual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meeting?" </w:t>
      </w:r>
      <w:r>
        <w:rPr>
          <w:rFonts w:ascii="Arial" w:cs="Arial" w:eastAsia="Arial" w:hAnsi="Arial"/>
          <w:sz w:val="18"/>
          <w:szCs w:val="18"/>
          <w:color w:val="auto"/>
        </w:rPr>
        <w:t>on page 9 for further instructions concerning admission tickets. A map and directions are on the back cover of this proxy statement.</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pleased to report that GM delivered solid results in 2014, earning net income attributable to common stockholders of $2.8 billion, including recall-related expenses. Excluding the impact of special and non-recurring items, core automotive operating performance improved in 2014, and is expected to improve further in 2015.</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announced in March 2015 a comprehensive capital allocation framework. The framework encompasses three core principles—high-return investment in the business, maintain an investment-grade balance sheet, and return of capital to our stockholders. We are investing in world-class vehicles and innovative technologies with the objective of driving 20 percent or higher return on invested capital. We believe maintaining an investment-grade balance sheet, including a target cash balance of $20 billion, is critical in supporting continued growth and increased stockholder value. Beyond reinvesting in the business and maintaining an investment-grade balance sheet, we expect to return all available free cash flow to stockholders.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evidenced by our focus on increasing stockholder value, on April 13, 2015, the GM Board of Directors declared a 20 percent increase to our quarterly common stock dividend to 36 cents per share. This dividend increase will result in an expected payout of approximately $5 billion through the end of 2016. Our Board of Directors also authorized the initial repurchase of $5 billion in GM common stock to conclude before the end of 2016.</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track record of improved operating performance, strong earnings momentum, and disciplined capital investments provide a solid foundation as we continue to execute on our plan to become the world's most valued automotive company.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 and continued interest in General Motors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603758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7580" cy="65151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Mary T. Barra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300"/>
        <w:spacing w:after="0"/>
        <w:rPr>
          <w:sz w:val="20"/>
          <w:szCs w:val="20"/>
          <w:color w:val="auto"/>
        </w:rPr>
      </w:pPr>
      <w:r>
        <w:rPr>
          <w:rFonts w:ascii="Arial" w:cs="Arial" w:eastAsia="Arial" w:hAnsi="Arial"/>
          <w:sz w:val="16"/>
          <w:szCs w:val="16"/>
          <w:color w:val="auto"/>
        </w:rPr>
        <w:t>Theodore M. Solso</w:t>
      </w:r>
    </w:p>
    <w:p>
      <w:pPr>
        <w:spacing w:after="0" w:line="86" w:lineRule="exact"/>
        <w:rPr>
          <w:sz w:val="20"/>
          <w:szCs w:val="20"/>
          <w:color w:val="auto"/>
        </w:rPr>
      </w:pPr>
    </w:p>
    <w:p>
      <w:pPr>
        <w:sectPr>
          <w:pgSz w:w="11900" w:h="16838" w:orient="portrait"/>
          <w:cols w:equalWidth="0" w:num="2">
            <w:col w:w="5020" w:space="720"/>
            <w:col w:w="5680"/>
          </w:cols>
          <w:pgMar w:left="240" w:top="97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104775</wp:posOffset>
            </wp:positionV>
            <wp:extent cx="7220585" cy="68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0585" cy="68580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5020" w:space="720"/>
            <w:col w:w="5680"/>
          </w:cols>
          <w:pgMar w:left="240" w:top="972" w:right="239" w:bottom="1440" w:gutter="0" w:footer="0" w:header="0"/>
          <w:type w:val="continuous"/>
        </w:sectPr>
      </w:pPr>
    </w:p>
    <w:p>
      <w:pPr>
        <w:jc w:val="both"/>
        <w:ind w:left="120" w:right="80"/>
        <w:spacing w:after="0" w:line="244" w:lineRule="auto"/>
        <w:rPr>
          <w:sz w:val="20"/>
          <w:szCs w:val="20"/>
          <w:color w:val="auto"/>
        </w:rPr>
      </w:pPr>
      <w:r>
        <w:rPr>
          <w:rFonts w:ascii="Arial" w:cs="Arial" w:eastAsia="Arial" w:hAnsi="Arial"/>
          <w:sz w:val="18"/>
          <w:szCs w:val="18"/>
          <w:b w:val="1"/>
          <w:bCs w:val="1"/>
          <w:i w:val="1"/>
          <w:iCs w:val="1"/>
          <w:color w:val="FFFFFF"/>
        </w:rPr>
        <w:t xml:space="preserve">YOUR VOTE IS IMPORTANT. </w:t>
      </w:r>
      <w:r>
        <w:rPr>
          <w:rFonts w:ascii="Arial" w:cs="Arial" w:eastAsia="Arial" w:hAnsi="Arial"/>
          <w:sz w:val="18"/>
          <w:szCs w:val="18"/>
          <w:color w:val="FFFFFF"/>
        </w:rPr>
        <w:t>Whether or not you plan to attend the annual meeting, please submit your vote as soon as possible so that</w:t>
      </w:r>
      <w:r>
        <w:rPr>
          <w:rFonts w:ascii="Arial" w:cs="Arial" w:eastAsia="Arial" w:hAnsi="Arial"/>
          <w:sz w:val="18"/>
          <w:szCs w:val="18"/>
          <w:b w:val="1"/>
          <w:bCs w:val="1"/>
          <w:i w:val="1"/>
          <w:iCs w:val="1"/>
          <w:color w:val="FFFFFF"/>
        </w:rPr>
        <w:t xml:space="preserve"> </w:t>
      </w:r>
      <w:r>
        <w:rPr>
          <w:rFonts w:ascii="Arial" w:cs="Arial" w:eastAsia="Arial" w:hAnsi="Arial"/>
          <w:sz w:val="18"/>
          <w:szCs w:val="18"/>
          <w:color w:val="FFFFFF"/>
        </w:rPr>
        <w:t>your shares will be represented and voted at the meeting. You may submit your vote by Internet, or telephone, or by completing and mailing the enclosed proxy card or voting instruction form. Please note that voting in advance by any of these methods will not affect your right to attend the meeting and vote in person. For specific instructions on how to vote your shares, please see "</w:t>
      </w:r>
      <w:r>
        <w:rPr>
          <w:rFonts w:ascii="Arial" w:cs="Arial" w:eastAsia="Arial" w:hAnsi="Arial"/>
          <w:sz w:val="18"/>
          <w:szCs w:val="18"/>
          <w:i w:val="1"/>
          <w:iCs w:val="1"/>
          <w:color w:val="FFFFFF"/>
        </w:rPr>
        <w:t>How do I vote without attending the</w:t>
      </w:r>
      <w:r>
        <w:rPr>
          <w:rFonts w:ascii="Arial" w:cs="Arial" w:eastAsia="Arial" w:hAnsi="Arial"/>
          <w:sz w:val="18"/>
          <w:szCs w:val="18"/>
          <w:color w:val="FFFFFF"/>
        </w:rPr>
        <w:t xml:space="preserve"> </w:t>
      </w:r>
      <w:r>
        <w:rPr>
          <w:rFonts w:ascii="Arial" w:cs="Arial" w:eastAsia="Arial" w:hAnsi="Arial"/>
          <w:sz w:val="18"/>
          <w:szCs w:val="18"/>
          <w:i w:val="1"/>
          <w:iCs w:val="1"/>
          <w:color w:val="FFFFFF"/>
        </w:rPr>
        <w:t xml:space="preserve">annual meeting?" </w:t>
      </w:r>
      <w:r>
        <w:rPr>
          <w:rFonts w:ascii="Arial" w:cs="Arial" w:eastAsia="Arial" w:hAnsi="Arial"/>
          <w:sz w:val="18"/>
          <w:szCs w:val="18"/>
          <w:color w:val="FFFFFF"/>
        </w:rPr>
        <w:t>on page 6.</w:t>
      </w:r>
    </w:p>
    <w:p>
      <w:pPr>
        <w:sectPr>
          <w:pgSz w:w="11900" w:h="16838" w:orient="portrait"/>
          <w:cols w:equalWidth="0" w:num="1">
            <w:col w:w="11420"/>
          </w:cols>
          <w:pgMar w:left="240" w:top="972" w:right="23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3039110</wp:posOffset>
            </wp:positionH>
            <wp:positionV relativeFrom="page">
              <wp:posOffset>320675</wp:posOffset>
            </wp:positionV>
            <wp:extent cx="660400" cy="660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60400" cy="66040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134A9C"/>
        </w:rPr>
        <w:t>NOTICE OF 2015</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134A9C"/>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88950"/>
                    </a:xfrm>
                    <a:prstGeom prst="rect">
                      <a:avLst/>
                    </a:prstGeom>
                    <a:noFill/>
                  </pic:spPr>
                </pic:pic>
              </a:graphicData>
            </a:graphic>
          </wp:anchor>
        </w:drawing>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 xml:space="preserve">Date: </w:t>
      </w:r>
      <w:r>
        <w:rPr>
          <w:rFonts w:ascii="Arial" w:cs="Arial" w:eastAsia="Arial" w:hAnsi="Arial"/>
          <w:sz w:val="18"/>
          <w:szCs w:val="18"/>
          <w:color w:val="FFFFFF"/>
        </w:rPr>
        <w:t>Tuesday, June 9, 2015</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 xml:space="preserve">Time: </w:t>
      </w:r>
      <w:r>
        <w:rPr>
          <w:rFonts w:ascii="Arial" w:cs="Arial" w:eastAsia="Arial" w:hAnsi="Arial"/>
          <w:sz w:val="18"/>
          <w:szCs w:val="18"/>
          <w:color w:val="FFFFFF"/>
        </w:rPr>
        <w:t>9:30 a.m. Eastern Time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 xml:space="preserve">Place: </w:t>
      </w:r>
      <w:r>
        <w:rPr>
          <w:rFonts w:ascii="Arial" w:cs="Arial" w:eastAsia="Arial" w:hAnsi="Arial"/>
          <w:sz w:val="17"/>
          <w:szCs w:val="17"/>
          <w:color w:val="FFFFFF"/>
        </w:rPr>
        <w:t>General Motors Global Headquarters, 300 Renaissance Center, Detroit, Michigan 48243</w:t>
      </w:r>
    </w:p>
    <w:p>
      <w:pPr>
        <w:sectPr>
          <w:pgSz w:w="11900" w:h="16838" w:orient="portrait"/>
          <w:cols w:equalWidth="0" w:num="1">
            <w:col w:w="11420"/>
          </w:cols>
          <w:pgMar w:left="240" w:top="1440" w:right="239" w:bottom="1440" w:gutter="0" w:footer="0" w:header="0"/>
        </w:sect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134A9C"/>
        </w:rPr>
        <w:t>Agenda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line="302" w:lineRule="auto"/>
        <w:rPr>
          <w:sz w:val="20"/>
          <w:szCs w:val="20"/>
          <w:color w:val="auto"/>
        </w:rPr>
      </w:pPr>
      <w:r>
        <w:rPr>
          <w:rFonts w:ascii="Arial" w:cs="Arial" w:eastAsia="Arial" w:hAnsi="Arial"/>
          <w:sz w:val="17"/>
          <w:szCs w:val="17"/>
          <w:b w:val="1"/>
          <w:bCs w:val="1"/>
          <w:color w:val="134A9C"/>
        </w:rPr>
        <w:t>Board of Directors Recommendations: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134A9C"/>
        </w:rPr>
        <w:t>Record Date:</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243" w:hanging="243"/>
        <w:spacing w:after="0"/>
        <w:tabs>
          <w:tab w:leader="none" w:pos="243" w:val="left"/>
        </w:tabs>
        <w:numPr>
          <w:ilvl w:val="0"/>
          <w:numId w:val="4"/>
        </w:numPr>
        <w:rPr>
          <w:rFonts w:ascii="Arial" w:cs="Arial" w:eastAsia="Arial" w:hAnsi="Arial"/>
          <w:sz w:val="18"/>
          <w:szCs w:val="18"/>
          <w:b w:val="1"/>
          <w:bCs w:val="1"/>
          <w:color w:val="134A9C"/>
        </w:rPr>
      </w:pPr>
      <w:r>
        <w:rPr>
          <w:rFonts w:ascii="Arial" w:cs="Arial" w:eastAsia="Arial" w:hAnsi="Arial"/>
          <w:sz w:val="18"/>
          <w:szCs w:val="18"/>
          <w:color w:val="auto"/>
        </w:rPr>
        <w:t>Election of directors;</w:t>
      </w:r>
    </w:p>
    <w:p>
      <w:pPr>
        <w:spacing w:after="0" w:line="49" w:lineRule="exact"/>
        <w:rPr>
          <w:rFonts w:ascii="Arial" w:cs="Arial" w:eastAsia="Arial" w:hAnsi="Arial"/>
          <w:sz w:val="18"/>
          <w:szCs w:val="18"/>
          <w:b w:val="1"/>
          <w:bCs w:val="1"/>
          <w:color w:val="134A9C"/>
        </w:rPr>
      </w:pPr>
    </w:p>
    <w:p>
      <w:pPr>
        <w:ind w:left="243" w:right="780" w:hanging="243"/>
        <w:spacing w:after="0" w:line="246" w:lineRule="auto"/>
        <w:tabs>
          <w:tab w:leader="none" w:pos="249" w:val="left"/>
        </w:tabs>
        <w:numPr>
          <w:ilvl w:val="0"/>
          <w:numId w:val="4"/>
        </w:numPr>
        <w:rPr>
          <w:rFonts w:ascii="Arial" w:cs="Arial" w:eastAsia="Arial" w:hAnsi="Arial"/>
          <w:sz w:val="18"/>
          <w:szCs w:val="18"/>
          <w:b w:val="1"/>
          <w:bCs w:val="1"/>
          <w:color w:val="134A9C"/>
        </w:rPr>
      </w:pPr>
      <w:r>
        <w:rPr>
          <w:rFonts w:ascii="Arial" w:cs="Arial" w:eastAsia="Arial" w:hAnsi="Arial"/>
          <w:sz w:val="18"/>
          <w:szCs w:val="18"/>
          <w:color w:val="auto"/>
        </w:rPr>
        <w:t>Ratification of the selection of Deloitte &amp; Touche LLP as the Company's independent registered public accounting firm for 2015;</w:t>
      </w:r>
    </w:p>
    <w:p>
      <w:pPr>
        <w:spacing w:after="0" w:line="48" w:lineRule="exact"/>
        <w:rPr>
          <w:rFonts w:ascii="Arial" w:cs="Arial" w:eastAsia="Arial" w:hAnsi="Arial"/>
          <w:sz w:val="18"/>
          <w:szCs w:val="18"/>
          <w:b w:val="1"/>
          <w:bCs w:val="1"/>
          <w:color w:val="134A9C"/>
        </w:rPr>
      </w:pPr>
    </w:p>
    <w:p>
      <w:pPr>
        <w:ind w:left="243" w:hanging="243"/>
        <w:spacing w:after="0"/>
        <w:tabs>
          <w:tab w:leader="none" w:pos="243" w:val="left"/>
        </w:tabs>
        <w:numPr>
          <w:ilvl w:val="0"/>
          <w:numId w:val="4"/>
        </w:numPr>
        <w:rPr>
          <w:rFonts w:ascii="Arial" w:cs="Arial" w:eastAsia="Arial" w:hAnsi="Arial"/>
          <w:sz w:val="18"/>
          <w:szCs w:val="18"/>
          <w:b w:val="1"/>
          <w:bCs w:val="1"/>
          <w:color w:val="134A9C"/>
        </w:rPr>
      </w:pPr>
      <w:r>
        <w:rPr>
          <w:rFonts w:ascii="Arial" w:cs="Arial" w:eastAsia="Arial" w:hAnsi="Arial"/>
          <w:sz w:val="18"/>
          <w:szCs w:val="18"/>
          <w:color w:val="auto"/>
        </w:rPr>
        <w:t>Advisory vote to approve executive compensation;</w:t>
      </w:r>
    </w:p>
    <w:p>
      <w:pPr>
        <w:spacing w:after="0" w:line="63" w:lineRule="exact"/>
        <w:rPr>
          <w:rFonts w:ascii="Arial" w:cs="Arial" w:eastAsia="Arial" w:hAnsi="Arial"/>
          <w:sz w:val="18"/>
          <w:szCs w:val="18"/>
          <w:b w:val="1"/>
          <w:bCs w:val="1"/>
          <w:color w:val="134A9C"/>
        </w:rPr>
      </w:pPr>
    </w:p>
    <w:p>
      <w:pPr>
        <w:ind w:left="243" w:hanging="243"/>
        <w:spacing w:after="0"/>
        <w:tabs>
          <w:tab w:leader="none" w:pos="243" w:val="left"/>
        </w:tabs>
        <w:numPr>
          <w:ilvl w:val="0"/>
          <w:numId w:val="4"/>
        </w:numPr>
        <w:rPr>
          <w:rFonts w:ascii="Arial" w:cs="Arial" w:eastAsia="Arial" w:hAnsi="Arial"/>
          <w:sz w:val="18"/>
          <w:szCs w:val="18"/>
          <w:b w:val="1"/>
          <w:bCs w:val="1"/>
          <w:color w:val="134A9C"/>
        </w:rPr>
      </w:pPr>
      <w:r>
        <w:rPr>
          <w:rFonts w:ascii="Arial" w:cs="Arial" w:eastAsia="Arial" w:hAnsi="Arial"/>
          <w:sz w:val="18"/>
          <w:szCs w:val="18"/>
          <w:color w:val="auto"/>
        </w:rPr>
        <w:t>Stockholder proposal regarding independent board chairman;</w:t>
      </w:r>
    </w:p>
    <w:p>
      <w:pPr>
        <w:spacing w:after="0" w:line="63" w:lineRule="exact"/>
        <w:rPr>
          <w:rFonts w:ascii="Arial" w:cs="Arial" w:eastAsia="Arial" w:hAnsi="Arial"/>
          <w:sz w:val="18"/>
          <w:szCs w:val="18"/>
          <w:b w:val="1"/>
          <w:bCs w:val="1"/>
          <w:color w:val="134A9C"/>
        </w:rPr>
      </w:pPr>
    </w:p>
    <w:p>
      <w:pPr>
        <w:ind w:left="243" w:hanging="243"/>
        <w:spacing w:after="0"/>
        <w:tabs>
          <w:tab w:leader="none" w:pos="243" w:val="left"/>
        </w:tabs>
        <w:numPr>
          <w:ilvl w:val="0"/>
          <w:numId w:val="4"/>
        </w:numPr>
        <w:rPr>
          <w:rFonts w:ascii="Arial" w:cs="Arial" w:eastAsia="Arial" w:hAnsi="Arial"/>
          <w:sz w:val="18"/>
          <w:szCs w:val="18"/>
          <w:b w:val="1"/>
          <w:bCs w:val="1"/>
          <w:color w:val="134A9C"/>
        </w:rPr>
      </w:pPr>
      <w:r>
        <w:rPr>
          <w:rFonts w:ascii="Arial" w:cs="Arial" w:eastAsia="Arial" w:hAnsi="Arial"/>
          <w:sz w:val="18"/>
          <w:szCs w:val="18"/>
          <w:color w:val="auto"/>
        </w:rPr>
        <w:t>Stockholder proposal regarding cumulative voting; and</w:t>
      </w:r>
    </w:p>
    <w:p>
      <w:pPr>
        <w:spacing w:after="0" w:line="63" w:lineRule="exact"/>
        <w:rPr>
          <w:rFonts w:ascii="Arial" w:cs="Arial" w:eastAsia="Arial" w:hAnsi="Arial"/>
          <w:sz w:val="18"/>
          <w:szCs w:val="18"/>
          <w:b w:val="1"/>
          <w:bCs w:val="1"/>
          <w:color w:val="134A9C"/>
        </w:rPr>
      </w:pPr>
    </w:p>
    <w:p>
      <w:pPr>
        <w:ind w:left="243" w:hanging="243"/>
        <w:spacing w:after="0"/>
        <w:tabs>
          <w:tab w:leader="none" w:pos="243" w:val="left"/>
        </w:tabs>
        <w:numPr>
          <w:ilvl w:val="0"/>
          <w:numId w:val="4"/>
        </w:numPr>
        <w:rPr>
          <w:rFonts w:ascii="Arial" w:cs="Arial" w:eastAsia="Arial" w:hAnsi="Arial"/>
          <w:sz w:val="18"/>
          <w:szCs w:val="18"/>
          <w:b w:val="1"/>
          <w:bCs w:val="1"/>
          <w:color w:val="134A9C"/>
        </w:rPr>
      </w:pPr>
      <w:r>
        <w:rPr>
          <w:rFonts w:ascii="Arial" w:cs="Arial" w:eastAsia="Arial" w:hAnsi="Arial"/>
          <w:sz w:val="18"/>
          <w:szCs w:val="18"/>
          <w:color w:val="auto"/>
        </w:rPr>
        <w:t>Transacting any other business that is properly brought before the meeting, or any adjournment</w:t>
      </w:r>
    </w:p>
    <w:p>
      <w:pPr>
        <w:spacing w:after="0" w:line="230" w:lineRule="exact"/>
        <w:rPr>
          <w:sz w:val="20"/>
          <w:szCs w:val="20"/>
          <w:color w:val="auto"/>
        </w:rPr>
      </w:pPr>
    </w:p>
    <w:p>
      <w:pPr>
        <w:ind w:left="3"/>
        <w:spacing w:after="0"/>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134A9C"/>
        </w:rPr>
        <w:t>"FOR"</w:t>
      </w:r>
      <w:r>
        <w:rPr>
          <w:rFonts w:ascii="Arial" w:cs="Arial" w:eastAsia="Arial" w:hAnsi="Arial"/>
          <w:sz w:val="18"/>
          <w:szCs w:val="18"/>
          <w:color w:val="auto"/>
        </w:rPr>
        <w:t xml:space="preserve"> Items 1, 2, and 3, and </w:t>
      </w:r>
      <w:r>
        <w:rPr>
          <w:rFonts w:ascii="Arial" w:cs="Arial" w:eastAsia="Arial" w:hAnsi="Arial"/>
          <w:sz w:val="18"/>
          <w:szCs w:val="18"/>
          <w:b w:val="1"/>
          <w:bCs w:val="1"/>
          <w:color w:val="134A9C"/>
        </w:rPr>
        <w:t>"AGAINST"</w:t>
      </w:r>
      <w:r>
        <w:rPr>
          <w:rFonts w:ascii="Arial" w:cs="Arial" w:eastAsia="Arial" w:hAnsi="Arial"/>
          <w:sz w:val="18"/>
          <w:szCs w:val="18"/>
          <w:color w:val="auto"/>
        </w:rPr>
        <w:t xml:space="preserve"> Items 4 and 5.</w:t>
      </w:r>
    </w:p>
    <w:p>
      <w:pPr>
        <w:spacing w:after="0" w:line="200" w:lineRule="exact"/>
        <w:rPr>
          <w:sz w:val="20"/>
          <w:szCs w:val="20"/>
          <w:color w:val="auto"/>
        </w:rPr>
      </w:pPr>
    </w:p>
    <w:p>
      <w:pPr>
        <w:spacing w:after="0" w:line="223" w:lineRule="exact"/>
        <w:rPr>
          <w:sz w:val="20"/>
          <w:szCs w:val="20"/>
          <w:color w:val="auto"/>
        </w:rPr>
      </w:pPr>
    </w:p>
    <w:p>
      <w:pPr>
        <w:ind w:left="3" w:right="40"/>
        <w:spacing w:after="0" w:line="246" w:lineRule="auto"/>
        <w:rPr>
          <w:sz w:val="20"/>
          <w:szCs w:val="20"/>
          <w:color w:val="auto"/>
        </w:rPr>
      </w:pPr>
      <w:r>
        <w:rPr>
          <w:rFonts w:ascii="Arial" w:cs="Arial" w:eastAsia="Arial" w:hAnsi="Arial"/>
          <w:sz w:val="18"/>
          <w:szCs w:val="18"/>
          <w:color w:val="auto"/>
        </w:rPr>
        <w:t>You are entitled to vote at the meeting if you were a holder of record of GM Common Stock, $0.01 par value (“Common Stock”), at the close of business on April 10, 2015.</w:t>
      </w:r>
    </w:p>
    <w:p>
      <w:pPr>
        <w:spacing w:after="0" w:line="200" w:lineRule="exact"/>
        <w:rPr>
          <w:sz w:val="20"/>
          <w:szCs w:val="20"/>
          <w:color w:val="auto"/>
        </w:rPr>
      </w:pPr>
    </w:p>
    <w:p>
      <w:pPr>
        <w:sectPr>
          <w:pgSz w:w="11900" w:h="16838" w:orient="portrait"/>
          <w:cols w:equalWidth="0" w:num="2">
            <w:col w:w="1700" w:space="617"/>
            <w:col w:w="9103"/>
          </w:cols>
          <w:pgMar w:left="240" w:top="1440" w:right="239" w:bottom="1440" w:gutter="0" w:footer="0" w:header="0"/>
          <w:type w:val="continuous"/>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760" w:type="dxa"/>
            <w:vAlign w:val="bottom"/>
          </w:tcPr>
          <w:p>
            <w:pPr>
              <w:ind w:left="40"/>
              <w:spacing w:after="0"/>
              <w:rPr>
                <w:sz w:val="20"/>
                <w:szCs w:val="20"/>
                <w:color w:val="auto"/>
              </w:rPr>
            </w:pPr>
            <w:r>
              <w:rPr>
                <w:rFonts w:ascii="Arial" w:cs="Arial" w:eastAsia="Arial" w:hAnsi="Arial"/>
                <w:sz w:val="18"/>
                <w:szCs w:val="18"/>
                <w:b w:val="1"/>
                <w:bCs w:val="1"/>
                <w:color w:val="134A9C"/>
              </w:rPr>
              <w:t>Admission:</w:t>
            </w:r>
          </w:p>
        </w:tc>
        <w:tc>
          <w:tcPr>
            <w:tcW w:w="9660" w:type="dxa"/>
            <w:vAlign w:val="bottom"/>
            <w:vMerge w:val="restart"/>
          </w:tcPr>
          <w:p>
            <w:pPr>
              <w:ind w:left="560"/>
              <w:spacing w:after="0"/>
              <w:rPr>
                <w:sz w:val="20"/>
                <w:szCs w:val="20"/>
                <w:color w:val="auto"/>
              </w:rPr>
            </w:pPr>
            <w:r>
              <w:rPr>
                <w:rFonts w:ascii="Arial" w:cs="Arial" w:eastAsia="Arial" w:hAnsi="Arial"/>
                <w:sz w:val="18"/>
                <w:szCs w:val="18"/>
                <w:color w:val="auto"/>
              </w:rPr>
              <w:t>If you plan to attend the annual meeting, you must request an admission ticket in advance by following the</w:t>
            </w:r>
          </w:p>
        </w:tc>
        <w:tc>
          <w:tcPr>
            <w:tcW w:w="0" w:type="dxa"/>
            <w:vAlign w:val="bottom"/>
          </w:tcPr>
          <w:p>
            <w:pPr>
              <w:spacing w:after="0"/>
              <w:rPr>
                <w:sz w:val="1"/>
                <w:szCs w:val="1"/>
                <w:color w:val="auto"/>
              </w:rPr>
            </w:pPr>
          </w:p>
        </w:tc>
      </w:tr>
      <w:tr>
        <w:trPr>
          <w:trHeight w:val="85"/>
        </w:trPr>
        <w:tc>
          <w:tcPr>
            <w:tcW w:w="1760" w:type="dxa"/>
            <w:vAlign w:val="bottom"/>
          </w:tcPr>
          <w:p>
            <w:pPr>
              <w:spacing w:after="0"/>
              <w:rPr>
                <w:sz w:val="7"/>
                <w:szCs w:val="7"/>
                <w:color w:val="auto"/>
              </w:rPr>
            </w:pPr>
          </w:p>
        </w:tc>
        <w:tc>
          <w:tcPr>
            <w:tcW w:w="9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760" w:type="dxa"/>
            <w:vAlign w:val="bottom"/>
          </w:tcPr>
          <w:p>
            <w:pPr>
              <w:spacing w:after="0"/>
              <w:rPr>
                <w:sz w:val="19"/>
                <w:szCs w:val="19"/>
                <w:color w:val="auto"/>
              </w:rPr>
            </w:pPr>
          </w:p>
        </w:tc>
        <w:tc>
          <w:tcPr>
            <w:tcW w:w="9660" w:type="dxa"/>
            <w:vAlign w:val="bottom"/>
          </w:tcPr>
          <w:p>
            <w:pPr>
              <w:ind w:left="560"/>
              <w:spacing w:after="0"/>
              <w:rPr>
                <w:sz w:val="20"/>
                <w:szCs w:val="20"/>
                <w:color w:val="auto"/>
              </w:rPr>
            </w:pPr>
            <w:r>
              <w:rPr>
                <w:rFonts w:ascii="Arial" w:cs="Arial" w:eastAsia="Arial" w:hAnsi="Arial"/>
                <w:sz w:val="18"/>
                <w:szCs w:val="18"/>
                <w:color w:val="auto"/>
              </w:rPr>
              <w:t xml:space="preserve">instructions on page 9 of this proxy statement, and we must receive your request no later than </w:t>
            </w:r>
            <w:r>
              <w:rPr>
                <w:rFonts w:ascii="Arial" w:cs="Arial" w:eastAsia="Arial" w:hAnsi="Arial"/>
                <w:sz w:val="18"/>
                <w:szCs w:val="18"/>
                <w:b w:val="1"/>
                <w:bCs w:val="1"/>
                <w:color w:val="auto"/>
              </w:rPr>
              <w:t>June 2, 2015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9660" w:type="dxa"/>
            <w:vAlign w:val="bottom"/>
          </w:tcPr>
          <w:p>
            <w:pPr>
              <w:ind w:left="560"/>
              <w:spacing w:after="0" w:line="202" w:lineRule="exact"/>
              <w:rPr>
                <w:sz w:val="20"/>
                <w:szCs w:val="20"/>
                <w:color w:val="auto"/>
              </w:rPr>
            </w:pPr>
            <w:r>
              <w:rPr>
                <w:rFonts w:ascii="Arial" w:cs="Arial" w:eastAsia="Arial" w:hAnsi="Arial"/>
                <w:sz w:val="18"/>
                <w:szCs w:val="18"/>
                <w:color w:val="auto"/>
              </w:rPr>
              <w:t>Each stockholder may bring one guest to the meeting, and you must also request an admission ticket for your</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9660" w:type="dxa"/>
            <w:vAlign w:val="bottom"/>
          </w:tcPr>
          <w:p>
            <w:pPr>
              <w:ind w:left="560"/>
              <w:spacing w:after="0" w:line="202" w:lineRule="exact"/>
              <w:rPr>
                <w:sz w:val="20"/>
                <w:szCs w:val="20"/>
                <w:color w:val="auto"/>
              </w:rPr>
            </w:pPr>
            <w:r>
              <w:rPr>
                <w:rFonts w:ascii="Arial" w:cs="Arial" w:eastAsia="Arial" w:hAnsi="Arial"/>
                <w:sz w:val="18"/>
                <w:szCs w:val="18"/>
                <w:color w:val="auto"/>
              </w:rPr>
              <w:t>guest. Stockholders and their accompanying guest must each present an admission ticket and government-issued</w:t>
            </w:r>
          </w:p>
        </w:tc>
        <w:tc>
          <w:tcPr>
            <w:tcW w:w="0" w:type="dxa"/>
            <w:vAlign w:val="bottom"/>
          </w:tcPr>
          <w:p>
            <w:pPr>
              <w:spacing w:after="0"/>
              <w:rPr>
                <w:sz w:val="1"/>
                <w:szCs w:val="1"/>
                <w:color w:val="auto"/>
              </w:rPr>
            </w:pPr>
          </w:p>
        </w:tc>
      </w:tr>
      <w:tr>
        <w:trPr>
          <w:trHeight w:val="217"/>
        </w:trPr>
        <w:tc>
          <w:tcPr>
            <w:tcW w:w="1760" w:type="dxa"/>
            <w:vAlign w:val="bottom"/>
          </w:tcPr>
          <w:p>
            <w:pPr>
              <w:spacing w:after="0"/>
              <w:rPr>
                <w:sz w:val="18"/>
                <w:szCs w:val="18"/>
                <w:color w:val="auto"/>
              </w:rPr>
            </w:pPr>
          </w:p>
        </w:tc>
        <w:tc>
          <w:tcPr>
            <w:tcW w:w="9660" w:type="dxa"/>
            <w:vAlign w:val="bottom"/>
          </w:tcPr>
          <w:p>
            <w:pPr>
              <w:ind w:left="560"/>
              <w:spacing w:after="0"/>
              <w:rPr>
                <w:sz w:val="20"/>
                <w:szCs w:val="20"/>
                <w:color w:val="auto"/>
              </w:rPr>
            </w:pPr>
            <w:r>
              <w:rPr>
                <w:rFonts w:ascii="Arial" w:cs="Arial" w:eastAsia="Arial" w:hAnsi="Arial"/>
                <w:sz w:val="18"/>
                <w:szCs w:val="18"/>
                <w:color w:val="auto"/>
              </w:rPr>
              <w:t>photo identification to enter the meeting.</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9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60" w:type="dxa"/>
            <w:vAlign w:val="bottom"/>
            <w:shd w:val="clear" w:color="auto" w:fill="134A9C"/>
          </w:tcPr>
          <w:p>
            <w:pPr>
              <w:ind w:left="40"/>
              <w:spacing w:after="0"/>
              <w:rPr>
                <w:sz w:val="20"/>
                <w:szCs w:val="20"/>
                <w:color w:val="auto"/>
              </w:rPr>
            </w:pPr>
            <w:r>
              <w:rPr>
                <w:rFonts w:ascii="Arial" w:cs="Arial" w:eastAsia="Arial" w:hAnsi="Arial"/>
                <w:sz w:val="18"/>
                <w:szCs w:val="18"/>
                <w:b w:val="1"/>
                <w:bCs w:val="1"/>
                <w:color w:val="FFFFFF"/>
              </w:rPr>
              <w:t>Proxy Voting:</w:t>
            </w:r>
          </w:p>
        </w:tc>
        <w:tc>
          <w:tcPr>
            <w:tcW w:w="9660" w:type="dxa"/>
            <w:vAlign w:val="bottom"/>
            <w:shd w:val="clear" w:color="auto" w:fill="134A9C"/>
          </w:tcPr>
          <w:p>
            <w:pPr>
              <w:ind w:left="560"/>
              <w:spacing w:after="0"/>
              <w:rPr>
                <w:sz w:val="20"/>
                <w:szCs w:val="20"/>
                <w:color w:val="auto"/>
              </w:rPr>
            </w:pPr>
            <w:r>
              <w:rPr>
                <w:rFonts w:ascii="Arial" w:cs="Arial" w:eastAsia="Arial" w:hAnsi="Arial"/>
                <w:sz w:val="18"/>
                <w:szCs w:val="18"/>
                <w:b w:val="1"/>
                <w:bCs w:val="1"/>
                <w:i w:val="1"/>
                <w:iCs w:val="1"/>
                <w:color w:val="FFFFFF"/>
              </w:rPr>
              <w:t xml:space="preserve">YOUR VOTE IS IMPORTANT. </w:t>
            </w:r>
            <w:r>
              <w:rPr>
                <w:rFonts w:ascii="Arial" w:cs="Arial" w:eastAsia="Arial" w:hAnsi="Arial"/>
                <w:sz w:val="18"/>
                <w:szCs w:val="18"/>
                <w:color w:val="FFFFFF"/>
              </w:rPr>
              <w:t>Whether or not you plan to attend the annual meeting, please submit your vote as</w:t>
            </w:r>
          </w:p>
        </w:tc>
        <w:tc>
          <w:tcPr>
            <w:tcW w:w="0" w:type="dxa"/>
            <w:vAlign w:val="bottom"/>
          </w:tcPr>
          <w:p>
            <w:pPr>
              <w:spacing w:after="0"/>
              <w:rPr>
                <w:sz w:val="1"/>
                <w:szCs w:val="1"/>
                <w:color w:val="auto"/>
              </w:rPr>
            </w:pPr>
          </w:p>
        </w:tc>
      </w:tr>
      <w:tr>
        <w:trPr>
          <w:trHeight w:val="203"/>
        </w:trPr>
        <w:tc>
          <w:tcPr>
            <w:tcW w:w="1760" w:type="dxa"/>
            <w:vAlign w:val="bottom"/>
            <w:shd w:val="clear" w:color="auto" w:fill="134A9C"/>
          </w:tcPr>
          <w:p>
            <w:pPr>
              <w:spacing w:after="0"/>
              <w:rPr>
                <w:sz w:val="17"/>
                <w:szCs w:val="17"/>
                <w:color w:val="auto"/>
              </w:rPr>
            </w:pPr>
          </w:p>
        </w:tc>
        <w:tc>
          <w:tcPr>
            <w:tcW w:w="9660" w:type="dxa"/>
            <w:vAlign w:val="bottom"/>
            <w:shd w:val="clear" w:color="auto" w:fill="134A9C"/>
          </w:tcPr>
          <w:p>
            <w:pPr>
              <w:ind w:left="560"/>
              <w:spacing w:after="0" w:line="202" w:lineRule="exact"/>
              <w:rPr>
                <w:sz w:val="20"/>
                <w:szCs w:val="20"/>
                <w:color w:val="auto"/>
              </w:rPr>
            </w:pPr>
            <w:r>
              <w:rPr>
                <w:rFonts w:ascii="Arial" w:cs="Arial" w:eastAsia="Arial" w:hAnsi="Arial"/>
                <w:sz w:val="18"/>
                <w:szCs w:val="18"/>
                <w:color w:val="FFFFFF"/>
              </w:rPr>
              <w:t>soon as possible so that your shares will be represented and voted at the meeting. You may submit your vote by</w:t>
            </w:r>
          </w:p>
        </w:tc>
        <w:tc>
          <w:tcPr>
            <w:tcW w:w="0" w:type="dxa"/>
            <w:vAlign w:val="bottom"/>
          </w:tcPr>
          <w:p>
            <w:pPr>
              <w:spacing w:after="0"/>
              <w:rPr>
                <w:sz w:val="1"/>
                <w:szCs w:val="1"/>
                <w:color w:val="auto"/>
              </w:rPr>
            </w:pPr>
          </w:p>
        </w:tc>
      </w:tr>
      <w:tr>
        <w:trPr>
          <w:trHeight w:val="203"/>
        </w:trPr>
        <w:tc>
          <w:tcPr>
            <w:tcW w:w="1760" w:type="dxa"/>
            <w:vAlign w:val="bottom"/>
            <w:shd w:val="clear" w:color="auto" w:fill="134A9C"/>
          </w:tcPr>
          <w:p>
            <w:pPr>
              <w:spacing w:after="0"/>
              <w:rPr>
                <w:sz w:val="17"/>
                <w:szCs w:val="17"/>
                <w:color w:val="auto"/>
              </w:rPr>
            </w:pPr>
          </w:p>
        </w:tc>
        <w:tc>
          <w:tcPr>
            <w:tcW w:w="9660" w:type="dxa"/>
            <w:vAlign w:val="bottom"/>
            <w:shd w:val="clear" w:color="auto" w:fill="134A9C"/>
          </w:tcPr>
          <w:p>
            <w:pPr>
              <w:ind w:left="560"/>
              <w:spacing w:after="0" w:line="202" w:lineRule="exact"/>
              <w:rPr>
                <w:sz w:val="20"/>
                <w:szCs w:val="20"/>
                <w:color w:val="auto"/>
              </w:rPr>
            </w:pPr>
            <w:r>
              <w:rPr>
                <w:rFonts w:ascii="Arial" w:cs="Arial" w:eastAsia="Arial" w:hAnsi="Arial"/>
                <w:sz w:val="18"/>
                <w:szCs w:val="18"/>
                <w:color w:val="FFFFFF"/>
              </w:rPr>
              <w:t>Internet, or telephone, or by completing and mailing the enclosed proxy card or voting instruction form. Please</w:t>
            </w:r>
          </w:p>
        </w:tc>
        <w:tc>
          <w:tcPr>
            <w:tcW w:w="0" w:type="dxa"/>
            <w:vAlign w:val="bottom"/>
          </w:tcPr>
          <w:p>
            <w:pPr>
              <w:spacing w:after="0"/>
              <w:rPr>
                <w:sz w:val="1"/>
                <w:szCs w:val="1"/>
                <w:color w:val="auto"/>
              </w:rPr>
            </w:pPr>
          </w:p>
        </w:tc>
      </w:tr>
      <w:tr>
        <w:trPr>
          <w:trHeight w:val="185"/>
        </w:trPr>
        <w:tc>
          <w:tcPr>
            <w:tcW w:w="1760" w:type="dxa"/>
            <w:vAlign w:val="bottom"/>
            <w:shd w:val="clear" w:color="auto" w:fill="134A9C"/>
          </w:tcPr>
          <w:p>
            <w:pPr>
              <w:spacing w:after="0"/>
              <w:rPr>
                <w:sz w:val="16"/>
                <w:szCs w:val="16"/>
                <w:color w:val="auto"/>
              </w:rPr>
            </w:pPr>
          </w:p>
        </w:tc>
        <w:tc>
          <w:tcPr>
            <w:tcW w:w="9660" w:type="dxa"/>
            <w:vAlign w:val="bottom"/>
            <w:shd w:val="clear" w:color="auto" w:fill="134A9C"/>
          </w:tcPr>
          <w:p>
            <w:pPr>
              <w:ind w:left="560"/>
              <w:spacing w:after="0" w:line="185" w:lineRule="exact"/>
              <w:rPr>
                <w:sz w:val="20"/>
                <w:szCs w:val="20"/>
                <w:color w:val="auto"/>
              </w:rPr>
            </w:pPr>
            <w:r>
              <w:rPr>
                <w:rFonts w:ascii="Arial" w:cs="Arial" w:eastAsia="Arial" w:hAnsi="Arial"/>
                <w:sz w:val="18"/>
                <w:szCs w:val="18"/>
                <w:color w:val="FFFFFF"/>
              </w:rPr>
              <w:t>note that voting in advance by any of these methods will not affect your right to attend the meeting and vote in</w:t>
            </w:r>
          </w:p>
        </w:tc>
        <w:tc>
          <w:tcPr>
            <w:tcW w:w="0" w:type="dxa"/>
            <w:vAlign w:val="bottom"/>
          </w:tcPr>
          <w:p>
            <w:pPr>
              <w:spacing w:after="0"/>
              <w:rPr>
                <w:sz w:val="1"/>
                <w:szCs w:val="1"/>
                <w:color w:val="auto"/>
              </w:rPr>
            </w:pPr>
          </w:p>
        </w:tc>
      </w:tr>
      <w:tr>
        <w:trPr>
          <w:trHeight w:val="203"/>
        </w:trPr>
        <w:tc>
          <w:tcPr>
            <w:tcW w:w="1760" w:type="dxa"/>
            <w:vAlign w:val="bottom"/>
            <w:shd w:val="clear" w:color="auto" w:fill="134A9C"/>
          </w:tcPr>
          <w:p>
            <w:pPr>
              <w:spacing w:after="0"/>
              <w:rPr>
                <w:sz w:val="17"/>
                <w:szCs w:val="17"/>
                <w:color w:val="auto"/>
              </w:rPr>
            </w:pPr>
          </w:p>
        </w:tc>
        <w:tc>
          <w:tcPr>
            <w:tcW w:w="9660" w:type="dxa"/>
            <w:vAlign w:val="bottom"/>
            <w:shd w:val="clear" w:color="auto" w:fill="134A9C"/>
          </w:tcPr>
          <w:p>
            <w:pPr>
              <w:ind w:left="560"/>
              <w:spacing w:after="0" w:line="202" w:lineRule="exact"/>
              <w:rPr>
                <w:sz w:val="20"/>
                <w:szCs w:val="20"/>
                <w:color w:val="auto"/>
              </w:rPr>
            </w:pPr>
            <w:r>
              <w:rPr>
                <w:rFonts w:ascii="Arial" w:cs="Arial" w:eastAsia="Arial" w:hAnsi="Arial"/>
                <w:sz w:val="18"/>
                <w:szCs w:val="18"/>
                <w:color w:val="FFFFFF"/>
              </w:rPr>
              <w:t xml:space="preserve">person. For specific instructions on how to vote your shares, please see </w:t>
            </w:r>
            <w:r>
              <w:rPr>
                <w:rFonts w:ascii="Arial" w:cs="Arial" w:eastAsia="Arial" w:hAnsi="Arial"/>
                <w:sz w:val="18"/>
                <w:szCs w:val="18"/>
                <w:i w:val="1"/>
                <w:iCs w:val="1"/>
                <w:color w:val="FFFFFF"/>
              </w:rPr>
              <w:t>“How do I vote without attending the</w:t>
            </w:r>
          </w:p>
        </w:tc>
        <w:tc>
          <w:tcPr>
            <w:tcW w:w="0" w:type="dxa"/>
            <w:vAlign w:val="bottom"/>
          </w:tcPr>
          <w:p>
            <w:pPr>
              <w:spacing w:after="0"/>
              <w:rPr>
                <w:sz w:val="1"/>
                <w:szCs w:val="1"/>
                <w:color w:val="auto"/>
              </w:rPr>
            </w:pPr>
          </w:p>
        </w:tc>
      </w:tr>
      <w:tr>
        <w:trPr>
          <w:trHeight w:val="242"/>
        </w:trPr>
        <w:tc>
          <w:tcPr>
            <w:tcW w:w="1760" w:type="dxa"/>
            <w:vAlign w:val="bottom"/>
            <w:tcBorders>
              <w:bottom w:val="single" w:sz="8" w:color="134A9C"/>
            </w:tcBorders>
            <w:shd w:val="clear" w:color="auto" w:fill="134A9C"/>
          </w:tcPr>
          <w:p>
            <w:pPr>
              <w:spacing w:after="0"/>
              <w:rPr>
                <w:sz w:val="21"/>
                <w:szCs w:val="21"/>
                <w:color w:val="auto"/>
              </w:rPr>
            </w:pPr>
          </w:p>
        </w:tc>
        <w:tc>
          <w:tcPr>
            <w:tcW w:w="9660" w:type="dxa"/>
            <w:vAlign w:val="bottom"/>
            <w:tcBorders>
              <w:bottom w:val="single" w:sz="8" w:color="134A9C"/>
            </w:tcBorders>
            <w:shd w:val="clear" w:color="auto" w:fill="134A9C"/>
          </w:tcPr>
          <w:p>
            <w:pPr>
              <w:ind w:left="560"/>
              <w:spacing w:after="0"/>
              <w:rPr>
                <w:sz w:val="20"/>
                <w:szCs w:val="20"/>
                <w:color w:val="auto"/>
              </w:rPr>
            </w:pPr>
            <w:r>
              <w:rPr>
                <w:rFonts w:ascii="Arial" w:cs="Arial" w:eastAsia="Arial" w:hAnsi="Arial"/>
                <w:sz w:val="18"/>
                <w:szCs w:val="18"/>
                <w:i w:val="1"/>
                <w:iCs w:val="1"/>
                <w:color w:val="FFFFFF"/>
              </w:rPr>
              <w:t xml:space="preserve">annual meeting?” </w:t>
            </w:r>
            <w:r>
              <w:rPr>
                <w:rFonts w:ascii="Arial" w:cs="Arial" w:eastAsia="Arial" w:hAnsi="Arial"/>
                <w:sz w:val="18"/>
                <w:szCs w:val="18"/>
                <w:color w:val="FFFFFF"/>
              </w:rPr>
              <w:t>on page 6.</w:t>
            </w:r>
          </w:p>
        </w:tc>
        <w:tc>
          <w:tcPr>
            <w:tcW w:w="0" w:type="dxa"/>
            <w:vAlign w:val="bottom"/>
          </w:tcPr>
          <w:p>
            <w:pPr>
              <w:spacing w:after="0"/>
              <w:rPr>
                <w:sz w:val="1"/>
                <w:szCs w:val="1"/>
                <w:color w:val="auto"/>
              </w:rPr>
            </w:pPr>
          </w:p>
        </w:tc>
      </w:tr>
      <w:tr>
        <w:trPr>
          <w:trHeight w:val="378"/>
        </w:trPr>
        <w:tc>
          <w:tcPr>
            <w:tcW w:w="1760" w:type="dxa"/>
            <w:vAlign w:val="bottom"/>
          </w:tcPr>
          <w:p>
            <w:pPr>
              <w:spacing w:after="0"/>
              <w:rPr>
                <w:sz w:val="24"/>
                <w:szCs w:val="24"/>
                <w:color w:val="auto"/>
              </w:rPr>
            </w:pPr>
          </w:p>
        </w:tc>
        <w:tc>
          <w:tcPr>
            <w:tcW w:w="9660" w:type="dxa"/>
            <w:vAlign w:val="bottom"/>
          </w:tcPr>
          <w:p>
            <w:pPr>
              <w:ind w:left="3980"/>
              <w:spacing w:after="0"/>
              <w:rPr>
                <w:sz w:val="20"/>
                <w:szCs w:val="20"/>
                <w:color w:val="auto"/>
              </w:rPr>
            </w:pPr>
            <w:r>
              <w:rPr>
                <w:rFonts w:ascii="Arial" w:cs="Arial" w:eastAsia="Arial" w:hAnsi="Arial"/>
                <w:sz w:val="18"/>
                <w:szCs w:val="18"/>
                <w:color w:val="auto"/>
              </w:rPr>
              <w:t>By Order of the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26035</wp:posOffset>
            </wp:positionV>
            <wp:extent cx="2023745"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237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C. Shrosbree</w:t>
      </w:r>
    </w:p>
    <w:p>
      <w:pPr>
        <w:spacing w:after="0" w:line="5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Acting Corporate Secretary</w:t>
      </w:r>
    </w:p>
    <w:p>
      <w:pPr>
        <w:spacing w:after="0" w:line="2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134A9C"/>
        </w:rPr>
        <w:t xml:space="preserve">Important Notice Regarding the Availability of Proxy Materials for the 2015 GM Annual Meeting of Stockholders to be Held on June 9, 2015. </w:t>
      </w:r>
      <w:r>
        <w:rPr>
          <w:rFonts w:ascii="Arial" w:cs="Arial" w:eastAsia="Arial" w:hAnsi="Arial"/>
          <w:sz w:val="18"/>
          <w:szCs w:val="18"/>
          <w:b w:val="1"/>
          <w:bCs w:val="1"/>
          <w:i w:val="1"/>
          <w:iCs w:val="1"/>
          <w:color w:val="134A9C"/>
        </w:rPr>
        <w:t>The Proxy Statement and Annual Report to Stockholders are available at www.gm.com/proxymaterials.</w:t>
      </w:r>
    </w:p>
    <w:p>
      <w:pPr>
        <w:spacing w:after="0" w:line="365" w:lineRule="exact"/>
        <w:rPr>
          <w:sz w:val="20"/>
          <w:szCs w:val="20"/>
          <w:color w:val="auto"/>
        </w:rPr>
      </w:pPr>
    </w:p>
    <w:p>
      <w:pPr>
        <w:ind w:left="8920"/>
        <w:spacing w:after="0"/>
        <w:rPr>
          <w:sz w:val="20"/>
          <w:szCs w:val="20"/>
          <w:color w:val="auto"/>
        </w:rPr>
      </w:pPr>
      <w:r>
        <w:rPr>
          <w:sz w:val="1"/>
          <w:szCs w:val="1"/>
          <w:color w:val="auto"/>
        </w:rPr>
        <w:drawing>
          <wp:inline distT="0" distB="0" distL="0" distR="0">
            <wp:extent cx="120015" cy="1200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7"/>
          <w:szCs w:val="17"/>
          <w:b w:val="1"/>
          <w:bCs w:val="1"/>
          <w:color w:val="134A9C"/>
        </w:rPr>
        <w:t xml:space="preserve"> 2015 PROXY STATEMENT</w:t>
      </w:r>
    </w:p>
    <w:p>
      <w:pPr>
        <w:sectPr>
          <w:pgSz w:w="11900" w:h="16838" w:orient="portrait"/>
          <w:cols w:equalWidth="0" w:num="1">
            <w:col w:w="11420"/>
          </w:cols>
          <w:pgMar w:left="240" w:top="144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9"/>
          <w:szCs w:val="29"/>
          <w:b w:val="1"/>
          <w:bCs w:val="1"/>
          <w:color w:val="134A9C"/>
        </w:rPr>
        <w:t>Table of Contents</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9720" w:type="dxa"/>
            <w:vAlign w:val="bottom"/>
          </w:tcPr>
          <w:p>
            <w:pPr>
              <w:spacing w:after="0"/>
              <w:rPr>
                <w:rFonts w:ascii="Arial" w:cs="Arial" w:eastAsia="Arial" w:hAnsi="Arial"/>
                <w:sz w:val="18"/>
                <w:szCs w:val="18"/>
                <w:b w:val="1"/>
                <w:bCs w:val="1"/>
                <w:color w:val="134A9C"/>
              </w:rPr>
            </w:pPr>
            <w:hyperlink w:anchor="page4">
              <w:r>
                <w:rPr>
                  <w:rFonts w:ascii="Arial" w:cs="Arial" w:eastAsia="Arial" w:hAnsi="Arial"/>
                  <w:sz w:val="18"/>
                  <w:szCs w:val="18"/>
                  <w:b w:val="1"/>
                  <w:bCs w:val="1"/>
                  <w:color w:val="134A9C"/>
                </w:rPr>
                <w:t>PROXY STATEMENT SUMMARY</w:t>
              </w:r>
            </w:hyperlink>
          </w:p>
        </w:tc>
        <w:tc>
          <w:tcPr>
            <w:tcW w:w="1300" w:type="dxa"/>
            <w:vAlign w:val="bottom"/>
          </w:tcPr>
          <w:p>
            <w:pPr>
              <w:jc w:val="center"/>
              <w:ind w:left="950"/>
              <w:spacing w:after="0"/>
              <w:rPr>
                <w:rFonts w:ascii="Arial" w:cs="Arial" w:eastAsia="Arial" w:hAnsi="Arial"/>
                <w:sz w:val="18"/>
                <w:szCs w:val="18"/>
                <w:b w:val="1"/>
                <w:bCs w:val="1"/>
                <w:color w:val="134A9C"/>
                <w:w w:val="99"/>
              </w:rPr>
            </w:pPr>
            <w:hyperlink w:anchor="page4">
              <w:r>
                <w:rPr>
                  <w:rFonts w:ascii="Arial" w:cs="Arial" w:eastAsia="Arial" w:hAnsi="Arial"/>
                  <w:sz w:val="18"/>
                  <w:szCs w:val="18"/>
                  <w:b w:val="1"/>
                  <w:bCs w:val="1"/>
                  <w:color w:val="134A9C"/>
                  <w:w w:val="99"/>
                </w:rPr>
                <w:t>1</w:t>
              </w:r>
            </w:hyperlink>
          </w:p>
        </w:tc>
      </w:tr>
      <w:tr>
        <w:trPr>
          <w:trHeight w:val="284"/>
        </w:trPr>
        <w:tc>
          <w:tcPr>
            <w:tcW w:w="9720" w:type="dxa"/>
            <w:vAlign w:val="bottom"/>
          </w:tcPr>
          <w:p>
            <w:pPr>
              <w:spacing w:after="0"/>
              <w:rPr>
                <w:rFonts w:ascii="Arial" w:cs="Arial" w:eastAsia="Arial" w:hAnsi="Arial"/>
                <w:sz w:val="18"/>
                <w:szCs w:val="18"/>
                <w:b w:val="1"/>
                <w:bCs w:val="1"/>
                <w:color w:val="134A9C"/>
              </w:rPr>
            </w:pPr>
            <w:hyperlink w:anchor="page9">
              <w:r>
                <w:rPr>
                  <w:rFonts w:ascii="Arial" w:cs="Arial" w:eastAsia="Arial" w:hAnsi="Arial"/>
                  <w:sz w:val="18"/>
                  <w:szCs w:val="18"/>
                  <w:b w:val="1"/>
                  <w:bCs w:val="1"/>
                  <w:color w:val="134A9C"/>
                </w:rPr>
                <w:t>PROXY STATEMENT</w:t>
              </w:r>
            </w:hyperlink>
          </w:p>
        </w:tc>
        <w:tc>
          <w:tcPr>
            <w:tcW w:w="1300" w:type="dxa"/>
            <w:vAlign w:val="bottom"/>
          </w:tcPr>
          <w:p>
            <w:pPr>
              <w:jc w:val="center"/>
              <w:ind w:left="950"/>
              <w:spacing w:after="0"/>
              <w:rPr>
                <w:rFonts w:ascii="Arial" w:cs="Arial" w:eastAsia="Arial" w:hAnsi="Arial"/>
                <w:sz w:val="18"/>
                <w:szCs w:val="18"/>
                <w:b w:val="1"/>
                <w:bCs w:val="1"/>
                <w:color w:val="134A9C"/>
                <w:w w:val="99"/>
              </w:rPr>
            </w:pPr>
            <w:hyperlink w:anchor="page9">
              <w:r>
                <w:rPr>
                  <w:rFonts w:ascii="Arial" w:cs="Arial" w:eastAsia="Arial" w:hAnsi="Arial"/>
                  <w:sz w:val="18"/>
                  <w:szCs w:val="18"/>
                  <w:b w:val="1"/>
                  <w:bCs w:val="1"/>
                  <w:color w:val="134A9C"/>
                  <w:w w:val="99"/>
                </w:rPr>
                <w:t>6</w:t>
              </w:r>
            </w:hyperlink>
          </w:p>
        </w:tc>
      </w:tr>
      <w:tr>
        <w:trPr>
          <w:trHeight w:val="257"/>
        </w:trPr>
        <w:tc>
          <w:tcPr>
            <w:tcW w:w="9720" w:type="dxa"/>
            <w:vAlign w:val="bottom"/>
          </w:tcPr>
          <w:p>
            <w:pPr>
              <w:ind w:left="340"/>
              <w:spacing w:after="0"/>
              <w:rPr>
                <w:sz w:val="20"/>
                <w:szCs w:val="20"/>
                <w:color w:val="auto"/>
              </w:rPr>
            </w:pPr>
            <w:r>
              <w:rPr>
                <w:rFonts w:ascii="Arial" w:cs="Arial" w:eastAsia="Arial" w:hAnsi="Arial"/>
                <w:sz w:val="18"/>
                <w:szCs w:val="18"/>
                <w:color w:val="auto"/>
              </w:rPr>
              <w:t>Questions and Answers</w:t>
            </w:r>
          </w:p>
        </w:tc>
        <w:tc>
          <w:tcPr>
            <w:tcW w:w="1300" w:type="dxa"/>
            <w:vAlign w:val="bottom"/>
          </w:tcPr>
          <w:p>
            <w:pPr>
              <w:jc w:val="center"/>
              <w:ind w:left="950"/>
              <w:spacing w:after="0"/>
              <w:rPr>
                <w:sz w:val="20"/>
                <w:szCs w:val="20"/>
                <w:color w:val="auto"/>
              </w:rPr>
            </w:pPr>
            <w:r>
              <w:rPr>
                <w:rFonts w:ascii="Arial" w:cs="Arial" w:eastAsia="Arial" w:hAnsi="Arial"/>
                <w:sz w:val="18"/>
                <w:szCs w:val="18"/>
                <w:color w:val="auto"/>
                <w:w w:val="99"/>
              </w:rPr>
              <w:t>6</w:t>
            </w:r>
          </w:p>
        </w:tc>
      </w:tr>
      <w:tr>
        <w:trPr>
          <w:trHeight w:val="257"/>
        </w:trPr>
        <w:tc>
          <w:tcPr>
            <w:tcW w:w="9720" w:type="dxa"/>
            <w:vAlign w:val="bottom"/>
          </w:tcPr>
          <w:p>
            <w:pPr>
              <w:spacing w:after="0"/>
              <w:rPr>
                <w:rFonts w:ascii="Arial" w:cs="Arial" w:eastAsia="Arial" w:hAnsi="Arial"/>
                <w:sz w:val="18"/>
                <w:szCs w:val="18"/>
                <w:b w:val="1"/>
                <w:bCs w:val="1"/>
                <w:color w:val="134A9C"/>
              </w:rPr>
            </w:pPr>
            <w:hyperlink w:anchor="page15">
              <w:r>
                <w:rPr>
                  <w:rFonts w:ascii="Arial" w:cs="Arial" w:eastAsia="Arial" w:hAnsi="Arial"/>
                  <w:sz w:val="18"/>
                  <w:szCs w:val="18"/>
                  <w:b w:val="1"/>
                  <w:bCs w:val="1"/>
                  <w:color w:val="134A9C"/>
                </w:rPr>
                <w:t>ITEM NO. 1 — ELECTION OF DIRECTORS</w:t>
              </w:r>
            </w:hyperlink>
          </w:p>
        </w:tc>
        <w:tc>
          <w:tcPr>
            <w:tcW w:w="1300" w:type="dxa"/>
            <w:vAlign w:val="bottom"/>
          </w:tcPr>
          <w:p>
            <w:pPr>
              <w:jc w:val="center"/>
              <w:ind w:left="930"/>
              <w:spacing w:after="0"/>
              <w:rPr>
                <w:rFonts w:ascii="Arial" w:cs="Arial" w:eastAsia="Arial" w:hAnsi="Arial"/>
                <w:sz w:val="18"/>
                <w:szCs w:val="18"/>
                <w:b w:val="1"/>
                <w:bCs w:val="1"/>
                <w:color w:val="134A9C"/>
                <w:w w:val="99"/>
              </w:rPr>
            </w:pPr>
            <w:hyperlink w:anchor="page15">
              <w:r>
                <w:rPr>
                  <w:rFonts w:ascii="Arial" w:cs="Arial" w:eastAsia="Arial" w:hAnsi="Arial"/>
                  <w:sz w:val="18"/>
                  <w:szCs w:val="18"/>
                  <w:b w:val="1"/>
                  <w:bCs w:val="1"/>
                  <w:color w:val="134A9C"/>
                  <w:w w:val="99"/>
                </w:rPr>
                <w:t>12</w:t>
              </w:r>
            </w:hyperlink>
          </w:p>
        </w:tc>
      </w:tr>
      <w:tr>
        <w:trPr>
          <w:trHeight w:val="257"/>
        </w:trPr>
        <w:tc>
          <w:tcPr>
            <w:tcW w:w="9720" w:type="dxa"/>
            <w:vAlign w:val="bottom"/>
          </w:tcPr>
          <w:p>
            <w:pPr>
              <w:ind w:left="340"/>
              <w:spacing w:after="0"/>
              <w:rPr>
                <w:sz w:val="20"/>
                <w:szCs w:val="20"/>
                <w:color w:val="auto"/>
              </w:rPr>
            </w:pPr>
            <w:r>
              <w:rPr>
                <w:rFonts w:ascii="Arial" w:cs="Arial" w:eastAsia="Arial" w:hAnsi="Arial"/>
                <w:sz w:val="18"/>
                <w:szCs w:val="18"/>
                <w:color w:val="auto"/>
              </w:rPr>
              <w:t>Information about Nominees for Director</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12</w:t>
            </w:r>
          </w:p>
        </w:tc>
      </w:tr>
      <w:tr>
        <w:trPr>
          <w:trHeight w:val="257"/>
        </w:trPr>
        <w:tc>
          <w:tcPr>
            <w:tcW w:w="9720" w:type="dxa"/>
            <w:vAlign w:val="bottom"/>
          </w:tcPr>
          <w:p>
            <w:pPr>
              <w:spacing w:after="0"/>
              <w:rPr>
                <w:rFonts w:ascii="Arial" w:cs="Arial" w:eastAsia="Arial" w:hAnsi="Arial"/>
                <w:sz w:val="18"/>
                <w:szCs w:val="18"/>
                <w:b w:val="1"/>
                <w:bCs w:val="1"/>
                <w:color w:val="134A9C"/>
              </w:rPr>
            </w:pPr>
            <w:hyperlink w:anchor="page22">
              <w:r>
                <w:rPr>
                  <w:rFonts w:ascii="Arial" w:cs="Arial" w:eastAsia="Arial" w:hAnsi="Arial"/>
                  <w:sz w:val="18"/>
                  <w:szCs w:val="18"/>
                  <w:b w:val="1"/>
                  <w:bCs w:val="1"/>
                  <w:color w:val="134A9C"/>
                </w:rPr>
                <w:t>CORPORATE GOVERNANCE</w:t>
              </w:r>
            </w:hyperlink>
          </w:p>
        </w:tc>
        <w:tc>
          <w:tcPr>
            <w:tcW w:w="1300" w:type="dxa"/>
            <w:vAlign w:val="bottom"/>
          </w:tcPr>
          <w:p>
            <w:pPr>
              <w:jc w:val="center"/>
              <w:ind w:left="930"/>
              <w:spacing w:after="0"/>
              <w:rPr>
                <w:rFonts w:ascii="Arial" w:cs="Arial" w:eastAsia="Arial" w:hAnsi="Arial"/>
                <w:sz w:val="18"/>
                <w:szCs w:val="18"/>
                <w:b w:val="1"/>
                <w:bCs w:val="1"/>
                <w:color w:val="134A9C"/>
                <w:w w:val="99"/>
              </w:rPr>
            </w:pPr>
            <w:hyperlink w:anchor="page22">
              <w:r>
                <w:rPr>
                  <w:rFonts w:ascii="Arial" w:cs="Arial" w:eastAsia="Arial" w:hAnsi="Arial"/>
                  <w:sz w:val="18"/>
                  <w:szCs w:val="18"/>
                  <w:b w:val="1"/>
                  <w:bCs w:val="1"/>
                  <w:color w:val="134A9C"/>
                  <w:w w:val="99"/>
                </w:rPr>
                <w:t>19</w:t>
              </w:r>
            </w:hyperlink>
          </w:p>
        </w:tc>
      </w:tr>
      <w:tr>
        <w:trPr>
          <w:trHeight w:val="257"/>
        </w:trPr>
        <w:tc>
          <w:tcPr>
            <w:tcW w:w="9720" w:type="dxa"/>
            <w:vAlign w:val="bottom"/>
          </w:tcPr>
          <w:p>
            <w:pPr>
              <w:ind w:left="340"/>
              <w:spacing w:after="0"/>
              <w:rPr>
                <w:sz w:val="20"/>
                <w:szCs w:val="20"/>
                <w:color w:val="auto"/>
              </w:rPr>
            </w:pPr>
            <w:r>
              <w:rPr>
                <w:rFonts w:ascii="Arial" w:cs="Arial" w:eastAsia="Arial" w:hAnsi="Arial"/>
                <w:sz w:val="18"/>
                <w:szCs w:val="18"/>
                <w:color w:val="auto"/>
              </w:rPr>
              <w:t>Board Leadership Structure</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19</w:t>
            </w:r>
          </w:p>
        </w:tc>
      </w:tr>
      <w:tr>
        <w:trPr>
          <w:trHeight w:val="257"/>
        </w:trPr>
        <w:tc>
          <w:tcPr>
            <w:tcW w:w="9720" w:type="dxa"/>
            <w:vAlign w:val="bottom"/>
          </w:tcPr>
          <w:p>
            <w:pPr>
              <w:ind w:left="340"/>
              <w:spacing w:after="0"/>
              <w:rPr>
                <w:sz w:val="20"/>
                <w:szCs w:val="20"/>
                <w:color w:val="auto"/>
              </w:rPr>
            </w:pPr>
            <w:r>
              <w:rPr>
                <w:rFonts w:ascii="Arial" w:cs="Arial" w:eastAsia="Arial" w:hAnsi="Arial"/>
                <w:sz w:val="18"/>
                <w:szCs w:val="18"/>
                <w:color w:val="auto"/>
              </w:rPr>
              <w:t>Board's Role in Risk Oversight</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20</w:t>
            </w:r>
          </w:p>
        </w:tc>
      </w:tr>
      <w:tr>
        <w:trPr>
          <w:trHeight w:val="257"/>
        </w:trPr>
        <w:tc>
          <w:tcPr>
            <w:tcW w:w="9720" w:type="dxa"/>
            <w:vAlign w:val="bottom"/>
          </w:tcPr>
          <w:p>
            <w:pPr>
              <w:ind w:left="340"/>
              <w:spacing w:after="0"/>
              <w:rPr>
                <w:sz w:val="20"/>
                <w:szCs w:val="20"/>
                <w:color w:val="auto"/>
              </w:rPr>
            </w:pPr>
            <w:r>
              <w:rPr>
                <w:rFonts w:ascii="Arial" w:cs="Arial" w:eastAsia="Arial" w:hAnsi="Arial"/>
                <w:sz w:val="18"/>
                <w:szCs w:val="18"/>
                <w:color w:val="auto"/>
              </w:rPr>
              <w:t>Selection of Nominees for Election to the Board</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21</w:t>
            </w:r>
          </w:p>
        </w:tc>
      </w:tr>
      <w:tr>
        <w:trPr>
          <w:trHeight w:val="257"/>
        </w:trPr>
        <w:tc>
          <w:tcPr>
            <w:tcW w:w="9720" w:type="dxa"/>
            <w:vAlign w:val="bottom"/>
          </w:tcPr>
          <w:p>
            <w:pPr>
              <w:ind w:left="340"/>
              <w:spacing w:after="0"/>
              <w:rPr>
                <w:sz w:val="20"/>
                <w:szCs w:val="20"/>
                <w:color w:val="auto"/>
              </w:rPr>
            </w:pPr>
            <w:r>
              <w:rPr>
                <w:rFonts w:ascii="Arial" w:cs="Arial" w:eastAsia="Arial" w:hAnsi="Arial"/>
                <w:sz w:val="18"/>
                <w:szCs w:val="18"/>
                <w:color w:val="auto"/>
              </w:rPr>
              <w:t>Board Meetings and Attendance</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22</w:t>
            </w:r>
          </w:p>
        </w:tc>
      </w:tr>
      <w:tr>
        <w:trPr>
          <w:trHeight w:val="257"/>
        </w:trPr>
        <w:tc>
          <w:tcPr>
            <w:tcW w:w="9720" w:type="dxa"/>
            <w:vAlign w:val="bottom"/>
          </w:tcPr>
          <w:p>
            <w:pPr>
              <w:ind w:left="340"/>
              <w:spacing w:after="0"/>
              <w:rPr>
                <w:sz w:val="20"/>
                <w:szCs w:val="20"/>
                <w:color w:val="auto"/>
              </w:rPr>
            </w:pPr>
            <w:r>
              <w:rPr>
                <w:rFonts w:ascii="Arial" w:cs="Arial" w:eastAsia="Arial" w:hAnsi="Arial"/>
                <w:sz w:val="18"/>
                <w:szCs w:val="18"/>
                <w:color w:val="auto"/>
              </w:rPr>
              <w:t>Voting Standards for the Election of Directors</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23</w:t>
            </w:r>
          </w:p>
        </w:tc>
      </w:tr>
      <w:tr>
        <w:trPr>
          <w:trHeight w:val="257"/>
        </w:trPr>
        <w:tc>
          <w:tcPr>
            <w:tcW w:w="9720" w:type="dxa"/>
            <w:vAlign w:val="bottom"/>
          </w:tcPr>
          <w:p>
            <w:pPr>
              <w:ind w:left="340"/>
              <w:spacing w:after="0"/>
              <w:rPr>
                <w:sz w:val="20"/>
                <w:szCs w:val="20"/>
                <w:color w:val="auto"/>
              </w:rPr>
            </w:pPr>
            <w:r>
              <w:rPr>
                <w:rFonts w:ascii="Arial" w:cs="Arial" w:eastAsia="Arial" w:hAnsi="Arial"/>
                <w:sz w:val="18"/>
                <w:szCs w:val="18"/>
                <w:color w:val="auto"/>
              </w:rPr>
              <w:t>Director Independence</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23</w:t>
            </w:r>
          </w:p>
        </w:tc>
      </w:tr>
      <w:tr>
        <w:trPr>
          <w:trHeight w:val="257"/>
        </w:trPr>
        <w:tc>
          <w:tcPr>
            <w:tcW w:w="9720" w:type="dxa"/>
            <w:vAlign w:val="bottom"/>
          </w:tcPr>
          <w:p>
            <w:pPr>
              <w:ind w:left="340"/>
              <w:spacing w:after="0"/>
              <w:rPr>
                <w:sz w:val="20"/>
                <w:szCs w:val="20"/>
                <w:color w:val="auto"/>
              </w:rPr>
            </w:pPr>
            <w:r>
              <w:rPr>
                <w:rFonts w:ascii="Arial" w:cs="Arial" w:eastAsia="Arial" w:hAnsi="Arial"/>
                <w:sz w:val="18"/>
                <w:szCs w:val="18"/>
                <w:color w:val="auto"/>
              </w:rPr>
              <w:t>Stockholder Communication with the Board</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24</w:t>
            </w:r>
          </w:p>
        </w:tc>
      </w:tr>
      <w:tr>
        <w:trPr>
          <w:trHeight w:val="257"/>
        </w:trPr>
        <w:tc>
          <w:tcPr>
            <w:tcW w:w="9720" w:type="dxa"/>
            <w:vAlign w:val="bottom"/>
          </w:tcPr>
          <w:p>
            <w:pPr>
              <w:ind w:left="340"/>
              <w:spacing w:after="0"/>
              <w:rPr>
                <w:sz w:val="20"/>
                <w:szCs w:val="20"/>
                <w:color w:val="auto"/>
              </w:rPr>
            </w:pPr>
            <w:r>
              <w:rPr>
                <w:rFonts w:ascii="Arial" w:cs="Arial" w:eastAsia="Arial" w:hAnsi="Arial"/>
                <w:sz w:val="18"/>
                <w:szCs w:val="18"/>
                <w:color w:val="auto"/>
              </w:rPr>
              <w:t>Code of Ethics</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25</w:t>
            </w:r>
          </w:p>
        </w:tc>
      </w:tr>
      <w:tr>
        <w:trPr>
          <w:trHeight w:val="257"/>
        </w:trPr>
        <w:tc>
          <w:tcPr>
            <w:tcW w:w="9720" w:type="dxa"/>
            <w:vAlign w:val="bottom"/>
          </w:tcPr>
          <w:p>
            <w:pPr>
              <w:ind w:left="340"/>
              <w:spacing w:after="0"/>
              <w:rPr>
                <w:sz w:val="20"/>
                <w:szCs w:val="20"/>
                <w:color w:val="auto"/>
              </w:rPr>
            </w:pPr>
            <w:r>
              <w:rPr>
                <w:rFonts w:ascii="Arial" w:cs="Arial" w:eastAsia="Arial" w:hAnsi="Arial"/>
                <w:sz w:val="18"/>
                <w:szCs w:val="18"/>
                <w:color w:val="auto"/>
              </w:rPr>
              <w:t>Committees of the Board of Directors</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25</w:t>
            </w:r>
          </w:p>
        </w:tc>
      </w:tr>
      <w:tr>
        <w:trPr>
          <w:trHeight w:val="257"/>
        </w:trPr>
        <w:tc>
          <w:tcPr>
            <w:tcW w:w="9720" w:type="dxa"/>
            <w:vAlign w:val="bottom"/>
          </w:tcPr>
          <w:p>
            <w:pPr>
              <w:ind w:left="340"/>
              <w:spacing w:after="0"/>
              <w:rPr>
                <w:sz w:val="20"/>
                <w:szCs w:val="20"/>
                <w:color w:val="auto"/>
              </w:rPr>
            </w:pPr>
            <w:r>
              <w:rPr>
                <w:rFonts w:ascii="Arial" w:cs="Arial" w:eastAsia="Arial" w:hAnsi="Arial"/>
                <w:sz w:val="18"/>
                <w:szCs w:val="18"/>
                <w:color w:val="auto"/>
              </w:rPr>
              <w:t>Non-Employee Director Compensation</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27</w:t>
            </w:r>
          </w:p>
        </w:tc>
      </w:tr>
      <w:tr>
        <w:trPr>
          <w:trHeight w:val="270"/>
        </w:trPr>
        <w:tc>
          <w:tcPr>
            <w:tcW w:w="9720" w:type="dxa"/>
            <w:vAlign w:val="bottom"/>
          </w:tcPr>
          <w:p>
            <w:pPr>
              <w:ind w:left="320"/>
              <w:spacing w:after="0"/>
              <w:rPr>
                <w:sz w:val="20"/>
                <w:szCs w:val="20"/>
                <w:color w:val="auto"/>
              </w:rPr>
            </w:pPr>
            <w:r>
              <w:rPr>
                <w:rFonts w:ascii="Arial" w:cs="Arial" w:eastAsia="Arial" w:hAnsi="Arial"/>
                <w:sz w:val="18"/>
                <w:szCs w:val="18"/>
                <w:color w:val="auto"/>
              </w:rPr>
              <w:t>Certain Relationships and Related Party Transactions</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31</w:t>
            </w:r>
          </w:p>
        </w:tc>
      </w:tr>
      <w:tr>
        <w:trPr>
          <w:trHeight w:val="270"/>
        </w:trPr>
        <w:tc>
          <w:tcPr>
            <w:tcW w:w="9720" w:type="dxa"/>
            <w:vAlign w:val="bottom"/>
          </w:tcPr>
          <w:p>
            <w:pPr>
              <w:spacing w:after="0"/>
              <w:rPr>
                <w:rFonts w:ascii="Arial" w:cs="Arial" w:eastAsia="Arial" w:hAnsi="Arial"/>
                <w:sz w:val="18"/>
                <w:szCs w:val="18"/>
                <w:b w:val="1"/>
                <w:bCs w:val="1"/>
                <w:color w:val="134A9C"/>
              </w:rPr>
            </w:pPr>
            <w:hyperlink w:anchor="page36">
              <w:r>
                <w:rPr>
                  <w:rFonts w:ascii="Arial" w:cs="Arial" w:eastAsia="Arial" w:hAnsi="Arial"/>
                  <w:sz w:val="18"/>
                  <w:szCs w:val="18"/>
                  <w:b w:val="1"/>
                  <w:bCs w:val="1"/>
                  <w:color w:val="134A9C"/>
                </w:rPr>
                <w:t>SECURITY OWNERSHIP INFORMATION</w:t>
              </w:r>
            </w:hyperlink>
          </w:p>
        </w:tc>
        <w:tc>
          <w:tcPr>
            <w:tcW w:w="1300" w:type="dxa"/>
            <w:vAlign w:val="bottom"/>
          </w:tcPr>
          <w:p>
            <w:pPr>
              <w:jc w:val="center"/>
              <w:ind w:left="930"/>
              <w:spacing w:after="0"/>
              <w:rPr>
                <w:rFonts w:ascii="Arial" w:cs="Arial" w:eastAsia="Arial" w:hAnsi="Arial"/>
                <w:sz w:val="18"/>
                <w:szCs w:val="18"/>
                <w:b w:val="1"/>
                <w:bCs w:val="1"/>
                <w:color w:val="134A9C"/>
                <w:w w:val="99"/>
              </w:rPr>
            </w:pPr>
            <w:hyperlink w:anchor="page36">
              <w:r>
                <w:rPr>
                  <w:rFonts w:ascii="Arial" w:cs="Arial" w:eastAsia="Arial" w:hAnsi="Arial"/>
                  <w:sz w:val="18"/>
                  <w:szCs w:val="18"/>
                  <w:b w:val="1"/>
                  <w:bCs w:val="1"/>
                  <w:color w:val="134A9C"/>
                  <w:w w:val="99"/>
                </w:rPr>
                <w:t>33</w:t>
              </w:r>
            </w:hyperlink>
          </w:p>
        </w:tc>
      </w:tr>
      <w:tr>
        <w:trPr>
          <w:trHeight w:val="257"/>
        </w:trPr>
        <w:tc>
          <w:tcPr>
            <w:tcW w:w="9720" w:type="dxa"/>
            <w:vAlign w:val="bottom"/>
          </w:tcPr>
          <w:p>
            <w:pPr>
              <w:ind w:left="320"/>
              <w:spacing w:after="0"/>
              <w:rPr>
                <w:sz w:val="20"/>
                <w:szCs w:val="20"/>
                <w:color w:val="auto"/>
              </w:rPr>
            </w:pPr>
            <w:r>
              <w:rPr>
                <w:rFonts w:ascii="Arial" w:cs="Arial" w:eastAsia="Arial" w:hAnsi="Arial"/>
                <w:sz w:val="18"/>
                <w:szCs w:val="18"/>
                <w:color w:val="auto"/>
              </w:rPr>
              <w:t>Security Ownership of Directors, Named Executive Officers, and Certain Others</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33</w:t>
            </w:r>
          </w:p>
        </w:tc>
      </w:tr>
      <w:tr>
        <w:trPr>
          <w:trHeight w:val="257"/>
        </w:trPr>
        <w:tc>
          <w:tcPr>
            <w:tcW w:w="9720" w:type="dxa"/>
            <w:vAlign w:val="bottom"/>
          </w:tcPr>
          <w:p>
            <w:pPr>
              <w:ind w:left="320"/>
              <w:spacing w:after="0"/>
              <w:rPr>
                <w:sz w:val="20"/>
                <w:szCs w:val="20"/>
                <w:color w:val="auto"/>
              </w:rPr>
            </w:pPr>
            <w:r>
              <w:rPr>
                <w:rFonts w:ascii="Arial" w:cs="Arial" w:eastAsia="Arial" w:hAnsi="Arial"/>
                <w:sz w:val="18"/>
                <w:szCs w:val="18"/>
                <w:color w:val="auto"/>
              </w:rPr>
              <w:t>Stockholders Agreement</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34</w:t>
            </w:r>
          </w:p>
        </w:tc>
      </w:tr>
      <w:tr>
        <w:trPr>
          <w:trHeight w:val="257"/>
        </w:trPr>
        <w:tc>
          <w:tcPr>
            <w:tcW w:w="9720" w:type="dxa"/>
            <w:vAlign w:val="bottom"/>
          </w:tcPr>
          <w:p>
            <w:pPr>
              <w:ind w:left="320"/>
              <w:spacing w:after="0"/>
              <w:rPr>
                <w:sz w:val="20"/>
                <w:szCs w:val="20"/>
                <w:color w:val="auto"/>
              </w:rPr>
            </w:pPr>
            <w:r>
              <w:rPr>
                <w:rFonts w:ascii="Arial" w:cs="Arial" w:eastAsia="Arial" w:hAnsi="Arial"/>
                <w:sz w:val="18"/>
                <w:szCs w:val="18"/>
                <w:color w:val="auto"/>
              </w:rPr>
              <w:t>Section 16(a) Beneficial Ownership Reporting Compliance</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34</w:t>
            </w:r>
          </w:p>
        </w:tc>
      </w:tr>
      <w:tr>
        <w:trPr>
          <w:trHeight w:val="257"/>
        </w:trPr>
        <w:tc>
          <w:tcPr>
            <w:tcW w:w="9720" w:type="dxa"/>
            <w:vAlign w:val="bottom"/>
          </w:tcPr>
          <w:p>
            <w:pPr>
              <w:spacing w:after="0"/>
              <w:rPr>
                <w:rFonts w:ascii="Arial" w:cs="Arial" w:eastAsia="Arial" w:hAnsi="Arial"/>
                <w:sz w:val="18"/>
                <w:szCs w:val="18"/>
                <w:b w:val="1"/>
                <w:bCs w:val="1"/>
                <w:color w:val="134A9C"/>
              </w:rPr>
            </w:pPr>
            <w:hyperlink w:anchor="page38">
              <w:r>
                <w:rPr>
                  <w:rFonts w:ascii="Arial" w:cs="Arial" w:eastAsia="Arial" w:hAnsi="Arial"/>
                  <w:sz w:val="18"/>
                  <w:szCs w:val="18"/>
                  <w:b w:val="1"/>
                  <w:bCs w:val="1"/>
                  <w:color w:val="134A9C"/>
                </w:rPr>
                <w:t>EXECUTIVE COMPENSATION</w:t>
              </w:r>
            </w:hyperlink>
          </w:p>
        </w:tc>
        <w:tc>
          <w:tcPr>
            <w:tcW w:w="1300" w:type="dxa"/>
            <w:vAlign w:val="bottom"/>
          </w:tcPr>
          <w:p>
            <w:pPr>
              <w:jc w:val="center"/>
              <w:ind w:left="930"/>
              <w:spacing w:after="0"/>
              <w:rPr>
                <w:rFonts w:ascii="Arial" w:cs="Arial" w:eastAsia="Arial" w:hAnsi="Arial"/>
                <w:sz w:val="18"/>
                <w:szCs w:val="18"/>
                <w:b w:val="1"/>
                <w:bCs w:val="1"/>
                <w:color w:val="134A9C"/>
                <w:w w:val="99"/>
              </w:rPr>
            </w:pPr>
            <w:hyperlink w:anchor="page38">
              <w:r>
                <w:rPr>
                  <w:rFonts w:ascii="Arial" w:cs="Arial" w:eastAsia="Arial" w:hAnsi="Arial"/>
                  <w:sz w:val="18"/>
                  <w:szCs w:val="18"/>
                  <w:b w:val="1"/>
                  <w:bCs w:val="1"/>
                  <w:color w:val="134A9C"/>
                  <w:w w:val="99"/>
                </w:rPr>
                <w:t>35</w:t>
              </w:r>
            </w:hyperlink>
          </w:p>
        </w:tc>
      </w:tr>
      <w:tr>
        <w:trPr>
          <w:trHeight w:val="257"/>
        </w:trPr>
        <w:tc>
          <w:tcPr>
            <w:tcW w:w="9720" w:type="dxa"/>
            <w:vAlign w:val="bottom"/>
          </w:tcPr>
          <w:p>
            <w:pPr>
              <w:ind w:left="340"/>
              <w:spacing w:after="0"/>
              <w:rPr>
                <w:sz w:val="20"/>
                <w:szCs w:val="20"/>
                <w:color w:val="auto"/>
              </w:rPr>
            </w:pPr>
            <w:r>
              <w:rPr>
                <w:rFonts w:ascii="Arial" w:cs="Arial" w:eastAsia="Arial" w:hAnsi="Arial"/>
                <w:sz w:val="18"/>
                <w:szCs w:val="18"/>
                <w:color w:val="auto"/>
              </w:rPr>
              <w:t>Compensation Discussion and Analysis</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35</w:t>
            </w:r>
          </w:p>
        </w:tc>
      </w:tr>
      <w:tr>
        <w:trPr>
          <w:trHeight w:val="270"/>
        </w:trPr>
        <w:tc>
          <w:tcPr>
            <w:tcW w:w="9720" w:type="dxa"/>
            <w:vAlign w:val="bottom"/>
          </w:tcPr>
          <w:p>
            <w:pPr>
              <w:ind w:left="600"/>
              <w:spacing w:after="0"/>
              <w:rPr>
                <w:sz w:val="20"/>
                <w:szCs w:val="20"/>
                <w:color w:val="auto"/>
              </w:rPr>
            </w:pPr>
            <w:r>
              <w:rPr>
                <w:rFonts w:ascii="Arial" w:cs="Arial" w:eastAsia="Arial" w:hAnsi="Arial"/>
                <w:sz w:val="18"/>
                <w:szCs w:val="18"/>
                <w:color w:val="auto"/>
              </w:rPr>
              <w:t>Executive Summary</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35</w:t>
            </w:r>
          </w:p>
        </w:tc>
      </w:tr>
      <w:tr>
        <w:trPr>
          <w:trHeight w:val="257"/>
        </w:trPr>
        <w:tc>
          <w:tcPr>
            <w:tcW w:w="9720" w:type="dxa"/>
            <w:vAlign w:val="bottom"/>
          </w:tcPr>
          <w:p>
            <w:pPr>
              <w:ind w:left="600"/>
              <w:spacing w:after="0"/>
              <w:rPr>
                <w:sz w:val="20"/>
                <w:szCs w:val="20"/>
                <w:color w:val="auto"/>
              </w:rPr>
            </w:pPr>
            <w:r>
              <w:rPr>
                <w:rFonts w:ascii="Arial" w:cs="Arial" w:eastAsia="Arial" w:hAnsi="Arial"/>
                <w:sz w:val="18"/>
                <w:szCs w:val="18"/>
                <w:color w:val="auto"/>
              </w:rPr>
              <w:t>Total Compensation Framework and Overview</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42</w:t>
            </w:r>
          </w:p>
        </w:tc>
      </w:tr>
      <w:tr>
        <w:trPr>
          <w:trHeight w:val="270"/>
        </w:trPr>
        <w:tc>
          <w:tcPr>
            <w:tcW w:w="9720" w:type="dxa"/>
            <w:vAlign w:val="bottom"/>
          </w:tcPr>
          <w:p>
            <w:pPr>
              <w:ind w:left="820"/>
              <w:spacing w:after="0"/>
              <w:rPr>
                <w:sz w:val="20"/>
                <w:szCs w:val="20"/>
                <w:color w:val="auto"/>
              </w:rPr>
            </w:pPr>
            <w:r>
              <w:rPr>
                <w:rFonts w:ascii="Arial" w:cs="Arial" w:eastAsia="Arial" w:hAnsi="Arial"/>
                <w:sz w:val="18"/>
                <w:szCs w:val="18"/>
                <w:color w:val="auto"/>
              </w:rPr>
              <w:t>Assessing Compensation Competitiveness</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44</w:t>
            </w:r>
          </w:p>
        </w:tc>
      </w:tr>
      <w:tr>
        <w:trPr>
          <w:trHeight w:val="270"/>
        </w:trPr>
        <w:tc>
          <w:tcPr>
            <w:tcW w:w="9720" w:type="dxa"/>
            <w:vAlign w:val="bottom"/>
          </w:tcPr>
          <w:p>
            <w:pPr>
              <w:ind w:left="580"/>
              <w:spacing w:after="0"/>
              <w:rPr>
                <w:sz w:val="20"/>
                <w:szCs w:val="20"/>
                <w:color w:val="auto"/>
              </w:rPr>
            </w:pPr>
            <w:r>
              <w:rPr>
                <w:rFonts w:ascii="Arial" w:cs="Arial" w:eastAsia="Arial" w:hAnsi="Arial"/>
                <w:sz w:val="18"/>
                <w:szCs w:val="18"/>
                <w:color w:val="auto"/>
              </w:rPr>
              <w:t>2014 Compensation Decisions and Performance</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46</w:t>
            </w:r>
          </w:p>
        </w:tc>
      </w:tr>
      <w:tr>
        <w:trPr>
          <w:trHeight w:val="270"/>
        </w:trPr>
        <w:tc>
          <w:tcPr>
            <w:tcW w:w="9720" w:type="dxa"/>
            <w:vAlign w:val="bottom"/>
          </w:tcPr>
          <w:p>
            <w:pPr>
              <w:ind w:left="580"/>
              <w:spacing w:after="0"/>
              <w:rPr>
                <w:sz w:val="20"/>
                <w:szCs w:val="20"/>
                <w:color w:val="auto"/>
              </w:rPr>
            </w:pPr>
            <w:r>
              <w:rPr>
                <w:rFonts w:ascii="Arial" w:cs="Arial" w:eastAsia="Arial" w:hAnsi="Arial"/>
                <w:sz w:val="18"/>
                <w:szCs w:val="18"/>
                <w:color w:val="auto"/>
              </w:rPr>
              <w:t>Compensation Polices and Governance Practices</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49</w:t>
            </w:r>
          </w:p>
        </w:tc>
      </w:tr>
      <w:tr>
        <w:trPr>
          <w:trHeight w:val="270"/>
        </w:trPr>
        <w:tc>
          <w:tcPr>
            <w:tcW w:w="9720" w:type="dxa"/>
            <w:vAlign w:val="bottom"/>
          </w:tcPr>
          <w:p>
            <w:pPr>
              <w:ind w:left="840"/>
              <w:spacing w:after="0"/>
              <w:rPr>
                <w:sz w:val="20"/>
                <w:szCs w:val="20"/>
                <w:color w:val="auto"/>
              </w:rPr>
            </w:pPr>
            <w:r>
              <w:rPr>
                <w:rFonts w:ascii="Arial" w:cs="Arial" w:eastAsia="Arial" w:hAnsi="Arial"/>
                <w:sz w:val="18"/>
                <w:szCs w:val="18"/>
                <w:color w:val="auto"/>
              </w:rPr>
              <w:t>Stock Ownership Requirements</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49</w:t>
            </w:r>
          </w:p>
        </w:tc>
      </w:tr>
      <w:tr>
        <w:trPr>
          <w:trHeight w:val="270"/>
        </w:trPr>
        <w:tc>
          <w:tcPr>
            <w:tcW w:w="9720" w:type="dxa"/>
            <w:vAlign w:val="bottom"/>
          </w:tcPr>
          <w:p>
            <w:pPr>
              <w:ind w:left="840"/>
              <w:spacing w:after="0"/>
              <w:rPr>
                <w:sz w:val="20"/>
                <w:szCs w:val="20"/>
                <w:color w:val="auto"/>
              </w:rPr>
            </w:pPr>
            <w:r>
              <w:rPr>
                <w:rFonts w:ascii="Arial" w:cs="Arial" w:eastAsia="Arial" w:hAnsi="Arial"/>
                <w:sz w:val="18"/>
                <w:szCs w:val="18"/>
                <w:color w:val="auto"/>
              </w:rPr>
              <w:t>Policy on Recoupment of Incentive Compensation</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49</w:t>
            </w:r>
          </w:p>
        </w:tc>
      </w:tr>
      <w:tr>
        <w:trPr>
          <w:trHeight w:val="270"/>
        </w:trPr>
        <w:tc>
          <w:tcPr>
            <w:tcW w:w="9720" w:type="dxa"/>
            <w:vAlign w:val="bottom"/>
          </w:tcPr>
          <w:p>
            <w:pPr>
              <w:ind w:left="840"/>
              <w:spacing w:after="0"/>
              <w:rPr>
                <w:sz w:val="20"/>
                <w:szCs w:val="20"/>
                <w:color w:val="auto"/>
              </w:rPr>
            </w:pPr>
            <w:r>
              <w:rPr>
                <w:rFonts w:ascii="Arial" w:cs="Arial" w:eastAsia="Arial" w:hAnsi="Arial"/>
                <w:sz w:val="18"/>
                <w:szCs w:val="18"/>
                <w:color w:val="auto"/>
              </w:rPr>
              <w:t>Compensation Committee and Consultant Independence</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50</w:t>
            </w:r>
          </w:p>
        </w:tc>
      </w:tr>
      <w:tr>
        <w:trPr>
          <w:trHeight w:val="257"/>
        </w:trPr>
        <w:tc>
          <w:tcPr>
            <w:tcW w:w="9720" w:type="dxa"/>
            <w:vAlign w:val="bottom"/>
          </w:tcPr>
          <w:p>
            <w:pPr>
              <w:ind w:left="840"/>
              <w:spacing w:after="0"/>
              <w:rPr>
                <w:sz w:val="20"/>
                <w:szCs w:val="20"/>
                <w:color w:val="auto"/>
              </w:rPr>
            </w:pPr>
            <w:r>
              <w:rPr>
                <w:rFonts w:ascii="Arial" w:cs="Arial" w:eastAsia="Arial" w:hAnsi="Arial"/>
                <w:sz w:val="18"/>
                <w:szCs w:val="18"/>
                <w:color w:val="auto"/>
              </w:rPr>
              <w:t>Compensation Risk Assessment Process</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51</w:t>
            </w:r>
          </w:p>
        </w:tc>
      </w:tr>
      <w:tr>
        <w:trPr>
          <w:trHeight w:val="257"/>
        </w:trPr>
        <w:tc>
          <w:tcPr>
            <w:tcW w:w="9720" w:type="dxa"/>
            <w:vAlign w:val="bottom"/>
          </w:tcPr>
          <w:p>
            <w:pPr>
              <w:ind w:left="580"/>
              <w:spacing w:after="0"/>
              <w:rPr>
                <w:sz w:val="20"/>
                <w:szCs w:val="20"/>
                <w:color w:val="auto"/>
              </w:rPr>
            </w:pPr>
            <w:r>
              <w:rPr>
                <w:rFonts w:ascii="Arial" w:cs="Arial" w:eastAsia="Arial" w:hAnsi="Arial"/>
                <w:sz w:val="18"/>
                <w:szCs w:val="18"/>
                <w:color w:val="auto"/>
              </w:rPr>
              <w:t>2014 Summary Compensation Table and Related Compensation Tables</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52</w:t>
            </w:r>
          </w:p>
        </w:tc>
      </w:tr>
      <w:tr>
        <w:trPr>
          <w:trHeight w:val="257"/>
        </w:trPr>
        <w:tc>
          <w:tcPr>
            <w:tcW w:w="9720" w:type="dxa"/>
            <w:vAlign w:val="bottom"/>
          </w:tcPr>
          <w:p>
            <w:pPr>
              <w:ind w:left="340"/>
              <w:spacing w:after="0"/>
              <w:rPr>
                <w:sz w:val="20"/>
                <w:szCs w:val="20"/>
                <w:color w:val="auto"/>
              </w:rPr>
            </w:pPr>
            <w:r>
              <w:rPr>
                <w:rFonts w:ascii="Arial" w:cs="Arial" w:eastAsia="Arial" w:hAnsi="Arial"/>
                <w:sz w:val="18"/>
                <w:szCs w:val="18"/>
                <w:color w:val="auto"/>
              </w:rPr>
              <w:t>Compensation Committee Report</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61</w:t>
            </w:r>
          </w:p>
        </w:tc>
      </w:tr>
      <w:tr>
        <w:trPr>
          <w:trHeight w:val="257"/>
        </w:trPr>
        <w:tc>
          <w:tcPr>
            <w:tcW w:w="9720" w:type="dxa"/>
            <w:vAlign w:val="bottom"/>
          </w:tcPr>
          <w:p>
            <w:pPr>
              <w:spacing w:after="0"/>
              <w:rPr>
                <w:rFonts w:ascii="Arial" w:cs="Arial" w:eastAsia="Arial" w:hAnsi="Arial"/>
                <w:sz w:val="18"/>
                <w:szCs w:val="18"/>
                <w:b w:val="1"/>
                <w:bCs w:val="1"/>
                <w:color w:val="134A9C"/>
              </w:rPr>
            </w:pPr>
            <w:hyperlink w:anchor="page65">
              <w:r>
                <w:rPr>
                  <w:rFonts w:ascii="Arial" w:cs="Arial" w:eastAsia="Arial" w:hAnsi="Arial"/>
                  <w:sz w:val="18"/>
                  <w:szCs w:val="18"/>
                  <w:b w:val="1"/>
                  <w:bCs w:val="1"/>
                  <w:color w:val="134A9C"/>
                </w:rPr>
                <w:t>AUDIT COMMITTEE REPORT</w:t>
              </w:r>
            </w:hyperlink>
          </w:p>
        </w:tc>
        <w:tc>
          <w:tcPr>
            <w:tcW w:w="1300" w:type="dxa"/>
            <w:vAlign w:val="bottom"/>
          </w:tcPr>
          <w:p>
            <w:pPr>
              <w:jc w:val="center"/>
              <w:ind w:left="930"/>
              <w:spacing w:after="0"/>
              <w:rPr>
                <w:sz w:val="20"/>
                <w:szCs w:val="20"/>
                <w:color w:val="auto"/>
              </w:rPr>
            </w:pPr>
            <w:r>
              <w:rPr>
                <w:rFonts w:ascii="Arial" w:cs="Arial" w:eastAsia="Arial" w:hAnsi="Arial"/>
                <w:sz w:val="18"/>
                <w:szCs w:val="18"/>
                <w:b w:val="1"/>
                <w:bCs w:val="1"/>
                <w:color w:val="134A9C"/>
                <w:w w:val="99"/>
              </w:rPr>
              <w:t>62</w:t>
            </w:r>
          </w:p>
        </w:tc>
      </w:tr>
      <w:tr>
        <w:trPr>
          <w:trHeight w:val="257"/>
        </w:trPr>
        <w:tc>
          <w:tcPr>
            <w:tcW w:w="9720" w:type="dxa"/>
            <w:vAlign w:val="bottom"/>
          </w:tcPr>
          <w:p>
            <w:pPr>
              <w:ind w:left="320"/>
              <w:spacing w:after="0"/>
              <w:rPr>
                <w:sz w:val="20"/>
                <w:szCs w:val="20"/>
                <w:color w:val="auto"/>
              </w:rPr>
            </w:pPr>
            <w:r>
              <w:rPr>
                <w:rFonts w:ascii="Arial" w:cs="Arial" w:eastAsia="Arial" w:hAnsi="Arial"/>
                <w:sz w:val="18"/>
                <w:szCs w:val="18"/>
                <w:color w:val="auto"/>
              </w:rPr>
              <w:t>Fees Paid to Independent Registered Public Accounting Firm</w:t>
            </w:r>
          </w:p>
        </w:tc>
        <w:tc>
          <w:tcPr>
            <w:tcW w:w="1300" w:type="dxa"/>
            <w:vAlign w:val="bottom"/>
          </w:tcPr>
          <w:p>
            <w:pPr>
              <w:jc w:val="center"/>
              <w:ind w:left="930"/>
              <w:spacing w:after="0"/>
              <w:rPr>
                <w:sz w:val="20"/>
                <w:szCs w:val="20"/>
                <w:color w:val="auto"/>
              </w:rPr>
            </w:pPr>
            <w:r>
              <w:rPr>
                <w:rFonts w:ascii="Arial" w:cs="Arial" w:eastAsia="Arial" w:hAnsi="Arial"/>
                <w:sz w:val="18"/>
                <w:szCs w:val="18"/>
                <w:color w:val="auto"/>
                <w:w w:val="99"/>
              </w:rPr>
              <w:t>63</w:t>
            </w:r>
          </w:p>
        </w:tc>
      </w:tr>
      <w:tr>
        <w:trPr>
          <w:trHeight w:val="220"/>
        </w:trPr>
        <w:tc>
          <w:tcPr>
            <w:tcW w:w="9720" w:type="dxa"/>
            <w:vAlign w:val="bottom"/>
          </w:tcPr>
          <w:p>
            <w:pPr>
              <w:spacing w:after="0"/>
              <w:rPr>
                <w:rFonts w:ascii="Arial" w:cs="Arial" w:eastAsia="Arial" w:hAnsi="Arial"/>
                <w:sz w:val="18"/>
                <w:szCs w:val="18"/>
                <w:b w:val="1"/>
                <w:bCs w:val="1"/>
                <w:color w:val="134A9C"/>
              </w:rPr>
            </w:pPr>
            <w:hyperlink w:anchor="page67">
              <w:r>
                <w:rPr>
                  <w:rFonts w:ascii="Arial" w:cs="Arial" w:eastAsia="Arial" w:hAnsi="Arial"/>
                  <w:sz w:val="18"/>
                  <w:szCs w:val="18"/>
                  <w:b w:val="1"/>
                  <w:bCs w:val="1"/>
                  <w:color w:val="134A9C"/>
                </w:rPr>
                <w:t>ITEM NO. 2 — RATIFICATION OF THE SELECTION OF DELOITTE &amp; TOUCHE LLP AS THE COMPANY'S</w:t>
              </w:r>
            </w:hyperlink>
          </w:p>
        </w:tc>
        <w:tc>
          <w:tcPr>
            <w:tcW w:w="1300" w:type="dxa"/>
            <w:vAlign w:val="bottom"/>
          </w:tcPr>
          <w:p>
            <w:pPr>
              <w:spacing w:after="0"/>
              <w:rPr>
                <w:sz w:val="19"/>
                <w:szCs w:val="19"/>
                <w:color w:val="auto"/>
              </w:rPr>
            </w:pPr>
          </w:p>
        </w:tc>
      </w:tr>
      <w:tr>
        <w:trPr>
          <w:trHeight w:val="239"/>
        </w:trPr>
        <w:tc>
          <w:tcPr>
            <w:tcW w:w="9720" w:type="dxa"/>
            <w:vAlign w:val="bottom"/>
          </w:tcPr>
          <w:p>
            <w:pPr>
              <w:ind w:left="1220"/>
              <w:spacing w:after="0"/>
              <w:rPr>
                <w:rFonts w:ascii="Arial" w:cs="Arial" w:eastAsia="Arial" w:hAnsi="Arial"/>
                <w:sz w:val="18"/>
                <w:szCs w:val="18"/>
                <w:b w:val="1"/>
                <w:bCs w:val="1"/>
                <w:color w:val="134A9C"/>
              </w:rPr>
            </w:pPr>
            <w:hyperlink w:anchor="page67">
              <w:r>
                <w:rPr>
                  <w:rFonts w:ascii="Arial" w:cs="Arial" w:eastAsia="Arial" w:hAnsi="Arial"/>
                  <w:sz w:val="18"/>
                  <w:szCs w:val="18"/>
                  <w:b w:val="1"/>
                  <w:bCs w:val="1"/>
                  <w:color w:val="134A9C"/>
                </w:rPr>
                <w:t>INDEPENDENT REGISTERED PUBLIC ACCOUNTING FIRM FOR 2015</w:t>
              </w:r>
            </w:hyperlink>
          </w:p>
        </w:tc>
        <w:tc>
          <w:tcPr>
            <w:tcW w:w="1300" w:type="dxa"/>
            <w:vAlign w:val="bottom"/>
          </w:tcPr>
          <w:p>
            <w:pPr>
              <w:jc w:val="center"/>
              <w:ind w:left="930"/>
              <w:spacing w:after="0"/>
              <w:rPr>
                <w:sz w:val="20"/>
                <w:szCs w:val="20"/>
                <w:color w:val="auto"/>
              </w:rPr>
            </w:pPr>
            <w:r>
              <w:rPr>
                <w:rFonts w:ascii="Arial" w:cs="Arial" w:eastAsia="Arial" w:hAnsi="Arial"/>
                <w:sz w:val="18"/>
                <w:szCs w:val="18"/>
                <w:b w:val="1"/>
                <w:bCs w:val="1"/>
                <w:color w:val="134A9C"/>
                <w:w w:val="99"/>
              </w:rPr>
              <w:t>64</w:t>
            </w:r>
          </w:p>
        </w:tc>
      </w:tr>
      <w:tr>
        <w:trPr>
          <w:trHeight w:val="257"/>
        </w:trPr>
        <w:tc>
          <w:tcPr>
            <w:tcW w:w="9720" w:type="dxa"/>
            <w:vAlign w:val="bottom"/>
          </w:tcPr>
          <w:p>
            <w:pPr>
              <w:spacing w:after="0"/>
              <w:rPr>
                <w:rFonts w:ascii="Arial" w:cs="Arial" w:eastAsia="Arial" w:hAnsi="Arial"/>
                <w:sz w:val="18"/>
                <w:szCs w:val="18"/>
                <w:b w:val="1"/>
                <w:bCs w:val="1"/>
                <w:color w:val="134A9C"/>
              </w:rPr>
            </w:pPr>
            <w:hyperlink w:anchor="page68">
              <w:r>
                <w:rPr>
                  <w:rFonts w:ascii="Arial" w:cs="Arial" w:eastAsia="Arial" w:hAnsi="Arial"/>
                  <w:sz w:val="18"/>
                  <w:szCs w:val="18"/>
                  <w:b w:val="1"/>
                  <w:bCs w:val="1"/>
                  <w:color w:val="134A9C"/>
                </w:rPr>
                <w:t>ITEM NO. 3 — ADVISORY VOTE TO APPROVE EXECUTIVE COMPENSATION</w:t>
              </w:r>
            </w:hyperlink>
          </w:p>
        </w:tc>
        <w:tc>
          <w:tcPr>
            <w:tcW w:w="1300" w:type="dxa"/>
            <w:vAlign w:val="bottom"/>
          </w:tcPr>
          <w:p>
            <w:pPr>
              <w:jc w:val="center"/>
              <w:ind w:left="930"/>
              <w:spacing w:after="0"/>
              <w:rPr>
                <w:sz w:val="20"/>
                <w:szCs w:val="20"/>
                <w:color w:val="auto"/>
              </w:rPr>
            </w:pPr>
            <w:r>
              <w:rPr>
                <w:rFonts w:ascii="Arial" w:cs="Arial" w:eastAsia="Arial" w:hAnsi="Arial"/>
                <w:sz w:val="18"/>
                <w:szCs w:val="18"/>
                <w:b w:val="1"/>
                <w:bCs w:val="1"/>
                <w:color w:val="134A9C"/>
                <w:w w:val="99"/>
              </w:rPr>
              <w:t>65</w:t>
            </w:r>
          </w:p>
        </w:tc>
      </w:tr>
      <w:tr>
        <w:trPr>
          <w:trHeight w:val="270"/>
        </w:trPr>
        <w:tc>
          <w:tcPr>
            <w:tcW w:w="9720" w:type="dxa"/>
            <w:vAlign w:val="bottom"/>
          </w:tcPr>
          <w:p>
            <w:pPr>
              <w:spacing w:after="0"/>
              <w:rPr>
                <w:rFonts w:ascii="Arial" w:cs="Arial" w:eastAsia="Arial" w:hAnsi="Arial"/>
                <w:sz w:val="18"/>
                <w:szCs w:val="18"/>
                <w:b w:val="1"/>
                <w:bCs w:val="1"/>
                <w:color w:val="134A9C"/>
              </w:rPr>
            </w:pPr>
            <w:hyperlink w:anchor="page69">
              <w:r>
                <w:rPr>
                  <w:rFonts w:ascii="Arial" w:cs="Arial" w:eastAsia="Arial" w:hAnsi="Arial"/>
                  <w:sz w:val="18"/>
                  <w:szCs w:val="18"/>
                  <w:b w:val="1"/>
                  <w:bCs w:val="1"/>
                  <w:color w:val="134A9C"/>
                </w:rPr>
                <w:t>ITEM NO. 4 — STOCKHOLDER PROPOSAL REGARDING INDEPENDENT BOARD CHAIRMAN</w:t>
              </w:r>
            </w:hyperlink>
          </w:p>
        </w:tc>
        <w:tc>
          <w:tcPr>
            <w:tcW w:w="1300" w:type="dxa"/>
            <w:vAlign w:val="bottom"/>
          </w:tcPr>
          <w:p>
            <w:pPr>
              <w:jc w:val="center"/>
              <w:ind w:left="930"/>
              <w:spacing w:after="0"/>
              <w:rPr>
                <w:sz w:val="20"/>
                <w:szCs w:val="20"/>
                <w:color w:val="auto"/>
              </w:rPr>
            </w:pPr>
            <w:r>
              <w:rPr>
                <w:rFonts w:ascii="Arial" w:cs="Arial" w:eastAsia="Arial" w:hAnsi="Arial"/>
                <w:sz w:val="18"/>
                <w:szCs w:val="18"/>
                <w:b w:val="1"/>
                <w:bCs w:val="1"/>
                <w:color w:val="134A9C"/>
                <w:w w:val="99"/>
              </w:rPr>
              <w:t>66</w:t>
            </w:r>
          </w:p>
        </w:tc>
      </w:tr>
      <w:tr>
        <w:trPr>
          <w:trHeight w:val="270"/>
        </w:trPr>
        <w:tc>
          <w:tcPr>
            <w:tcW w:w="9720" w:type="dxa"/>
            <w:vAlign w:val="bottom"/>
          </w:tcPr>
          <w:p>
            <w:pPr>
              <w:spacing w:after="0"/>
              <w:rPr>
                <w:rFonts w:ascii="Arial" w:cs="Arial" w:eastAsia="Arial" w:hAnsi="Arial"/>
                <w:sz w:val="18"/>
                <w:szCs w:val="18"/>
                <w:b w:val="1"/>
                <w:bCs w:val="1"/>
                <w:color w:val="134A9C"/>
              </w:rPr>
            </w:pPr>
            <w:hyperlink w:anchor="page72">
              <w:r>
                <w:rPr>
                  <w:rFonts w:ascii="Arial" w:cs="Arial" w:eastAsia="Arial" w:hAnsi="Arial"/>
                  <w:sz w:val="18"/>
                  <w:szCs w:val="18"/>
                  <w:b w:val="1"/>
                  <w:bCs w:val="1"/>
                  <w:color w:val="134A9C"/>
                </w:rPr>
                <w:t>ITEM NO. 5 — STOCKHOLDER PROPOSAL REGARDING CUMULATIVE VOTING</w:t>
              </w:r>
            </w:hyperlink>
          </w:p>
        </w:tc>
        <w:tc>
          <w:tcPr>
            <w:tcW w:w="1300" w:type="dxa"/>
            <w:vAlign w:val="bottom"/>
          </w:tcPr>
          <w:p>
            <w:pPr>
              <w:jc w:val="center"/>
              <w:ind w:left="930"/>
              <w:spacing w:after="0"/>
              <w:rPr>
                <w:sz w:val="20"/>
                <w:szCs w:val="20"/>
                <w:color w:val="auto"/>
              </w:rPr>
            </w:pPr>
            <w:r>
              <w:rPr>
                <w:rFonts w:ascii="Arial" w:cs="Arial" w:eastAsia="Arial" w:hAnsi="Arial"/>
                <w:sz w:val="18"/>
                <w:szCs w:val="18"/>
                <w:b w:val="1"/>
                <w:bCs w:val="1"/>
                <w:color w:val="134A9C"/>
                <w:w w:val="99"/>
              </w:rPr>
              <w:t>68</w:t>
            </w:r>
          </w:p>
        </w:tc>
      </w:tr>
      <w:tr>
        <w:trPr>
          <w:trHeight w:val="270"/>
        </w:trPr>
        <w:tc>
          <w:tcPr>
            <w:tcW w:w="9720" w:type="dxa"/>
            <w:vAlign w:val="bottom"/>
          </w:tcPr>
          <w:p>
            <w:pPr>
              <w:spacing w:after="0"/>
              <w:rPr>
                <w:rFonts w:ascii="Arial" w:cs="Arial" w:eastAsia="Arial" w:hAnsi="Arial"/>
                <w:sz w:val="18"/>
                <w:szCs w:val="18"/>
                <w:b w:val="1"/>
                <w:bCs w:val="1"/>
                <w:color w:val="134A9C"/>
              </w:rPr>
            </w:pPr>
            <w:hyperlink w:anchor="page73">
              <w:r>
                <w:rPr>
                  <w:rFonts w:ascii="Arial" w:cs="Arial" w:eastAsia="Arial" w:hAnsi="Arial"/>
                  <w:sz w:val="18"/>
                  <w:szCs w:val="18"/>
                  <w:b w:val="1"/>
                  <w:bCs w:val="1"/>
                  <w:color w:val="134A9C"/>
                </w:rPr>
                <w:t>APPENDIX A — RECONCILIATION OF NON-GAAP FINANCIAL MEASURES</w:t>
              </w:r>
            </w:hyperlink>
          </w:p>
        </w:tc>
        <w:tc>
          <w:tcPr>
            <w:tcW w:w="1300" w:type="dxa"/>
            <w:vAlign w:val="bottom"/>
          </w:tcPr>
          <w:p>
            <w:pPr>
              <w:ind w:left="1020"/>
              <w:spacing w:after="0"/>
              <w:rPr>
                <w:rFonts w:ascii="Arial" w:cs="Arial" w:eastAsia="Arial" w:hAnsi="Arial"/>
                <w:sz w:val="18"/>
                <w:szCs w:val="18"/>
                <w:b w:val="1"/>
                <w:bCs w:val="1"/>
                <w:color w:val="134A9C"/>
                <w:w w:val="89"/>
              </w:rPr>
            </w:pPr>
            <w:hyperlink w:anchor="page73">
              <w:r>
                <w:rPr>
                  <w:rFonts w:ascii="Arial" w:cs="Arial" w:eastAsia="Arial" w:hAnsi="Arial"/>
                  <w:sz w:val="18"/>
                  <w:szCs w:val="18"/>
                  <w:b w:val="1"/>
                  <w:bCs w:val="1"/>
                  <w:color w:val="134A9C"/>
                  <w:w w:val="89"/>
                </w:rPr>
                <w:t>A-1</w:t>
              </w:r>
            </w:hyperlink>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sz w:val="1"/>
          <w:szCs w:val="1"/>
          <w:color w:val="auto"/>
        </w:rPr>
        <w:drawing>
          <wp:inline distT="0" distB="0" distL="0" distR="0">
            <wp:extent cx="120015" cy="1200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00"/>
          </w:cols>
          <w:pgMar w:left="240" w:top="559" w:right="259" w:bottom="1440" w:gutter="0" w:footer="0" w:header="0"/>
        </w:sectPr>
      </w:pPr>
    </w:p>
    <w:bookmarkStart w:id="4" w:name="page5"/>
    <w:bookmarkEnd w:id="4"/>
    <w:p>
      <w:pPr>
        <w:spacing w:after="0" w:line="1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60400" cy="660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60400" cy="660400"/>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134A9C"/>
        </w:rPr>
        <w:t>PROXY STATEMENT SUMMARY</w:t>
      </w:r>
    </w:p>
    <w:p>
      <w:pPr>
        <w:spacing w:after="0" w:line="16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This summary highlights information contained elsewhere in this proxy statement. It does not contain all of the information that you should consider, so you should read the entire proxy statement carefully before voting. Page references are provided, where necessary, to help you find additional information in this proxy statement.</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ANNUAL MEETING INFORMATION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459"/>
        </w:trPr>
        <w:tc>
          <w:tcPr>
            <w:tcW w:w="4800" w:type="dxa"/>
            <w:vAlign w:val="bottom"/>
            <w:shd w:val="clear" w:color="auto" w:fill="134A9C"/>
          </w:tcPr>
          <w:p>
            <w:pPr>
              <w:jc w:val="center"/>
              <w:spacing w:after="0"/>
              <w:rPr>
                <w:sz w:val="20"/>
                <w:szCs w:val="20"/>
                <w:color w:val="auto"/>
              </w:rPr>
            </w:pPr>
            <w:r>
              <w:rPr>
                <w:rFonts w:ascii="Arial" w:cs="Arial" w:eastAsia="Arial" w:hAnsi="Arial"/>
                <w:sz w:val="18"/>
                <w:szCs w:val="18"/>
                <w:b w:val="1"/>
                <w:bCs w:val="1"/>
                <w:color w:val="FFFFFF"/>
                <w:w w:val="97"/>
              </w:rPr>
              <w:t>Tuesday, June 9, 2015</w:t>
            </w:r>
          </w:p>
        </w:tc>
        <w:tc>
          <w:tcPr>
            <w:tcW w:w="6640" w:type="dxa"/>
            <w:vAlign w:val="bottom"/>
            <w:shd w:val="clear" w:color="auto" w:fill="134A9C"/>
          </w:tcPr>
          <w:p>
            <w:pPr>
              <w:jc w:val="center"/>
              <w:spacing w:after="0"/>
              <w:rPr>
                <w:sz w:val="20"/>
                <w:szCs w:val="20"/>
                <w:color w:val="auto"/>
              </w:rPr>
            </w:pPr>
            <w:r>
              <w:rPr>
                <w:rFonts w:ascii="Arial" w:cs="Arial" w:eastAsia="Arial" w:hAnsi="Arial"/>
                <w:sz w:val="18"/>
                <w:szCs w:val="18"/>
                <w:b w:val="1"/>
                <w:bCs w:val="1"/>
                <w:color w:val="FFFFFF"/>
              </w:rPr>
              <w:t>General Motors Company Global Headquarters</w:t>
            </w:r>
          </w:p>
        </w:tc>
      </w:tr>
      <w:tr>
        <w:trPr>
          <w:trHeight w:val="257"/>
        </w:trPr>
        <w:tc>
          <w:tcPr>
            <w:tcW w:w="4800" w:type="dxa"/>
            <w:vAlign w:val="bottom"/>
            <w:shd w:val="clear" w:color="auto" w:fill="134A9C"/>
          </w:tcPr>
          <w:p>
            <w:pPr>
              <w:jc w:val="center"/>
              <w:spacing w:after="0"/>
              <w:rPr>
                <w:sz w:val="20"/>
                <w:szCs w:val="20"/>
                <w:color w:val="auto"/>
              </w:rPr>
            </w:pPr>
            <w:r>
              <w:rPr>
                <w:rFonts w:ascii="Arial" w:cs="Arial" w:eastAsia="Arial" w:hAnsi="Arial"/>
                <w:sz w:val="18"/>
                <w:szCs w:val="18"/>
                <w:b w:val="1"/>
                <w:bCs w:val="1"/>
                <w:color w:val="FFFFFF"/>
                <w:w w:val="99"/>
              </w:rPr>
              <w:t>9:30 a.m. Eastern Time</w:t>
            </w:r>
          </w:p>
        </w:tc>
        <w:tc>
          <w:tcPr>
            <w:tcW w:w="6640" w:type="dxa"/>
            <w:vAlign w:val="bottom"/>
            <w:shd w:val="clear" w:color="auto" w:fill="134A9C"/>
          </w:tcPr>
          <w:p>
            <w:pPr>
              <w:jc w:val="center"/>
              <w:spacing w:after="0"/>
              <w:rPr>
                <w:sz w:val="20"/>
                <w:szCs w:val="20"/>
                <w:color w:val="auto"/>
              </w:rPr>
            </w:pPr>
            <w:r>
              <w:rPr>
                <w:rFonts w:ascii="Arial" w:cs="Arial" w:eastAsia="Arial" w:hAnsi="Arial"/>
                <w:sz w:val="18"/>
                <w:szCs w:val="18"/>
                <w:b w:val="1"/>
                <w:bCs w:val="1"/>
                <w:color w:val="FFFFFF"/>
                <w:w w:val="99"/>
              </w:rPr>
              <w:t>300 Renaissance Center</w:t>
            </w:r>
          </w:p>
        </w:tc>
      </w:tr>
      <w:tr>
        <w:trPr>
          <w:trHeight w:val="257"/>
        </w:trPr>
        <w:tc>
          <w:tcPr>
            <w:tcW w:w="4800" w:type="dxa"/>
            <w:vAlign w:val="bottom"/>
            <w:shd w:val="clear" w:color="auto" w:fill="134A9C"/>
          </w:tcPr>
          <w:p>
            <w:pPr>
              <w:spacing w:after="0"/>
              <w:rPr>
                <w:sz w:val="22"/>
                <w:szCs w:val="22"/>
                <w:color w:val="auto"/>
              </w:rPr>
            </w:pPr>
          </w:p>
        </w:tc>
        <w:tc>
          <w:tcPr>
            <w:tcW w:w="6640" w:type="dxa"/>
            <w:vAlign w:val="bottom"/>
            <w:shd w:val="clear" w:color="auto" w:fill="134A9C"/>
          </w:tcPr>
          <w:p>
            <w:pPr>
              <w:jc w:val="center"/>
              <w:spacing w:after="0"/>
              <w:rPr>
                <w:sz w:val="20"/>
                <w:szCs w:val="20"/>
                <w:color w:val="auto"/>
              </w:rPr>
            </w:pPr>
            <w:r>
              <w:rPr>
                <w:rFonts w:ascii="Arial" w:cs="Arial" w:eastAsia="Arial" w:hAnsi="Arial"/>
                <w:sz w:val="18"/>
                <w:szCs w:val="18"/>
                <w:b w:val="1"/>
                <w:bCs w:val="1"/>
                <w:color w:val="FFFFFF"/>
              </w:rPr>
              <w:t>Detroit, Michigan 48243</w:t>
            </w:r>
          </w:p>
        </w:tc>
      </w:tr>
      <w:tr>
        <w:trPr>
          <w:trHeight w:val="230"/>
        </w:trPr>
        <w:tc>
          <w:tcPr>
            <w:tcW w:w="4800" w:type="dxa"/>
            <w:vAlign w:val="bottom"/>
            <w:shd w:val="clear" w:color="auto" w:fill="134A9C"/>
          </w:tcPr>
          <w:p>
            <w:pPr>
              <w:spacing w:after="0"/>
              <w:rPr>
                <w:sz w:val="19"/>
                <w:szCs w:val="19"/>
                <w:color w:val="auto"/>
              </w:rPr>
            </w:pPr>
          </w:p>
        </w:tc>
        <w:tc>
          <w:tcPr>
            <w:tcW w:w="6640" w:type="dxa"/>
            <w:vAlign w:val="bottom"/>
            <w:shd w:val="clear" w:color="auto" w:fill="134A9C"/>
          </w:tcPr>
          <w:p>
            <w:pPr>
              <w:spacing w:after="0"/>
              <w:rPr>
                <w:sz w:val="19"/>
                <w:szCs w:val="19"/>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Voting:</w:t>
      </w:r>
      <w:r>
        <w:rPr>
          <w:rFonts w:ascii="Arial" w:cs="Arial" w:eastAsia="Arial" w:hAnsi="Arial"/>
          <w:sz w:val="18"/>
          <w:szCs w:val="18"/>
          <w:color w:val="000000"/>
        </w:rPr>
        <w:t>You are entitled to vote at the meeting if you were a holder of record of Common Stock at the close of business on April 10, 2015.</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VOTING MATTERS AND BOARD VOTING RECOMMENDATIONS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220" w:type="dxa"/>
            <w:vAlign w:val="bottom"/>
            <w:tcBorders>
              <w:left w:val="single" w:sz="8" w:color="134A9C"/>
            </w:tcBorders>
            <w:shd w:val="clear" w:color="auto" w:fill="134A9C"/>
          </w:tcPr>
          <w:p>
            <w:pPr>
              <w:spacing w:after="0" w:line="20" w:lineRule="exact"/>
              <w:rPr>
                <w:sz w:val="1"/>
                <w:szCs w:val="1"/>
                <w:color w:val="auto"/>
              </w:rPr>
            </w:pPr>
          </w:p>
        </w:tc>
        <w:tc>
          <w:tcPr>
            <w:tcW w:w="6440" w:type="dxa"/>
            <w:vAlign w:val="bottom"/>
            <w:tcBorders>
              <w:right w:val="single" w:sz="8" w:color="134A9C"/>
            </w:tcBorders>
            <w:shd w:val="clear" w:color="auto" w:fill="134A9C"/>
          </w:tcPr>
          <w:p>
            <w:pPr>
              <w:spacing w:after="0" w:line="20" w:lineRule="exact"/>
              <w:rPr>
                <w:sz w:val="1"/>
                <w:szCs w:val="1"/>
                <w:color w:val="auto"/>
              </w:rPr>
            </w:pPr>
          </w:p>
        </w:tc>
        <w:tc>
          <w:tcPr>
            <w:tcW w:w="2260" w:type="dxa"/>
            <w:vAlign w:val="bottom"/>
            <w:tcBorders>
              <w:right w:val="single" w:sz="8" w:color="134A9C"/>
            </w:tcBorders>
            <w:vMerge w:val="restart"/>
            <w:shd w:val="clear" w:color="auto" w:fill="134A9C"/>
          </w:tcPr>
          <w:p>
            <w:pPr>
              <w:jc w:val="center"/>
              <w:ind w:left="10"/>
              <w:spacing w:after="0"/>
              <w:rPr>
                <w:sz w:val="20"/>
                <w:szCs w:val="20"/>
                <w:color w:val="auto"/>
              </w:rPr>
            </w:pPr>
            <w:r>
              <w:rPr>
                <w:rFonts w:ascii="Arial" w:cs="Arial" w:eastAsia="Arial" w:hAnsi="Arial"/>
                <w:sz w:val="18"/>
                <w:szCs w:val="18"/>
                <w:b w:val="1"/>
                <w:bCs w:val="1"/>
                <w:color w:val="FFFFFF"/>
                <w:w w:val="99"/>
              </w:rPr>
              <w:t>Board Voting</w:t>
            </w:r>
          </w:p>
        </w:tc>
        <w:tc>
          <w:tcPr>
            <w:tcW w:w="2500" w:type="dxa"/>
            <w:vAlign w:val="bottom"/>
            <w:tcBorders>
              <w:right w:val="single" w:sz="8" w:color="134A9C"/>
            </w:tcBorders>
            <w:vMerge w:val="restart"/>
            <w:shd w:val="clear" w:color="auto" w:fill="134A9C"/>
          </w:tcPr>
          <w:p>
            <w:pPr>
              <w:jc w:val="center"/>
              <w:ind w:left="50"/>
              <w:spacing w:after="0"/>
              <w:rPr>
                <w:sz w:val="20"/>
                <w:szCs w:val="20"/>
                <w:color w:val="auto"/>
              </w:rPr>
            </w:pPr>
            <w:r>
              <w:rPr>
                <w:rFonts w:ascii="Arial" w:cs="Arial" w:eastAsia="Arial" w:hAnsi="Arial"/>
                <w:sz w:val="18"/>
                <w:szCs w:val="18"/>
                <w:b w:val="1"/>
                <w:bCs w:val="1"/>
                <w:color w:val="FFFFFF"/>
                <w:w w:val="99"/>
              </w:rPr>
              <w:t>Page Reference for More</w:t>
            </w:r>
          </w:p>
        </w:tc>
        <w:tc>
          <w:tcPr>
            <w:tcW w:w="0" w:type="dxa"/>
            <w:vAlign w:val="bottom"/>
          </w:tcPr>
          <w:p>
            <w:pPr>
              <w:spacing w:after="0" w:line="20" w:lineRule="exact"/>
              <w:rPr>
                <w:sz w:val="1"/>
                <w:szCs w:val="1"/>
                <w:color w:val="auto"/>
              </w:rPr>
            </w:pPr>
          </w:p>
        </w:tc>
      </w:tr>
      <w:tr>
        <w:trPr>
          <w:trHeight w:val="200"/>
        </w:trPr>
        <w:tc>
          <w:tcPr>
            <w:tcW w:w="220" w:type="dxa"/>
            <w:vAlign w:val="bottom"/>
            <w:tcBorders>
              <w:left w:val="single" w:sz="8" w:color="134A9C"/>
            </w:tcBorders>
            <w:shd w:val="clear" w:color="auto" w:fill="134A9C"/>
          </w:tcPr>
          <w:p>
            <w:pPr>
              <w:spacing w:after="0"/>
              <w:rPr>
                <w:sz w:val="17"/>
                <w:szCs w:val="17"/>
                <w:color w:val="auto"/>
              </w:rPr>
            </w:pPr>
          </w:p>
        </w:tc>
        <w:tc>
          <w:tcPr>
            <w:tcW w:w="6440" w:type="dxa"/>
            <w:vAlign w:val="bottom"/>
            <w:tcBorders>
              <w:right w:val="single" w:sz="8" w:color="134A9C"/>
            </w:tcBorders>
            <w:shd w:val="clear" w:color="auto" w:fill="134A9C"/>
          </w:tcPr>
          <w:p>
            <w:pPr>
              <w:spacing w:after="0"/>
              <w:rPr>
                <w:sz w:val="17"/>
                <w:szCs w:val="17"/>
                <w:color w:val="auto"/>
              </w:rPr>
            </w:pPr>
          </w:p>
        </w:tc>
        <w:tc>
          <w:tcPr>
            <w:tcW w:w="2260" w:type="dxa"/>
            <w:vAlign w:val="bottom"/>
            <w:tcBorders>
              <w:right w:val="single" w:sz="8" w:color="134A9C"/>
            </w:tcBorders>
            <w:vMerge w:val="continue"/>
            <w:shd w:val="clear" w:color="auto" w:fill="134A9C"/>
          </w:tcPr>
          <w:p>
            <w:pPr>
              <w:spacing w:after="0"/>
              <w:rPr>
                <w:sz w:val="17"/>
                <w:szCs w:val="17"/>
                <w:color w:val="auto"/>
              </w:rPr>
            </w:pPr>
          </w:p>
        </w:tc>
        <w:tc>
          <w:tcPr>
            <w:tcW w:w="2500" w:type="dxa"/>
            <w:vAlign w:val="bottom"/>
            <w:tcBorders>
              <w:right w:val="single" w:sz="8" w:color="134A9C"/>
            </w:tcBorders>
            <w:vMerge w:val="continue"/>
            <w:shd w:val="clear" w:color="auto" w:fill="134A9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660" w:type="dxa"/>
            <w:vAlign w:val="bottom"/>
            <w:tcBorders>
              <w:left w:val="single" w:sz="8" w:color="134A9C"/>
              <w:right w:val="single" w:sz="8" w:color="134A9C"/>
            </w:tcBorders>
            <w:gridSpan w:val="2"/>
            <w:shd w:val="clear" w:color="auto" w:fill="134A9C"/>
          </w:tcPr>
          <w:p>
            <w:pPr>
              <w:ind w:left="40"/>
              <w:spacing w:after="0"/>
              <w:rPr>
                <w:sz w:val="20"/>
                <w:szCs w:val="20"/>
                <w:color w:val="auto"/>
              </w:rPr>
            </w:pPr>
            <w:r>
              <w:rPr>
                <w:rFonts w:ascii="Arial" w:cs="Arial" w:eastAsia="Arial" w:hAnsi="Arial"/>
                <w:sz w:val="18"/>
                <w:szCs w:val="18"/>
                <w:b w:val="1"/>
                <w:bCs w:val="1"/>
                <w:color w:val="FFFFFF"/>
              </w:rPr>
              <w:t>Proposals:</w:t>
            </w:r>
          </w:p>
        </w:tc>
        <w:tc>
          <w:tcPr>
            <w:tcW w:w="2260" w:type="dxa"/>
            <w:vAlign w:val="bottom"/>
            <w:tcBorders>
              <w:right w:val="single" w:sz="8" w:color="134A9C"/>
            </w:tcBorders>
            <w:shd w:val="clear" w:color="auto" w:fill="134A9C"/>
          </w:tcPr>
          <w:p>
            <w:pPr>
              <w:jc w:val="center"/>
              <w:ind w:left="30"/>
              <w:spacing w:after="0"/>
              <w:rPr>
                <w:sz w:val="20"/>
                <w:szCs w:val="20"/>
                <w:color w:val="auto"/>
              </w:rPr>
            </w:pPr>
            <w:r>
              <w:rPr>
                <w:rFonts w:ascii="Arial" w:cs="Arial" w:eastAsia="Arial" w:hAnsi="Arial"/>
                <w:sz w:val="18"/>
                <w:szCs w:val="18"/>
                <w:b w:val="1"/>
                <w:bCs w:val="1"/>
                <w:color w:val="FFFFFF"/>
                <w:w w:val="99"/>
              </w:rPr>
              <w:t>Recommendation</w:t>
            </w:r>
          </w:p>
        </w:tc>
        <w:tc>
          <w:tcPr>
            <w:tcW w:w="2500" w:type="dxa"/>
            <w:vAlign w:val="bottom"/>
            <w:tcBorders>
              <w:right w:val="single" w:sz="8" w:color="134A9C"/>
            </w:tcBorders>
            <w:shd w:val="clear" w:color="auto" w:fill="134A9C"/>
          </w:tcPr>
          <w:p>
            <w:pPr>
              <w:jc w:val="center"/>
              <w:ind w:left="30"/>
              <w:spacing w:after="0"/>
              <w:rPr>
                <w:sz w:val="20"/>
                <w:szCs w:val="20"/>
                <w:color w:val="auto"/>
              </w:rPr>
            </w:pPr>
            <w:r>
              <w:rPr>
                <w:rFonts w:ascii="Arial" w:cs="Arial" w:eastAsia="Arial" w:hAnsi="Arial"/>
                <w:sz w:val="18"/>
                <w:szCs w:val="18"/>
                <w:b w:val="1"/>
                <w:bCs w:val="1"/>
                <w:color w:val="FFFFFF"/>
              </w:rPr>
              <w:t>Detail</w:t>
            </w:r>
          </w:p>
        </w:tc>
        <w:tc>
          <w:tcPr>
            <w:tcW w:w="0" w:type="dxa"/>
            <w:vAlign w:val="bottom"/>
          </w:tcPr>
          <w:p>
            <w:pPr>
              <w:spacing w:after="0"/>
              <w:rPr>
                <w:sz w:val="1"/>
                <w:szCs w:val="1"/>
                <w:color w:val="auto"/>
              </w:rPr>
            </w:pPr>
          </w:p>
        </w:tc>
      </w:tr>
      <w:tr>
        <w:trPr>
          <w:trHeight w:val="250"/>
        </w:trPr>
        <w:tc>
          <w:tcPr>
            <w:tcW w:w="22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8"/>
                <w:szCs w:val="18"/>
                <w:color w:val="auto"/>
              </w:rPr>
              <w:t>1.</w:t>
            </w:r>
          </w:p>
        </w:tc>
        <w:tc>
          <w:tcPr>
            <w:tcW w:w="644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Election of directors</w:t>
            </w:r>
          </w:p>
        </w:tc>
        <w:tc>
          <w:tcPr>
            <w:tcW w:w="2260" w:type="dxa"/>
            <w:vAlign w:val="bottom"/>
            <w:tcBorders>
              <w:bottom w:val="single" w:sz="8" w:color="134A9C"/>
              <w:right w:val="single" w:sz="8" w:color="134A9C"/>
            </w:tcBorders>
          </w:tcPr>
          <w:p>
            <w:pPr>
              <w:jc w:val="center"/>
              <w:ind w:left="30"/>
              <w:spacing w:after="0"/>
              <w:rPr>
                <w:sz w:val="20"/>
                <w:szCs w:val="20"/>
                <w:color w:val="auto"/>
              </w:rPr>
            </w:pPr>
            <w:r>
              <w:rPr>
                <w:rFonts w:ascii="Arial" w:cs="Arial" w:eastAsia="Arial" w:hAnsi="Arial"/>
                <w:sz w:val="18"/>
                <w:szCs w:val="18"/>
                <w:b w:val="1"/>
                <w:bCs w:val="1"/>
                <w:color w:val="134A9C"/>
                <w:w w:val="99"/>
              </w:rPr>
              <w:t>FOR ALL</w:t>
            </w:r>
          </w:p>
        </w:tc>
        <w:tc>
          <w:tcPr>
            <w:tcW w:w="2500" w:type="dxa"/>
            <w:vAlign w:val="bottom"/>
            <w:tcBorders>
              <w:bottom w:val="single" w:sz="8" w:color="134A9C"/>
              <w:right w:val="single" w:sz="8" w:color="134A9C"/>
            </w:tcBorders>
          </w:tcPr>
          <w:p>
            <w:pPr>
              <w:jc w:val="center"/>
              <w:ind w:left="50"/>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29"/>
        </w:trPr>
        <w:tc>
          <w:tcPr>
            <w:tcW w:w="220" w:type="dxa"/>
            <w:vAlign w:val="bottom"/>
            <w:tcBorders>
              <w:left w:val="single" w:sz="8" w:color="134A9C"/>
            </w:tcBorders>
          </w:tcPr>
          <w:p>
            <w:pPr>
              <w:ind w:left="40"/>
              <w:spacing w:after="0"/>
              <w:rPr>
                <w:sz w:val="20"/>
                <w:szCs w:val="20"/>
                <w:color w:val="auto"/>
              </w:rPr>
            </w:pPr>
            <w:r>
              <w:rPr>
                <w:rFonts w:ascii="Arial" w:cs="Arial" w:eastAsia="Arial" w:hAnsi="Arial"/>
                <w:sz w:val="18"/>
                <w:szCs w:val="18"/>
                <w:color w:val="auto"/>
              </w:rPr>
              <w:t>2.</w:t>
            </w:r>
          </w:p>
        </w:tc>
        <w:tc>
          <w:tcPr>
            <w:tcW w:w="644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Ratification of the selection of Deloitte &amp; Touche</w:t>
            </w:r>
          </w:p>
        </w:tc>
        <w:tc>
          <w:tcPr>
            <w:tcW w:w="2260" w:type="dxa"/>
            <w:vAlign w:val="bottom"/>
            <w:tcBorders>
              <w:right w:val="single" w:sz="8" w:color="134A9C"/>
            </w:tcBorders>
          </w:tcPr>
          <w:p>
            <w:pPr>
              <w:spacing w:after="0"/>
              <w:rPr>
                <w:sz w:val="19"/>
                <w:szCs w:val="19"/>
                <w:color w:val="auto"/>
              </w:rPr>
            </w:pPr>
          </w:p>
        </w:tc>
        <w:tc>
          <w:tcPr>
            <w:tcW w:w="2500" w:type="dxa"/>
            <w:vAlign w:val="bottom"/>
            <w:tcBorders>
              <w:right w:val="single" w:sz="8" w:color="134A9C"/>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0" w:type="dxa"/>
            <w:vAlign w:val="bottom"/>
            <w:tcBorders>
              <w:left w:val="single" w:sz="8" w:color="134A9C"/>
            </w:tcBorders>
          </w:tcPr>
          <w:p>
            <w:pPr>
              <w:spacing w:after="0"/>
              <w:rPr>
                <w:sz w:val="17"/>
                <w:szCs w:val="17"/>
                <w:color w:val="auto"/>
              </w:rPr>
            </w:pPr>
          </w:p>
        </w:tc>
        <w:tc>
          <w:tcPr>
            <w:tcW w:w="6440" w:type="dxa"/>
            <w:vAlign w:val="bottom"/>
            <w:tcBorders>
              <w:right w:val="single" w:sz="8" w:color="134A9C"/>
            </w:tcBorders>
          </w:tcPr>
          <w:p>
            <w:pPr>
              <w:ind w:left="80"/>
              <w:spacing w:after="0" w:line="202" w:lineRule="exact"/>
              <w:rPr>
                <w:sz w:val="20"/>
                <w:szCs w:val="20"/>
                <w:color w:val="auto"/>
              </w:rPr>
            </w:pPr>
            <w:r>
              <w:rPr>
                <w:rFonts w:ascii="Arial" w:cs="Arial" w:eastAsia="Arial" w:hAnsi="Arial"/>
                <w:sz w:val="18"/>
                <w:szCs w:val="18"/>
                <w:color w:val="auto"/>
              </w:rPr>
              <w:t>LLP as the Company's independent registered public</w:t>
            </w:r>
          </w:p>
        </w:tc>
        <w:tc>
          <w:tcPr>
            <w:tcW w:w="2260" w:type="dxa"/>
            <w:vAlign w:val="bottom"/>
            <w:tcBorders>
              <w:right w:val="single" w:sz="8" w:color="134A9C"/>
            </w:tcBorders>
            <w:vMerge w:val="restart"/>
          </w:tcPr>
          <w:p>
            <w:pPr>
              <w:jc w:val="center"/>
              <w:ind w:left="30"/>
              <w:spacing w:after="0"/>
              <w:rPr>
                <w:sz w:val="20"/>
                <w:szCs w:val="20"/>
                <w:color w:val="auto"/>
              </w:rPr>
            </w:pPr>
            <w:r>
              <w:rPr>
                <w:rFonts w:ascii="Arial" w:cs="Arial" w:eastAsia="Arial" w:hAnsi="Arial"/>
                <w:sz w:val="18"/>
                <w:szCs w:val="18"/>
                <w:b w:val="1"/>
                <w:bCs w:val="1"/>
                <w:color w:val="134A9C"/>
                <w:w w:val="99"/>
              </w:rPr>
              <w:t>FOR</w:t>
            </w:r>
          </w:p>
        </w:tc>
        <w:tc>
          <w:tcPr>
            <w:tcW w:w="2500" w:type="dxa"/>
            <w:vAlign w:val="bottom"/>
            <w:tcBorders>
              <w:right w:val="single" w:sz="8" w:color="134A9C"/>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0" w:type="dxa"/>
            <w:vAlign w:val="bottom"/>
            <w:tcBorders>
              <w:left w:val="single" w:sz="8" w:color="134A9C"/>
              <w:bottom w:val="single" w:sz="8" w:color="134A9C"/>
            </w:tcBorders>
          </w:tcPr>
          <w:p>
            <w:pPr>
              <w:spacing w:after="0"/>
              <w:rPr>
                <w:sz w:val="19"/>
                <w:szCs w:val="19"/>
                <w:color w:val="auto"/>
              </w:rPr>
            </w:pPr>
          </w:p>
        </w:tc>
        <w:tc>
          <w:tcPr>
            <w:tcW w:w="6440" w:type="dxa"/>
            <w:vAlign w:val="bottom"/>
            <w:tcBorders>
              <w:bottom w:val="single" w:sz="8" w:color="134A9C"/>
              <w:right w:val="single" w:sz="8" w:color="134A9C"/>
            </w:tcBorders>
          </w:tcPr>
          <w:p>
            <w:pPr>
              <w:ind w:left="80"/>
              <w:spacing w:after="0"/>
              <w:rPr>
                <w:sz w:val="20"/>
                <w:szCs w:val="20"/>
                <w:color w:val="auto"/>
              </w:rPr>
            </w:pPr>
            <w:r>
              <w:rPr>
                <w:rFonts w:ascii="Arial" w:cs="Arial" w:eastAsia="Arial" w:hAnsi="Arial"/>
                <w:sz w:val="18"/>
                <w:szCs w:val="18"/>
                <w:color w:val="auto"/>
              </w:rPr>
              <w:t>accounting firm for 2015</w:t>
            </w:r>
          </w:p>
        </w:tc>
        <w:tc>
          <w:tcPr>
            <w:tcW w:w="2260" w:type="dxa"/>
            <w:vAlign w:val="bottom"/>
            <w:tcBorders>
              <w:bottom w:val="single" w:sz="8" w:color="134A9C"/>
              <w:right w:val="single" w:sz="8" w:color="134A9C"/>
            </w:tcBorders>
            <w:vMerge w:val="continue"/>
          </w:tcPr>
          <w:p>
            <w:pPr>
              <w:spacing w:after="0"/>
              <w:rPr>
                <w:sz w:val="19"/>
                <w:szCs w:val="19"/>
                <w:color w:val="auto"/>
              </w:rPr>
            </w:pPr>
          </w:p>
        </w:tc>
        <w:tc>
          <w:tcPr>
            <w:tcW w:w="2500" w:type="dxa"/>
            <w:vAlign w:val="bottom"/>
            <w:tcBorders>
              <w:bottom w:val="single" w:sz="8" w:color="134A9C"/>
              <w:right w:val="single" w:sz="8" w:color="134A9C"/>
            </w:tcBorders>
          </w:tcPr>
          <w:p>
            <w:pPr>
              <w:jc w:val="center"/>
              <w:ind w:left="50"/>
              <w:spacing w:after="0"/>
              <w:rPr>
                <w:sz w:val="20"/>
                <w:szCs w:val="20"/>
                <w:color w:val="auto"/>
              </w:rPr>
            </w:pPr>
            <w:r>
              <w:rPr>
                <w:rFonts w:ascii="Arial" w:cs="Arial" w:eastAsia="Arial" w:hAnsi="Arial"/>
                <w:sz w:val="18"/>
                <w:szCs w:val="18"/>
                <w:color w:val="auto"/>
                <w:w w:val="99"/>
              </w:rPr>
              <w:t>64</w:t>
            </w:r>
          </w:p>
        </w:tc>
        <w:tc>
          <w:tcPr>
            <w:tcW w:w="0" w:type="dxa"/>
            <w:vAlign w:val="bottom"/>
          </w:tcPr>
          <w:p>
            <w:pPr>
              <w:spacing w:after="0"/>
              <w:rPr>
                <w:sz w:val="1"/>
                <w:szCs w:val="1"/>
                <w:color w:val="auto"/>
              </w:rPr>
            </w:pPr>
          </w:p>
        </w:tc>
      </w:tr>
      <w:tr>
        <w:trPr>
          <w:trHeight w:val="250"/>
        </w:trPr>
        <w:tc>
          <w:tcPr>
            <w:tcW w:w="22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8"/>
                <w:szCs w:val="18"/>
                <w:color w:val="auto"/>
              </w:rPr>
              <w:t>3.</w:t>
            </w:r>
          </w:p>
        </w:tc>
        <w:tc>
          <w:tcPr>
            <w:tcW w:w="644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Advisory vote to approve executive compensation</w:t>
            </w:r>
          </w:p>
        </w:tc>
        <w:tc>
          <w:tcPr>
            <w:tcW w:w="2260" w:type="dxa"/>
            <w:vAlign w:val="bottom"/>
            <w:tcBorders>
              <w:bottom w:val="single" w:sz="8" w:color="134A9C"/>
              <w:right w:val="single" w:sz="8" w:color="134A9C"/>
            </w:tcBorders>
          </w:tcPr>
          <w:p>
            <w:pPr>
              <w:jc w:val="center"/>
              <w:ind w:left="30"/>
              <w:spacing w:after="0"/>
              <w:rPr>
                <w:sz w:val="20"/>
                <w:szCs w:val="20"/>
                <w:color w:val="auto"/>
              </w:rPr>
            </w:pPr>
            <w:r>
              <w:rPr>
                <w:rFonts w:ascii="Arial" w:cs="Arial" w:eastAsia="Arial" w:hAnsi="Arial"/>
                <w:sz w:val="18"/>
                <w:szCs w:val="18"/>
                <w:b w:val="1"/>
                <w:bCs w:val="1"/>
                <w:color w:val="134A9C"/>
                <w:w w:val="99"/>
              </w:rPr>
              <w:t>FOR</w:t>
            </w:r>
          </w:p>
        </w:tc>
        <w:tc>
          <w:tcPr>
            <w:tcW w:w="2500" w:type="dxa"/>
            <w:vAlign w:val="bottom"/>
            <w:tcBorders>
              <w:bottom w:val="single" w:sz="8" w:color="134A9C"/>
              <w:right w:val="single" w:sz="8" w:color="134A9C"/>
            </w:tcBorders>
          </w:tcPr>
          <w:p>
            <w:pPr>
              <w:jc w:val="center"/>
              <w:ind w:left="50"/>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229"/>
        </w:trPr>
        <w:tc>
          <w:tcPr>
            <w:tcW w:w="220" w:type="dxa"/>
            <w:vAlign w:val="bottom"/>
            <w:tcBorders>
              <w:left w:val="single" w:sz="8" w:color="134A9C"/>
            </w:tcBorders>
          </w:tcPr>
          <w:p>
            <w:pPr>
              <w:ind w:left="40"/>
              <w:spacing w:after="0"/>
              <w:rPr>
                <w:sz w:val="20"/>
                <w:szCs w:val="20"/>
                <w:color w:val="auto"/>
              </w:rPr>
            </w:pPr>
            <w:r>
              <w:rPr>
                <w:rFonts w:ascii="Arial" w:cs="Arial" w:eastAsia="Arial" w:hAnsi="Arial"/>
                <w:sz w:val="18"/>
                <w:szCs w:val="18"/>
                <w:color w:val="auto"/>
              </w:rPr>
              <w:t>4.</w:t>
            </w:r>
          </w:p>
        </w:tc>
        <w:tc>
          <w:tcPr>
            <w:tcW w:w="644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Stockholder proposal regarding independent board</w:t>
            </w:r>
          </w:p>
        </w:tc>
        <w:tc>
          <w:tcPr>
            <w:tcW w:w="2260" w:type="dxa"/>
            <w:vAlign w:val="bottom"/>
            <w:tcBorders>
              <w:right w:val="single" w:sz="8" w:color="134A9C"/>
            </w:tcBorders>
            <w:vMerge w:val="restart"/>
          </w:tcPr>
          <w:p>
            <w:pPr>
              <w:jc w:val="center"/>
              <w:ind w:left="30"/>
              <w:spacing w:after="0"/>
              <w:rPr>
                <w:sz w:val="20"/>
                <w:szCs w:val="20"/>
                <w:color w:val="auto"/>
              </w:rPr>
            </w:pPr>
            <w:r>
              <w:rPr>
                <w:rFonts w:ascii="Arial" w:cs="Arial" w:eastAsia="Arial" w:hAnsi="Arial"/>
                <w:sz w:val="18"/>
                <w:szCs w:val="18"/>
                <w:b w:val="1"/>
                <w:bCs w:val="1"/>
                <w:color w:val="134A9C"/>
              </w:rPr>
              <w:t>AGAINST</w:t>
            </w:r>
          </w:p>
        </w:tc>
        <w:tc>
          <w:tcPr>
            <w:tcW w:w="2500" w:type="dxa"/>
            <w:vAlign w:val="bottom"/>
            <w:tcBorders>
              <w:right w:val="single" w:sz="8" w:color="134A9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 w:type="dxa"/>
            <w:vAlign w:val="bottom"/>
            <w:tcBorders>
              <w:left w:val="single" w:sz="8" w:color="134A9C"/>
              <w:bottom w:val="single" w:sz="8" w:color="134A9C"/>
            </w:tcBorders>
          </w:tcPr>
          <w:p>
            <w:pPr>
              <w:spacing w:after="0"/>
              <w:rPr>
                <w:sz w:val="19"/>
                <w:szCs w:val="19"/>
                <w:color w:val="auto"/>
              </w:rPr>
            </w:pPr>
          </w:p>
        </w:tc>
        <w:tc>
          <w:tcPr>
            <w:tcW w:w="6440" w:type="dxa"/>
            <w:vAlign w:val="bottom"/>
            <w:tcBorders>
              <w:bottom w:val="single" w:sz="8" w:color="134A9C"/>
              <w:right w:val="single" w:sz="8" w:color="134A9C"/>
            </w:tcBorders>
          </w:tcPr>
          <w:p>
            <w:pPr>
              <w:ind w:left="80"/>
              <w:spacing w:after="0"/>
              <w:rPr>
                <w:sz w:val="20"/>
                <w:szCs w:val="20"/>
                <w:color w:val="auto"/>
              </w:rPr>
            </w:pPr>
            <w:r>
              <w:rPr>
                <w:rFonts w:ascii="Arial" w:cs="Arial" w:eastAsia="Arial" w:hAnsi="Arial"/>
                <w:sz w:val="18"/>
                <w:szCs w:val="18"/>
                <w:color w:val="auto"/>
              </w:rPr>
              <w:t>chairman</w:t>
            </w:r>
          </w:p>
        </w:tc>
        <w:tc>
          <w:tcPr>
            <w:tcW w:w="2260" w:type="dxa"/>
            <w:vAlign w:val="bottom"/>
            <w:tcBorders>
              <w:bottom w:val="single" w:sz="8" w:color="134A9C"/>
              <w:right w:val="single" w:sz="8" w:color="134A9C"/>
            </w:tcBorders>
            <w:vMerge w:val="continue"/>
          </w:tcPr>
          <w:p>
            <w:pPr>
              <w:spacing w:after="0"/>
              <w:rPr>
                <w:sz w:val="19"/>
                <w:szCs w:val="19"/>
                <w:color w:val="auto"/>
              </w:rPr>
            </w:pPr>
          </w:p>
        </w:tc>
        <w:tc>
          <w:tcPr>
            <w:tcW w:w="2500" w:type="dxa"/>
            <w:vAlign w:val="bottom"/>
            <w:tcBorders>
              <w:bottom w:val="single" w:sz="8" w:color="134A9C"/>
              <w:right w:val="single" w:sz="8" w:color="134A9C"/>
            </w:tcBorders>
          </w:tcPr>
          <w:p>
            <w:pPr>
              <w:jc w:val="center"/>
              <w:ind w:left="50"/>
              <w:spacing w:after="0"/>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250"/>
        </w:trPr>
        <w:tc>
          <w:tcPr>
            <w:tcW w:w="22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8"/>
                <w:szCs w:val="18"/>
                <w:color w:val="auto"/>
              </w:rPr>
              <w:t>5.</w:t>
            </w:r>
          </w:p>
        </w:tc>
        <w:tc>
          <w:tcPr>
            <w:tcW w:w="644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Stockholder proposal regarding cumulative voting</w:t>
            </w:r>
          </w:p>
        </w:tc>
        <w:tc>
          <w:tcPr>
            <w:tcW w:w="2260" w:type="dxa"/>
            <w:vAlign w:val="bottom"/>
            <w:tcBorders>
              <w:bottom w:val="single" w:sz="8" w:color="134A9C"/>
              <w:right w:val="single" w:sz="8" w:color="134A9C"/>
            </w:tcBorders>
          </w:tcPr>
          <w:p>
            <w:pPr>
              <w:jc w:val="center"/>
              <w:ind w:left="30"/>
              <w:spacing w:after="0"/>
              <w:rPr>
                <w:sz w:val="20"/>
                <w:szCs w:val="20"/>
                <w:color w:val="auto"/>
              </w:rPr>
            </w:pPr>
            <w:r>
              <w:rPr>
                <w:rFonts w:ascii="Arial" w:cs="Arial" w:eastAsia="Arial" w:hAnsi="Arial"/>
                <w:sz w:val="18"/>
                <w:szCs w:val="18"/>
                <w:b w:val="1"/>
                <w:bCs w:val="1"/>
                <w:color w:val="134A9C"/>
              </w:rPr>
              <w:t>AGAINST</w:t>
            </w:r>
          </w:p>
        </w:tc>
        <w:tc>
          <w:tcPr>
            <w:tcW w:w="2500" w:type="dxa"/>
            <w:vAlign w:val="bottom"/>
            <w:tcBorders>
              <w:bottom w:val="single" w:sz="8" w:color="134A9C"/>
              <w:right w:val="single" w:sz="8" w:color="134A9C"/>
            </w:tcBorders>
          </w:tcPr>
          <w:p>
            <w:pPr>
              <w:jc w:val="center"/>
              <w:ind w:left="50"/>
              <w:spacing w:after="0"/>
              <w:rPr>
                <w:sz w:val="20"/>
                <w:szCs w:val="20"/>
                <w:color w:val="auto"/>
              </w:rPr>
            </w:pPr>
            <w:r>
              <w:rPr>
                <w:rFonts w:ascii="Arial" w:cs="Arial" w:eastAsia="Arial" w:hAnsi="Arial"/>
                <w:sz w:val="18"/>
                <w:szCs w:val="18"/>
                <w:color w:val="auto"/>
                <w:w w:val="99"/>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222885</wp:posOffset>
            </wp:positionV>
            <wp:extent cx="7220585" cy="951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0585" cy="95186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left="180" w:right="40"/>
        <w:spacing w:after="0" w:line="244" w:lineRule="auto"/>
        <w:rPr>
          <w:sz w:val="20"/>
          <w:szCs w:val="20"/>
          <w:color w:val="auto"/>
        </w:rPr>
      </w:pPr>
      <w:r>
        <w:rPr>
          <w:rFonts w:ascii="Arial" w:cs="Arial" w:eastAsia="Arial" w:hAnsi="Arial"/>
          <w:sz w:val="18"/>
          <w:szCs w:val="18"/>
          <w:b w:val="1"/>
          <w:bCs w:val="1"/>
          <w:i w:val="1"/>
          <w:iCs w:val="1"/>
          <w:color w:val="FFFFFF"/>
        </w:rPr>
        <w:t xml:space="preserve">YOUR VOTE IS IMPORTANT. </w:t>
      </w:r>
      <w:r>
        <w:rPr>
          <w:rFonts w:ascii="Arial" w:cs="Arial" w:eastAsia="Arial" w:hAnsi="Arial"/>
          <w:sz w:val="18"/>
          <w:szCs w:val="18"/>
          <w:b w:val="1"/>
          <w:bCs w:val="1"/>
          <w:color w:val="FFFFFF"/>
        </w:rPr>
        <w:t>Whether or not you plan to attend the annual meeting, please submit your vote as soon as possible</w:t>
      </w:r>
      <w:r>
        <w:rPr>
          <w:rFonts w:ascii="Arial" w:cs="Arial" w:eastAsia="Arial" w:hAnsi="Arial"/>
          <w:sz w:val="18"/>
          <w:szCs w:val="18"/>
          <w:b w:val="1"/>
          <w:bCs w:val="1"/>
          <w:i w:val="1"/>
          <w:iCs w:val="1"/>
          <w:color w:val="FFFFFF"/>
        </w:rPr>
        <w:t xml:space="preserve"> </w:t>
      </w:r>
      <w:r>
        <w:rPr>
          <w:rFonts w:ascii="Arial" w:cs="Arial" w:eastAsia="Arial" w:hAnsi="Arial"/>
          <w:sz w:val="18"/>
          <w:szCs w:val="18"/>
          <w:b w:val="1"/>
          <w:bCs w:val="1"/>
          <w:color w:val="FFFFFF"/>
        </w:rPr>
        <w:t>so that your shares will be represented and voted at the meeting. You may submit your vote by Internet, or telephone, or by completing and mailing the enclosed proxy card or voting instruction form. Please note that voting in advance by any of these methods will not affect your right to attend the meeting and vote in person. For specific instructions on how to vote your shares, please see "</w:t>
      </w:r>
      <w:r>
        <w:rPr>
          <w:rFonts w:ascii="Arial" w:cs="Arial" w:eastAsia="Arial" w:hAnsi="Arial"/>
          <w:sz w:val="18"/>
          <w:szCs w:val="18"/>
          <w:b w:val="1"/>
          <w:bCs w:val="1"/>
          <w:i w:val="1"/>
          <w:iCs w:val="1"/>
          <w:color w:val="FFFFFF"/>
        </w:rPr>
        <w:t>How do I vote without attending the annual meeting?"</w:t>
      </w:r>
      <w:r>
        <w:rPr>
          <w:rFonts w:ascii="Arial" w:cs="Arial" w:eastAsia="Arial" w:hAnsi="Arial"/>
          <w:sz w:val="18"/>
          <w:szCs w:val="18"/>
          <w:b w:val="1"/>
          <w:bCs w:val="1"/>
          <w:color w:val="FFFFFF"/>
        </w:rPr>
        <w:t xml:space="preserve"> on page 6.</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ATTENDING THE ANNUAL MEETING</w:t>
      </w:r>
    </w:p>
    <w:p>
      <w:pPr>
        <w:spacing w:after="0" w:line="14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 xml:space="preserve">GM stockholders as of the record date are entitled to attend the annual meeting. In accordance with our security procedures, all attendees must present an admission ticket and government-issued photo identification. You must request an admission ticket in advance </w:t>
      </w:r>
      <w:r>
        <w:rPr>
          <w:rFonts w:ascii="Arial" w:cs="Arial" w:eastAsia="Arial" w:hAnsi="Arial"/>
          <w:sz w:val="18"/>
          <w:szCs w:val="18"/>
          <w:b w:val="1"/>
          <w:bCs w:val="1"/>
          <w:color w:val="auto"/>
        </w:rPr>
        <w:t>(no later than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June 2, 2015) </w:t>
      </w:r>
      <w:r>
        <w:rPr>
          <w:rFonts w:ascii="Arial" w:cs="Arial" w:eastAsia="Arial" w:hAnsi="Arial"/>
          <w:sz w:val="18"/>
          <w:szCs w:val="18"/>
          <w:color w:val="auto"/>
        </w:rPr>
        <w:t>by following the instructions on page 9.</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WEBCAST</w:t>
      </w:r>
    </w:p>
    <w:p>
      <w:pPr>
        <w:spacing w:after="0" w:line="1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Our annual meeting will be audio webcast on June 9, 2015 and may be accessed at </w:t>
      </w:r>
      <w:r>
        <w:rPr>
          <w:rFonts w:ascii="Arial" w:cs="Arial" w:eastAsia="Arial" w:hAnsi="Arial"/>
          <w:sz w:val="18"/>
          <w:szCs w:val="18"/>
          <w:i w:val="1"/>
          <w:iCs w:val="1"/>
          <w:color w:val="auto"/>
        </w:rPr>
        <w:t>www.gm.com/gmannualmeeting</w:t>
      </w:r>
      <w:r>
        <w:rPr>
          <w:rFonts w:ascii="Arial" w:cs="Arial" w:eastAsia="Arial" w:hAnsi="Arial"/>
          <w:sz w:val="18"/>
          <w:szCs w:val="18"/>
          <w:color w:val="auto"/>
        </w:rPr>
        <w:t>. Additional information regarding the audio webcast may be found on 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740"/>
        <w:spacing w:after="0"/>
        <w:tabs>
          <w:tab w:leader="none" w:pos="9212" w:val="left"/>
        </w:tabs>
        <w:rPr>
          <w:sz w:val="20"/>
          <w:szCs w:val="20"/>
          <w:color w:val="auto"/>
        </w:rPr>
      </w:pPr>
      <w:r>
        <w:rPr>
          <w:rFonts w:ascii="Arial" w:cs="Arial" w:eastAsia="Arial" w:hAnsi="Arial"/>
          <w:sz w:val="18"/>
          <w:szCs w:val="18"/>
          <w:color w:val="auto"/>
        </w:rPr>
        <w:t>1</w:t>
      </w:r>
      <w:r>
        <w:rPr>
          <w:sz w:val="20"/>
          <w:szCs w:val="20"/>
          <w:color w:val="auto"/>
        </w:rPr>
        <w:tab/>
      </w:r>
      <w:r>
        <w:rPr>
          <w:sz w:val="1"/>
          <w:szCs w:val="1"/>
          <w:color w:val="auto"/>
        </w:rPr>
        <w:drawing>
          <wp:inline distT="0" distB="0" distL="0" distR="0">
            <wp:extent cx="120015" cy="12001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1440" w:right="219" w:bottom="1440" w:gutter="0" w:footer="0" w:header="0"/>
        </w:sectPr>
      </w:pPr>
    </w:p>
    <w:bookmarkStart w:id="5" w:name="page6"/>
    <w:bookmarkEnd w:id="5"/>
    <w:p>
      <w:pPr>
        <w:ind w:left="8180"/>
        <w:spacing w:after="0"/>
        <w:rPr>
          <w:sz w:val="20"/>
          <w:szCs w:val="20"/>
          <w:color w:val="auto"/>
        </w:rPr>
      </w:pPr>
      <w:r>
        <w:rPr>
          <w:rFonts w:ascii="Arial" w:cs="Arial" w:eastAsia="Arial" w:hAnsi="Arial"/>
          <w:sz w:val="18"/>
          <w:szCs w:val="18"/>
          <w:b w:val="1"/>
          <w:bCs w:val="1"/>
          <w:color w:val="134A9C"/>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THE BOARD'S NOMINEES FOR DIRECTOR (PAGES 12-18)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u w:val="single" w:color="auto"/>
          <w:color w:val="134A9C"/>
        </w:rPr>
        <w:t>FOR</w:t>
      </w:r>
      <w:r>
        <w:rPr>
          <w:rFonts w:ascii="Arial" w:cs="Arial" w:eastAsia="Arial" w:hAnsi="Arial"/>
          <w:sz w:val="18"/>
          <w:szCs w:val="18"/>
          <w:color w:val="auto"/>
        </w:rPr>
        <w:t xml:space="preserve"> the election of each of the following nominees for director:</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760" w:type="dxa"/>
            <w:vAlign w:val="bottom"/>
            <w:tcBorders>
              <w:top w:val="single" w:sz="8" w:color="134A9C"/>
              <w:left w:val="single" w:sz="8" w:color="134A9C"/>
              <w:right w:val="single" w:sz="8" w:color="666666"/>
            </w:tcBorders>
            <w:shd w:val="clear" w:color="auto" w:fill="134A9C"/>
          </w:tcPr>
          <w:p>
            <w:pPr>
              <w:spacing w:after="0"/>
              <w:rPr>
                <w:sz w:val="19"/>
                <w:szCs w:val="19"/>
                <w:color w:val="auto"/>
              </w:rPr>
            </w:pPr>
          </w:p>
        </w:tc>
        <w:tc>
          <w:tcPr>
            <w:tcW w:w="820" w:type="dxa"/>
            <w:vAlign w:val="bottom"/>
            <w:tcBorders>
              <w:top w:val="single" w:sz="8" w:color="134A9C"/>
              <w:right w:val="single" w:sz="8" w:color="666666"/>
            </w:tcBorders>
            <w:shd w:val="clear" w:color="auto" w:fill="134A9C"/>
          </w:tcPr>
          <w:p>
            <w:pPr>
              <w:spacing w:after="0"/>
              <w:rPr>
                <w:sz w:val="19"/>
                <w:szCs w:val="19"/>
                <w:color w:val="auto"/>
              </w:rPr>
            </w:pPr>
          </w:p>
        </w:tc>
        <w:tc>
          <w:tcPr>
            <w:tcW w:w="1140" w:type="dxa"/>
            <w:vAlign w:val="bottom"/>
            <w:tcBorders>
              <w:top w:val="single" w:sz="8" w:color="134A9C"/>
              <w:right w:val="single" w:sz="8" w:color="666666"/>
            </w:tcBorders>
            <w:shd w:val="clear" w:color="auto" w:fill="134A9C"/>
          </w:tcPr>
          <w:p>
            <w:pPr>
              <w:jc w:val="center"/>
              <w:spacing w:after="0"/>
              <w:rPr>
                <w:sz w:val="20"/>
                <w:szCs w:val="20"/>
                <w:color w:val="auto"/>
              </w:rPr>
            </w:pPr>
            <w:r>
              <w:rPr>
                <w:rFonts w:ascii="Arial" w:cs="Arial" w:eastAsia="Arial" w:hAnsi="Arial"/>
                <w:sz w:val="18"/>
                <w:szCs w:val="18"/>
                <w:b w:val="1"/>
                <w:bCs w:val="1"/>
                <w:color w:val="FFFFFF"/>
              </w:rPr>
              <w:t>Director</w:t>
            </w:r>
          </w:p>
        </w:tc>
        <w:tc>
          <w:tcPr>
            <w:tcW w:w="3080" w:type="dxa"/>
            <w:vAlign w:val="bottom"/>
            <w:tcBorders>
              <w:top w:val="single" w:sz="8" w:color="134A9C"/>
              <w:right w:val="single" w:sz="8" w:color="134A9C"/>
            </w:tcBorders>
            <w:shd w:val="clear" w:color="auto" w:fill="134A9C"/>
          </w:tcPr>
          <w:p>
            <w:pPr>
              <w:spacing w:after="0"/>
              <w:rPr>
                <w:sz w:val="19"/>
                <w:szCs w:val="19"/>
                <w:color w:val="auto"/>
              </w:rPr>
            </w:pPr>
          </w:p>
        </w:tc>
        <w:tc>
          <w:tcPr>
            <w:tcW w:w="1580" w:type="dxa"/>
            <w:vAlign w:val="bottom"/>
            <w:tcBorders>
              <w:top w:val="single" w:sz="8" w:color="134A9C"/>
              <w:right w:val="single" w:sz="8" w:color="134A9C"/>
            </w:tcBorders>
            <w:shd w:val="clear" w:color="auto" w:fill="134A9C"/>
          </w:tcPr>
          <w:p>
            <w:pPr>
              <w:spacing w:after="0"/>
              <w:rPr>
                <w:sz w:val="19"/>
                <w:szCs w:val="19"/>
                <w:color w:val="auto"/>
              </w:rPr>
            </w:pPr>
          </w:p>
        </w:tc>
        <w:tc>
          <w:tcPr>
            <w:tcW w:w="2060" w:type="dxa"/>
            <w:vAlign w:val="bottom"/>
            <w:tcBorders>
              <w:top w:val="single" w:sz="8" w:color="134A9C"/>
              <w:right w:val="single" w:sz="8" w:color="134A9C"/>
            </w:tcBorders>
            <w:shd w:val="clear" w:color="auto" w:fill="134A9C"/>
          </w:tcPr>
          <w:p>
            <w:pPr>
              <w:ind w:left="560"/>
              <w:spacing w:after="0"/>
              <w:rPr>
                <w:sz w:val="20"/>
                <w:szCs w:val="20"/>
                <w:color w:val="auto"/>
              </w:rPr>
            </w:pPr>
            <w:r>
              <w:rPr>
                <w:rFonts w:ascii="Arial" w:cs="Arial" w:eastAsia="Arial" w:hAnsi="Arial"/>
                <w:sz w:val="18"/>
                <w:szCs w:val="18"/>
                <w:b w:val="1"/>
                <w:bCs w:val="1"/>
                <w:color w:val="FFFFFF"/>
              </w:rPr>
              <w:t>Committee</w:t>
            </w:r>
          </w:p>
        </w:tc>
      </w:tr>
      <w:tr>
        <w:trPr>
          <w:trHeight w:val="266"/>
        </w:trPr>
        <w:tc>
          <w:tcPr>
            <w:tcW w:w="2760" w:type="dxa"/>
            <w:vAlign w:val="bottom"/>
            <w:tcBorders>
              <w:left w:val="single" w:sz="8" w:color="134A9C"/>
              <w:right w:val="single" w:sz="8" w:color="666666"/>
            </w:tcBorders>
            <w:shd w:val="clear" w:color="auto" w:fill="134A9C"/>
          </w:tcPr>
          <w:p>
            <w:pPr>
              <w:ind w:left="1140"/>
              <w:spacing w:after="0"/>
              <w:rPr>
                <w:sz w:val="20"/>
                <w:szCs w:val="20"/>
                <w:color w:val="auto"/>
              </w:rPr>
            </w:pPr>
            <w:r>
              <w:rPr>
                <w:rFonts w:ascii="Arial" w:cs="Arial" w:eastAsia="Arial" w:hAnsi="Arial"/>
                <w:sz w:val="18"/>
                <w:szCs w:val="18"/>
                <w:b w:val="1"/>
                <w:bCs w:val="1"/>
                <w:color w:val="FFFFFF"/>
              </w:rPr>
              <w:t>Name</w:t>
            </w:r>
          </w:p>
        </w:tc>
        <w:tc>
          <w:tcPr>
            <w:tcW w:w="820" w:type="dxa"/>
            <w:vAlign w:val="bottom"/>
            <w:tcBorders>
              <w:right w:val="single" w:sz="8" w:color="666666"/>
            </w:tcBorders>
            <w:shd w:val="clear" w:color="auto" w:fill="134A9C"/>
          </w:tcPr>
          <w:p>
            <w:pPr>
              <w:jc w:val="center"/>
              <w:spacing w:after="0" w:line="252" w:lineRule="exact"/>
              <w:rPr>
                <w:sz w:val="20"/>
                <w:szCs w:val="20"/>
                <w:color w:val="auto"/>
              </w:rPr>
            </w:pPr>
            <w:r>
              <w:rPr>
                <w:rFonts w:ascii="Arial" w:cs="Arial" w:eastAsia="Arial" w:hAnsi="Arial"/>
                <w:sz w:val="29"/>
                <w:szCs w:val="29"/>
                <w:b w:val="1"/>
                <w:bCs w:val="1"/>
                <w:color w:val="FFFFFF"/>
                <w:w w:val="94"/>
                <w:vertAlign w:val="subscript"/>
              </w:rPr>
              <w:t>Age</w:t>
            </w:r>
            <w:r>
              <w:rPr>
                <w:rFonts w:ascii="Arial" w:cs="Arial" w:eastAsia="Arial" w:hAnsi="Arial"/>
                <w:sz w:val="8"/>
                <w:szCs w:val="8"/>
                <w:b w:val="1"/>
                <w:bCs w:val="1"/>
                <w:color w:val="FFFFFF"/>
                <w:w w:val="94"/>
              </w:rPr>
              <w:t>(1)</w:t>
            </w:r>
          </w:p>
        </w:tc>
        <w:tc>
          <w:tcPr>
            <w:tcW w:w="1140" w:type="dxa"/>
            <w:vAlign w:val="bottom"/>
            <w:tcBorders>
              <w:right w:val="single" w:sz="8" w:color="666666"/>
            </w:tcBorders>
            <w:shd w:val="clear" w:color="auto" w:fill="134A9C"/>
          </w:tcPr>
          <w:p>
            <w:pPr>
              <w:jc w:val="center"/>
              <w:spacing w:after="0"/>
              <w:rPr>
                <w:sz w:val="20"/>
                <w:szCs w:val="20"/>
                <w:color w:val="auto"/>
              </w:rPr>
            </w:pPr>
            <w:r>
              <w:rPr>
                <w:rFonts w:ascii="Arial" w:cs="Arial" w:eastAsia="Arial" w:hAnsi="Arial"/>
                <w:sz w:val="18"/>
                <w:szCs w:val="18"/>
                <w:b w:val="1"/>
                <w:bCs w:val="1"/>
                <w:color w:val="FFFFFF"/>
                <w:w w:val="99"/>
              </w:rPr>
              <w:t>Since</w:t>
            </w:r>
          </w:p>
        </w:tc>
        <w:tc>
          <w:tcPr>
            <w:tcW w:w="3080" w:type="dxa"/>
            <w:vAlign w:val="bottom"/>
            <w:tcBorders>
              <w:right w:val="single" w:sz="8" w:color="134A9C"/>
            </w:tcBorders>
            <w:shd w:val="clear" w:color="auto" w:fill="134A9C"/>
          </w:tcPr>
          <w:p>
            <w:pPr>
              <w:ind w:left="620"/>
              <w:spacing w:after="0"/>
              <w:rPr>
                <w:sz w:val="20"/>
                <w:szCs w:val="20"/>
                <w:color w:val="auto"/>
              </w:rPr>
            </w:pPr>
            <w:r>
              <w:rPr>
                <w:rFonts w:ascii="Arial" w:cs="Arial" w:eastAsia="Arial" w:hAnsi="Arial"/>
                <w:sz w:val="18"/>
                <w:szCs w:val="18"/>
                <w:b w:val="1"/>
                <w:bCs w:val="1"/>
                <w:color w:val="FFFFFF"/>
              </w:rPr>
              <w:t>Principal Occupation</w:t>
            </w:r>
          </w:p>
        </w:tc>
        <w:tc>
          <w:tcPr>
            <w:tcW w:w="158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8"/>
                <w:szCs w:val="18"/>
                <w:b w:val="1"/>
                <w:bCs w:val="1"/>
                <w:color w:val="FFFFFF"/>
              </w:rPr>
              <w:t>Independent</w:t>
            </w:r>
          </w:p>
        </w:tc>
        <w:tc>
          <w:tcPr>
            <w:tcW w:w="2060" w:type="dxa"/>
            <w:vAlign w:val="bottom"/>
            <w:tcBorders>
              <w:right w:val="single" w:sz="8" w:color="134A9C"/>
            </w:tcBorders>
            <w:shd w:val="clear" w:color="auto" w:fill="134A9C"/>
          </w:tcPr>
          <w:p>
            <w:pPr>
              <w:ind w:left="420"/>
              <w:spacing w:after="0"/>
              <w:rPr>
                <w:sz w:val="20"/>
                <w:szCs w:val="20"/>
                <w:color w:val="auto"/>
              </w:rPr>
            </w:pPr>
            <w:r>
              <w:rPr>
                <w:rFonts w:ascii="Arial" w:cs="Arial" w:eastAsia="Arial" w:hAnsi="Arial"/>
                <w:sz w:val="18"/>
                <w:szCs w:val="18"/>
                <w:b w:val="1"/>
                <w:bCs w:val="1"/>
                <w:color w:val="FFFFFF"/>
              </w:rPr>
              <w:t>Membership</w:t>
            </w:r>
            <w:r>
              <w:rPr>
                <w:rFonts w:ascii="Arial" w:cs="Arial" w:eastAsia="Arial" w:hAnsi="Arial"/>
                <w:sz w:val="18"/>
                <w:szCs w:val="18"/>
                <w:b w:val="1"/>
                <w:bCs w:val="1"/>
                <w:color w:val="FFFFFF"/>
                <w:vertAlign w:val="superscript"/>
              </w:rPr>
              <w:t>(2)</w:t>
            </w:r>
          </w:p>
        </w:tc>
      </w:tr>
      <w:tr>
        <w:trPr>
          <w:trHeight w:val="229"/>
        </w:trPr>
        <w:tc>
          <w:tcPr>
            <w:tcW w:w="27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Joseph J. Ashton</w:t>
            </w:r>
          </w:p>
        </w:tc>
        <w:tc>
          <w:tcPr>
            <w:tcW w:w="82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66</w:t>
            </w:r>
          </w:p>
        </w:tc>
        <w:tc>
          <w:tcPr>
            <w:tcW w:w="114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2014</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Retired Vice President, United Auto</w:t>
            </w:r>
          </w:p>
        </w:tc>
        <w:tc>
          <w:tcPr>
            <w:tcW w:w="1580" w:type="dxa"/>
            <w:vAlign w:val="bottom"/>
            <w:tcBorders>
              <w:right w:val="single" w:sz="8" w:color="134A9C"/>
            </w:tcBorders>
          </w:tcPr>
          <w:p>
            <w:pPr>
              <w:spacing w:after="0"/>
              <w:rPr>
                <w:sz w:val="19"/>
                <w:szCs w:val="19"/>
                <w:color w:val="auto"/>
              </w:rPr>
            </w:pPr>
          </w:p>
        </w:tc>
        <w:tc>
          <w:tcPr>
            <w:tcW w:w="206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PPC, RC</w:t>
            </w:r>
          </w:p>
        </w:tc>
      </w:tr>
      <w:tr>
        <w:trPr>
          <w:trHeight w:val="224"/>
        </w:trPr>
        <w:tc>
          <w:tcPr>
            <w:tcW w:w="2760" w:type="dxa"/>
            <w:vAlign w:val="bottom"/>
            <w:tcBorders>
              <w:left w:val="single" w:sz="8" w:color="134A9C"/>
              <w:bottom w:val="single" w:sz="8" w:color="134A9C"/>
              <w:right w:val="single" w:sz="8" w:color="134A9C"/>
            </w:tcBorders>
          </w:tcPr>
          <w:p>
            <w:pPr>
              <w:spacing w:after="0"/>
              <w:rPr>
                <w:sz w:val="19"/>
                <w:szCs w:val="19"/>
                <w:color w:val="auto"/>
              </w:rPr>
            </w:pPr>
          </w:p>
        </w:tc>
        <w:tc>
          <w:tcPr>
            <w:tcW w:w="820" w:type="dxa"/>
            <w:vAlign w:val="bottom"/>
            <w:tcBorders>
              <w:bottom w:val="single" w:sz="8" w:color="134A9C"/>
              <w:right w:val="single" w:sz="8" w:color="134A9C"/>
            </w:tcBorders>
          </w:tcPr>
          <w:p>
            <w:pPr>
              <w:spacing w:after="0"/>
              <w:rPr>
                <w:sz w:val="19"/>
                <w:szCs w:val="19"/>
                <w:color w:val="auto"/>
              </w:rPr>
            </w:pPr>
          </w:p>
        </w:tc>
        <w:tc>
          <w:tcPr>
            <w:tcW w:w="1140" w:type="dxa"/>
            <w:vAlign w:val="bottom"/>
            <w:tcBorders>
              <w:bottom w:val="single" w:sz="8" w:color="134A9C"/>
              <w:right w:val="single" w:sz="8" w:color="134A9C"/>
            </w:tcBorders>
          </w:tcPr>
          <w:p>
            <w:pPr>
              <w:spacing w:after="0"/>
              <w:rPr>
                <w:sz w:val="19"/>
                <w:szCs w:val="19"/>
                <w:color w:val="auto"/>
              </w:rPr>
            </w:pPr>
          </w:p>
        </w:tc>
        <w:tc>
          <w:tcPr>
            <w:tcW w:w="308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Workers</w:t>
            </w:r>
          </w:p>
        </w:tc>
        <w:tc>
          <w:tcPr>
            <w:tcW w:w="1580" w:type="dxa"/>
            <w:vAlign w:val="bottom"/>
            <w:tcBorders>
              <w:bottom w:val="single" w:sz="8" w:color="134A9C"/>
              <w:right w:val="single" w:sz="8" w:color="134A9C"/>
            </w:tcBorders>
          </w:tcPr>
          <w:p>
            <w:pPr>
              <w:spacing w:after="0"/>
              <w:rPr>
                <w:sz w:val="19"/>
                <w:szCs w:val="19"/>
                <w:color w:val="auto"/>
              </w:rPr>
            </w:pPr>
          </w:p>
        </w:tc>
        <w:tc>
          <w:tcPr>
            <w:tcW w:w="2060" w:type="dxa"/>
            <w:vAlign w:val="bottom"/>
            <w:tcBorders>
              <w:bottom w:val="single" w:sz="8" w:color="134A9C"/>
              <w:right w:val="single" w:sz="8" w:color="134A9C"/>
            </w:tcBorders>
          </w:tcPr>
          <w:p>
            <w:pPr>
              <w:spacing w:after="0"/>
              <w:rPr>
                <w:sz w:val="19"/>
                <w:szCs w:val="19"/>
                <w:color w:val="auto"/>
              </w:rPr>
            </w:pPr>
          </w:p>
        </w:tc>
      </w:tr>
      <w:tr>
        <w:trPr>
          <w:trHeight w:val="229"/>
        </w:trPr>
        <w:tc>
          <w:tcPr>
            <w:tcW w:w="27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Mary T. Barra</w:t>
            </w:r>
          </w:p>
        </w:tc>
        <w:tc>
          <w:tcPr>
            <w:tcW w:w="82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53</w:t>
            </w:r>
          </w:p>
        </w:tc>
        <w:tc>
          <w:tcPr>
            <w:tcW w:w="114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2014</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Chief Executive Officer, General</w:t>
            </w:r>
          </w:p>
        </w:tc>
        <w:tc>
          <w:tcPr>
            <w:tcW w:w="1580" w:type="dxa"/>
            <w:vAlign w:val="bottom"/>
            <w:tcBorders>
              <w:right w:val="single" w:sz="8" w:color="134A9C"/>
            </w:tcBorders>
          </w:tcPr>
          <w:p>
            <w:pPr>
              <w:spacing w:after="0"/>
              <w:rPr>
                <w:sz w:val="19"/>
                <w:szCs w:val="19"/>
                <w:color w:val="auto"/>
              </w:rPr>
            </w:pPr>
          </w:p>
        </w:tc>
        <w:tc>
          <w:tcPr>
            <w:tcW w:w="2060" w:type="dxa"/>
            <w:vAlign w:val="bottom"/>
            <w:tcBorders>
              <w:right w:val="single" w:sz="8" w:color="134A9C"/>
            </w:tcBorders>
          </w:tcPr>
          <w:p>
            <w:pPr>
              <w:spacing w:after="0"/>
              <w:rPr>
                <w:sz w:val="19"/>
                <w:szCs w:val="19"/>
                <w:color w:val="auto"/>
              </w:rPr>
            </w:pPr>
          </w:p>
        </w:tc>
      </w:tr>
      <w:tr>
        <w:trPr>
          <w:trHeight w:val="224"/>
        </w:trPr>
        <w:tc>
          <w:tcPr>
            <w:tcW w:w="2760" w:type="dxa"/>
            <w:vAlign w:val="bottom"/>
            <w:tcBorders>
              <w:left w:val="single" w:sz="8" w:color="134A9C"/>
              <w:bottom w:val="single" w:sz="8" w:color="134A9C"/>
              <w:right w:val="single" w:sz="8" w:color="134A9C"/>
            </w:tcBorders>
          </w:tcPr>
          <w:p>
            <w:pPr>
              <w:spacing w:after="0"/>
              <w:rPr>
                <w:sz w:val="19"/>
                <w:szCs w:val="19"/>
                <w:color w:val="auto"/>
              </w:rPr>
            </w:pPr>
          </w:p>
        </w:tc>
        <w:tc>
          <w:tcPr>
            <w:tcW w:w="820" w:type="dxa"/>
            <w:vAlign w:val="bottom"/>
            <w:tcBorders>
              <w:bottom w:val="single" w:sz="8" w:color="134A9C"/>
              <w:right w:val="single" w:sz="8" w:color="134A9C"/>
            </w:tcBorders>
          </w:tcPr>
          <w:p>
            <w:pPr>
              <w:spacing w:after="0"/>
              <w:rPr>
                <w:sz w:val="19"/>
                <w:szCs w:val="19"/>
                <w:color w:val="auto"/>
              </w:rPr>
            </w:pPr>
          </w:p>
        </w:tc>
        <w:tc>
          <w:tcPr>
            <w:tcW w:w="1140" w:type="dxa"/>
            <w:vAlign w:val="bottom"/>
            <w:tcBorders>
              <w:bottom w:val="single" w:sz="8" w:color="134A9C"/>
              <w:right w:val="single" w:sz="8" w:color="134A9C"/>
            </w:tcBorders>
          </w:tcPr>
          <w:p>
            <w:pPr>
              <w:spacing w:after="0"/>
              <w:rPr>
                <w:sz w:val="19"/>
                <w:szCs w:val="19"/>
                <w:color w:val="auto"/>
              </w:rPr>
            </w:pPr>
          </w:p>
        </w:tc>
        <w:tc>
          <w:tcPr>
            <w:tcW w:w="308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Motors Company</w:t>
            </w:r>
          </w:p>
        </w:tc>
        <w:tc>
          <w:tcPr>
            <w:tcW w:w="1580" w:type="dxa"/>
            <w:vAlign w:val="bottom"/>
            <w:tcBorders>
              <w:bottom w:val="single" w:sz="8" w:color="134A9C"/>
              <w:right w:val="single" w:sz="8" w:color="134A9C"/>
            </w:tcBorders>
          </w:tcPr>
          <w:p>
            <w:pPr>
              <w:spacing w:after="0"/>
              <w:rPr>
                <w:sz w:val="19"/>
                <w:szCs w:val="19"/>
                <w:color w:val="auto"/>
              </w:rPr>
            </w:pPr>
          </w:p>
        </w:tc>
        <w:tc>
          <w:tcPr>
            <w:tcW w:w="2060" w:type="dxa"/>
            <w:vAlign w:val="bottom"/>
            <w:tcBorders>
              <w:bottom w:val="single" w:sz="8" w:color="134A9C"/>
              <w:right w:val="single" w:sz="8" w:color="134A9C"/>
            </w:tcBorders>
          </w:tcPr>
          <w:p>
            <w:pPr>
              <w:spacing w:after="0"/>
              <w:rPr>
                <w:sz w:val="19"/>
                <w:szCs w:val="19"/>
                <w:color w:val="auto"/>
              </w:rPr>
            </w:pPr>
          </w:p>
        </w:tc>
      </w:tr>
      <w:tr>
        <w:trPr>
          <w:trHeight w:val="243"/>
        </w:trPr>
        <w:tc>
          <w:tcPr>
            <w:tcW w:w="27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Stephen J. Girsky</w:t>
            </w:r>
          </w:p>
        </w:tc>
        <w:tc>
          <w:tcPr>
            <w:tcW w:w="82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52</w:t>
            </w:r>
          </w:p>
        </w:tc>
        <w:tc>
          <w:tcPr>
            <w:tcW w:w="114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2009</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President, S.J. Girsky &amp; Company</w:t>
            </w:r>
          </w:p>
        </w:tc>
        <w:tc>
          <w:tcPr>
            <w:tcW w:w="1580" w:type="dxa"/>
            <w:vAlign w:val="bottom"/>
            <w:tcBorders>
              <w:right w:val="single" w:sz="8" w:color="134A9C"/>
            </w:tcBorders>
          </w:tcPr>
          <w:p>
            <w:pPr>
              <w:spacing w:after="0"/>
              <w:rPr>
                <w:sz w:val="21"/>
                <w:szCs w:val="21"/>
                <w:color w:val="auto"/>
              </w:rPr>
            </w:pPr>
          </w:p>
        </w:tc>
        <w:tc>
          <w:tcPr>
            <w:tcW w:w="206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FC, PPC</w:t>
            </w:r>
          </w:p>
        </w:tc>
      </w:tr>
      <w:tr>
        <w:trPr>
          <w:trHeight w:val="27"/>
        </w:trPr>
        <w:tc>
          <w:tcPr>
            <w:tcW w:w="2760" w:type="dxa"/>
            <w:vAlign w:val="bottom"/>
            <w:tcBorders>
              <w:left w:val="single" w:sz="8" w:color="134A9C"/>
              <w:bottom w:val="single" w:sz="8" w:color="134A9C"/>
              <w:right w:val="single" w:sz="8" w:color="134A9C"/>
            </w:tcBorders>
          </w:tcPr>
          <w:p>
            <w:pPr>
              <w:spacing w:after="0"/>
              <w:rPr>
                <w:sz w:val="2"/>
                <w:szCs w:val="2"/>
                <w:color w:val="auto"/>
              </w:rPr>
            </w:pPr>
          </w:p>
        </w:tc>
        <w:tc>
          <w:tcPr>
            <w:tcW w:w="820" w:type="dxa"/>
            <w:vAlign w:val="bottom"/>
            <w:tcBorders>
              <w:bottom w:val="single" w:sz="8" w:color="134A9C"/>
              <w:right w:val="single" w:sz="8" w:color="134A9C"/>
            </w:tcBorders>
          </w:tcPr>
          <w:p>
            <w:pPr>
              <w:spacing w:after="0"/>
              <w:rPr>
                <w:sz w:val="2"/>
                <w:szCs w:val="2"/>
                <w:color w:val="auto"/>
              </w:rPr>
            </w:pPr>
          </w:p>
        </w:tc>
        <w:tc>
          <w:tcPr>
            <w:tcW w:w="1140" w:type="dxa"/>
            <w:vAlign w:val="bottom"/>
            <w:tcBorders>
              <w:bottom w:val="single" w:sz="8" w:color="134A9C"/>
              <w:right w:val="single" w:sz="8" w:color="134A9C"/>
            </w:tcBorders>
          </w:tcPr>
          <w:p>
            <w:pPr>
              <w:spacing w:after="0"/>
              <w:rPr>
                <w:sz w:val="2"/>
                <w:szCs w:val="2"/>
                <w:color w:val="auto"/>
              </w:rPr>
            </w:pPr>
          </w:p>
        </w:tc>
        <w:tc>
          <w:tcPr>
            <w:tcW w:w="3080" w:type="dxa"/>
            <w:vAlign w:val="bottom"/>
            <w:tcBorders>
              <w:bottom w:val="single" w:sz="8" w:color="134A9C"/>
              <w:right w:val="single" w:sz="8" w:color="134A9C"/>
            </w:tcBorders>
          </w:tcPr>
          <w:p>
            <w:pPr>
              <w:spacing w:after="0"/>
              <w:rPr>
                <w:sz w:val="2"/>
                <w:szCs w:val="2"/>
                <w:color w:val="auto"/>
              </w:rPr>
            </w:pPr>
          </w:p>
        </w:tc>
        <w:tc>
          <w:tcPr>
            <w:tcW w:w="1580" w:type="dxa"/>
            <w:vAlign w:val="bottom"/>
            <w:tcBorders>
              <w:bottom w:val="single" w:sz="8" w:color="134A9C"/>
              <w:right w:val="single" w:sz="8" w:color="134A9C"/>
            </w:tcBorders>
          </w:tcPr>
          <w:p>
            <w:pPr>
              <w:spacing w:after="0"/>
              <w:rPr>
                <w:sz w:val="2"/>
                <w:szCs w:val="2"/>
                <w:color w:val="auto"/>
              </w:rPr>
            </w:pPr>
          </w:p>
        </w:tc>
        <w:tc>
          <w:tcPr>
            <w:tcW w:w="2060" w:type="dxa"/>
            <w:vAlign w:val="bottom"/>
            <w:tcBorders>
              <w:bottom w:val="single" w:sz="8" w:color="134A9C"/>
              <w:right w:val="single" w:sz="8" w:color="134A9C"/>
            </w:tcBorders>
          </w:tcPr>
          <w:p>
            <w:pPr>
              <w:spacing w:after="0"/>
              <w:rPr>
                <w:sz w:val="2"/>
                <w:szCs w:val="2"/>
                <w:color w:val="auto"/>
              </w:rPr>
            </w:pPr>
          </w:p>
        </w:tc>
      </w:tr>
      <w:tr>
        <w:trPr>
          <w:trHeight w:val="222"/>
        </w:trPr>
        <w:tc>
          <w:tcPr>
            <w:tcW w:w="27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Linda R. Gooden</w:t>
            </w:r>
          </w:p>
        </w:tc>
        <w:tc>
          <w:tcPr>
            <w:tcW w:w="82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62</w:t>
            </w:r>
          </w:p>
        </w:tc>
        <w:tc>
          <w:tcPr>
            <w:tcW w:w="114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2015</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Retired Executive Vice President,</w:t>
            </w:r>
          </w:p>
        </w:tc>
        <w:tc>
          <w:tcPr>
            <w:tcW w:w="158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X</w:t>
            </w:r>
          </w:p>
        </w:tc>
        <w:tc>
          <w:tcPr>
            <w:tcW w:w="206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AC, RC</w:t>
            </w:r>
          </w:p>
        </w:tc>
      </w:tr>
      <w:tr>
        <w:trPr>
          <w:trHeight w:val="203"/>
        </w:trPr>
        <w:tc>
          <w:tcPr>
            <w:tcW w:w="2760" w:type="dxa"/>
            <w:vAlign w:val="bottom"/>
            <w:tcBorders>
              <w:left w:val="single" w:sz="8" w:color="134A9C"/>
              <w:right w:val="single" w:sz="8" w:color="134A9C"/>
            </w:tcBorders>
          </w:tcPr>
          <w:p>
            <w:pPr>
              <w:spacing w:after="0"/>
              <w:rPr>
                <w:sz w:val="17"/>
                <w:szCs w:val="17"/>
                <w:color w:val="auto"/>
              </w:rPr>
            </w:pPr>
          </w:p>
        </w:tc>
        <w:tc>
          <w:tcPr>
            <w:tcW w:w="820" w:type="dxa"/>
            <w:vAlign w:val="bottom"/>
            <w:tcBorders>
              <w:right w:val="single" w:sz="8" w:color="134A9C"/>
            </w:tcBorders>
          </w:tcPr>
          <w:p>
            <w:pPr>
              <w:spacing w:after="0"/>
              <w:rPr>
                <w:sz w:val="17"/>
                <w:szCs w:val="17"/>
                <w:color w:val="auto"/>
              </w:rPr>
            </w:pPr>
          </w:p>
        </w:tc>
        <w:tc>
          <w:tcPr>
            <w:tcW w:w="1140" w:type="dxa"/>
            <w:vAlign w:val="bottom"/>
            <w:tcBorders>
              <w:right w:val="single" w:sz="8" w:color="134A9C"/>
            </w:tcBorders>
          </w:tcPr>
          <w:p>
            <w:pPr>
              <w:spacing w:after="0"/>
              <w:rPr>
                <w:sz w:val="17"/>
                <w:szCs w:val="17"/>
                <w:color w:val="auto"/>
              </w:rPr>
            </w:pPr>
          </w:p>
        </w:tc>
        <w:tc>
          <w:tcPr>
            <w:tcW w:w="308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Information Systems and Global</w:t>
            </w:r>
          </w:p>
        </w:tc>
        <w:tc>
          <w:tcPr>
            <w:tcW w:w="1580" w:type="dxa"/>
            <w:vAlign w:val="bottom"/>
            <w:tcBorders>
              <w:right w:val="single" w:sz="8" w:color="134A9C"/>
            </w:tcBorders>
          </w:tcPr>
          <w:p>
            <w:pPr>
              <w:spacing w:after="0"/>
              <w:rPr>
                <w:sz w:val="17"/>
                <w:szCs w:val="17"/>
                <w:color w:val="auto"/>
              </w:rPr>
            </w:pPr>
          </w:p>
        </w:tc>
        <w:tc>
          <w:tcPr>
            <w:tcW w:w="2060" w:type="dxa"/>
            <w:vAlign w:val="bottom"/>
            <w:tcBorders>
              <w:right w:val="single" w:sz="8" w:color="134A9C"/>
            </w:tcBorders>
          </w:tcPr>
          <w:p>
            <w:pPr>
              <w:spacing w:after="0"/>
              <w:rPr>
                <w:sz w:val="17"/>
                <w:szCs w:val="17"/>
                <w:color w:val="auto"/>
              </w:rPr>
            </w:pPr>
          </w:p>
        </w:tc>
      </w:tr>
      <w:tr>
        <w:trPr>
          <w:trHeight w:val="203"/>
        </w:trPr>
        <w:tc>
          <w:tcPr>
            <w:tcW w:w="2760" w:type="dxa"/>
            <w:vAlign w:val="bottom"/>
            <w:tcBorders>
              <w:left w:val="single" w:sz="8" w:color="134A9C"/>
              <w:right w:val="single" w:sz="8" w:color="134A9C"/>
            </w:tcBorders>
          </w:tcPr>
          <w:p>
            <w:pPr>
              <w:spacing w:after="0"/>
              <w:rPr>
                <w:sz w:val="17"/>
                <w:szCs w:val="17"/>
                <w:color w:val="auto"/>
              </w:rPr>
            </w:pPr>
          </w:p>
        </w:tc>
        <w:tc>
          <w:tcPr>
            <w:tcW w:w="820" w:type="dxa"/>
            <w:vAlign w:val="bottom"/>
            <w:tcBorders>
              <w:right w:val="single" w:sz="8" w:color="134A9C"/>
            </w:tcBorders>
          </w:tcPr>
          <w:p>
            <w:pPr>
              <w:spacing w:after="0"/>
              <w:rPr>
                <w:sz w:val="17"/>
                <w:szCs w:val="17"/>
                <w:color w:val="auto"/>
              </w:rPr>
            </w:pPr>
          </w:p>
        </w:tc>
        <w:tc>
          <w:tcPr>
            <w:tcW w:w="1140" w:type="dxa"/>
            <w:vAlign w:val="bottom"/>
            <w:tcBorders>
              <w:right w:val="single" w:sz="8" w:color="134A9C"/>
            </w:tcBorders>
          </w:tcPr>
          <w:p>
            <w:pPr>
              <w:spacing w:after="0"/>
              <w:rPr>
                <w:sz w:val="17"/>
                <w:szCs w:val="17"/>
                <w:color w:val="auto"/>
              </w:rPr>
            </w:pPr>
          </w:p>
        </w:tc>
        <w:tc>
          <w:tcPr>
            <w:tcW w:w="308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Solutions, Lockheed Martin</w:t>
            </w:r>
          </w:p>
        </w:tc>
        <w:tc>
          <w:tcPr>
            <w:tcW w:w="1580" w:type="dxa"/>
            <w:vAlign w:val="bottom"/>
            <w:tcBorders>
              <w:right w:val="single" w:sz="8" w:color="134A9C"/>
            </w:tcBorders>
          </w:tcPr>
          <w:p>
            <w:pPr>
              <w:spacing w:after="0"/>
              <w:rPr>
                <w:sz w:val="17"/>
                <w:szCs w:val="17"/>
                <w:color w:val="auto"/>
              </w:rPr>
            </w:pPr>
          </w:p>
        </w:tc>
        <w:tc>
          <w:tcPr>
            <w:tcW w:w="2060" w:type="dxa"/>
            <w:vAlign w:val="bottom"/>
            <w:tcBorders>
              <w:right w:val="single" w:sz="8" w:color="134A9C"/>
            </w:tcBorders>
          </w:tcPr>
          <w:p>
            <w:pPr>
              <w:spacing w:after="0"/>
              <w:rPr>
                <w:sz w:val="17"/>
                <w:szCs w:val="17"/>
                <w:color w:val="auto"/>
              </w:rPr>
            </w:pPr>
          </w:p>
        </w:tc>
      </w:tr>
      <w:tr>
        <w:trPr>
          <w:trHeight w:val="224"/>
        </w:trPr>
        <w:tc>
          <w:tcPr>
            <w:tcW w:w="2760" w:type="dxa"/>
            <w:vAlign w:val="bottom"/>
            <w:tcBorders>
              <w:left w:val="single" w:sz="8" w:color="134A9C"/>
              <w:bottom w:val="single" w:sz="8" w:color="134A9C"/>
              <w:right w:val="single" w:sz="8" w:color="134A9C"/>
            </w:tcBorders>
          </w:tcPr>
          <w:p>
            <w:pPr>
              <w:spacing w:after="0"/>
              <w:rPr>
                <w:sz w:val="19"/>
                <w:szCs w:val="19"/>
                <w:color w:val="auto"/>
              </w:rPr>
            </w:pPr>
          </w:p>
        </w:tc>
        <w:tc>
          <w:tcPr>
            <w:tcW w:w="820" w:type="dxa"/>
            <w:vAlign w:val="bottom"/>
            <w:tcBorders>
              <w:bottom w:val="single" w:sz="8" w:color="134A9C"/>
              <w:right w:val="single" w:sz="8" w:color="134A9C"/>
            </w:tcBorders>
          </w:tcPr>
          <w:p>
            <w:pPr>
              <w:spacing w:after="0"/>
              <w:rPr>
                <w:sz w:val="19"/>
                <w:szCs w:val="19"/>
                <w:color w:val="auto"/>
              </w:rPr>
            </w:pPr>
          </w:p>
        </w:tc>
        <w:tc>
          <w:tcPr>
            <w:tcW w:w="1140" w:type="dxa"/>
            <w:vAlign w:val="bottom"/>
            <w:tcBorders>
              <w:bottom w:val="single" w:sz="8" w:color="134A9C"/>
              <w:right w:val="single" w:sz="8" w:color="134A9C"/>
            </w:tcBorders>
          </w:tcPr>
          <w:p>
            <w:pPr>
              <w:spacing w:after="0"/>
              <w:rPr>
                <w:sz w:val="19"/>
                <w:szCs w:val="19"/>
                <w:color w:val="auto"/>
              </w:rPr>
            </w:pPr>
          </w:p>
        </w:tc>
        <w:tc>
          <w:tcPr>
            <w:tcW w:w="308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Corporation</w:t>
            </w:r>
          </w:p>
        </w:tc>
        <w:tc>
          <w:tcPr>
            <w:tcW w:w="1580" w:type="dxa"/>
            <w:vAlign w:val="bottom"/>
            <w:tcBorders>
              <w:bottom w:val="single" w:sz="8" w:color="134A9C"/>
              <w:right w:val="single" w:sz="8" w:color="134A9C"/>
            </w:tcBorders>
          </w:tcPr>
          <w:p>
            <w:pPr>
              <w:spacing w:after="0"/>
              <w:rPr>
                <w:sz w:val="19"/>
                <w:szCs w:val="19"/>
                <w:color w:val="auto"/>
              </w:rPr>
            </w:pPr>
          </w:p>
        </w:tc>
        <w:tc>
          <w:tcPr>
            <w:tcW w:w="2060" w:type="dxa"/>
            <w:vAlign w:val="bottom"/>
            <w:tcBorders>
              <w:bottom w:val="single" w:sz="8" w:color="134A9C"/>
              <w:right w:val="single" w:sz="8" w:color="134A9C"/>
            </w:tcBorders>
          </w:tcPr>
          <w:p>
            <w:pPr>
              <w:spacing w:after="0"/>
              <w:rPr>
                <w:sz w:val="19"/>
                <w:szCs w:val="19"/>
                <w:color w:val="auto"/>
              </w:rPr>
            </w:pPr>
          </w:p>
        </w:tc>
      </w:tr>
      <w:tr>
        <w:trPr>
          <w:trHeight w:val="243"/>
        </w:trPr>
        <w:tc>
          <w:tcPr>
            <w:tcW w:w="27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Joseph Jimenez, Jr.</w:t>
            </w:r>
          </w:p>
        </w:tc>
        <w:tc>
          <w:tcPr>
            <w:tcW w:w="82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55</w:t>
            </w:r>
          </w:p>
        </w:tc>
        <w:tc>
          <w:tcPr>
            <w:tcW w:w="114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Chief Executive Officer, Novartis AG</w:t>
            </w:r>
          </w:p>
        </w:tc>
        <w:tc>
          <w:tcPr>
            <w:tcW w:w="158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X</w:t>
            </w:r>
          </w:p>
        </w:tc>
        <w:tc>
          <w:tcPr>
            <w:tcW w:w="2060" w:type="dxa"/>
            <w:vAlign w:val="bottom"/>
            <w:tcBorders>
              <w:right w:val="single" w:sz="8" w:color="134A9C"/>
            </w:tcBorders>
          </w:tcPr>
          <w:p>
            <w:pPr>
              <w:spacing w:after="0"/>
              <w:rPr>
                <w:sz w:val="21"/>
                <w:szCs w:val="21"/>
                <w:color w:val="auto"/>
              </w:rPr>
            </w:pPr>
          </w:p>
        </w:tc>
      </w:tr>
      <w:tr>
        <w:trPr>
          <w:trHeight w:val="27"/>
        </w:trPr>
        <w:tc>
          <w:tcPr>
            <w:tcW w:w="2760" w:type="dxa"/>
            <w:vAlign w:val="bottom"/>
            <w:tcBorders>
              <w:left w:val="single" w:sz="8" w:color="134A9C"/>
              <w:bottom w:val="single" w:sz="8" w:color="134A9C"/>
              <w:right w:val="single" w:sz="8" w:color="134A9C"/>
            </w:tcBorders>
          </w:tcPr>
          <w:p>
            <w:pPr>
              <w:spacing w:after="0"/>
              <w:rPr>
                <w:sz w:val="2"/>
                <w:szCs w:val="2"/>
                <w:color w:val="auto"/>
              </w:rPr>
            </w:pPr>
          </w:p>
        </w:tc>
        <w:tc>
          <w:tcPr>
            <w:tcW w:w="820" w:type="dxa"/>
            <w:vAlign w:val="bottom"/>
            <w:tcBorders>
              <w:bottom w:val="single" w:sz="8" w:color="134A9C"/>
              <w:right w:val="single" w:sz="8" w:color="134A9C"/>
            </w:tcBorders>
          </w:tcPr>
          <w:p>
            <w:pPr>
              <w:spacing w:after="0"/>
              <w:rPr>
                <w:sz w:val="2"/>
                <w:szCs w:val="2"/>
                <w:color w:val="auto"/>
              </w:rPr>
            </w:pPr>
          </w:p>
        </w:tc>
        <w:tc>
          <w:tcPr>
            <w:tcW w:w="1140" w:type="dxa"/>
            <w:vAlign w:val="bottom"/>
            <w:tcBorders>
              <w:bottom w:val="single" w:sz="8" w:color="134A9C"/>
              <w:right w:val="single" w:sz="8" w:color="134A9C"/>
            </w:tcBorders>
          </w:tcPr>
          <w:p>
            <w:pPr>
              <w:spacing w:after="0"/>
              <w:rPr>
                <w:sz w:val="2"/>
                <w:szCs w:val="2"/>
                <w:color w:val="auto"/>
              </w:rPr>
            </w:pPr>
          </w:p>
        </w:tc>
        <w:tc>
          <w:tcPr>
            <w:tcW w:w="3080" w:type="dxa"/>
            <w:vAlign w:val="bottom"/>
            <w:tcBorders>
              <w:bottom w:val="single" w:sz="8" w:color="134A9C"/>
              <w:right w:val="single" w:sz="8" w:color="134A9C"/>
            </w:tcBorders>
          </w:tcPr>
          <w:p>
            <w:pPr>
              <w:spacing w:after="0"/>
              <w:rPr>
                <w:sz w:val="2"/>
                <w:szCs w:val="2"/>
                <w:color w:val="auto"/>
              </w:rPr>
            </w:pPr>
          </w:p>
        </w:tc>
        <w:tc>
          <w:tcPr>
            <w:tcW w:w="1580" w:type="dxa"/>
            <w:vAlign w:val="bottom"/>
            <w:tcBorders>
              <w:bottom w:val="single" w:sz="8" w:color="134A9C"/>
              <w:right w:val="single" w:sz="8" w:color="134A9C"/>
            </w:tcBorders>
          </w:tcPr>
          <w:p>
            <w:pPr>
              <w:spacing w:after="0"/>
              <w:rPr>
                <w:sz w:val="2"/>
                <w:szCs w:val="2"/>
                <w:color w:val="auto"/>
              </w:rPr>
            </w:pPr>
          </w:p>
        </w:tc>
        <w:tc>
          <w:tcPr>
            <w:tcW w:w="2060" w:type="dxa"/>
            <w:vAlign w:val="bottom"/>
            <w:tcBorders>
              <w:bottom w:val="single" w:sz="8" w:color="134A9C"/>
              <w:right w:val="single" w:sz="8" w:color="134A9C"/>
            </w:tcBorders>
          </w:tcPr>
          <w:p>
            <w:pPr>
              <w:spacing w:after="0"/>
              <w:rPr>
                <w:sz w:val="2"/>
                <w:szCs w:val="2"/>
                <w:color w:val="auto"/>
              </w:rPr>
            </w:pPr>
          </w:p>
        </w:tc>
      </w:tr>
      <w:tr>
        <w:trPr>
          <w:trHeight w:val="222"/>
        </w:trPr>
        <w:tc>
          <w:tcPr>
            <w:tcW w:w="27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Kathryn V. Marinello</w:t>
            </w:r>
          </w:p>
        </w:tc>
        <w:tc>
          <w:tcPr>
            <w:tcW w:w="82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58</w:t>
            </w:r>
          </w:p>
        </w:tc>
        <w:tc>
          <w:tcPr>
            <w:tcW w:w="114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2009</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Senior Advisor, Ares Management</w:t>
            </w:r>
          </w:p>
        </w:tc>
        <w:tc>
          <w:tcPr>
            <w:tcW w:w="158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X</w:t>
            </w:r>
          </w:p>
        </w:tc>
        <w:tc>
          <w:tcPr>
            <w:tcW w:w="206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AC, DCGC, FC</w:t>
            </w:r>
          </w:p>
        </w:tc>
      </w:tr>
      <w:tr>
        <w:trPr>
          <w:trHeight w:val="224"/>
        </w:trPr>
        <w:tc>
          <w:tcPr>
            <w:tcW w:w="2760" w:type="dxa"/>
            <w:vAlign w:val="bottom"/>
            <w:tcBorders>
              <w:left w:val="single" w:sz="8" w:color="134A9C"/>
              <w:bottom w:val="single" w:sz="8" w:color="134A9C"/>
              <w:right w:val="single" w:sz="8" w:color="134A9C"/>
            </w:tcBorders>
          </w:tcPr>
          <w:p>
            <w:pPr>
              <w:spacing w:after="0"/>
              <w:rPr>
                <w:sz w:val="19"/>
                <w:szCs w:val="19"/>
                <w:color w:val="auto"/>
              </w:rPr>
            </w:pPr>
          </w:p>
        </w:tc>
        <w:tc>
          <w:tcPr>
            <w:tcW w:w="820" w:type="dxa"/>
            <w:vAlign w:val="bottom"/>
            <w:tcBorders>
              <w:bottom w:val="single" w:sz="8" w:color="134A9C"/>
              <w:right w:val="single" w:sz="8" w:color="134A9C"/>
            </w:tcBorders>
          </w:tcPr>
          <w:p>
            <w:pPr>
              <w:spacing w:after="0"/>
              <w:rPr>
                <w:sz w:val="19"/>
                <w:szCs w:val="19"/>
                <w:color w:val="auto"/>
              </w:rPr>
            </w:pPr>
          </w:p>
        </w:tc>
        <w:tc>
          <w:tcPr>
            <w:tcW w:w="1140" w:type="dxa"/>
            <w:vAlign w:val="bottom"/>
            <w:tcBorders>
              <w:bottom w:val="single" w:sz="8" w:color="134A9C"/>
              <w:right w:val="single" w:sz="8" w:color="134A9C"/>
            </w:tcBorders>
          </w:tcPr>
          <w:p>
            <w:pPr>
              <w:spacing w:after="0"/>
              <w:rPr>
                <w:sz w:val="19"/>
                <w:szCs w:val="19"/>
                <w:color w:val="auto"/>
              </w:rPr>
            </w:pPr>
          </w:p>
        </w:tc>
        <w:tc>
          <w:tcPr>
            <w:tcW w:w="308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LLC</w:t>
            </w:r>
          </w:p>
        </w:tc>
        <w:tc>
          <w:tcPr>
            <w:tcW w:w="1580" w:type="dxa"/>
            <w:vAlign w:val="bottom"/>
            <w:tcBorders>
              <w:bottom w:val="single" w:sz="8" w:color="134A9C"/>
              <w:right w:val="single" w:sz="8" w:color="134A9C"/>
            </w:tcBorders>
          </w:tcPr>
          <w:p>
            <w:pPr>
              <w:spacing w:after="0"/>
              <w:rPr>
                <w:sz w:val="19"/>
                <w:szCs w:val="19"/>
                <w:color w:val="auto"/>
              </w:rPr>
            </w:pPr>
          </w:p>
        </w:tc>
        <w:tc>
          <w:tcPr>
            <w:tcW w:w="2060" w:type="dxa"/>
            <w:vAlign w:val="bottom"/>
            <w:tcBorders>
              <w:bottom w:val="single" w:sz="8" w:color="134A9C"/>
              <w:right w:val="single" w:sz="8" w:color="134A9C"/>
            </w:tcBorders>
          </w:tcPr>
          <w:p>
            <w:pPr>
              <w:spacing w:after="0"/>
              <w:rPr>
                <w:sz w:val="19"/>
                <w:szCs w:val="19"/>
                <w:color w:val="auto"/>
              </w:rPr>
            </w:pPr>
          </w:p>
        </w:tc>
      </w:tr>
      <w:tr>
        <w:trPr>
          <w:trHeight w:val="229"/>
        </w:trPr>
        <w:tc>
          <w:tcPr>
            <w:tcW w:w="27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Admiral Michael G. Mullen USN</w:t>
            </w:r>
          </w:p>
        </w:tc>
        <w:tc>
          <w:tcPr>
            <w:tcW w:w="82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68</w:t>
            </w:r>
          </w:p>
        </w:tc>
        <w:tc>
          <w:tcPr>
            <w:tcW w:w="114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2013</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Retired Chairman, Joint Chiefs of</w:t>
            </w:r>
          </w:p>
        </w:tc>
        <w:tc>
          <w:tcPr>
            <w:tcW w:w="158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X</w:t>
            </w:r>
          </w:p>
        </w:tc>
        <w:tc>
          <w:tcPr>
            <w:tcW w:w="206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AC, PPC,</w:t>
            </w:r>
          </w:p>
        </w:tc>
      </w:tr>
      <w:tr>
        <w:trPr>
          <w:trHeight w:val="224"/>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(ret.)</w:t>
            </w:r>
          </w:p>
        </w:tc>
        <w:tc>
          <w:tcPr>
            <w:tcW w:w="820" w:type="dxa"/>
            <w:vAlign w:val="bottom"/>
            <w:tcBorders>
              <w:bottom w:val="single" w:sz="8" w:color="134A9C"/>
              <w:right w:val="single" w:sz="8" w:color="134A9C"/>
            </w:tcBorders>
          </w:tcPr>
          <w:p>
            <w:pPr>
              <w:spacing w:after="0"/>
              <w:rPr>
                <w:sz w:val="19"/>
                <w:szCs w:val="19"/>
                <w:color w:val="auto"/>
              </w:rPr>
            </w:pPr>
          </w:p>
        </w:tc>
        <w:tc>
          <w:tcPr>
            <w:tcW w:w="1140" w:type="dxa"/>
            <w:vAlign w:val="bottom"/>
            <w:tcBorders>
              <w:bottom w:val="single" w:sz="8" w:color="134A9C"/>
              <w:right w:val="single" w:sz="8" w:color="134A9C"/>
            </w:tcBorders>
          </w:tcPr>
          <w:p>
            <w:pPr>
              <w:spacing w:after="0"/>
              <w:rPr>
                <w:sz w:val="19"/>
                <w:szCs w:val="19"/>
                <w:color w:val="auto"/>
              </w:rPr>
            </w:pPr>
          </w:p>
        </w:tc>
        <w:tc>
          <w:tcPr>
            <w:tcW w:w="308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Staff</w:t>
            </w:r>
          </w:p>
        </w:tc>
        <w:tc>
          <w:tcPr>
            <w:tcW w:w="1580" w:type="dxa"/>
            <w:vAlign w:val="bottom"/>
            <w:tcBorders>
              <w:bottom w:val="single" w:sz="8" w:color="134A9C"/>
              <w:right w:val="single" w:sz="8" w:color="134A9C"/>
            </w:tcBorders>
          </w:tcPr>
          <w:p>
            <w:pPr>
              <w:spacing w:after="0"/>
              <w:rPr>
                <w:sz w:val="19"/>
                <w:szCs w:val="19"/>
                <w:color w:val="auto"/>
              </w:rPr>
            </w:pPr>
          </w:p>
        </w:tc>
        <w:tc>
          <w:tcPr>
            <w:tcW w:w="206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RC (Chair),</w:t>
            </w:r>
          </w:p>
        </w:tc>
      </w:tr>
      <w:tr>
        <w:trPr>
          <w:trHeight w:val="229"/>
        </w:trPr>
        <w:tc>
          <w:tcPr>
            <w:tcW w:w="27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James J. Mulva</w:t>
            </w:r>
          </w:p>
        </w:tc>
        <w:tc>
          <w:tcPr>
            <w:tcW w:w="82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68</w:t>
            </w:r>
          </w:p>
        </w:tc>
        <w:tc>
          <w:tcPr>
            <w:tcW w:w="114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2012</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Retired Chairman and Chief</w:t>
            </w:r>
          </w:p>
        </w:tc>
        <w:tc>
          <w:tcPr>
            <w:tcW w:w="158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X</w:t>
            </w:r>
          </w:p>
        </w:tc>
        <w:tc>
          <w:tcPr>
            <w:tcW w:w="206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ECC, FC (Chair), RC</w:t>
            </w:r>
          </w:p>
        </w:tc>
      </w:tr>
      <w:tr>
        <w:trPr>
          <w:trHeight w:val="224"/>
        </w:trPr>
        <w:tc>
          <w:tcPr>
            <w:tcW w:w="2760" w:type="dxa"/>
            <w:vAlign w:val="bottom"/>
            <w:tcBorders>
              <w:left w:val="single" w:sz="8" w:color="134A9C"/>
              <w:bottom w:val="single" w:sz="8" w:color="134A9C"/>
              <w:right w:val="single" w:sz="8" w:color="134A9C"/>
            </w:tcBorders>
          </w:tcPr>
          <w:p>
            <w:pPr>
              <w:spacing w:after="0"/>
              <w:rPr>
                <w:sz w:val="19"/>
                <w:szCs w:val="19"/>
                <w:color w:val="auto"/>
              </w:rPr>
            </w:pPr>
          </w:p>
        </w:tc>
        <w:tc>
          <w:tcPr>
            <w:tcW w:w="820" w:type="dxa"/>
            <w:vAlign w:val="bottom"/>
            <w:tcBorders>
              <w:bottom w:val="single" w:sz="8" w:color="134A9C"/>
              <w:right w:val="single" w:sz="8" w:color="134A9C"/>
            </w:tcBorders>
          </w:tcPr>
          <w:p>
            <w:pPr>
              <w:spacing w:after="0"/>
              <w:rPr>
                <w:sz w:val="19"/>
                <w:szCs w:val="19"/>
                <w:color w:val="auto"/>
              </w:rPr>
            </w:pPr>
          </w:p>
        </w:tc>
        <w:tc>
          <w:tcPr>
            <w:tcW w:w="1140" w:type="dxa"/>
            <w:vAlign w:val="bottom"/>
            <w:tcBorders>
              <w:bottom w:val="single" w:sz="8" w:color="134A9C"/>
              <w:right w:val="single" w:sz="8" w:color="134A9C"/>
            </w:tcBorders>
          </w:tcPr>
          <w:p>
            <w:pPr>
              <w:spacing w:after="0"/>
              <w:rPr>
                <w:sz w:val="19"/>
                <w:szCs w:val="19"/>
                <w:color w:val="auto"/>
              </w:rPr>
            </w:pPr>
          </w:p>
        </w:tc>
        <w:tc>
          <w:tcPr>
            <w:tcW w:w="308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Executive Officer, ConocoPhillips</w:t>
            </w:r>
          </w:p>
        </w:tc>
        <w:tc>
          <w:tcPr>
            <w:tcW w:w="1580" w:type="dxa"/>
            <w:vAlign w:val="bottom"/>
            <w:tcBorders>
              <w:bottom w:val="single" w:sz="8" w:color="134A9C"/>
              <w:right w:val="single" w:sz="8" w:color="134A9C"/>
            </w:tcBorders>
          </w:tcPr>
          <w:p>
            <w:pPr>
              <w:spacing w:after="0"/>
              <w:rPr>
                <w:sz w:val="19"/>
                <w:szCs w:val="19"/>
                <w:color w:val="auto"/>
              </w:rPr>
            </w:pPr>
          </w:p>
        </w:tc>
        <w:tc>
          <w:tcPr>
            <w:tcW w:w="2060" w:type="dxa"/>
            <w:vAlign w:val="bottom"/>
            <w:tcBorders>
              <w:bottom w:val="single" w:sz="8" w:color="134A9C"/>
              <w:right w:val="single" w:sz="8" w:color="134A9C"/>
            </w:tcBorders>
          </w:tcPr>
          <w:p>
            <w:pPr>
              <w:spacing w:after="0"/>
              <w:rPr>
                <w:sz w:val="19"/>
                <w:szCs w:val="19"/>
                <w:color w:val="auto"/>
              </w:rPr>
            </w:pPr>
          </w:p>
        </w:tc>
      </w:tr>
      <w:tr>
        <w:trPr>
          <w:trHeight w:val="229"/>
        </w:trPr>
        <w:tc>
          <w:tcPr>
            <w:tcW w:w="27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Patricia F. Russo</w:t>
            </w:r>
          </w:p>
        </w:tc>
        <w:tc>
          <w:tcPr>
            <w:tcW w:w="82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62</w:t>
            </w:r>
          </w:p>
        </w:tc>
        <w:tc>
          <w:tcPr>
            <w:tcW w:w="114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2009</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Former Chief Executive Officer,</w:t>
            </w:r>
          </w:p>
        </w:tc>
        <w:tc>
          <w:tcPr>
            <w:tcW w:w="158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X</w:t>
            </w:r>
          </w:p>
        </w:tc>
        <w:tc>
          <w:tcPr>
            <w:tcW w:w="206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DCGC (Chair), ECC, FC</w:t>
            </w:r>
          </w:p>
        </w:tc>
      </w:tr>
      <w:tr>
        <w:trPr>
          <w:trHeight w:val="224"/>
        </w:trPr>
        <w:tc>
          <w:tcPr>
            <w:tcW w:w="2760" w:type="dxa"/>
            <w:vAlign w:val="bottom"/>
            <w:tcBorders>
              <w:left w:val="single" w:sz="8" w:color="134A9C"/>
              <w:bottom w:val="single" w:sz="8" w:color="134A9C"/>
              <w:right w:val="single" w:sz="8" w:color="134A9C"/>
            </w:tcBorders>
          </w:tcPr>
          <w:p>
            <w:pPr>
              <w:spacing w:after="0"/>
              <w:rPr>
                <w:sz w:val="19"/>
                <w:szCs w:val="19"/>
                <w:color w:val="auto"/>
              </w:rPr>
            </w:pPr>
          </w:p>
        </w:tc>
        <w:tc>
          <w:tcPr>
            <w:tcW w:w="820" w:type="dxa"/>
            <w:vAlign w:val="bottom"/>
            <w:tcBorders>
              <w:bottom w:val="single" w:sz="8" w:color="134A9C"/>
              <w:right w:val="single" w:sz="8" w:color="134A9C"/>
            </w:tcBorders>
          </w:tcPr>
          <w:p>
            <w:pPr>
              <w:spacing w:after="0"/>
              <w:rPr>
                <w:sz w:val="19"/>
                <w:szCs w:val="19"/>
                <w:color w:val="auto"/>
              </w:rPr>
            </w:pPr>
          </w:p>
        </w:tc>
        <w:tc>
          <w:tcPr>
            <w:tcW w:w="1140" w:type="dxa"/>
            <w:vAlign w:val="bottom"/>
            <w:tcBorders>
              <w:bottom w:val="single" w:sz="8" w:color="134A9C"/>
              <w:right w:val="single" w:sz="8" w:color="134A9C"/>
            </w:tcBorders>
          </w:tcPr>
          <w:p>
            <w:pPr>
              <w:spacing w:after="0"/>
              <w:rPr>
                <w:sz w:val="19"/>
                <w:szCs w:val="19"/>
                <w:color w:val="auto"/>
              </w:rPr>
            </w:pPr>
          </w:p>
        </w:tc>
        <w:tc>
          <w:tcPr>
            <w:tcW w:w="308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Alcatel-Lucent S.A.</w:t>
            </w:r>
          </w:p>
        </w:tc>
        <w:tc>
          <w:tcPr>
            <w:tcW w:w="1580" w:type="dxa"/>
            <w:vAlign w:val="bottom"/>
            <w:tcBorders>
              <w:bottom w:val="single" w:sz="8" w:color="134A9C"/>
              <w:right w:val="single" w:sz="8" w:color="134A9C"/>
            </w:tcBorders>
          </w:tcPr>
          <w:p>
            <w:pPr>
              <w:spacing w:after="0"/>
              <w:rPr>
                <w:sz w:val="19"/>
                <w:szCs w:val="19"/>
                <w:color w:val="auto"/>
              </w:rPr>
            </w:pPr>
          </w:p>
        </w:tc>
        <w:tc>
          <w:tcPr>
            <w:tcW w:w="2060" w:type="dxa"/>
            <w:vAlign w:val="bottom"/>
            <w:tcBorders>
              <w:bottom w:val="single" w:sz="8" w:color="134A9C"/>
              <w:right w:val="single" w:sz="8" w:color="134A9C"/>
            </w:tcBorders>
          </w:tcPr>
          <w:p>
            <w:pPr>
              <w:spacing w:after="0"/>
              <w:rPr>
                <w:sz w:val="19"/>
                <w:szCs w:val="19"/>
                <w:color w:val="auto"/>
              </w:rPr>
            </w:pPr>
          </w:p>
        </w:tc>
      </w:tr>
      <w:tr>
        <w:trPr>
          <w:trHeight w:val="229"/>
        </w:trPr>
        <w:tc>
          <w:tcPr>
            <w:tcW w:w="27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Thomas M. Schoewe</w:t>
            </w:r>
          </w:p>
        </w:tc>
        <w:tc>
          <w:tcPr>
            <w:tcW w:w="82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62</w:t>
            </w:r>
          </w:p>
        </w:tc>
        <w:tc>
          <w:tcPr>
            <w:tcW w:w="114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2011</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Retired Executive Vice President and</w:t>
            </w:r>
          </w:p>
        </w:tc>
        <w:tc>
          <w:tcPr>
            <w:tcW w:w="158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X</w:t>
            </w:r>
          </w:p>
        </w:tc>
        <w:tc>
          <w:tcPr>
            <w:tcW w:w="206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AC (Chair), FC, RC</w:t>
            </w:r>
          </w:p>
        </w:tc>
      </w:tr>
      <w:tr>
        <w:trPr>
          <w:trHeight w:val="203"/>
        </w:trPr>
        <w:tc>
          <w:tcPr>
            <w:tcW w:w="2760" w:type="dxa"/>
            <w:vAlign w:val="bottom"/>
            <w:tcBorders>
              <w:left w:val="single" w:sz="8" w:color="134A9C"/>
              <w:right w:val="single" w:sz="8" w:color="134A9C"/>
            </w:tcBorders>
          </w:tcPr>
          <w:p>
            <w:pPr>
              <w:spacing w:after="0"/>
              <w:rPr>
                <w:sz w:val="17"/>
                <w:szCs w:val="17"/>
                <w:color w:val="auto"/>
              </w:rPr>
            </w:pPr>
          </w:p>
        </w:tc>
        <w:tc>
          <w:tcPr>
            <w:tcW w:w="820" w:type="dxa"/>
            <w:vAlign w:val="bottom"/>
            <w:tcBorders>
              <w:right w:val="single" w:sz="8" w:color="134A9C"/>
            </w:tcBorders>
          </w:tcPr>
          <w:p>
            <w:pPr>
              <w:spacing w:after="0"/>
              <w:rPr>
                <w:sz w:val="17"/>
                <w:szCs w:val="17"/>
                <w:color w:val="auto"/>
              </w:rPr>
            </w:pPr>
          </w:p>
        </w:tc>
        <w:tc>
          <w:tcPr>
            <w:tcW w:w="1140" w:type="dxa"/>
            <w:vAlign w:val="bottom"/>
            <w:tcBorders>
              <w:right w:val="single" w:sz="8" w:color="134A9C"/>
            </w:tcBorders>
          </w:tcPr>
          <w:p>
            <w:pPr>
              <w:spacing w:after="0"/>
              <w:rPr>
                <w:sz w:val="17"/>
                <w:szCs w:val="17"/>
                <w:color w:val="auto"/>
              </w:rPr>
            </w:pPr>
          </w:p>
        </w:tc>
        <w:tc>
          <w:tcPr>
            <w:tcW w:w="308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Chief Financial Officer,</w:t>
            </w:r>
          </w:p>
        </w:tc>
        <w:tc>
          <w:tcPr>
            <w:tcW w:w="1580" w:type="dxa"/>
            <w:vAlign w:val="bottom"/>
            <w:tcBorders>
              <w:right w:val="single" w:sz="8" w:color="134A9C"/>
            </w:tcBorders>
          </w:tcPr>
          <w:p>
            <w:pPr>
              <w:spacing w:after="0"/>
              <w:rPr>
                <w:sz w:val="17"/>
                <w:szCs w:val="17"/>
                <w:color w:val="auto"/>
              </w:rPr>
            </w:pPr>
          </w:p>
        </w:tc>
        <w:tc>
          <w:tcPr>
            <w:tcW w:w="2060" w:type="dxa"/>
            <w:vAlign w:val="bottom"/>
            <w:tcBorders>
              <w:right w:val="single" w:sz="8" w:color="134A9C"/>
            </w:tcBorders>
          </w:tcPr>
          <w:p>
            <w:pPr>
              <w:spacing w:after="0"/>
              <w:rPr>
                <w:sz w:val="17"/>
                <w:szCs w:val="17"/>
                <w:color w:val="auto"/>
              </w:rPr>
            </w:pPr>
          </w:p>
        </w:tc>
      </w:tr>
      <w:tr>
        <w:trPr>
          <w:trHeight w:val="224"/>
        </w:trPr>
        <w:tc>
          <w:tcPr>
            <w:tcW w:w="2760" w:type="dxa"/>
            <w:vAlign w:val="bottom"/>
            <w:tcBorders>
              <w:left w:val="single" w:sz="8" w:color="134A9C"/>
              <w:bottom w:val="single" w:sz="8" w:color="134A9C"/>
              <w:right w:val="single" w:sz="8" w:color="134A9C"/>
            </w:tcBorders>
          </w:tcPr>
          <w:p>
            <w:pPr>
              <w:spacing w:after="0"/>
              <w:rPr>
                <w:sz w:val="19"/>
                <w:szCs w:val="19"/>
                <w:color w:val="auto"/>
              </w:rPr>
            </w:pPr>
          </w:p>
        </w:tc>
        <w:tc>
          <w:tcPr>
            <w:tcW w:w="820" w:type="dxa"/>
            <w:vAlign w:val="bottom"/>
            <w:tcBorders>
              <w:bottom w:val="single" w:sz="8" w:color="134A9C"/>
              <w:right w:val="single" w:sz="8" w:color="134A9C"/>
            </w:tcBorders>
          </w:tcPr>
          <w:p>
            <w:pPr>
              <w:spacing w:after="0"/>
              <w:rPr>
                <w:sz w:val="19"/>
                <w:szCs w:val="19"/>
                <w:color w:val="auto"/>
              </w:rPr>
            </w:pPr>
          </w:p>
        </w:tc>
        <w:tc>
          <w:tcPr>
            <w:tcW w:w="1140" w:type="dxa"/>
            <w:vAlign w:val="bottom"/>
            <w:tcBorders>
              <w:bottom w:val="single" w:sz="8" w:color="134A9C"/>
              <w:right w:val="single" w:sz="8" w:color="134A9C"/>
            </w:tcBorders>
          </w:tcPr>
          <w:p>
            <w:pPr>
              <w:spacing w:after="0"/>
              <w:rPr>
                <w:sz w:val="19"/>
                <w:szCs w:val="19"/>
                <w:color w:val="auto"/>
              </w:rPr>
            </w:pPr>
          </w:p>
        </w:tc>
        <w:tc>
          <w:tcPr>
            <w:tcW w:w="308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Wal-Mart Stores, Inc.</w:t>
            </w:r>
          </w:p>
        </w:tc>
        <w:tc>
          <w:tcPr>
            <w:tcW w:w="1580" w:type="dxa"/>
            <w:vAlign w:val="bottom"/>
            <w:tcBorders>
              <w:bottom w:val="single" w:sz="8" w:color="134A9C"/>
              <w:right w:val="single" w:sz="8" w:color="134A9C"/>
            </w:tcBorders>
          </w:tcPr>
          <w:p>
            <w:pPr>
              <w:spacing w:after="0"/>
              <w:rPr>
                <w:sz w:val="19"/>
                <w:szCs w:val="19"/>
                <w:color w:val="auto"/>
              </w:rPr>
            </w:pPr>
          </w:p>
        </w:tc>
        <w:tc>
          <w:tcPr>
            <w:tcW w:w="2060" w:type="dxa"/>
            <w:vAlign w:val="bottom"/>
            <w:tcBorders>
              <w:bottom w:val="single" w:sz="8" w:color="134A9C"/>
              <w:right w:val="single" w:sz="8" w:color="134A9C"/>
            </w:tcBorders>
          </w:tcPr>
          <w:p>
            <w:pPr>
              <w:spacing w:after="0"/>
              <w:rPr>
                <w:sz w:val="19"/>
                <w:szCs w:val="19"/>
                <w:color w:val="auto"/>
              </w:rPr>
            </w:pPr>
          </w:p>
        </w:tc>
      </w:tr>
      <w:tr>
        <w:trPr>
          <w:trHeight w:val="229"/>
        </w:trPr>
        <w:tc>
          <w:tcPr>
            <w:tcW w:w="27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Theodore M. Solso</w:t>
            </w:r>
          </w:p>
        </w:tc>
        <w:tc>
          <w:tcPr>
            <w:tcW w:w="82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68</w:t>
            </w:r>
          </w:p>
        </w:tc>
        <w:tc>
          <w:tcPr>
            <w:tcW w:w="114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2012</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Chairman, General Motors Company</w:t>
            </w:r>
          </w:p>
        </w:tc>
        <w:tc>
          <w:tcPr>
            <w:tcW w:w="158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X</w:t>
            </w:r>
          </w:p>
        </w:tc>
        <w:tc>
          <w:tcPr>
            <w:tcW w:w="2060" w:type="dxa"/>
            <w:vAlign w:val="bottom"/>
            <w:tcBorders>
              <w:right w:val="single" w:sz="8" w:color="134A9C"/>
            </w:tcBorders>
          </w:tcPr>
          <w:p>
            <w:pPr>
              <w:spacing w:after="0"/>
              <w:rPr>
                <w:sz w:val="19"/>
                <w:szCs w:val="19"/>
                <w:color w:val="auto"/>
              </w:rPr>
            </w:pPr>
          </w:p>
        </w:tc>
      </w:tr>
      <w:tr>
        <w:trPr>
          <w:trHeight w:val="203"/>
        </w:trPr>
        <w:tc>
          <w:tcPr>
            <w:tcW w:w="2760" w:type="dxa"/>
            <w:vAlign w:val="bottom"/>
            <w:tcBorders>
              <w:left w:val="single" w:sz="8" w:color="134A9C"/>
              <w:right w:val="single" w:sz="8" w:color="134A9C"/>
            </w:tcBorders>
          </w:tcPr>
          <w:p>
            <w:pPr>
              <w:spacing w:after="0"/>
              <w:rPr>
                <w:sz w:val="17"/>
                <w:szCs w:val="17"/>
                <w:color w:val="auto"/>
              </w:rPr>
            </w:pPr>
          </w:p>
        </w:tc>
        <w:tc>
          <w:tcPr>
            <w:tcW w:w="820" w:type="dxa"/>
            <w:vAlign w:val="bottom"/>
            <w:tcBorders>
              <w:right w:val="single" w:sz="8" w:color="134A9C"/>
            </w:tcBorders>
          </w:tcPr>
          <w:p>
            <w:pPr>
              <w:spacing w:after="0"/>
              <w:rPr>
                <w:sz w:val="17"/>
                <w:szCs w:val="17"/>
                <w:color w:val="auto"/>
              </w:rPr>
            </w:pPr>
          </w:p>
        </w:tc>
        <w:tc>
          <w:tcPr>
            <w:tcW w:w="1140" w:type="dxa"/>
            <w:vAlign w:val="bottom"/>
            <w:tcBorders>
              <w:right w:val="single" w:sz="8" w:color="134A9C"/>
            </w:tcBorders>
          </w:tcPr>
          <w:p>
            <w:pPr>
              <w:spacing w:after="0"/>
              <w:rPr>
                <w:sz w:val="17"/>
                <w:szCs w:val="17"/>
                <w:color w:val="auto"/>
              </w:rPr>
            </w:pPr>
          </w:p>
        </w:tc>
        <w:tc>
          <w:tcPr>
            <w:tcW w:w="308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and Retired Chairman and Chief</w:t>
            </w:r>
          </w:p>
        </w:tc>
        <w:tc>
          <w:tcPr>
            <w:tcW w:w="1580" w:type="dxa"/>
            <w:vAlign w:val="bottom"/>
            <w:tcBorders>
              <w:right w:val="single" w:sz="8" w:color="134A9C"/>
            </w:tcBorders>
          </w:tcPr>
          <w:p>
            <w:pPr>
              <w:spacing w:after="0"/>
              <w:rPr>
                <w:sz w:val="17"/>
                <w:szCs w:val="17"/>
                <w:color w:val="auto"/>
              </w:rPr>
            </w:pPr>
          </w:p>
        </w:tc>
        <w:tc>
          <w:tcPr>
            <w:tcW w:w="2060" w:type="dxa"/>
            <w:vAlign w:val="bottom"/>
            <w:tcBorders>
              <w:right w:val="single" w:sz="8" w:color="134A9C"/>
            </w:tcBorders>
          </w:tcPr>
          <w:p>
            <w:pPr>
              <w:spacing w:after="0"/>
              <w:rPr>
                <w:sz w:val="17"/>
                <w:szCs w:val="17"/>
                <w:color w:val="auto"/>
              </w:rPr>
            </w:pPr>
          </w:p>
        </w:tc>
      </w:tr>
      <w:tr>
        <w:trPr>
          <w:trHeight w:val="224"/>
        </w:trPr>
        <w:tc>
          <w:tcPr>
            <w:tcW w:w="2760" w:type="dxa"/>
            <w:vAlign w:val="bottom"/>
            <w:tcBorders>
              <w:left w:val="single" w:sz="8" w:color="134A9C"/>
              <w:bottom w:val="single" w:sz="8" w:color="134A9C"/>
              <w:right w:val="single" w:sz="8" w:color="134A9C"/>
            </w:tcBorders>
          </w:tcPr>
          <w:p>
            <w:pPr>
              <w:spacing w:after="0"/>
              <w:rPr>
                <w:sz w:val="19"/>
                <w:szCs w:val="19"/>
                <w:color w:val="auto"/>
              </w:rPr>
            </w:pPr>
          </w:p>
        </w:tc>
        <w:tc>
          <w:tcPr>
            <w:tcW w:w="820" w:type="dxa"/>
            <w:vAlign w:val="bottom"/>
            <w:tcBorders>
              <w:bottom w:val="single" w:sz="8" w:color="134A9C"/>
              <w:right w:val="single" w:sz="8" w:color="134A9C"/>
            </w:tcBorders>
          </w:tcPr>
          <w:p>
            <w:pPr>
              <w:spacing w:after="0"/>
              <w:rPr>
                <w:sz w:val="19"/>
                <w:szCs w:val="19"/>
                <w:color w:val="auto"/>
              </w:rPr>
            </w:pPr>
          </w:p>
        </w:tc>
        <w:tc>
          <w:tcPr>
            <w:tcW w:w="1140" w:type="dxa"/>
            <w:vAlign w:val="bottom"/>
            <w:tcBorders>
              <w:bottom w:val="single" w:sz="8" w:color="134A9C"/>
              <w:right w:val="single" w:sz="8" w:color="134A9C"/>
            </w:tcBorders>
          </w:tcPr>
          <w:p>
            <w:pPr>
              <w:spacing w:after="0"/>
              <w:rPr>
                <w:sz w:val="19"/>
                <w:szCs w:val="19"/>
                <w:color w:val="auto"/>
              </w:rPr>
            </w:pPr>
          </w:p>
        </w:tc>
        <w:tc>
          <w:tcPr>
            <w:tcW w:w="308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Executive Officer, Cummins, Inc.</w:t>
            </w:r>
          </w:p>
        </w:tc>
        <w:tc>
          <w:tcPr>
            <w:tcW w:w="1580" w:type="dxa"/>
            <w:vAlign w:val="bottom"/>
            <w:tcBorders>
              <w:bottom w:val="single" w:sz="8" w:color="134A9C"/>
              <w:right w:val="single" w:sz="8" w:color="134A9C"/>
            </w:tcBorders>
          </w:tcPr>
          <w:p>
            <w:pPr>
              <w:spacing w:after="0"/>
              <w:rPr>
                <w:sz w:val="19"/>
                <w:szCs w:val="19"/>
                <w:color w:val="auto"/>
              </w:rPr>
            </w:pPr>
          </w:p>
        </w:tc>
        <w:tc>
          <w:tcPr>
            <w:tcW w:w="2060" w:type="dxa"/>
            <w:vAlign w:val="bottom"/>
            <w:tcBorders>
              <w:bottom w:val="single" w:sz="8" w:color="134A9C"/>
              <w:right w:val="single" w:sz="8" w:color="134A9C"/>
            </w:tcBorders>
          </w:tcPr>
          <w:p>
            <w:pPr>
              <w:spacing w:after="0"/>
              <w:rPr>
                <w:sz w:val="19"/>
                <w:szCs w:val="19"/>
                <w:color w:val="auto"/>
              </w:rPr>
            </w:pPr>
          </w:p>
        </w:tc>
      </w:tr>
      <w:tr>
        <w:trPr>
          <w:trHeight w:val="229"/>
        </w:trPr>
        <w:tc>
          <w:tcPr>
            <w:tcW w:w="27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Carol M. Stephenson</w:t>
            </w:r>
            <w:r>
              <w:rPr>
                <w:rFonts w:ascii="Arial" w:cs="Arial" w:eastAsia="Arial" w:hAnsi="Arial"/>
                <w:sz w:val="18"/>
                <w:szCs w:val="18"/>
                <w:color w:val="auto"/>
                <w:vertAlign w:val="superscript"/>
              </w:rPr>
              <w:t>(3)</w:t>
            </w:r>
          </w:p>
        </w:tc>
        <w:tc>
          <w:tcPr>
            <w:tcW w:w="82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64</w:t>
            </w:r>
          </w:p>
        </w:tc>
        <w:tc>
          <w:tcPr>
            <w:tcW w:w="114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2009</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Retired Dean, Ivey Business School,</w:t>
            </w:r>
          </w:p>
        </w:tc>
        <w:tc>
          <w:tcPr>
            <w:tcW w:w="1580" w:type="dxa"/>
            <w:vAlign w:val="bottom"/>
            <w:tcBorders>
              <w:right w:val="single" w:sz="8" w:color="134A9C"/>
            </w:tcBorders>
          </w:tcPr>
          <w:p>
            <w:pPr>
              <w:jc w:val="center"/>
              <w:spacing w:after="0"/>
              <w:rPr>
                <w:sz w:val="20"/>
                <w:szCs w:val="20"/>
                <w:color w:val="auto"/>
              </w:rPr>
            </w:pPr>
            <w:r>
              <w:rPr>
                <w:rFonts w:ascii="Arial" w:cs="Arial" w:eastAsia="Arial" w:hAnsi="Arial"/>
                <w:sz w:val="18"/>
                <w:szCs w:val="18"/>
                <w:color w:val="auto"/>
                <w:w w:val="99"/>
              </w:rPr>
              <w:t>X</w:t>
            </w:r>
          </w:p>
        </w:tc>
        <w:tc>
          <w:tcPr>
            <w:tcW w:w="206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DCGC, ECC, RC</w:t>
            </w:r>
          </w:p>
        </w:tc>
      </w:tr>
      <w:tr>
        <w:trPr>
          <w:trHeight w:val="224"/>
        </w:trPr>
        <w:tc>
          <w:tcPr>
            <w:tcW w:w="2760" w:type="dxa"/>
            <w:vAlign w:val="bottom"/>
            <w:tcBorders>
              <w:left w:val="single" w:sz="8" w:color="134A9C"/>
              <w:bottom w:val="single" w:sz="8" w:color="134A9C"/>
              <w:right w:val="single" w:sz="8" w:color="134A9C"/>
            </w:tcBorders>
          </w:tcPr>
          <w:p>
            <w:pPr>
              <w:spacing w:after="0"/>
              <w:rPr>
                <w:sz w:val="19"/>
                <w:szCs w:val="19"/>
                <w:color w:val="auto"/>
              </w:rPr>
            </w:pPr>
          </w:p>
        </w:tc>
        <w:tc>
          <w:tcPr>
            <w:tcW w:w="820" w:type="dxa"/>
            <w:vAlign w:val="bottom"/>
            <w:tcBorders>
              <w:bottom w:val="single" w:sz="8" w:color="134A9C"/>
              <w:right w:val="single" w:sz="8" w:color="134A9C"/>
            </w:tcBorders>
          </w:tcPr>
          <w:p>
            <w:pPr>
              <w:spacing w:after="0"/>
              <w:rPr>
                <w:sz w:val="19"/>
                <w:szCs w:val="19"/>
                <w:color w:val="auto"/>
              </w:rPr>
            </w:pPr>
          </w:p>
        </w:tc>
        <w:tc>
          <w:tcPr>
            <w:tcW w:w="1140" w:type="dxa"/>
            <w:vAlign w:val="bottom"/>
            <w:tcBorders>
              <w:bottom w:val="single" w:sz="8" w:color="134A9C"/>
              <w:right w:val="single" w:sz="8" w:color="134A9C"/>
            </w:tcBorders>
          </w:tcPr>
          <w:p>
            <w:pPr>
              <w:spacing w:after="0"/>
              <w:rPr>
                <w:sz w:val="19"/>
                <w:szCs w:val="19"/>
                <w:color w:val="auto"/>
              </w:rPr>
            </w:pPr>
          </w:p>
        </w:tc>
        <w:tc>
          <w:tcPr>
            <w:tcW w:w="308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The University of Western Ontario</w:t>
            </w:r>
          </w:p>
        </w:tc>
        <w:tc>
          <w:tcPr>
            <w:tcW w:w="1580" w:type="dxa"/>
            <w:vAlign w:val="bottom"/>
            <w:tcBorders>
              <w:bottom w:val="single" w:sz="8" w:color="134A9C"/>
              <w:right w:val="single" w:sz="8" w:color="134A9C"/>
            </w:tcBorders>
          </w:tcPr>
          <w:p>
            <w:pPr>
              <w:spacing w:after="0"/>
              <w:rPr>
                <w:sz w:val="19"/>
                <w:szCs w:val="19"/>
                <w:color w:val="auto"/>
              </w:rPr>
            </w:pPr>
          </w:p>
        </w:tc>
        <w:tc>
          <w:tcPr>
            <w:tcW w:w="2060" w:type="dxa"/>
            <w:vAlign w:val="bottom"/>
            <w:tcBorders>
              <w:bottom w:val="single" w:sz="8" w:color="134A9C"/>
              <w:right w:val="single" w:sz="8" w:color="134A9C"/>
            </w:tcBorders>
          </w:tcPr>
          <w:p>
            <w:pPr>
              <w:spacing w:after="0"/>
              <w:rPr>
                <w:sz w:val="19"/>
                <w:szCs w:val="19"/>
                <w:color w:val="auto"/>
              </w:rPr>
            </w:pPr>
          </w:p>
        </w:tc>
      </w:tr>
    </w:tbl>
    <w:p>
      <w:pPr>
        <w:spacing w:after="0" w:line="4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Age as of April 24, 2015.</w:t>
      </w:r>
    </w:p>
    <w:p>
      <w:pPr>
        <w:spacing w:after="0" w:line="95" w:lineRule="exact"/>
        <w:rPr>
          <w:rFonts w:ascii="Arial" w:cs="Arial" w:eastAsia="Arial" w:hAnsi="Arial"/>
          <w:sz w:val="14"/>
          <w:szCs w:val="14"/>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Board Committees: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 - Audit Committee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DCGC - Directors and Corporate Governance Committee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ECC - Executive Compensation Committee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FC - Finance Committee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PPC - Public Policy Committee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RC - Risk Committee</w:t>
      </w:r>
    </w:p>
    <w:p>
      <w:pPr>
        <w:spacing w:after="0" w:line="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Ms. Stephenson will become Chair of the ECC effective June 8,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740"/>
        <w:spacing w:after="0"/>
        <w:tabs>
          <w:tab w:leader="none" w:pos="9212" w:val="left"/>
        </w:tabs>
        <w:rPr>
          <w:sz w:val="20"/>
          <w:szCs w:val="20"/>
          <w:color w:val="auto"/>
        </w:rPr>
      </w:pPr>
      <w:r>
        <w:rPr>
          <w:rFonts w:ascii="Arial" w:cs="Arial" w:eastAsia="Arial" w:hAnsi="Arial"/>
          <w:sz w:val="18"/>
          <w:szCs w:val="18"/>
          <w:color w:val="auto"/>
        </w:rPr>
        <w:t>2</w:t>
      </w:r>
      <w:r>
        <w:rPr>
          <w:sz w:val="20"/>
          <w:szCs w:val="20"/>
          <w:color w:val="auto"/>
        </w:rPr>
        <w:tab/>
      </w:r>
      <w:r>
        <w:rPr>
          <w:sz w:val="1"/>
          <w:szCs w:val="1"/>
          <w:color w:val="auto"/>
        </w:rPr>
        <w:drawing>
          <wp:inline distT="0" distB="0" distL="0" distR="0">
            <wp:extent cx="120015" cy="1200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495" w:right="219" w:bottom="1440" w:gutter="0" w:footer="0" w:header="0"/>
        </w:sectPr>
      </w:pPr>
    </w:p>
    <w:bookmarkStart w:id="6" w:name="page7"/>
    <w:bookmarkEnd w:id="6"/>
    <w:p>
      <w:pPr>
        <w:ind w:left="8180"/>
        <w:spacing w:after="0"/>
        <w:rPr>
          <w:sz w:val="20"/>
          <w:szCs w:val="20"/>
          <w:color w:val="auto"/>
        </w:rPr>
      </w:pPr>
      <w:r>
        <w:rPr>
          <w:rFonts w:ascii="Arial" w:cs="Arial" w:eastAsia="Arial" w:hAnsi="Arial"/>
          <w:sz w:val="18"/>
          <w:szCs w:val="18"/>
          <w:b w:val="1"/>
          <w:bCs w:val="1"/>
          <w:color w:val="134A9C"/>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GOVERNANCE HIGHLIGHTS (PAGES 19-32)</w:t>
      </w:r>
    </w:p>
    <w:p>
      <w:pPr>
        <w:spacing w:after="0" w:line="143" w:lineRule="exact"/>
        <w:rPr>
          <w:sz w:val="20"/>
          <w:szCs w:val="20"/>
          <w:color w:val="auto"/>
        </w:rPr>
      </w:pPr>
    </w:p>
    <w:p>
      <w:pPr>
        <w:ind w:right="3220"/>
        <w:spacing w:after="0" w:line="262" w:lineRule="auto"/>
        <w:rPr>
          <w:sz w:val="20"/>
          <w:szCs w:val="20"/>
          <w:color w:val="auto"/>
        </w:rPr>
      </w:pPr>
      <w:r>
        <w:rPr>
          <w:rFonts w:ascii="Arial" w:cs="Arial" w:eastAsia="Arial" w:hAnsi="Arial"/>
          <w:sz w:val="18"/>
          <w:szCs w:val="18"/>
          <w:color w:val="auto"/>
        </w:rPr>
        <w:t>Our Board is committed to having a sound governance structure that promotes the best interests of our stockholders. The following table summarizes certain of our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2752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52725"/>
                    </a:xfrm>
                    <a:prstGeom prst="rect">
                      <a:avLst/>
                    </a:prstGeom>
                    <a:noFill/>
                  </pic:spPr>
                </pic:pic>
              </a:graphicData>
            </a:graphic>
          </wp:anchor>
        </w:drawing>
      </w:r>
    </w:p>
    <w:p>
      <w:pPr>
        <w:spacing w:after="0" w:line="190" w:lineRule="exact"/>
        <w:rPr>
          <w:sz w:val="20"/>
          <w:szCs w:val="20"/>
          <w:color w:val="auto"/>
        </w:rPr>
      </w:pPr>
    </w:p>
    <w:p>
      <w:pPr>
        <w:ind w:left="180" w:hanging="131"/>
        <w:spacing w:after="0"/>
        <w:tabs>
          <w:tab w:leader="none" w:pos="180" w:val="left"/>
        </w:tabs>
        <w:numPr>
          <w:ilvl w:val="0"/>
          <w:numId w:val="7"/>
        </w:numPr>
        <w:rPr>
          <w:rFonts w:ascii="Arial" w:cs="Arial" w:eastAsia="Arial" w:hAnsi="Arial"/>
          <w:sz w:val="18"/>
          <w:szCs w:val="18"/>
          <w:color w:val="134A9C"/>
        </w:rPr>
      </w:pPr>
      <w:r>
        <w:rPr>
          <w:rFonts w:ascii="Arial" w:cs="Arial" w:eastAsia="Arial" w:hAnsi="Arial"/>
          <w:sz w:val="18"/>
          <w:szCs w:val="18"/>
          <w:color w:val="auto"/>
        </w:rPr>
        <w:t>Requirement that at least two-thirds of the Board must be independent</w:t>
      </w:r>
    </w:p>
    <w:p>
      <w:pPr>
        <w:spacing w:after="0" w:line="63" w:lineRule="exact"/>
        <w:rPr>
          <w:rFonts w:ascii="Arial" w:cs="Arial" w:eastAsia="Arial" w:hAnsi="Arial"/>
          <w:sz w:val="18"/>
          <w:szCs w:val="18"/>
          <w:color w:val="134A9C"/>
        </w:rPr>
      </w:pPr>
    </w:p>
    <w:p>
      <w:pPr>
        <w:ind w:left="180" w:hanging="131"/>
        <w:spacing w:after="0"/>
        <w:tabs>
          <w:tab w:leader="none" w:pos="180" w:val="left"/>
        </w:tabs>
        <w:numPr>
          <w:ilvl w:val="0"/>
          <w:numId w:val="7"/>
        </w:numPr>
        <w:rPr>
          <w:rFonts w:ascii="Arial" w:cs="Arial" w:eastAsia="Arial" w:hAnsi="Arial"/>
          <w:sz w:val="18"/>
          <w:szCs w:val="18"/>
          <w:color w:val="134A9C"/>
        </w:rPr>
      </w:pPr>
      <w:r>
        <w:rPr>
          <w:rFonts w:ascii="Arial" w:cs="Arial" w:eastAsia="Arial" w:hAnsi="Arial"/>
          <w:sz w:val="18"/>
          <w:szCs w:val="18"/>
          <w:color w:val="auto"/>
        </w:rPr>
        <w:t>Annual election of all directors</w:t>
      </w:r>
    </w:p>
    <w:p>
      <w:pPr>
        <w:spacing w:after="0" w:line="63" w:lineRule="exact"/>
        <w:rPr>
          <w:rFonts w:ascii="Arial" w:cs="Arial" w:eastAsia="Arial" w:hAnsi="Arial"/>
          <w:sz w:val="18"/>
          <w:szCs w:val="18"/>
          <w:color w:val="134A9C"/>
        </w:rPr>
      </w:pPr>
    </w:p>
    <w:p>
      <w:pPr>
        <w:ind w:left="180" w:hanging="131"/>
        <w:spacing w:after="0"/>
        <w:tabs>
          <w:tab w:leader="none" w:pos="180" w:val="left"/>
        </w:tabs>
        <w:numPr>
          <w:ilvl w:val="0"/>
          <w:numId w:val="7"/>
        </w:numPr>
        <w:rPr>
          <w:rFonts w:ascii="Arial" w:cs="Arial" w:eastAsia="Arial" w:hAnsi="Arial"/>
          <w:sz w:val="18"/>
          <w:szCs w:val="18"/>
          <w:color w:val="134A9C"/>
        </w:rPr>
      </w:pPr>
      <w:r>
        <w:rPr>
          <w:rFonts w:ascii="Arial" w:cs="Arial" w:eastAsia="Arial" w:hAnsi="Arial"/>
          <w:sz w:val="18"/>
          <w:szCs w:val="18"/>
          <w:color w:val="auto"/>
        </w:rPr>
        <w:t>Majority voting for all directors in uncontested elections with a director resignation policy</w:t>
      </w:r>
    </w:p>
    <w:p>
      <w:pPr>
        <w:spacing w:after="0" w:line="63" w:lineRule="exact"/>
        <w:rPr>
          <w:rFonts w:ascii="Arial" w:cs="Arial" w:eastAsia="Arial" w:hAnsi="Arial"/>
          <w:sz w:val="18"/>
          <w:szCs w:val="18"/>
          <w:color w:val="134A9C"/>
        </w:rPr>
      </w:pPr>
    </w:p>
    <w:p>
      <w:pPr>
        <w:ind w:left="180" w:hanging="131"/>
        <w:spacing w:after="0"/>
        <w:tabs>
          <w:tab w:leader="none" w:pos="180" w:val="left"/>
        </w:tabs>
        <w:numPr>
          <w:ilvl w:val="0"/>
          <w:numId w:val="7"/>
        </w:numPr>
        <w:rPr>
          <w:rFonts w:ascii="Arial" w:cs="Arial" w:eastAsia="Arial" w:hAnsi="Arial"/>
          <w:sz w:val="18"/>
          <w:szCs w:val="18"/>
          <w:color w:val="134A9C"/>
        </w:rPr>
      </w:pPr>
      <w:r>
        <w:rPr>
          <w:rFonts w:ascii="Arial" w:cs="Arial" w:eastAsia="Arial" w:hAnsi="Arial"/>
          <w:sz w:val="18"/>
          <w:szCs w:val="18"/>
          <w:color w:val="auto"/>
        </w:rPr>
        <w:t>Annual Board and Committee self-evaluations</w:t>
      </w:r>
    </w:p>
    <w:p>
      <w:pPr>
        <w:spacing w:after="0" w:line="63" w:lineRule="exact"/>
        <w:rPr>
          <w:rFonts w:ascii="Arial" w:cs="Arial" w:eastAsia="Arial" w:hAnsi="Arial"/>
          <w:sz w:val="18"/>
          <w:szCs w:val="18"/>
          <w:color w:val="134A9C"/>
        </w:rPr>
      </w:pPr>
    </w:p>
    <w:p>
      <w:pPr>
        <w:ind w:left="180" w:hanging="131"/>
        <w:spacing w:after="0"/>
        <w:tabs>
          <w:tab w:leader="none" w:pos="180" w:val="left"/>
        </w:tabs>
        <w:numPr>
          <w:ilvl w:val="0"/>
          <w:numId w:val="7"/>
        </w:numPr>
        <w:rPr>
          <w:rFonts w:ascii="Arial" w:cs="Arial" w:eastAsia="Arial" w:hAnsi="Arial"/>
          <w:sz w:val="18"/>
          <w:szCs w:val="18"/>
          <w:color w:val="134A9C"/>
        </w:rPr>
      </w:pPr>
      <w:r>
        <w:rPr>
          <w:rFonts w:ascii="Arial" w:cs="Arial" w:eastAsia="Arial" w:hAnsi="Arial"/>
          <w:sz w:val="18"/>
          <w:szCs w:val="18"/>
          <w:color w:val="auto"/>
        </w:rPr>
        <w:t>Annual evaluation of the Chief Executive Officer ("CEO") by the Board</w:t>
      </w:r>
    </w:p>
    <w:p>
      <w:pPr>
        <w:spacing w:after="0" w:line="63" w:lineRule="exact"/>
        <w:rPr>
          <w:rFonts w:ascii="Arial" w:cs="Arial" w:eastAsia="Arial" w:hAnsi="Arial"/>
          <w:sz w:val="18"/>
          <w:szCs w:val="18"/>
          <w:color w:val="134A9C"/>
        </w:rPr>
      </w:pPr>
    </w:p>
    <w:p>
      <w:pPr>
        <w:ind w:left="380" w:right="800" w:hanging="331"/>
        <w:spacing w:after="0" w:line="262" w:lineRule="auto"/>
        <w:tabs>
          <w:tab w:leader="none" w:pos="191" w:val="left"/>
        </w:tabs>
        <w:numPr>
          <w:ilvl w:val="0"/>
          <w:numId w:val="7"/>
        </w:numPr>
        <w:rPr>
          <w:rFonts w:ascii="Arial" w:cs="Arial" w:eastAsia="Arial" w:hAnsi="Arial"/>
          <w:sz w:val="18"/>
          <w:szCs w:val="18"/>
          <w:color w:val="134A9C"/>
        </w:rPr>
      </w:pPr>
      <w:r>
        <w:rPr>
          <w:rFonts w:ascii="Arial" w:cs="Arial" w:eastAsia="Arial" w:hAnsi="Arial"/>
          <w:sz w:val="18"/>
          <w:szCs w:val="18"/>
          <w:color w:val="auto"/>
        </w:rPr>
        <w:t>Audit, Directors and Corporate Governance ("Governance Committee"), and Executive Compensation Committees ("Compensation Committee) are composed entirely of independent directors</w:t>
      </w:r>
    </w:p>
    <w:p>
      <w:pPr>
        <w:spacing w:after="0" w:line="20" w:lineRule="exact"/>
        <w:rPr>
          <w:rFonts w:ascii="Arial" w:cs="Arial" w:eastAsia="Arial" w:hAnsi="Arial"/>
          <w:sz w:val="18"/>
          <w:szCs w:val="18"/>
          <w:color w:val="134A9C"/>
        </w:rPr>
      </w:pPr>
    </w:p>
    <w:p>
      <w:pPr>
        <w:ind w:left="180" w:hanging="131"/>
        <w:spacing w:after="0"/>
        <w:tabs>
          <w:tab w:leader="none" w:pos="180" w:val="left"/>
        </w:tabs>
        <w:numPr>
          <w:ilvl w:val="0"/>
          <w:numId w:val="7"/>
        </w:numPr>
        <w:rPr>
          <w:rFonts w:ascii="Arial" w:cs="Arial" w:eastAsia="Arial" w:hAnsi="Arial"/>
          <w:sz w:val="18"/>
          <w:szCs w:val="18"/>
          <w:color w:val="134A9C"/>
        </w:rPr>
      </w:pPr>
      <w:r>
        <w:rPr>
          <w:rFonts w:ascii="Arial" w:cs="Arial" w:eastAsia="Arial" w:hAnsi="Arial"/>
          <w:sz w:val="18"/>
          <w:szCs w:val="18"/>
          <w:color w:val="auto"/>
        </w:rPr>
        <w:t>Limitation on the number of director's outside board memberships</w:t>
      </w:r>
    </w:p>
    <w:p>
      <w:pPr>
        <w:spacing w:after="0" w:line="63" w:lineRule="exact"/>
        <w:rPr>
          <w:rFonts w:ascii="Arial" w:cs="Arial" w:eastAsia="Arial" w:hAnsi="Arial"/>
          <w:sz w:val="18"/>
          <w:szCs w:val="18"/>
          <w:color w:val="134A9C"/>
        </w:rPr>
      </w:pPr>
    </w:p>
    <w:p>
      <w:pPr>
        <w:ind w:left="180" w:hanging="131"/>
        <w:spacing w:after="0"/>
        <w:tabs>
          <w:tab w:leader="none" w:pos="180" w:val="left"/>
        </w:tabs>
        <w:numPr>
          <w:ilvl w:val="0"/>
          <w:numId w:val="7"/>
        </w:numPr>
        <w:rPr>
          <w:rFonts w:ascii="Arial" w:cs="Arial" w:eastAsia="Arial" w:hAnsi="Arial"/>
          <w:sz w:val="18"/>
          <w:szCs w:val="18"/>
          <w:color w:val="134A9C"/>
        </w:rPr>
      </w:pPr>
      <w:r>
        <w:rPr>
          <w:rFonts w:ascii="Arial" w:cs="Arial" w:eastAsia="Arial" w:hAnsi="Arial"/>
          <w:sz w:val="18"/>
          <w:szCs w:val="18"/>
          <w:color w:val="auto"/>
        </w:rPr>
        <w:t>Diverse Board in terms of gender, ethnicity, and specific skills and qualifications</w:t>
      </w:r>
    </w:p>
    <w:p>
      <w:pPr>
        <w:spacing w:after="0" w:line="63" w:lineRule="exact"/>
        <w:rPr>
          <w:rFonts w:ascii="Arial" w:cs="Arial" w:eastAsia="Arial" w:hAnsi="Arial"/>
          <w:sz w:val="18"/>
          <w:szCs w:val="18"/>
          <w:color w:val="134A9C"/>
        </w:rPr>
      </w:pPr>
    </w:p>
    <w:p>
      <w:pPr>
        <w:ind w:left="180" w:hanging="131"/>
        <w:spacing w:after="0"/>
        <w:tabs>
          <w:tab w:leader="none" w:pos="180" w:val="left"/>
        </w:tabs>
        <w:numPr>
          <w:ilvl w:val="0"/>
          <w:numId w:val="7"/>
        </w:numPr>
        <w:rPr>
          <w:rFonts w:ascii="Arial" w:cs="Arial" w:eastAsia="Arial" w:hAnsi="Arial"/>
          <w:sz w:val="18"/>
          <w:szCs w:val="18"/>
          <w:color w:val="134A9C"/>
        </w:rPr>
      </w:pPr>
      <w:r>
        <w:rPr>
          <w:rFonts w:ascii="Arial" w:cs="Arial" w:eastAsia="Arial" w:hAnsi="Arial"/>
          <w:sz w:val="18"/>
          <w:szCs w:val="18"/>
          <w:color w:val="auto"/>
        </w:rPr>
        <w:t>Non-management directors meet in executive session without management present</w:t>
      </w:r>
    </w:p>
    <w:p>
      <w:pPr>
        <w:spacing w:after="0" w:line="63" w:lineRule="exact"/>
        <w:rPr>
          <w:rFonts w:ascii="Arial" w:cs="Arial" w:eastAsia="Arial" w:hAnsi="Arial"/>
          <w:sz w:val="18"/>
          <w:szCs w:val="18"/>
          <w:color w:val="134A9C"/>
        </w:rPr>
      </w:pPr>
    </w:p>
    <w:p>
      <w:pPr>
        <w:ind w:left="180" w:hanging="131"/>
        <w:spacing w:after="0"/>
        <w:tabs>
          <w:tab w:leader="none" w:pos="180" w:val="left"/>
        </w:tabs>
        <w:numPr>
          <w:ilvl w:val="0"/>
          <w:numId w:val="7"/>
        </w:numPr>
        <w:rPr>
          <w:rFonts w:ascii="Arial" w:cs="Arial" w:eastAsia="Arial" w:hAnsi="Arial"/>
          <w:sz w:val="18"/>
          <w:szCs w:val="18"/>
          <w:color w:val="134A9C"/>
        </w:rPr>
      </w:pPr>
      <w:r>
        <w:rPr>
          <w:rFonts w:ascii="Arial" w:cs="Arial" w:eastAsia="Arial" w:hAnsi="Arial"/>
          <w:sz w:val="18"/>
          <w:szCs w:val="18"/>
          <w:color w:val="auto"/>
        </w:rPr>
        <w:t>Orientation program for new directors and continuing education for all directors</w:t>
      </w:r>
    </w:p>
    <w:p>
      <w:pPr>
        <w:spacing w:after="0" w:line="63" w:lineRule="exact"/>
        <w:rPr>
          <w:rFonts w:ascii="Arial" w:cs="Arial" w:eastAsia="Arial" w:hAnsi="Arial"/>
          <w:sz w:val="18"/>
          <w:szCs w:val="18"/>
          <w:color w:val="134A9C"/>
        </w:rPr>
      </w:pPr>
    </w:p>
    <w:p>
      <w:pPr>
        <w:ind w:left="180" w:hanging="131"/>
        <w:spacing w:after="0"/>
        <w:tabs>
          <w:tab w:leader="none" w:pos="180" w:val="left"/>
        </w:tabs>
        <w:numPr>
          <w:ilvl w:val="0"/>
          <w:numId w:val="7"/>
        </w:numPr>
        <w:rPr>
          <w:rFonts w:ascii="Arial" w:cs="Arial" w:eastAsia="Arial" w:hAnsi="Arial"/>
          <w:sz w:val="18"/>
          <w:szCs w:val="18"/>
          <w:color w:val="134A9C"/>
        </w:rPr>
      </w:pPr>
      <w:r>
        <w:rPr>
          <w:rFonts w:ascii="Arial" w:cs="Arial" w:eastAsia="Arial" w:hAnsi="Arial"/>
          <w:sz w:val="18"/>
          <w:szCs w:val="18"/>
          <w:color w:val="auto"/>
        </w:rPr>
        <w:t>Robust stock ownership and retention requirements for non-management directors</w:t>
      </w:r>
    </w:p>
    <w:p>
      <w:pPr>
        <w:spacing w:after="0" w:line="63" w:lineRule="exact"/>
        <w:rPr>
          <w:rFonts w:ascii="Arial" w:cs="Arial" w:eastAsia="Arial" w:hAnsi="Arial"/>
          <w:sz w:val="18"/>
          <w:szCs w:val="18"/>
          <w:color w:val="134A9C"/>
        </w:rPr>
      </w:pPr>
    </w:p>
    <w:p>
      <w:pPr>
        <w:ind w:left="180" w:hanging="131"/>
        <w:spacing w:after="0"/>
        <w:tabs>
          <w:tab w:leader="none" w:pos="180" w:val="left"/>
        </w:tabs>
        <w:numPr>
          <w:ilvl w:val="0"/>
          <w:numId w:val="7"/>
        </w:numPr>
        <w:rPr>
          <w:rFonts w:ascii="Arial" w:cs="Arial" w:eastAsia="Arial" w:hAnsi="Arial"/>
          <w:sz w:val="18"/>
          <w:szCs w:val="18"/>
          <w:color w:val="134A9C"/>
        </w:rPr>
      </w:pPr>
      <w:r>
        <w:rPr>
          <w:rFonts w:ascii="Arial" w:cs="Arial" w:eastAsia="Arial" w:hAnsi="Arial"/>
          <w:sz w:val="18"/>
          <w:szCs w:val="18"/>
          <w:color w:val="auto"/>
        </w:rPr>
        <w:t>No waiver of ethics policy for any director or executive officer</w:t>
      </w:r>
    </w:p>
    <w:p>
      <w:pPr>
        <w:spacing w:after="0" w:line="63" w:lineRule="exact"/>
        <w:rPr>
          <w:rFonts w:ascii="Arial" w:cs="Arial" w:eastAsia="Arial" w:hAnsi="Arial"/>
          <w:sz w:val="18"/>
          <w:szCs w:val="18"/>
          <w:color w:val="134A9C"/>
        </w:rPr>
      </w:pPr>
    </w:p>
    <w:p>
      <w:pPr>
        <w:ind w:left="180" w:hanging="131"/>
        <w:spacing w:after="0"/>
        <w:tabs>
          <w:tab w:leader="none" w:pos="180" w:val="left"/>
        </w:tabs>
        <w:numPr>
          <w:ilvl w:val="0"/>
          <w:numId w:val="7"/>
        </w:numPr>
        <w:rPr>
          <w:rFonts w:ascii="Arial" w:cs="Arial" w:eastAsia="Arial" w:hAnsi="Arial"/>
          <w:sz w:val="18"/>
          <w:szCs w:val="18"/>
          <w:color w:val="134A9C"/>
        </w:rPr>
      </w:pPr>
      <w:r>
        <w:rPr>
          <w:rFonts w:ascii="Arial" w:cs="Arial" w:eastAsia="Arial" w:hAnsi="Arial"/>
          <w:sz w:val="18"/>
          <w:szCs w:val="18"/>
          <w:color w:val="auto"/>
        </w:rPr>
        <w:t>Risk oversight by the full Board and Committees, particularly the Risk Committee</w:t>
      </w:r>
    </w:p>
    <w:p>
      <w:pPr>
        <w:spacing w:after="0" w:line="63" w:lineRule="exact"/>
        <w:rPr>
          <w:rFonts w:ascii="Arial" w:cs="Arial" w:eastAsia="Arial" w:hAnsi="Arial"/>
          <w:sz w:val="18"/>
          <w:szCs w:val="18"/>
          <w:color w:val="134A9C"/>
        </w:rPr>
      </w:pPr>
    </w:p>
    <w:p>
      <w:pPr>
        <w:ind w:left="180" w:hanging="131"/>
        <w:spacing w:after="0"/>
        <w:tabs>
          <w:tab w:leader="none" w:pos="180" w:val="left"/>
        </w:tabs>
        <w:numPr>
          <w:ilvl w:val="0"/>
          <w:numId w:val="7"/>
        </w:numPr>
        <w:rPr>
          <w:rFonts w:ascii="Arial" w:cs="Arial" w:eastAsia="Arial" w:hAnsi="Arial"/>
          <w:sz w:val="18"/>
          <w:szCs w:val="18"/>
          <w:color w:val="134A9C"/>
        </w:rPr>
      </w:pPr>
      <w:r>
        <w:rPr>
          <w:rFonts w:ascii="Arial" w:cs="Arial" w:eastAsia="Arial" w:hAnsi="Arial"/>
          <w:sz w:val="18"/>
          <w:szCs w:val="18"/>
          <w:color w:val="auto"/>
        </w:rPr>
        <w:t>Our stockholders have the right to call special meetings</w:t>
      </w:r>
    </w:p>
    <w:p>
      <w:pPr>
        <w:spacing w:after="0" w:line="63" w:lineRule="exact"/>
        <w:rPr>
          <w:rFonts w:ascii="Arial" w:cs="Arial" w:eastAsia="Arial" w:hAnsi="Arial"/>
          <w:sz w:val="18"/>
          <w:szCs w:val="18"/>
          <w:color w:val="134A9C"/>
        </w:rPr>
      </w:pPr>
    </w:p>
    <w:p>
      <w:pPr>
        <w:ind w:left="180" w:hanging="131"/>
        <w:spacing w:after="0"/>
        <w:tabs>
          <w:tab w:leader="none" w:pos="180" w:val="left"/>
        </w:tabs>
        <w:numPr>
          <w:ilvl w:val="0"/>
          <w:numId w:val="7"/>
        </w:numPr>
        <w:rPr>
          <w:rFonts w:ascii="Arial" w:cs="Arial" w:eastAsia="Arial" w:hAnsi="Arial"/>
          <w:sz w:val="18"/>
          <w:szCs w:val="18"/>
          <w:color w:val="134A9C"/>
        </w:rPr>
      </w:pPr>
      <w:r>
        <w:rPr>
          <w:rFonts w:ascii="Arial" w:cs="Arial" w:eastAsia="Arial" w:hAnsi="Arial"/>
          <w:sz w:val="18"/>
          <w:szCs w:val="18"/>
          <w:color w:val="auto"/>
        </w:rPr>
        <w:t>Board and Committees have authority to hire outside advisors independently of management</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PERFORMANCE &amp; COMPENSATION HIGHLIGHTS (PAGES 35-61)</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design our executive compensation program to drive the creation of long-term stockholder value by aligning the financial interests of our executives with those of our stockholders. We do this by designing compensation programs that attract, retain, and reward critical talent in a competitive market while tying compensation to the achievement of financial and operational goals that drive industry-leading returns.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1349C"/>
        </w:rPr>
        <w:t>Company Performance</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2014, we continued to work towards our goal of building the world’s most valued automotive company for our stockholders. We demonstrated this through a number of accomplishments that align with our strategic priorities of earning customers for life, growing our brands, leading in technology and innovation, driving core efficiencies, and building a culture to 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77470</wp:posOffset>
            </wp:positionV>
            <wp:extent cx="7246620" cy="2332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332355"/>
                    </a:xfrm>
                    <a:prstGeom prst="rect">
                      <a:avLst/>
                    </a:prstGeom>
                    <a:noFill/>
                  </pic:spPr>
                </pic:pic>
              </a:graphicData>
            </a:graphic>
          </wp:anchor>
        </w:drawing>
      </w:r>
    </w:p>
    <w:p>
      <w:pPr>
        <w:spacing w:after="0" w:line="141" w:lineRule="exact"/>
        <w:rPr>
          <w:sz w:val="20"/>
          <w:szCs w:val="20"/>
          <w:color w:val="auto"/>
        </w:rPr>
      </w:pPr>
    </w:p>
    <w:p>
      <w:pPr>
        <w:ind w:left="240" w:hanging="185"/>
        <w:spacing w:after="0"/>
        <w:tabs>
          <w:tab w:leader="none" w:pos="240" w:val="left"/>
        </w:tabs>
        <w:numPr>
          <w:ilvl w:val="0"/>
          <w:numId w:val="8"/>
        </w:numPr>
        <w:rPr>
          <w:rFonts w:ascii="Arial" w:cs="Arial" w:eastAsia="Arial" w:hAnsi="Arial"/>
          <w:sz w:val="18"/>
          <w:szCs w:val="18"/>
          <w:color w:val="134A9C"/>
        </w:rPr>
      </w:pPr>
      <w:r>
        <w:rPr>
          <w:rFonts w:ascii="Arial" w:cs="Arial" w:eastAsia="Arial" w:hAnsi="Arial"/>
          <w:sz w:val="18"/>
          <w:szCs w:val="18"/>
          <w:color w:val="auto"/>
        </w:rPr>
        <w:t>Continued strong vehicle sales in the U.S. and China, with deliveries of 9.9 million units globally;</w:t>
      </w:r>
    </w:p>
    <w:p>
      <w:pPr>
        <w:spacing w:after="0" w:line="63" w:lineRule="exact"/>
        <w:rPr>
          <w:rFonts w:ascii="Arial" w:cs="Arial" w:eastAsia="Arial" w:hAnsi="Arial"/>
          <w:sz w:val="18"/>
          <w:szCs w:val="18"/>
          <w:color w:val="134A9C"/>
        </w:rPr>
      </w:pPr>
    </w:p>
    <w:p>
      <w:pPr>
        <w:ind w:left="240" w:hanging="185"/>
        <w:spacing w:after="0"/>
        <w:tabs>
          <w:tab w:leader="none" w:pos="240" w:val="left"/>
        </w:tabs>
        <w:numPr>
          <w:ilvl w:val="0"/>
          <w:numId w:val="8"/>
        </w:numPr>
        <w:rPr>
          <w:rFonts w:ascii="Arial" w:cs="Arial" w:eastAsia="Arial" w:hAnsi="Arial"/>
          <w:sz w:val="18"/>
          <w:szCs w:val="18"/>
          <w:color w:val="134A9C"/>
        </w:rPr>
      </w:pPr>
      <w:r>
        <w:rPr>
          <w:rFonts w:ascii="Arial" w:cs="Arial" w:eastAsia="Arial" w:hAnsi="Arial"/>
          <w:sz w:val="18"/>
          <w:szCs w:val="18"/>
          <w:color w:val="auto"/>
        </w:rPr>
        <w:t>Increased Opel/Vauxhall market share and sales growth in Europe for the second year in a row;</w:t>
      </w:r>
    </w:p>
    <w:p>
      <w:pPr>
        <w:spacing w:after="0" w:line="63" w:lineRule="exact"/>
        <w:rPr>
          <w:rFonts w:ascii="Arial" w:cs="Arial" w:eastAsia="Arial" w:hAnsi="Arial"/>
          <w:sz w:val="18"/>
          <w:szCs w:val="18"/>
          <w:color w:val="134A9C"/>
        </w:rPr>
      </w:pPr>
    </w:p>
    <w:p>
      <w:pPr>
        <w:ind w:left="240" w:hanging="185"/>
        <w:spacing w:after="0"/>
        <w:tabs>
          <w:tab w:leader="none" w:pos="240" w:val="left"/>
        </w:tabs>
        <w:numPr>
          <w:ilvl w:val="0"/>
          <w:numId w:val="8"/>
        </w:numPr>
        <w:rPr>
          <w:rFonts w:ascii="Arial" w:cs="Arial" w:eastAsia="Arial" w:hAnsi="Arial"/>
          <w:sz w:val="18"/>
          <w:szCs w:val="18"/>
          <w:color w:val="134A9C"/>
        </w:rPr>
      </w:pPr>
      <w:r>
        <w:rPr>
          <w:rFonts w:ascii="Arial" w:cs="Arial" w:eastAsia="Arial" w:hAnsi="Arial"/>
          <w:sz w:val="18"/>
          <w:szCs w:val="18"/>
          <w:color w:val="auto"/>
        </w:rPr>
        <w:t>Retained Chevrolet’s market leadership in South America;</w:t>
      </w:r>
    </w:p>
    <w:p>
      <w:pPr>
        <w:spacing w:after="0" w:line="63" w:lineRule="exact"/>
        <w:rPr>
          <w:rFonts w:ascii="Arial" w:cs="Arial" w:eastAsia="Arial" w:hAnsi="Arial"/>
          <w:sz w:val="18"/>
          <w:szCs w:val="18"/>
          <w:color w:val="134A9C"/>
        </w:rPr>
      </w:pPr>
    </w:p>
    <w:p>
      <w:pPr>
        <w:ind w:left="300" w:right="40" w:hanging="245"/>
        <w:spacing w:after="0" w:line="262" w:lineRule="auto"/>
        <w:tabs>
          <w:tab w:leader="none" w:pos="232" w:val="left"/>
        </w:tabs>
        <w:numPr>
          <w:ilvl w:val="0"/>
          <w:numId w:val="8"/>
        </w:numPr>
        <w:rPr>
          <w:rFonts w:ascii="Arial" w:cs="Arial" w:eastAsia="Arial" w:hAnsi="Arial"/>
          <w:sz w:val="18"/>
          <w:szCs w:val="18"/>
          <w:color w:val="134A9C"/>
        </w:rPr>
      </w:pPr>
      <w:r>
        <w:rPr>
          <w:rFonts w:ascii="Arial" w:cs="Arial" w:eastAsia="Arial" w:hAnsi="Arial"/>
          <w:sz w:val="18"/>
          <w:szCs w:val="18"/>
          <w:color w:val="auto"/>
        </w:rPr>
        <w:t>Increased Cadillac global sales by 5% with a 47% increase in China and announced plans to grow the Cadillac portfolio by the end of the decade;</w:t>
      </w:r>
    </w:p>
    <w:p>
      <w:pPr>
        <w:spacing w:after="0" w:line="20" w:lineRule="exact"/>
        <w:rPr>
          <w:rFonts w:ascii="Arial" w:cs="Arial" w:eastAsia="Arial" w:hAnsi="Arial"/>
          <w:sz w:val="18"/>
          <w:szCs w:val="18"/>
          <w:color w:val="134A9C"/>
        </w:rPr>
      </w:pPr>
    </w:p>
    <w:p>
      <w:pPr>
        <w:ind w:left="240" w:hanging="185"/>
        <w:spacing w:after="0"/>
        <w:tabs>
          <w:tab w:leader="none" w:pos="240" w:val="left"/>
        </w:tabs>
        <w:numPr>
          <w:ilvl w:val="0"/>
          <w:numId w:val="8"/>
        </w:numPr>
        <w:rPr>
          <w:rFonts w:ascii="Arial" w:cs="Arial" w:eastAsia="Arial" w:hAnsi="Arial"/>
          <w:sz w:val="18"/>
          <w:szCs w:val="18"/>
          <w:color w:val="134A9C"/>
        </w:rPr>
      </w:pPr>
      <w:r>
        <w:rPr>
          <w:rFonts w:ascii="Arial" w:cs="Arial" w:eastAsia="Arial" w:hAnsi="Arial"/>
          <w:sz w:val="18"/>
          <w:szCs w:val="18"/>
          <w:color w:val="auto"/>
        </w:rPr>
        <w:t>Launched the all-new Chevrolet Colorado, which was awarded 2015 Motor Trend Truck of the Year;</w:t>
      </w:r>
    </w:p>
    <w:p>
      <w:pPr>
        <w:spacing w:after="0" w:line="63" w:lineRule="exact"/>
        <w:rPr>
          <w:rFonts w:ascii="Arial" w:cs="Arial" w:eastAsia="Arial" w:hAnsi="Arial"/>
          <w:sz w:val="18"/>
          <w:szCs w:val="18"/>
          <w:color w:val="134A9C"/>
        </w:rPr>
      </w:pPr>
    </w:p>
    <w:p>
      <w:pPr>
        <w:ind w:left="240" w:hanging="185"/>
        <w:spacing w:after="0"/>
        <w:tabs>
          <w:tab w:leader="none" w:pos="240" w:val="left"/>
        </w:tabs>
        <w:numPr>
          <w:ilvl w:val="0"/>
          <w:numId w:val="8"/>
        </w:numPr>
        <w:rPr>
          <w:rFonts w:ascii="Arial" w:cs="Arial" w:eastAsia="Arial" w:hAnsi="Arial"/>
          <w:sz w:val="18"/>
          <w:szCs w:val="18"/>
          <w:color w:val="134A9C"/>
        </w:rPr>
      </w:pPr>
      <w:r>
        <w:rPr>
          <w:rFonts w:ascii="Arial" w:cs="Arial" w:eastAsia="Arial" w:hAnsi="Arial"/>
          <w:sz w:val="18"/>
          <w:szCs w:val="18"/>
          <w:color w:val="auto"/>
        </w:rPr>
        <w:t>Experienced record global Buick sales of 1.2 million units representing an increase of 13%;</w:t>
      </w:r>
    </w:p>
    <w:p>
      <w:pPr>
        <w:spacing w:after="0" w:line="63" w:lineRule="exact"/>
        <w:rPr>
          <w:rFonts w:ascii="Arial" w:cs="Arial" w:eastAsia="Arial" w:hAnsi="Arial"/>
          <w:sz w:val="18"/>
          <w:szCs w:val="18"/>
          <w:color w:val="134A9C"/>
        </w:rPr>
      </w:pPr>
    </w:p>
    <w:p>
      <w:pPr>
        <w:ind w:left="240" w:hanging="185"/>
        <w:spacing w:after="0"/>
        <w:tabs>
          <w:tab w:leader="none" w:pos="240" w:val="left"/>
        </w:tabs>
        <w:numPr>
          <w:ilvl w:val="0"/>
          <w:numId w:val="8"/>
        </w:numPr>
        <w:rPr>
          <w:rFonts w:ascii="Arial" w:cs="Arial" w:eastAsia="Arial" w:hAnsi="Arial"/>
          <w:sz w:val="18"/>
          <w:szCs w:val="18"/>
          <w:color w:val="134A9C"/>
        </w:rPr>
      </w:pPr>
      <w:r>
        <w:rPr>
          <w:rFonts w:ascii="Arial" w:cs="Arial" w:eastAsia="Arial" w:hAnsi="Arial"/>
          <w:sz w:val="18"/>
          <w:szCs w:val="18"/>
          <w:color w:val="auto"/>
        </w:rPr>
        <w:t>Introduced 4G LTE high-speed mobile broadband in North America;</w:t>
      </w:r>
    </w:p>
    <w:p>
      <w:pPr>
        <w:spacing w:after="0" w:line="63" w:lineRule="exact"/>
        <w:rPr>
          <w:rFonts w:ascii="Arial" w:cs="Arial" w:eastAsia="Arial" w:hAnsi="Arial"/>
          <w:sz w:val="18"/>
          <w:szCs w:val="18"/>
          <w:color w:val="134A9C"/>
        </w:rPr>
      </w:pPr>
    </w:p>
    <w:p>
      <w:pPr>
        <w:ind w:left="240" w:hanging="185"/>
        <w:spacing w:after="0"/>
        <w:tabs>
          <w:tab w:leader="none" w:pos="240" w:val="left"/>
        </w:tabs>
        <w:numPr>
          <w:ilvl w:val="0"/>
          <w:numId w:val="8"/>
        </w:numPr>
        <w:rPr>
          <w:rFonts w:ascii="Arial" w:cs="Arial" w:eastAsia="Arial" w:hAnsi="Arial"/>
          <w:sz w:val="18"/>
          <w:szCs w:val="18"/>
          <w:color w:val="134A9C"/>
        </w:rPr>
      </w:pPr>
      <w:r>
        <w:rPr>
          <w:rFonts w:ascii="Arial" w:cs="Arial" w:eastAsia="Arial" w:hAnsi="Arial"/>
          <w:sz w:val="18"/>
          <w:szCs w:val="18"/>
          <w:color w:val="auto"/>
        </w:rPr>
        <w:t>Secured over 800,000 OnStar subscribers in China;</w:t>
      </w:r>
    </w:p>
    <w:p>
      <w:pPr>
        <w:spacing w:after="0" w:line="63" w:lineRule="exact"/>
        <w:rPr>
          <w:rFonts w:ascii="Arial" w:cs="Arial" w:eastAsia="Arial" w:hAnsi="Arial"/>
          <w:sz w:val="18"/>
          <w:szCs w:val="18"/>
          <w:color w:val="134A9C"/>
        </w:rPr>
      </w:pPr>
    </w:p>
    <w:p>
      <w:pPr>
        <w:ind w:left="240" w:hanging="185"/>
        <w:spacing w:after="0"/>
        <w:tabs>
          <w:tab w:leader="none" w:pos="240" w:val="left"/>
        </w:tabs>
        <w:numPr>
          <w:ilvl w:val="0"/>
          <w:numId w:val="8"/>
        </w:numPr>
        <w:rPr>
          <w:rFonts w:ascii="Arial" w:cs="Arial" w:eastAsia="Arial" w:hAnsi="Arial"/>
          <w:sz w:val="18"/>
          <w:szCs w:val="18"/>
          <w:color w:val="134A9C"/>
        </w:rPr>
      </w:pPr>
      <w:r>
        <w:rPr>
          <w:rFonts w:ascii="Arial" w:cs="Arial" w:eastAsia="Arial" w:hAnsi="Arial"/>
          <w:sz w:val="18"/>
          <w:szCs w:val="18"/>
          <w:color w:val="auto"/>
        </w:rPr>
        <w:t>Realized savings in material costs and logistics in excess of $1 billion;</w:t>
      </w:r>
    </w:p>
    <w:p>
      <w:pPr>
        <w:spacing w:after="0" w:line="63" w:lineRule="exact"/>
        <w:rPr>
          <w:rFonts w:ascii="Arial" w:cs="Arial" w:eastAsia="Arial" w:hAnsi="Arial"/>
          <w:sz w:val="18"/>
          <w:szCs w:val="18"/>
          <w:color w:val="134A9C"/>
        </w:rPr>
      </w:pPr>
    </w:p>
    <w:p>
      <w:pPr>
        <w:ind w:left="240" w:hanging="185"/>
        <w:spacing w:after="0"/>
        <w:tabs>
          <w:tab w:leader="none" w:pos="240" w:val="left"/>
        </w:tabs>
        <w:numPr>
          <w:ilvl w:val="0"/>
          <w:numId w:val="8"/>
        </w:numPr>
        <w:rPr>
          <w:rFonts w:ascii="Arial" w:cs="Arial" w:eastAsia="Arial" w:hAnsi="Arial"/>
          <w:sz w:val="18"/>
          <w:szCs w:val="18"/>
          <w:color w:val="134A9C"/>
        </w:rPr>
      </w:pPr>
      <w:r>
        <w:rPr>
          <w:rFonts w:ascii="Arial" w:cs="Arial" w:eastAsia="Arial" w:hAnsi="Arial"/>
          <w:sz w:val="18"/>
          <w:szCs w:val="18"/>
          <w:color w:val="auto"/>
        </w:rPr>
        <w:t>Increased capacity utilization in Europe;</w:t>
      </w:r>
    </w:p>
    <w:p>
      <w:pPr>
        <w:spacing w:after="0" w:line="63" w:lineRule="exact"/>
        <w:rPr>
          <w:rFonts w:ascii="Arial" w:cs="Arial" w:eastAsia="Arial" w:hAnsi="Arial"/>
          <w:sz w:val="18"/>
          <w:szCs w:val="18"/>
          <w:color w:val="134A9C"/>
        </w:rPr>
      </w:pPr>
    </w:p>
    <w:p>
      <w:pPr>
        <w:ind w:left="300" w:right="40" w:hanging="245"/>
        <w:spacing w:after="0" w:line="262" w:lineRule="auto"/>
        <w:tabs>
          <w:tab w:leader="none" w:pos="245" w:val="left"/>
        </w:tabs>
        <w:numPr>
          <w:ilvl w:val="0"/>
          <w:numId w:val="8"/>
        </w:numPr>
        <w:rPr>
          <w:rFonts w:ascii="Arial" w:cs="Arial" w:eastAsia="Arial" w:hAnsi="Arial"/>
          <w:sz w:val="18"/>
          <w:szCs w:val="18"/>
          <w:color w:val="134A9C"/>
        </w:rPr>
      </w:pPr>
      <w:r>
        <w:rPr>
          <w:rFonts w:ascii="Arial" w:cs="Arial" w:eastAsia="Arial" w:hAnsi="Arial"/>
          <w:sz w:val="18"/>
          <w:szCs w:val="18"/>
          <w:color w:val="auto"/>
        </w:rPr>
        <w:t>Renewed our focus on vehicle safety and putting the customer at the center of everything we do following significant and irregular recall activity in 2014; and</w:t>
      </w:r>
    </w:p>
    <w:p>
      <w:pPr>
        <w:spacing w:after="0" w:line="20" w:lineRule="exact"/>
        <w:rPr>
          <w:rFonts w:ascii="Arial" w:cs="Arial" w:eastAsia="Arial" w:hAnsi="Arial"/>
          <w:sz w:val="18"/>
          <w:szCs w:val="18"/>
          <w:color w:val="134A9C"/>
        </w:rPr>
      </w:pPr>
    </w:p>
    <w:p>
      <w:pPr>
        <w:ind w:left="240" w:hanging="185"/>
        <w:spacing w:after="0"/>
        <w:tabs>
          <w:tab w:leader="none" w:pos="240" w:val="left"/>
        </w:tabs>
        <w:numPr>
          <w:ilvl w:val="0"/>
          <w:numId w:val="8"/>
        </w:numPr>
        <w:rPr>
          <w:rFonts w:ascii="Arial" w:cs="Arial" w:eastAsia="Arial" w:hAnsi="Arial"/>
          <w:sz w:val="18"/>
          <w:szCs w:val="18"/>
          <w:color w:val="134A9C"/>
        </w:rPr>
      </w:pPr>
      <w:r>
        <w:rPr>
          <w:rFonts w:ascii="Arial" w:cs="Arial" w:eastAsia="Arial" w:hAnsi="Arial"/>
          <w:sz w:val="18"/>
          <w:szCs w:val="18"/>
          <w:color w:val="auto"/>
        </w:rPr>
        <w:t>Continued contribution to solid earnings by GM Financial.</w:t>
      </w:r>
    </w:p>
    <w:p>
      <w:pPr>
        <w:sectPr>
          <w:pgSz w:w="11900" w:h="16838" w:orient="portrait"/>
          <w:cols w:equalWidth="0" w:num="1">
            <w:col w:w="11420"/>
          </w:cols>
          <w:pgMar w:left="240" w:top="4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740"/>
        <w:spacing w:after="0"/>
        <w:tabs>
          <w:tab w:leader="none" w:pos="9212" w:val="left"/>
        </w:tabs>
        <w:rPr>
          <w:sz w:val="20"/>
          <w:szCs w:val="20"/>
          <w:color w:val="auto"/>
        </w:rPr>
      </w:pPr>
      <w:r>
        <w:rPr>
          <w:rFonts w:ascii="Arial" w:cs="Arial" w:eastAsia="Arial" w:hAnsi="Arial"/>
          <w:sz w:val="18"/>
          <w:szCs w:val="18"/>
          <w:color w:val="auto"/>
        </w:rPr>
        <w:t>3</w:t>
      </w:r>
      <w:r>
        <w:rPr>
          <w:sz w:val="20"/>
          <w:szCs w:val="20"/>
          <w:color w:val="auto"/>
        </w:rPr>
        <w:tab/>
      </w:r>
      <w:r>
        <w:rPr>
          <w:sz w:val="1"/>
          <w:szCs w:val="1"/>
          <w:color w:val="auto"/>
        </w:rPr>
        <w:drawing>
          <wp:inline distT="0" distB="0" distL="0" distR="0">
            <wp:extent cx="120015" cy="1200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495" w:right="239" w:bottom="1440" w:gutter="0" w:footer="0" w:header="0"/>
          <w:type w:val="continuous"/>
        </w:sectPr>
      </w:pPr>
    </w:p>
    <w:bookmarkStart w:id="7" w:name="page8"/>
    <w:bookmarkEnd w:id="7"/>
    <w:p>
      <w:pPr>
        <w:ind w:left="8180"/>
        <w:spacing w:after="0"/>
        <w:rPr>
          <w:sz w:val="20"/>
          <w:szCs w:val="20"/>
          <w:color w:val="auto"/>
        </w:rPr>
      </w:pPr>
      <w:r>
        <w:rPr>
          <w:rFonts w:ascii="Arial" w:cs="Arial" w:eastAsia="Arial" w:hAnsi="Arial"/>
          <w:sz w:val="18"/>
          <w:szCs w:val="18"/>
          <w:b w:val="1"/>
          <w:bCs w:val="1"/>
          <w:color w:val="134A9C"/>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349C"/>
        </w:rPr>
        <w:t>We ended the year with the following key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106045</wp:posOffset>
            </wp:positionV>
            <wp:extent cx="7246620" cy="1595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95120"/>
                    </a:xfrm>
                    <a:prstGeom prst="rect">
                      <a:avLst/>
                    </a:prstGeom>
                    <a:noFill/>
                  </pic:spPr>
                </pic:pic>
              </a:graphicData>
            </a:graphic>
          </wp:anchor>
        </w:drawing>
      </w:r>
    </w:p>
    <w:p>
      <w:pPr>
        <w:spacing w:after="0" w:line="187" w:lineRule="exact"/>
        <w:rPr>
          <w:sz w:val="20"/>
          <w:szCs w:val="20"/>
          <w:color w:val="auto"/>
        </w:rPr>
      </w:pPr>
    </w:p>
    <w:p>
      <w:pPr>
        <w:ind w:left="240" w:hanging="185"/>
        <w:spacing w:after="0"/>
        <w:tabs>
          <w:tab w:leader="none" w:pos="240" w:val="left"/>
        </w:tabs>
        <w:numPr>
          <w:ilvl w:val="0"/>
          <w:numId w:val="9"/>
        </w:numPr>
        <w:rPr>
          <w:rFonts w:ascii="Arial" w:cs="Arial" w:eastAsia="Arial" w:hAnsi="Arial"/>
          <w:sz w:val="18"/>
          <w:szCs w:val="18"/>
          <w:color w:val="134A9C"/>
        </w:rPr>
      </w:pPr>
      <w:r>
        <w:rPr>
          <w:rFonts w:ascii="Arial" w:cs="Arial" w:eastAsia="Arial" w:hAnsi="Arial"/>
          <w:sz w:val="18"/>
          <w:szCs w:val="18"/>
          <w:color w:val="auto"/>
        </w:rPr>
        <w:t>Achieved year-over-year revenue growth, with 2014 revenue of $155.9 billion;</w:t>
      </w:r>
    </w:p>
    <w:p>
      <w:pPr>
        <w:spacing w:after="0" w:line="63" w:lineRule="exact"/>
        <w:rPr>
          <w:rFonts w:ascii="Arial" w:cs="Arial" w:eastAsia="Arial" w:hAnsi="Arial"/>
          <w:sz w:val="18"/>
          <w:szCs w:val="18"/>
          <w:color w:val="134A9C"/>
        </w:rPr>
      </w:pPr>
    </w:p>
    <w:p>
      <w:pPr>
        <w:ind w:left="380" w:right="40" w:hanging="325"/>
        <w:spacing w:after="0" w:line="277" w:lineRule="auto"/>
        <w:tabs>
          <w:tab w:leader="none" w:pos="244" w:val="left"/>
        </w:tabs>
        <w:numPr>
          <w:ilvl w:val="0"/>
          <w:numId w:val="9"/>
        </w:numPr>
        <w:rPr>
          <w:rFonts w:ascii="Arial" w:cs="Arial" w:eastAsia="Arial" w:hAnsi="Arial"/>
          <w:sz w:val="18"/>
          <w:szCs w:val="18"/>
          <w:color w:val="134A9C"/>
        </w:rPr>
      </w:pPr>
      <w:r>
        <w:rPr>
          <w:rFonts w:ascii="Arial" w:cs="Arial" w:eastAsia="Arial" w:hAnsi="Arial"/>
          <w:sz w:val="18"/>
          <w:szCs w:val="18"/>
          <w:color w:val="auto"/>
        </w:rPr>
        <w:t>Achieved Earnings Before Interest and Taxes ("EBIT")-Adjusted of $6.5 billion including recall-related expenses and $9.3 billion excluding recall-related expenses</w:t>
      </w:r>
      <w:r>
        <w:rPr>
          <w:rFonts w:ascii="Arial" w:cs="Arial" w:eastAsia="Arial" w:hAnsi="Arial"/>
          <w:sz w:val="18"/>
          <w:szCs w:val="18"/>
          <w:color w:val="auto"/>
          <w:vertAlign w:val="superscript"/>
        </w:rPr>
        <w:t>(1)</w:t>
      </w:r>
      <w:r>
        <w:rPr>
          <w:rFonts w:ascii="Arial" w:cs="Arial" w:eastAsia="Arial" w:hAnsi="Arial"/>
          <w:sz w:val="18"/>
          <w:szCs w:val="18"/>
          <w:color w:val="auto"/>
        </w:rPr>
        <w:t xml:space="preserve"> and our income before taxes was $4.2 billion;</w:t>
      </w:r>
    </w:p>
    <w:p>
      <w:pPr>
        <w:spacing w:after="0" w:line="21" w:lineRule="exact"/>
        <w:rPr>
          <w:rFonts w:ascii="Arial" w:cs="Arial" w:eastAsia="Arial" w:hAnsi="Arial"/>
          <w:sz w:val="18"/>
          <w:szCs w:val="18"/>
          <w:color w:val="134A9C"/>
        </w:rPr>
      </w:pPr>
    </w:p>
    <w:p>
      <w:pPr>
        <w:ind w:left="240" w:hanging="185"/>
        <w:spacing w:after="0"/>
        <w:tabs>
          <w:tab w:leader="none" w:pos="240" w:val="left"/>
        </w:tabs>
        <w:numPr>
          <w:ilvl w:val="0"/>
          <w:numId w:val="9"/>
        </w:numPr>
        <w:rPr>
          <w:rFonts w:ascii="Arial" w:cs="Arial" w:eastAsia="Arial" w:hAnsi="Arial"/>
          <w:sz w:val="18"/>
          <w:szCs w:val="18"/>
          <w:color w:val="134A9C"/>
        </w:rPr>
      </w:pPr>
      <w:r>
        <w:rPr>
          <w:rFonts w:ascii="Arial" w:cs="Arial" w:eastAsia="Arial" w:hAnsi="Arial"/>
          <w:sz w:val="18"/>
          <w:szCs w:val="18"/>
          <w:color w:val="auto"/>
        </w:rPr>
        <w:t>Achieved Adjusted Automotive Free Cash Flow ("Adjusted AFCF") of $3.1 billion</w:t>
      </w:r>
      <w:r>
        <w:rPr>
          <w:rFonts w:ascii="Arial" w:cs="Arial" w:eastAsia="Arial" w:hAnsi="Arial"/>
          <w:sz w:val="18"/>
          <w:szCs w:val="18"/>
          <w:color w:val="auto"/>
          <w:vertAlign w:val="superscript"/>
        </w:rPr>
        <w:t>(1)</w:t>
      </w:r>
      <w:r>
        <w:rPr>
          <w:rFonts w:ascii="Arial" w:cs="Arial" w:eastAsia="Arial" w:hAnsi="Arial"/>
          <w:sz w:val="18"/>
          <w:szCs w:val="18"/>
          <w:color w:val="auto"/>
        </w:rPr>
        <w:t xml:space="preserve"> and Automotive</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Operating Cash Flow of $10.1 billion;</w:t>
      </w:r>
    </w:p>
    <w:p>
      <w:pPr>
        <w:spacing w:after="0" w:line="50" w:lineRule="exact"/>
        <w:rPr>
          <w:sz w:val="20"/>
          <w:szCs w:val="20"/>
          <w:color w:val="auto"/>
        </w:rPr>
      </w:pPr>
    </w:p>
    <w:p>
      <w:pPr>
        <w:ind w:left="300" w:right="3360" w:hanging="245"/>
        <w:spacing w:after="0" w:line="266" w:lineRule="auto"/>
        <w:tabs>
          <w:tab w:leader="none" w:pos="232" w:val="left"/>
        </w:tabs>
        <w:numPr>
          <w:ilvl w:val="1"/>
          <w:numId w:val="10"/>
        </w:numPr>
        <w:rPr>
          <w:rFonts w:ascii="Arial" w:cs="Arial" w:eastAsia="Arial" w:hAnsi="Arial"/>
          <w:sz w:val="18"/>
          <w:szCs w:val="18"/>
          <w:color w:val="134A9C"/>
        </w:rPr>
      </w:pPr>
      <w:r>
        <w:rPr>
          <w:rFonts w:ascii="Arial" w:cs="Arial" w:eastAsia="Arial" w:hAnsi="Arial"/>
          <w:sz w:val="18"/>
          <w:szCs w:val="18"/>
          <w:color w:val="auto"/>
        </w:rPr>
        <w:t>Earned a 15.4% return on invested capital ("ROIC") including recall-related expenses and a 20.8% ROIC excluding recall-related expenses;</w:t>
      </w:r>
      <w:r>
        <w:rPr>
          <w:rFonts w:ascii="Arial" w:cs="Arial" w:eastAsia="Arial" w:hAnsi="Arial"/>
          <w:sz w:val="18"/>
          <w:szCs w:val="18"/>
          <w:color w:val="auto"/>
          <w:vertAlign w:val="superscript"/>
        </w:rPr>
        <w:t>(2)</w:t>
      </w:r>
    </w:p>
    <w:p>
      <w:pPr>
        <w:spacing w:after="0" w:line="13" w:lineRule="exact"/>
        <w:rPr>
          <w:rFonts w:ascii="Arial" w:cs="Arial" w:eastAsia="Arial" w:hAnsi="Arial"/>
          <w:sz w:val="18"/>
          <w:szCs w:val="18"/>
          <w:color w:val="134A9C"/>
        </w:rPr>
      </w:pPr>
    </w:p>
    <w:p>
      <w:pPr>
        <w:ind w:left="380" w:right="40" w:hanging="325"/>
        <w:spacing w:after="0" w:line="262" w:lineRule="auto"/>
        <w:tabs>
          <w:tab w:leader="none" w:pos="231" w:val="left"/>
        </w:tabs>
        <w:numPr>
          <w:ilvl w:val="1"/>
          <w:numId w:val="10"/>
        </w:numPr>
        <w:rPr>
          <w:rFonts w:ascii="Arial" w:cs="Arial" w:eastAsia="Arial" w:hAnsi="Arial"/>
          <w:sz w:val="18"/>
          <w:szCs w:val="18"/>
          <w:color w:val="134A9C"/>
        </w:rPr>
      </w:pPr>
      <w:r>
        <w:rPr>
          <w:rFonts w:ascii="Arial" w:cs="Arial" w:eastAsia="Arial" w:hAnsi="Arial"/>
          <w:sz w:val="18"/>
          <w:szCs w:val="18"/>
          <w:color w:val="auto"/>
        </w:rPr>
        <w:t>Returned $1.9 billion to stockholders by instituting and declaring quarterly dividends of $0.30 per share in 2014, and on April 13, 2015, the GM Board of Directors declared a 20 percent increase to our quarterly dividend to 36 cents per share; and</w:t>
      </w:r>
    </w:p>
    <w:p>
      <w:pPr>
        <w:spacing w:after="0" w:line="20" w:lineRule="exact"/>
        <w:rPr>
          <w:rFonts w:ascii="Arial" w:cs="Arial" w:eastAsia="Arial" w:hAnsi="Arial"/>
          <w:sz w:val="18"/>
          <w:szCs w:val="18"/>
          <w:color w:val="134A9C"/>
        </w:rPr>
      </w:pPr>
    </w:p>
    <w:p>
      <w:pPr>
        <w:ind w:left="240" w:hanging="185"/>
        <w:spacing w:after="0"/>
        <w:tabs>
          <w:tab w:leader="none" w:pos="240" w:val="left"/>
        </w:tabs>
        <w:numPr>
          <w:ilvl w:val="1"/>
          <w:numId w:val="10"/>
        </w:numPr>
        <w:rPr>
          <w:rFonts w:ascii="Arial" w:cs="Arial" w:eastAsia="Arial" w:hAnsi="Arial"/>
          <w:sz w:val="18"/>
          <w:szCs w:val="18"/>
          <w:color w:val="134A9C"/>
        </w:rPr>
      </w:pPr>
      <w:r>
        <w:rPr>
          <w:rFonts w:ascii="Arial" w:cs="Arial" w:eastAsia="Arial" w:hAnsi="Arial"/>
          <w:sz w:val="18"/>
          <w:szCs w:val="18"/>
          <w:color w:val="auto"/>
        </w:rPr>
        <w:t>Ended the year with a negative 12% Total Shareholder Return.</w:t>
      </w:r>
      <w:r>
        <w:rPr>
          <w:rFonts w:ascii="Arial" w:cs="Arial" w:eastAsia="Arial" w:hAnsi="Arial"/>
          <w:sz w:val="18"/>
          <w:szCs w:val="18"/>
          <w:color w:val="auto"/>
          <w:vertAlign w:val="superscript"/>
        </w:rPr>
        <w:t>(3)</w:t>
      </w:r>
    </w:p>
    <w:p>
      <w:pPr>
        <w:spacing w:after="0" w:line="55" w:lineRule="exact"/>
        <w:rPr>
          <w:rFonts w:ascii="Arial" w:cs="Arial" w:eastAsia="Arial" w:hAnsi="Arial"/>
          <w:sz w:val="18"/>
          <w:szCs w:val="18"/>
          <w:color w:val="134A9C"/>
        </w:rPr>
      </w:pPr>
    </w:p>
    <w:p>
      <w:pPr>
        <w:ind w:left="340" w:hanging="332"/>
        <w:spacing w:after="0" w:line="24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Refer to Item 7. Management's Discussion and Analysis of Financial Condition and Results of Operations in the Company's 2014 Annual Report on Form 10-K filed with the U.S. Securities and Exchange Commission (the "SEC") for a reconciliation of these non-GAAP measures to their most directly comparable GAAP measures.</w:t>
      </w: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Refer to Appendix A for a reconciliation of this non-GAAP measure to its most directly comparable GAAP measure.</w:t>
      </w:r>
    </w:p>
    <w:p>
      <w:pPr>
        <w:spacing w:after="0" w:line="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Total Shareholder Return ("TSR") is a measure of the performance of our Common Stock over the measurement period and assumes all dividends are reinvested in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2014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75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7546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2014 Fiscal Year Named Executive Officers ("NEOs")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20" w:type="dxa"/>
            <w:vAlign w:val="bottom"/>
            <w:tcBorders>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Mary T. Barra</w:t>
            </w:r>
          </w:p>
        </w:tc>
        <w:tc>
          <w:tcPr>
            <w:tcW w:w="8200" w:type="dxa"/>
            <w:vAlign w:val="bottom"/>
            <w:tcBorders>
              <w:bottom w:val="single" w:sz="8" w:color="134A9C"/>
            </w:tcBorders>
          </w:tcPr>
          <w:p>
            <w:pPr>
              <w:ind w:left="20"/>
              <w:spacing w:after="0"/>
              <w:rPr>
                <w:sz w:val="20"/>
                <w:szCs w:val="20"/>
                <w:color w:val="auto"/>
              </w:rPr>
            </w:pPr>
            <w:r>
              <w:rPr>
                <w:rFonts w:ascii="Arial" w:cs="Arial" w:eastAsia="Arial" w:hAnsi="Arial"/>
                <w:sz w:val="18"/>
                <w:szCs w:val="18"/>
                <w:color w:val="auto"/>
              </w:rPr>
              <w:t>Chief Executive Officer</w:t>
            </w:r>
          </w:p>
        </w:tc>
      </w:tr>
      <w:tr>
        <w:trPr>
          <w:trHeight w:val="250"/>
        </w:trPr>
        <w:tc>
          <w:tcPr>
            <w:tcW w:w="3220" w:type="dxa"/>
            <w:vAlign w:val="bottom"/>
            <w:tcBorders>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Charles K. Stevens, III</w:t>
            </w:r>
          </w:p>
        </w:tc>
        <w:tc>
          <w:tcPr>
            <w:tcW w:w="8200" w:type="dxa"/>
            <w:vAlign w:val="bottom"/>
            <w:tcBorders>
              <w:bottom w:val="single" w:sz="8" w:color="134A9C"/>
            </w:tcBorders>
          </w:tcPr>
          <w:p>
            <w:pPr>
              <w:ind w:left="20"/>
              <w:spacing w:after="0"/>
              <w:rPr>
                <w:sz w:val="20"/>
                <w:szCs w:val="20"/>
                <w:color w:val="auto"/>
              </w:rPr>
            </w:pPr>
            <w:r>
              <w:rPr>
                <w:rFonts w:ascii="Arial" w:cs="Arial" w:eastAsia="Arial" w:hAnsi="Arial"/>
                <w:sz w:val="18"/>
                <w:szCs w:val="18"/>
                <w:color w:val="auto"/>
              </w:rPr>
              <w:t>Executive Vice President &amp; Chief Financial Officer</w:t>
            </w:r>
          </w:p>
        </w:tc>
      </w:tr>
      <w:tr>
        <w:trPr>
          <w:trHeight w:val="229"/>
        </w:trPr>
        <w:tc>
          <w:tcPr>
            <w:tcW w:w="3220" w:type="dxa"/>
            <w:vAlign w:val="bottom"/>
            <w:tcBorders>
              <w:right w:val="single" w:sz="8" w:color="134A9C"/>
            </w:tcBorders>
          </w:tcPr>
          <w:p>
            <w:pPr>
              <w:ind w:left="40"/>
              <w:spacing w:after="0"/>
              <w:rPr>
                <w:sz w:val="20"/>
                <w:szCs w:val="20"/>
                <w:color w:val="auto"/>
              </w:rPr>
            </w:pPr>
            <w:r>
              <w:rPr>
                <w:rFonts w:ascii="Arial" w:cs="Arial" w:eastAsia="Arial" w:hAnsi="Arial"/>
                <w:sz w:val="18"/>
                <w:szCs w:val="18"/>
                <w:color w:val="auto"/>
              </w:rPr>
              <w:t>Daniel Ammann</w:t>
            </w:r>
          </w:p>
        </w:tc>
        <w:tc>
          <w:tcPr>
            <w:tcW w:w="8200" w:type="dxa"/>
            <w:vAlign w:val="bottom"/>
          </w:tcPr>
          <w:p>
            <w:pPr>
              <w:ind w:left="20"/>
              <w:spacing w:after="0"/>
              <w:rPr>
                <w:sz w:val="20"/>
                <w:szCs w:val="20"/>
                <w:color w:val="auto"/>
              </w:rPr>
            </w:pPr>
            <w:r>
              <w:rPr>
                <w:rFonts w:ascii="Arial" w:cs="Arial" w:eastAsia="Arial" w:hAnsi="Arial"/>
                <w:sz w:val="18"/>
                <w:szCs w:val="18"/>
                <w:color w:val="auto"/>
              </w:rPr>
              <w:t>President and Former Executive Vice President &amp;</w:t>
            </w:r>
          </w:p>
        </w:tc>
      </w:tr>
      <w:tr>
        <w:trPr>
          <w:trHeight w:val="224"/>
        </w:trPr>
        <w:tc>
          <w:tcPr>
            <w:tcW w:w="3220" w:type="dxa"/>
            <w:vAlign w:val="bottom"/>
            <w:tcBorders>
              <w:bottom w:val="single" w:sz="8" w:color="134A9C"/>
              <w:right w:val="single" w:sz="8" w:color="134A9C"/>
            </w:tcBorders>
          </w:tcPr>
          <w:p>
            <w:pPr>
              <w:spacing w:after="0"/>
              <w:rPr>
                <w:sz w:val="19"/>
                <w:szCs w:val="19"/>
                <w:color w:val="auto"/>
              </w:rPr>
            </w:pPr>
          </w:p>
        </w:tc>
        <w:tc>
          <w:tcPr>
            <w:tcW w:w="8200" w:type="dxa"/>
            <w:vAlign w:val="bottom"/>
            <w:tcBorders>
              <w:bottom w:val="single" w:sz="8" w:color="134A9C"/>
            </w:tcBorders>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220" w:type="dxa"/>
            <w:vAlign w:val="bottom"/>
            <w:tcBorders>
              <w:right w:val="single" w:sz="8" w:color="134A9C"/>
            </w:tcBorders>
          </w:tcPr>
          <w:p>
            <w:pPr>
              <w:ind w:left="40"/>
              <w:spacing w:after="0"/>
              <w:rPr>
                <w:sz w:val="20"/>
                <w:szCs w:val="20"/>
                <w:color w:val="auto"/>
              </w:rPr>
            </w:pPr>
            <w:r>
              <w:rPr>
                <w:rFonts w:ascii="Arial" w:cs="Arial" w:eastAsia="Arial" w:hAnsi="Arial"/>
                <w:sz w:val="18"/>
                <w:szCs w:val="18"/>
                <w:color w:val="auto"/>
              </w:rPr>
              <w:t>Mark L. Reuss</w:t>
            </w:r>
          </w:p>
        </w:tc>
        <w:tc>
          <w:tcPr>
            <w:tcW w:w="8200" w:type="dxa"/>
            <w:vAlign w:val="bottom"/>
          </w:tcPr>
          <w:p>
            <w:pPr>
              <w:ind w:left="20"/>
              <w:spacing w:after="0"/>
              <w:rPr>
                <w:sz w:val="20"/>
                <w:szCs w:val="20"/>
                <w:color w:val="auto"/>
              </w:rPr>
            </w:pPr>
            <w:r>
              <w:rPr>
                <w:rFonts w:ascii="Arial" w:cs="Arial" w:eastAsia="Arial" w:hAnsi="Arial"/>
                <w:sz w:val="18"/>
                <w:szCs w:val="18"/>
                <w:color w:val="auto"/>
              </w:rPr>
              <w:t>Executive Vice President, Global Product Development,</w:t>
            </w:r>
          </w:p>
        </w:tc>
      </w:tr>
      <w:tr>
        <w:trPr>
          <w:trHeight w:val="224"/>
        </w:trPr>
        <w:tc>
          <w:tcPr>
            <w:tcW w:w="3220" w:type="dxa"/>
            <w:vAlign w:val="bottom"/>
            <w:tcBorders>
              <w:bottom w:val="single" w:sz="8" w:color="134A9C"/>
              <w:right w:val="single" w:sz="8" w:color="134A9C"/>
            </w:tcBorders>
          </w:tcPr>
          <w:p>
            <w:pPr>
              <w:spacing w:after="0"/>
              <w:rPr>
                <w:sz w:val="19"/>
                <w:szCs w:val="19"/>
                <w:color w:val="auto"/>
              </w:rPr>
            </w:pPr>
          </w:p>
        </w:tc>
        <w:tc>
          <w:tcPr>
            <w:tcW w:w="8200" w:type="dxa"/>
            <w:vAlign w:val="bottom"/>
            <w:tcBorders>
              <w:bottom w:val="single" w:sz="8" w:color="134A9C"/>
            </w:tcBorders>
          </w:tcPr>
          <w:p>
            <w:pPr>
              <w:ind w:left="20"/>
              <w:spacing w:after="0"/>
              <w:rPr>
                <w:sz w:val="20"/>
                <w:szCs w:val="20"/>
                <w:color w:val="auto"/>
              </w:rPr>
            </w:pPr>
            <w:r>
              <w:rPr>
                <w:rFonts w:ascii="Arial" w:cs="Arial" w:eastAsia="Arial" w:hAnsi="Arial"/>
                <w:sz w:val="18"/>
                <w:szCs w:val="18"/>
                <w:color w:val="auto"/>
              </w:rPr>
              <w:t>Purchasing &amp; Supply Chain</w:t>
            </w:r>
          </w:p>
        </w:tc>
      </w:tr>
      <w:tr>
        <w:trPr>
          <w:trHeight w:val="284"/>
        </w:trPr>
        <w:tc>
          <w:tcPr>
            <w:tcW w:w="3220" w:type="dxa"/>
            <w:vAlign w:val="bottom"/>
            <w:tcBorders>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Michael P. Millikin</w:t>
            </w:r>
            <w:r>
              <w:rPr>
                <w:rFonts w:ascii="Arial" w:cs="Arial" w:eastAsia="Arial" w:hAnsi="Arial"/>
                <w:sz w:val="21"/>
                <w:szCs w:val="21"/>
                <w:color w:val="auto"/>
                <w:vertAlign w:val="superscript"/>
              </w:rPr>
              <w:t>(1)</w:t>
            </w:r>
          </w:p>
        </w:tc>
        <w:tc>
          <w:tcPr>
            <w:tcW w:w="8200" w:type="dxa"/>
            <w:vAlign w:val="bottom"/>
            <w:tcBorders>
              <w:bottom w:val="single" w:sz="8" w:color="134A9C"/>
            </w:tcBorders>
          </w:tcPr>
          <w:p>
            <w:pPr>
              <w:ind w:left="20"/>
              <w:spacing w:after="0"/>
              <w:rPr>
                <w:sz w:val="20"/>
                <w:szCs w:val="20"/>
                <w:color w:val="auto"/>
              </w:rPr>
            </w:pPr>
            <w:r>
              <w:rPr>
                <w:rFonts w:ascii="Arial" w:cs="Arial" w:eastAsia="Arial" w:hAnsi="Arial"/>
                <w:sz w:val="18"/>
                <w:szCs w:val="18"/>
                <w:color w:val="auto"/>
              </w:rPr>
              <w:t>Executive Vice President &amp; General Counsel</w:t>
            </w:r>
          </w:p>
        </w:tc>
      </w:tr>
      <w:tr>
        <w:trPr>
          <w:trHeight w:val="222"/>
        </w:trPr>
        <w:tc>
          <w:tcPr>
            <w:tcW w:w="3220" w:type="dxa"/>
            <w:vAlign w:val="bottom"/>
            <w:tcBorders>
              <w:right w:val="single" w:sz="8" w:color="134A9C"/>
            </w:tcBorders>
          </w:tcPr>
          <w:p>
            <w:pPr>
              <w:ind w:left="40"/>
              <w:spacing w:after="0"/>
              <w:rPr>
                <w:sz w:val="20"/>
                <w:szCs w:val="20"/>
                <w:color w:val="auto"/>
              </w:rPr>
            </w:pPr>
            <w:r>
              <w:rPr>
                <w:rFonts w:ascii="Arial" w:cs="Arial" w:eastAsia="Arial" w:hAnsi="Arial"/>
                <w:sz w:val="18"/>
                <w:szCs w:val="18"/>
                <w:color w:val="auto"/>
              </w:rPr>
              <w:t>Karl-Thomas Neumann</w:t>
            </w:r>
          </w:p>
        </w:tc>
        <w:tc>
          <w:tcPr>
            <w:tcW w:w="8200" w:type="dxa"/>
            <w:vAlign w:val="bottom"/>
          </w:tcPr>
          <w:p>
            <w:pPr>
              <w:ind w:left="20"/>
              <w:spacing w:after="0"/>
              <w:rPr>
                <w:sz w:val="20"/>
                <w:szCs w:val="20"/>
                <w:color w:val="auto"/>
              </w:rPr>
            </w:pPr>
            <w:r>
              <w:rPr>
                <w:rFonts w:ascii="Arial" w:cs="Arial" w:eastAsia="Arial" w:hAnsi="Arial"/>
                <w:sz w:val="18"/>
                <w:szCs w:val="18"/>
                <w:color w:val="auto"/>
              </w:rPr>
              <w:t>Executive Vice President &amp; President, Europe</w:t>
            </w:r>
          </w:p>
        </w:tc>
      </w:tr>
      <w:tr>
        <w:trPr>
          <w:trHeight w:val="224"/>
        </w:trPr>
        <w:tc>
          <w:tcPr>
            <w:tcW w:w="3220" w:type="dxa"/>
            <w:vAlign w:val="bottom"/>
            <w:tcBorders>
              <w:bottom w:val="single" w:sz="8" w:color="134A9C"/>
              <w:right w:val="single" w:sz="8" w:color="134A9C"/>
            </w:tcBorders>
          </w:tcPr>
          <w:p>
            <w:pPr>
              <w:spacing w:after="0"/>
              <w:rPr>
                <w:sz w:val="19"/>
                <w:szCs w:val="19"/>
                <w:color w:val="auto"/>
              </w:rPr>
            </w:pPr>
          </w:p>
        </w:tc>
        <w:tc>
          <w:tcPr>
            <w:tcW w:w="8200" w:type="dxa"/>
            <w:vAlign w:val="bottom"/>
            <w:tcBorders>
              <w:bottom w:val="single" w:sz="8" w:color="134A9C"/>
            </w:tcBorders>
          </w:tcPr>
          <w:p>
            <w:pPr>
              <w:ind w:left="20"/>
              <w:spacing w:after="0"/>
              <w:rPr>
                <w:sz w:val="20"/>
                <w:szCs w:val="20"/>
                <w:color w:val="auto"/>
              </w:rPr>
            </w:pPr>
            <w:r>
              <w:rPr>
                <w:rFonts w:ascii="Arial" w:cs="Arial" w:eastAsia="Arial" w:hAnsi="Arial"/>
                <w:sz w:val="18"/>
                <w:szCs w:val="18"/>
                <w:color w:val="auto"/>
              </w:rPr>
              <w:t>Chairman of the Management Board of Opel Group GmbH</w:t>
            </w:r>
          </w:p>
        </w:tc>
      </w:tr>
      <w:tr>
        <w:trPr>
          <w:trHeight w:val="257"/>
        </w:trPr>
        <w:tc>
          <w:tcPr>
            <w:tcW w:w="3220" w:type="dxa"/>
            <w:vAlign w:val="bottom"/>
            <w:tcBorders>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Daniel F. Akerson</w:t>
            </w:r>
            <w:r>
              <w:rPr>
                <w:rFonts w:ascii="Arial" w:cs="Arial" w:eastAsia="Arial" w:hAnsi="Arial"/>
                <w:sz w:val="21"/>
                <w:szCs w:val="21"/>
                <w:color w:val="auto"/>
                <w:vertAlign w:val="superscript"/>
              </w:rPr>
              <w:t>(1)</w:t>
            </w:r>
          </w:p>
        </w:tc>
        <w:tc>
          <w:tcPr>
            <w:tcW w:w="8200" w:type="dxa"/>
            <w:vAlign w:val="bottom"/>
            <w:tcBorders>
              <w:bottom w:val="single" w:sz="8" w:color="134A9C"/>
            </w:tcBorders>
          </w:tcPr>
          <w:p>
            <w:pPr>
              <w:ind w:left="20"/>
              <w:spacing w:after="0"/>
              <w:rPr>
                <w:sz w:val="20"/>
                <w:szCs w:val="20"/>
                <w:color w:val="auto"/>
              </w:rPr>
            </w:pPr>
            <w:r>
              <w:rPr>
                <w:rFonts w:ascii="Arial" w:cs="Arial" w:eastAsia="Arial" w:hAnsi="Arial"/>
                <w:sz w:val="18"/>
                <w:szCs w:val="18"/>
                <w:color w:val="auto"/>
              </w:rPr>
              <w:t>Former Chairman &amp; Chief Executive Officer</w:t>
            </w:r>
          </w:p>
        </w:tc>
      </w:tr>
    </w:tbl>
    <w:p>
      <w:pPr>
        <w:spacing w:after="0" w:line="5" w:lineRule="exact"/>
        <w:rPr>
          <w:sz w:val="20"/>
          <w:szCs w:val="20"/>
          <w:color w:val="auto"/>
        </w:rPr>
      </w:pPr>
    </w:p>
    <w:p>
      <w:pPr>
        <w:jc w:val="both"/>
        <w:ind w:left="340" w:hanging="332"/>
        <w:spacing w:after="0" w:line="247"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Effective March 1, 2015, Michael P. Millikin stepped down from his position of Executive Vice President &amp; General Counsel having previously announced his plans to retire from General Motors after 37 years of service. Mr. Millikin is serving as a Senior Advisor until his retirement date in July 2015 and will continue to provide consulting services to the Company through 2015. On January 15, 2014, Daniel F. Akerson stepped down as Chairman &amp; CEO of General Motors and then served as a Senior Advisor until he left the Company in July 2014.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During 2014, the compensation structure for our NEOs included the following core elements:</w:t>
      </w:r>
    </w:p>
    <w:p>
      <w:pPr>
        <w:spacing w:after="0" w:line="13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01349C"/>
        </w:rPr>
      </w:pPr>
      <w:r>
        <w:rPr>
          <w:rFonts w:ascii="Arial" w:cs="Arial" w:eastAsia="Arial" w:hAnsi="Arial"/>
          <w:sz w:val="18"/>
          <w:szCs w:val="18"/>
          <w:color w:val="auto"/>
        </w:rPr>
        <w:t>Base salary;</w:t>
      </w:r>
    </w:p>
    <w:p>
      <w:pPr>
        <w:spacing w:after="0" w:line="63" w:lineRule="exact"/>
        <w:rPr>
          <w:rFonts w:ascii="Arial" w:cs="Arial" w:eastAsia="Arial" w:hAnsi="Arial"/>
          <w:sz w:val="18"/>
          <w:szCs w:val="18"/>
          <w:color w:val="01349C"/>
        </w:rPr>
      </w:pPr>
    </w:p>
    <w:p>
      <w:pPr>
        <w:ind w:left="340" w:hanging="332"/>
        <w:spacing w:after="0"/>
        <w:tabs>
          <w:tab w:leader="none" w:pos="340" w:val="left"/>
        </w:tabs>
        <w:numPr>
          <w:ilvl w:val="0"/>
          <w:numId w:val="12"/>
        </w:numPr>
        <w:rPr>
          <w:rFonts w:ascii="Arial" w:cs="Arial" w:eastAsia="Arial" w:hAnsi="Arial"/>
          <w:sz w:val="18"/>
          <w:szCs w:val="18"/>
          <w:color w:val="134A9C"/>
        </w:rPr>
      </w:pPr>
      <w:r>
        <w:rPr>
          <w:rFonts w:ascii="Arial" w:cs="Arial" w:eastAsia="Arial" w:hAnsi="Arial"/>
          <w:sz w:val="18"/>
          <w:szCs w:val="18"/>
          <w:color w:val="auto"/>
        </w:rPr>
        <w:t>Short-term incentive plan;</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12"/>
        </w:numPr>
        <w:rPr>
          <w:rFonts w:ascii="Arial" w:cs="Arial" w:eastAsia="Arial" w:hAnsi="Arial"/>
          <w:sz w:val="18"/>
          <w:szCs w:val="18"/>
          <w:color w:val="134A9C"/>
        </w:rPr>
      </w:pPr>
      <w:r>
        <w:rPr>
          <w:rFonts w:ascii="Arial" w:cs="Arial" w:eastAsia="Arial" w:hAnsi="Arial"/>
          <w:sz w:val="18"/>
          <w:szCs w:val="18"/>
          <w:color w:val="auto"/>
        </w:rPr>
        <w:t>Long-term performance stock units ("PSUs"); and</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12"/>
        </w:numPr>
        <w:rPr>
          <w:rFonts w:ascii="Arial" w:cs="Arial" w:eastAsia="Arial" w:hAnsi="Arial"/>
          <w:sz w:val="18"/>
          <w:szCs w:val="18"/>
          <w:color w:val="134A9C"/>
        </w:rPr>
      </w:pPr>
      <w:r>
        <w:rPr>
          <w:rFonts w:ascii="Arial" w:cs="Arial" w:eastAsia="Arial" w:hAnsi="Arial"/>
          <w:sz w:val="18"/>
          <w:szCs w:val="18"/>
          <w:color w:val="auto"/>
        </w:rPr>
        <w:t>Long-term restricted stock units ("RSUs").</w:t>
      </w:r>
    </w:p>
    <w:p>
      <w:pPr>
        <w:spacing w:after="0" w:line="13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that linking pay to the achievement of both short- and long-term goals is an important cornerstone of executive engagement and supports the following objectives that foster the long-term success of the Company and create long-term value for stockholders:</w:t>
      </w:r>
    </w:p>
    <w:p>
      <w:pPr>
        <w:spacing w:after="0" w:line="10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134A9C"/>
        </w:rPr>
      </w:pPr>
      <w:r>
        <w:rPr>
          <w:rFonts w:ascii="Arial" w:cs="Arial" w:eastAsia="Arial" w:hAnsi="Arial"/>
          <w:sz w:val="18"/>
          <w:szCs w:val="18"/>
          <w:color w:val="auto"/>
        </w:rPr>
        <w:t>Link individual and business performance to the long-term interests of our stockholders;</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13"/>
        </w:numPr>
        <w:rPr>
          <w:rFonts w:ascii="Arial" w:cs="Arial" w:eastAsia="Arial" w:hAnsi="Arial"/>
          <w:sz w:val="18"/>
          <w:szCs w:val="18"/>
          <w:color w:val="134A9C"/>
        </w:rPr>
      </w:pPr>
      <w:r>
        <w:rPr>
          <w:rFonts w:ascii="Arial" w:cs="Arial" w:eastAsia="Arial" w:hAnsi="Arial"/>
          <w:sz w:val="18"/>
          <w:szCs w:val="18"/>
          <w:color w:val="auto"/>
        </w:rPr>
        <w:t>Maintain a critical line of sight between Company performance and individual rewards;</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13"/>
        </w:numPr>
        <w:rPr>
          <w:rFonts w:ascii="Arial" w:cs="Arial" w:eastAsia="Arial" w:hAnsi="Arial"/>
          <w:sz w:val="18"/>
          <w:szCs w:val="18"/>
          <w:color w:val="134A9C"/>
        </w:rPr>
      </w:pPr>
      <w:r>
        <w:rPr>
          <w:rFonts w:ascii="Arial" w:cs="Arial" w:eastAsia="Arial" w:hAnsi="Arial"/>
          <w:sz w:val="18"/>
          <w:szCs w:val="18"/>
          <w:color w:val="auto"/>
        </w:rPr>
        <w:t>Support sound compensation policies and governance practices;</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13"/>
        </w:numPr>
        <w:rPr>
          <w:rFonts w:ascii="Arial" w:cs="Arial" w:eastAsia="Arial" w:hAnsi="Arial"/>
          <w:sz w:val="18"/>
          <w:szCs w:val="18"/>
          <w:color w:val="134A9C"/>
        </w:rPr>
      </w:pPr>
      <w:r>
        <w:rPr>
          <w:rFonts w:ascii="Arial" w:cs="Arial" w:eastAsia="Arial" w:hAnsi="Arial"/>
          <w:sz w:val="18"/>
          <w:szCs w:val="18"/>
          <w:color w:val="auto"/>
        </w:rPr>
        <w:t>Mitigate business risk; and</w:t>
      </w:r>
    </w:p>
    <w:p>
      <w:pPr>
        <w:spacing w:after="0" w:line="200" w:lineRule="exact"/>
        <w:rPr>
          <w:sz w:val="20"/>
          <w:szCs w:val="20"/>
          <w:color w:val="auto"/>
        </w:rPr>
      </w:pPr>
    </w:p>
    <w:p>
      <w:pPr>
        <w:spacing w:after="0" w:line="215" w:lineRule="exact"/>
        <w:rPr>
          <w:sz w:val="20"/>
          <w:szCs w:val="20"/>
          <w:color w:val="auto"/>
        </w:rPr>
      </w:pPr>
    </w:p>
    <w:p>
      <w:pPr>
        <w:ind w:left="5740"/>
        <w:spacing w:after="0"/>
        <w:tabs>
          <w:tab w:leader="none" w:pos="9212" w:val="left"/>
        </w:tabs>
        <w:rPr>
          <w:sz w:val="20"/>
          <w:szCs w:val="20"/>
          <w:color w:val="auto"/>
        </w:rPr>
      </w:pPr>
      <w:r>
        <w:rPr>
          <w:rFonts w:ascii="Arial" w:cs="Arial" w:eastAsia="Arial" w:hAnsi="Arial"/>
          <w:sz w:val="18"/>
          <w:szCs w:val="18"/>
          <w:color w:val="auto"/>
        </w:rPr>
        <w:t>4</w:t>
      </w:r>
      <w:r>
        <w:rPr>
          <w:sz w:val="20"/>
          <w:szCs w:val="20"/>
          <w:color w:val="auto"/>
        </w:rPr>
        <w:tab/>
      </w:r>
      <w:r>
        <w:rPr>
          <w:sz w:val="1"/>
          <w:szCs w:val="1"/>
          <w:color w:val="auto"/>
        </w:rPr>
        <w:drawing>
          <wp:inline distT="0" distB="0" distL="0" distR="0">
            <wp:extent cx="120015" cy="1200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495" w:right="239" w:bottom="1440" w:gutter="0" w:footer="0" w:header="0"/>
        </w:sectPr>
      </w:pPr>
    </w:p>
    <w:bookmarkStart w:id="8" w:name="page9"/>
    <w:bookmarkEnd w:id="8"/>
    <w:p>
      <w:pPr>
        <w:ind w:left="8180"/>
        <w:spacing w:after="0"/>
        <w:rPr>
          <w:sz w:val="20"/>
          <w:szCs w:val="20"/>
          <w:color w:val="auto"/>
        </w:rPr>
      </w:pPr>
      <w:r>
        <w:rPr>
          <w:rFonts w:ascii="Arial" w:cs="Arial" w:eastAsia="Arial" w:hAnsi="Arial"/>
          <w:sz w:val="18"/>
          <w:szCs w:val="18"/>
          <w:b w:val="1"/>
          <w:bCs w:val="1"/>
          <w:color w:val="134A9C"/>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134A9C"/>
        </w:rPr>
      </w:pPr>
      <w:r>
        <w:rPr>
          <w:rFonts w:ascii="Arial" w:cs="Arial" w:eastAsia="Arial" w:hAnsi="Arial"/>
          <w:sz w:val="18"/>
          <w:szCs w:val="18"/>
          <w:color w:val="auto"/>
        </w:rPr>
        <w:t>Enhance our ability to attract, retain, and reward critical talent.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33A0"/>
        </w:rPr>
        <w:t>Performance-Based Compensation Structure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NEOs are focused on optimizing long-term financial returns for our stockholders through increasing profitability, putting the customer at the center of everything we do, growing the business, and driving innovation.</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such, following the U.S. Department of the Treasury's (the "UST") sale of its remaining shares of Common Stock in December 2013 and after receiving stockholder approval at the 2014 annual meeting of stockholders of the General Motors Company 2014 Short-Term Incentive Plan (the "STIP") at 96 percent and the General Motors Company 2014 Long-Term Incentive Plan (the "LTIP") at 95 percent, we implemented a more appropriate performance-based compensation structure for our NEOs.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revised structure incorporates both short- and long-term incentives established using financial and operational metrics for fiscal year 2014 and beyond. In addition to base salary, this structure, shown graphically below, includes an annual STIP award and a LTIP award comprised of both PSUs and RSUs to focus our executives on long-term Company performance.</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our CEO, Ms. Barra, 89 percent of the target compensation is pay-at-risk and 69 percent is linked to the performance of Common Stock. For our other NEOs, excluding our former CEO, on average 84 percent of the target compensation is pay-at-risk and 63 percent is linked to the performance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68580</wp:posOffset>
            </wp:positionV>
            <wp:extent cx="3241675" cy="1766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4167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740"/>
        <w:spacing w:after="0"/>
        <w:tabs>
          <w:tab w:leader="none" w:pos="9212" w:val="left"/>
        </w:tabs>
        <w:rPr>
          <w:sz w:val="20"/>
          <w:szCs w:val="20"/>
          <w:color w:val="auto"/>
        </w:rPr>
      </w:pPr>
      <w:r>
        <w:rPr>
          <w:rFonts w:ascii="Arial" w:cs="Arial" w:eastAsia="Arial" w:hAnsi="Arial"/>
          <w:sz w:val="18"/>
          <w:szCs w:val="18"/>
          <w:color w:val="auto"/>
        </w:rPr>
        <w:t>5</w:t>
      </w:r>
      <w:r>
        <w:rPr>
          <w:sz w:val="20"/>
          <w:szCs w:val="20"/>
          <w:color w:val="auto"/>
        </w:rPr>
        <w:tab/>
      </w:r>
      <w:r>
        <w:rPr>
          <w:sz w:val="1"/>
          <w:szCs w:val="1"/>
          <w:color w:val="auto"/>
        </w:rPr>
        <w:drawing>
          <wp:inline distT="0" distB="0" distL="0" distR="0">
            <wp:extent cx="120015" cy="12001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495" w:right="239" w:bottom="1440" w:gutter="0" w:footer="0" w:header="0"/>
        </w:sectPr>
      </w:pPr>
    </w:p>
    <w:bookmarkStart w:id="9" w:name="page10"/>
    <w:bookmarkEnd w:id="9"/>
    <w:p>
      <w:pPr>
        <w:spacing w:after="0" w:line="3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660400" cy="660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60400" cy="660400"/>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134A9C"/>
        </w:rPr>
        <w:t>PROXY STATEMENT</w:t>
      </w:r>
    </w:p>
    <w:p>
      <w:pPr>
        <w:spacing w:after="0" w:line="16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This proxy statement is provided in connection with the solicitation of proxies, by order of the Board of Directors (the "Board of Directors" or "Board") of General Motors Company, to be used at the 2015 annual meeting of stockholders of the Company. The enclosed proxy card or voting instruction form represents your holdings of our Common Stock in the account name shown. We expect that on or after Friday, April 24, 2015, this proxy statement and the enclosed proxy card or voting instruction form will be mailed, and proxy materials will be available by Internet for those stockholders who received a mailed Notice or have previously elected delivery of proxy materials electronically.</w:t>
      </w:r>
    </w:p>
    <w:p>
      <w:pPr>
        <w:spacing w:after="0" w:line="11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addition to this proxy statement and the proxy card or voting instruction form, the GM 2014 Annual Report to stockholders ("Annual Report") is provided in this package and is available through the Internet.</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134A9C"/>
        </w:rPr>
        <w:t>Questions and Answers</w:t>
      </w:r>
    </w:p>
    <w:p>
      <w:pPr>
        <w:spacing w:after="0" w:line="200" w:lineRule="exact"/>
        <w:rPr>
          <w:sz w:val="20"/>
          <w:szCs w:val="20"/>
          <w:color w:val="auto"/>
        </w:rPr>
      </w:pPr>
    </w:p>
    <w:p>
      <w:pPr>
        <w:spacing w:after="0" w:line="253" w:lineRule="exact"/>
        <w:rPr>
          <w:sz w:val="20"/>
          <w:szCs w:val="20"/>
          <w:color w:val="auto"/>
        </w:rPr>
      </w:pPr>
    </w:p>
    <w:p>
      <w:pPr>
        <w:ind w:left="340" w:right="20" w:hanging="332"/>
        <w:spacing w:after="0" w:line="274" w:lineRule="auto"/>
        <w:tabs>
          <w:tab w:leader="none" w:pos="340" w:val="left"/>
        </w:tabs>
        <w:numPr>
          <w:ilvl w:val="0"/>
          <w:numId w:val="15"/>
        </w:numPr>
        <w:rPr>
          <w:rFonts w:ascii="Arial" w:cs="Arial" w:eastAsia="Arial" w:hAnsi="Arial"/>
          <w:sz w:val="22"/>
          <w:szCs w:val="22"/>
          <w:b w:val="1"/>
          <w:bCs w:val="1"/>
          <w:color w:val="134A9C"/>
        </w:rPr>
      </w:pPr>
      <w:r>
        <w:rPr>
          <w:rFonts w:ascii="Arial" w:cs="Arial" w:eastAsia="Arial" w:hAnsi="Arial"/>
          <w:sz w:val="22"/>
          <w:szCs w:val="22"/>
          <w:b w:val="1"/>
          <w:bCs w:val="1"/>
          <w:color w:val="134A9C"/>
        </w:rPr>
        <w:t>How does the Board of Directors recommend that I vote on matters to be considered at the annual meeting?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a vote on the following Agenda Items, which are described in more detail beginning on page 12:</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280" w:type="dxa"/>
            <w:vAlign w:val="bottom"/>
            <w:tcBorders>
              <w:top w:val="single" w:sz="8" w:color="134A9C"/>
              <w:left w:val="single" w:sz="8" w:color="134A9C"/>
              <w:right w:val="single" w:sz="8" w:color="999999"/>
            </w:tcBorders>
            <w:shd w:val="clear" w:color="auto" w:fill="134A9C"/>
          </w:tcPr>
          <w:p>
            <w:pPr>
              <w:jc w:val="right"/>
              <w:ind w:right="139"/>
              <w:spacing w:after="0"/>
              <w:rPr>
                <w:sz w:val="20"/>
                <w:szCs w:val="20"/>
                <w:color w:val="auto"/>
              </w:rPr>
            </w:pPr>
            <w:r>
              <w:rPr>
                <w:rFonts w:ascii="Arial" w:cs="Arial" w:eastAsia="Arial" w:hAnsi="Arial"/>
                <w:sz w:val="16"/>
                <w:szCs w:val="16"/>
                <w:b w:val="1"/>
                <w:bCs w:val="1"/>
                <w:color w:val="FFFFFF"/>
              </w:rPr>
              <w:t>Agenda</w:t>
            </w:r>
          </w:p>
        </w:tc>
        <w:tc>
          <w:tcPr>
            <w:tcW w:w="6740" w:type="dxa"/>
            <w:vAlign w:val="bottom"/>
            <w:tcBorders>
              <w:top w:val="single" w:sz="8" w:color="134A9C"/>
              <w:right w:val="single" w:sz="8" w:color="134A9C"/>
            </w:tcBorders>
            <w:shd w:val="clear" w:color="auto" w:fill="134A9C"/>
          </w:tcPr>
          <w:p>
            <w:pPr>
              <w:spacing w:after="0"/>
              <w:rPr>
                <w:sz w:val="18"/>
                <w:szCs w:val="18"/>
                <w:color w:val="auto"/>
              </w:rPr>
            </w:pPr>
          </w:p>
        </w:tc>
        <w:tc>
          <w:tcPr>
            <w:tcW w:w="3420" w:type="dxa"/>
            <w:vAlign w:val="bottom"/>
            <w:tcBorders>
              <w:top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6"/>
                <w:szCs w:val="16"/>
                <w:b w:val="1"/>
                <w:bCs w:val="1"/>
                <w:color w:val="FFFFFF"/>
                <w:w w:val="99"/>
              </w:rPr>
              <w:t>Board Voting</w:t>
            </w:r>
          </w:p>
        </w:tc>
        <w:tc>
          <w:tcPr>
            <w:tcW w:w="0" w:type="dxa"/>
            <w:vAlign w:val="bottom"/>
          </w:tcPr>
          <w:p>
            <w:pPr>
              <w:spacing w:after="0"/>
              <w:rPr>
                <w:sz w:val="1"/>
                <w:szCs w:val="1"/>
                <w:color w:val="auto"/>
              </w:rPr>
            </w:pPr>
          </w:p>
        </w:tc>
      </w:tr>
      <w:tr>
        <w:trPr>
          <w:trHeight w:val="228"/>
        </w:trPr>
        <w:tc>
          <w:tcPr>
            <w:tcW w:w="1280" w:type="dxa"/>
            <w:vAlign w:val="bottom"/>
            <w:tcBorders>
              <w:left w:val="single" w:sz="8" w:color="134A9C"/>
              <w:bottom w:val="single" w:sz="8" w:color="134A9C"/>
              <w:right w:val="single" w:sz="8" w:color="999999"/>
            </w:tcBorders>
            <w:shd w:val="clear" w:color="auto" w:fill="134A9C"/>
          </w:tcPr>
          <w:p>
            <w:pPr>
              <w:jc w:val="right"/>
              <w:ind w:right="359"/>
              <w:spacing w:after="0"/>
              <w:rPr>
                <w:sz w:val="20"/>
                <w:szCs w:val="20"/>
                <w:color w:val="auto"/>
              </w:rPr>
            </w:pPr>
            <w:r>
              <w:rPr>
                <w:rFonts w:ascii="Arial" w:cs="Arial" w:eastAsia="Arial" w:hAnsi="Arial"/>
                <w:sz w:val="16"/>
                <w:szCs w:val="16"/>
                <w:b w:val="1"/>
                <w:bCs w:val="1"/>
                <w:color w:val="FFFFFF"/>
              </w:rPr>
              <w:t>Item</w:t>
            </w:r>
          </w:p>
        </w:tc>
        <w:tc>
          <w:tcPr>
            <w:tcW w:w="6740" w:type="dxa"/>
            <w:vAlign w:val="bottom"/>
            <w:tcBorders>
              <w:bottom w:val="single" w:sz="8" w:color="134A9C"/>
              <w:right w:val="single" w:sz="8" w:color="134A9C"/>
            </w:tcBorders>
            <w:shd w:val="clear" w:color="auto" w:fill="134A9C"/>
          </w:tcPr>
          <w:p>
            <w:pPr>
              <w:ind w:left="2920"/>
              <w:spacing w:after="0"/>
              <w:rPr>
                <w:sz w:val="20"/>
                <w:szCs w:val="20"/>
                <w:color w:val="auto"/>
              </w:rPr>
            </w:pPr>
            <w:r>
              <w:rPr>
                <w:rFonts w:ascii="Arial" w:cs="Arial" w:eastAsia="Arial" w:hAnsi="Arial"/>
                <w:sz w:val="16"/>
                <w:szCs w:val="16"/>
                <w:b w:val="1"/>
                <w:bCs w:val="1"/>
                <w:color w:val="FFFFFF"/>
              </w:rPr>
              <w:t>Description</w:t>
            </w:r>
          </w:p>
        </w:tc>
        <w:tc>
          <w:tcPr>
            <w:tcW w:w="342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6"/>
                <w:szCs w:val="16"/>
                <w:b w:val="1"/>
                <w:bCs w:val="1"/>
                <w:color w:val="FFFFFF"/>
              </w:rPr>
              <w:t>Recommendation</w:t>
            </w:r>
          </w:p>
        </w:tc>
        <w:tc>
          <w:tcPr>
            <w:tcW w:w="0" w:type="dxa"/>
            <w:vAlign w:val="bottom"/>
          </w:tcPr>
          <w:p>
            <w:pPr>
              <w:spacing w:after="0"/>
              <w:rPr>
                <w:sz w:val="1"/>
                <w:szCs w:val="1"/>
                <w:color w:val="auto"/>
              </w:rPr>
            </w:pPr>
          </w:p>
        </w:tc>
      </w:tr>
      <w:tr>
        <w:trPr>
          <w:trHeight w:val="237"/>
        </w:trPr>
        <w:tc>
          <w:tcPr>
            <w:tcW w:w="1280" w:type="dxa"/>
            <w:vAlign w:val="bottom"/>
            <w:tcBorders>
              <w:left w:val="single" w:sz="8" w:color="134A9C"/>
              <w:bottom w:val="single" w:sz="8" w:color="134A9C"/>
              <w:right w:val="single" w:sz="8" w:color="134A9C"/>
            </w:tcBorders>
          </w:tcPr>
          <w:p>
            <w:pPr>
              <w:jc w:val="right"/>
              <w:ind w:right="519"/>
              <w:spacing w:after="0"/>
              <w:rPr>
                <w:sz w:val="20"/>
                <w:szCs w:val="20"/>
                <w:color w:val="auto"/>
              </w:rPr>
            </w:pPr>
            <w:r>
              <w:rPr>
                <w:rFonts w:ascii="Arial" w:cs="Arial" w:eastAsia="Arial" w:hAnsi="Arial"/>
                <w:sz w:val="16"/>
                <w:szCs w:val="16"/>
                <w:b w:val="1"/>
                <w:bCs w:val="1"/>
                <w:color w:val="134A9C"/>
              </w:rPr>
              <w:t>1</w:t>
            </w:r>
          </w:p>
        </w:tc>
        <w:tc>
          <w:tcPr>
            <w:tcW w:w="674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6"/>
                <w:szCs w:val="16"/>
                <w:color w:val="auto"/>
              </w:rPr>
              <w:t>Election of directors</w:t>
            </w:r>
          </w:p>
        </w:tc>
        <w:tc>
          <w:tcPr>
            <w:tcW w:w="342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6"/>
                <w:szCs w:val="16"/>
                <w:b w:val="1"/>
                <w:bCs w:val="1"/>
                <w:color w:val="134A9C"/>
              </w:rPr>
              <w:t>FOR ALL</w:t>
            </w:r>
          </w:p>
        </w:tc>
        <w:tc>
          <w:tcPr>
            <w:tcW w:w="0" w:type="dxa"/>
            <w:vAlign w:val="bottom"/>
          </w:tcPr>
          <w:p>
            <w:pPr>
              <w:spacing w:after="0"/>
              <w:rPr>
                <w:sz w:val="1"/>
                <w:szCs w:val="1"/>
                <w:color w:val="auto"/>
              </w:rPr>
            </w:pPr>
          </w:p>
        </w:tc>
      </w:tr>
      <w:tr>
        <w:trPr>
          <w:trHeight w:val="218"/>
        </w:trPr>
        <w:tc>
          <w:tcPr>
            <w:tcW w:w="1280" w:type="dxa"/>
            <w:vAlign w:val="bottom"/>
            <w:tcBorders>
              <w:left w:val="single" w:sz="8" w:color="134A9C"/>
              <w:right w:val="single" w:sz="8" w:color="134A9C"/>
            </w:tcBorders>
          </w:tcPr>
          <w:p>
            <w:pPr>
              <w:jc w:val="right"/>
              <w:ind w:right="519"/>
              <w:spacing w:after="0"/>
              <w:rPr>
                <w:sz w:val="20"/>
                <w:szCs w:val="20"/>
                <w:color w:val="auto"/>
              </w:rPr>
            </w:pPr>
            <w:r>
              <w:rPr>
                <w:rFonts w:ascii="Arial" w:cs="Arial" w:eastAsia="Arial" w:hAnsi="Arial"/>
                <w:sz w:val="16"/>
                <w:szCs w:val="16"/>
                <w:b w:val="1"/>
                <w:bCs w:val="1"/>
                <w:color w:val="134A9C"/>
              </w:rPr>
              <w:t>2</w:t>
            </w:r>
          </w:p>
        </w:tc>
        <w:tc>
          <w:tcPr>
            <w:tcW w:w="6740" w:type="dxa"/>
            <w:vAlign w:val="bottom"/>
            <w:tcBorders>
              <w:right w:val="single" w:sz="8" w:color="134A9C"/>
            </w:tcBorders>
          </w:tcPr>
          <w:p>
            <w:pPr>
              <w:ind w:left="20"/>
              <w:spacing w:after="0"/>
              <w:rPr>
                <w:sz w:val="20"/>
                <w:szCs w:val="20"/>
                <w:color w:val="auto"/>
              </w:rPr>
            </w:pPr>
            <w:r>
              <w:rPr>
                <w:rFonts w:ascii="Arial" w:cs="Arial" w:eastAsia="Arial" w:hAnsi="Arial"/>
                <w:sz w:val="16"/>
                <w:szCs w:val="16"/>
                <w:color w:val="auto"/>
              </w:rPr>
              <w:t>Ratification of the selection of Deloitte &amp; Touche LLP as the Company's independent</w:t>
            </w:r>
          </w:p>
        </w:tc>
        <w:tc>
          <w:tcPr>
            <w:tcW w:w="3420" w:type="dxa"/>
            <w:vAlign w:val="bottom"/>
            <w:tcBorders>
              <w:right w:val="single" w:sz="8" w:color="134A9C"/>
            </w:tcBorders>
            <w:vMerge w:val="restart"/>
          </w:tcPr>
          <w:p>
            <w:pPr>
              <w:jc w:val="center"/>
              <w:spacing w:after="0"/>
              <w:rPr>
                <w:sz w:val="20"/>
                <w:szCs w:val="20"/>
                <w:color w:val="auto"/>
              </w:rPr>
            </w:pPr>
            <w:r>
              <w:rPr>
                <w:rFonts w:ascii="Arial" w:cs="Arial" w:eastAsia="Arial" w:hAnsi="Arial"/>
                <w:sz w:val="16"/>
                <w:szCs w:val="16"/>
                <w:b w:val="1"/>
                <w:bCs w:val="1"/>
                <w:color w:val="134A9C"/>
              </w:rPr>
              <w:t>FOR</w:t>
            </w:r>
          </w:p>
        </w:tc>
        <w:tc>
          <w:tcPr>
            <w:tcW w:w="0" w:type="dxa"/>
            <w:vAlign w:val="bottom"/>
          </w:tcPr>
          <w:p>
            <w:pPr>
              <w:spacing w:after="0"/>
              <w:rPr>
                <w:sz w:val="1"/>
                <w:szCs w:val="1"/>
                <w:color w:val="auto"/>
              </w:rPr>
            </w:pPr>
          </w:p>
        </w:tc>
      </w:tr>
      <w:tr>
        <w:trPr>
          <w:trHeight w:val="208"/>
        </w:trPr>
        <w:tc>
          <w:tcPr>
            <w:tcW w:w="1280" w:type="dxa"/>
            <w:vAlign w:val="bottom"/>
            <w:tcBorders>
              <w:left w:val="single" w:sz="8" w:color="134A9C"/>
              <w:bottom w:val="single" w:sz="8" w:color="134A9C"/>
              <w:right w:val="single" w:sz="8" w:color="134A9C"/>
            </w:tcBorders>
          </w:tcPr>
          <w:p>
            <w:pPr>
              <w:spacing w:after="0"/>
              <w:rPr>
                <w:sz w:val="18"/>
                <w:szCs w:val="18"/>
                <w:color w:val="auto"/>
              </w:rPr>
            </w:pPr>
          </w:p>
        </w:tc>
        <w:tc>
          <w:tcPr>
            <w:tcW w:w="674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6"/>
                <w:szCs w:val="16"/>
                <w:color w:val="auto"/>
              </w:rPr>
              <w:t>registered public accounting firm for 2015</w:t>
            </w:r>
          </w:p>
        </w:tc>
        <w:tc>
          <w:tcPr>
            <w:tcW w:w="3420" w:type="dxa"/>
            <w:vAlign w:val="bottom"/>
            <w:tcBorders>
              <w:bottom w:val="single" w:sz="8" w:color="134A9C"/>
              <w:right w:val="single" w:sz="8" w:color="134A9C"/>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134A9C"/>
              <w:bottom w:val="single" w:sz="8" w:color="134A9C"/>
              <w:right w:val="single" w:sz="8" w:color="134A9C"/>
            </w:tcBorders>
          </w:tcPr>
          <w:p>
            <w:pPr>
              <w:jc w:val="right"/>
              <w:ind w:right="519"/>
              <w:spacing w:after="0"/>
              <w:rPr>
                <w:sz w:val="20"/>
                <w:szCs w:val="20"/>
                <w:color w:val="auto"/>
              </w:rPr>
            </w:pPr>
            <w:r>
              <w:rPr>
                <w:rFonts w:ascii="Arial" w:cs="Arial" w:eastAsia="Arial" w:hAnsi="Arial"/>
                <w:sz w:val="16"/>
                <w:szCs w:val="16"/>
                <w:b w:val="1"/>
                <w:bCs w:val="1"/>
                <w:color w:val="134A9C"/>
              </w:rPr>
              <w:t>3</w:t>
            </w:r>
          </w:p>
        </w:tc>
        <w:tc>
          <w:tcPr>
            <w:tcW w:w="674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6"/>
                <w:szCs w:val="16"/>
                <w:color w:val="auto"/>
              </w:rPr>
              <w:t>Advisory vote to approve executive compensation</w:t>
            </w:r>
          </w:p>
        </w:tc>
        <w:tc>
          <w:tcPr>
            <w:tcW w:w="342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6"/>
                <w:szCs w:val="16"/>
                <w:b w:val="1"/>
                <w:bCs w:val="1"/>
                <w:color w:val="134A9C"/>
              </w:rPr>
              <w:t>FOR</w:t>
            </w:r>
          </w:p>
        </w:tc>
        <w:tc>
          <w:tcPr>
            <w:tcW w:w="0" w:type="dxa"/>
            <w:vAlign w:val="bottom"/>
          </w:tcPr>
          <w:p>
            <w:pPr>
              <w:spacing w:after="0"/>
              <w:rPr>
                <w:sz w:val="1"/>
                <w:szCs w:val="1"/>
                <w:color w:val="auto"/>
              </w:rPr>
            </w:pPr>
          </w:p>
        </w:tc>
      </w:tr>
      <w:tr>
        <w:trPr>
          <w:trHeight w:val="237"/>
        </w:trPr>
        <w:tc>
          <w:tcPr>
            <w:tcW w:w="1280" w:type="dxa"/>
            <w:vAlign w:val="bottom"/>
            <w:tcBorders>
              <w:left w:val="single" w:sz="8" w:color="134A9C"/>
              <w:bottom w:val="single" w:sz="8" w:color="134A9C"/>
              <w:right w:val="single" w:sz="8" w:color="134A9C"/>
            </w:tcBorders>
          </w:tcPr>
          <w:p>
            <w:pPr>
              <w:jc w:val="right"/>
              <w:ind w:right="519"/>
              <w:spacing w:after="0"/>
              <w:rPr>
                <w:sz w:val="20"/>
                <w:szCs w:val="20"/>
                <w:color w:val="auto"/>
              </w:rPr>
            </w:pPr>
            <w:r>
              <w:rPr>
                <w:rFonts w:ascii="Arial" w:cs="Arial" w:eastAsia="Arial" w:hAnsi="Arial"/>
                <w:sz w:val="16"/>
                <w:szCs w:val="16"/>
                <w:b w:val="1"/>
                <w:bCs w:val="1"/>
                <w:color w:val="134A9C"/>
              </w:rPr>
              <w:t>4</w:t>
            </w:r>
          </w:p>
        </w:tc>
        <w:tc>
          <w:tcPr>
            <w:tcW w:w="674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6"/>
                <w:szCs w:val="16"/>
                <w:color w:val="auto"/>
              </w:rPr>
              <w:t>Stockholder proposal regarding independent board chairman</w:t>
            </w:r>
          </w:p>
        </w:tc>
        <w:tc>
          <w:tcPr>
            <w:tcW w:w="342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6"/>
                <w:szCs w:val="16"/>
                <w:b w:val="1"/>
                <w:bCs w:val="1"/>
                <w:color w:val="134A9C"/>
                <w:w w:val="99"/>
              </w:rPr>
              <w:t>AGAINST</w:t>
            </w:r>
          </w:p>
        </w:tc>
        <w:tc>
          <w:tcPr>
            <w:tcW w:w="0" w:type="dxa"/>
            <w:vAlign w:val="bottom"/>
          </w:tcPr>
          <w:p>
            <w:pPr>
              <w:spacing w:after="0"/>
              <w:rPr>
                <w:sz w:val="1"/>
                <w:szCs w:val="1"/>
                <w:color w:val="auto"/>
              </w:rPr>
            </w:pPr>
          </w:p>
        </w:tc>
      </w:tr>
      <w:tr>
        <w:trPr>
          <w:trHeight w:val="237"/>
        </w:trPr>
        <w:tc>
          <w:tcPr>
            <w:tcW w:w="1280" w:type="dxa"/>
            <w:vAlign w:val="bottom"/>
            <w:tcBorders>
              <w:left w:val="single" w:sz="8" w:color="134A9C"/>
              <w:bottom w:val="single" w:sz="8" w:color="134A9C"/>
              <w:right w:val="single" w:sz="8" w:color="134A9C"/>
            </w:tcBorders>
          </w:tcPr>
          <w:p>
            <w:pPr>
              <w:jc w:val="right"/>
              <w:ind w:right="519"/>
              <w:spacing w:after="0"/>
              <w:rPr>
                <w:sz w:val="20"/>
                <w:szCs w:val="20"/>
                <w:color w:val="auto"/>
              </w:rPr>
            </w:pPr>
            <w:r>
              <w:rPr>
                <w:rFonts w:ascii="Arial" w:cs="Arial" w:eastAsia="Arial" w:hAnsi="Arial"/>
                <w:sz w:val="16"/>
                <w:szCs w:val="16"/>
                <w:b w:val="1"/>
                <w:bCs w:val="1"/>
                <w:color w:val="134A9C"/>
              </w:rPr>
              <w:t>5</w:t>
            </w:r>
          </w:p>
        </w:tc>
        <w:tc>
          <w:tcPr>
            <w:tcW w:w="674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6"/>
                <w:szCs w:val="16"/>
                <w:color w:val="auto"/>
              </w:rPr>
              <w:t>Stockholder proposal regarding cumulative voting</w:t>
            </w:r>
          </w:p>
        </w:tc>
        <w:tc>
          <w:tcPr>
            <w:tcW w:w="342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6"/>
                <w:szCs w:val="16"/>
                <w:b w:val="1"/>
                <w:bCs w:val="1"/>
                <w:color w:val="134A9C"/>
                <w:w w:val="99"/>
              </w:rPr>
              <w:t>AGAINST</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2. Are there any other matters to be voted upon at the annual meeting?</w:t>
      </w:r>
    </w:p>
    <w:p>
      <w:pPr>
        <w:spacing w:after="0" w:line="76"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do not know of any matters to be voted on by stockholders at the annual meeting other than those included in this proxy statement. Your executed proxy gives the Proxy Committee authority to vote your shares in accordance with its best judgment with respect to any other matter that may properly come before the stockholders at the annual meeting in accordance with Rule 14a-4(c) of the SEC's proxy rules, and the Proxy Committee intends to exercise its judgment accordingly in such circumstances. The Proxy Committee is composed of the following executive officers of the Company: Mary T. Barra, Daniel Ammann, and Charles K. Stevens, III</w:t>
      </w:r>
      <w:r>
        <w:rPr>
          <w:rFonts w:ascii="Arial" w:cs="Arial" w:eastAsia="Arial" w:hAnsi="Arial"/>
          <w:sz w:val="18"/>
          <w:szCs w:val="18"/>
          <w:b w:val="1"/>
          <w:bCs w:val="1"/>
          <w:color w:val="auto"/>
        </w:rPr>
        <w:t>,</w:t>
      </w:r>
      <w:r>
        <w:rPr>
          <w:rFonts w:ascii="Arial" w:cs="Arial" w:eastAsia="Arial" w:hAnsi="Arial"/>
          <w:sz w:val="18"/>
          <w:szCs w:val="18"/>
          <w:color w:val="auto"/>
        </w:rPr>
        <w:t xml:space="preserve"> each of whom is authorized to act on behalf of the Proxy Committee.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3. Who is entitled to vote?</w:t>
      </w:r>
    </w:p>
    <w:p>
      <w:pPr>
        <w:spacing w:after="0" w:line="7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Holders of record of our Common Stock as of the close of business on April 10, 2015 are entitled to vote at the annual meeting. On that date, the Company had 1,609,952,465 shares of Common Stock outstanding and entitled to vote. Each share of our Common Stock entitles the holder to one vote.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4. How do I vote without attending the annual meeting?</w:t>
      </w:r>
    </w:p>
    <w:p>
      <w:pPr>
        <w:spacing w:after="0" w:line="7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When you timely submit your proxy or voting instructions in the proper form, your shares will be voted according to your instructions. You may give instructions to vote for or against, or abstain from voting for the election of all the Board of Directors’ nominees or any individual nominee and to vote for or against, or abstain from voting upon, each of the other matters submitted for voting. If you sign, date, and return the proxy card or</w:t>
      </w:r>
    </w:p>
    <w:p>
      <w:pPr>
        <w:spacing w:after="0" w:line="394" w:lineRule="exact"/>
        <w:rPr>
          <w:sz w:val="20"/>
          <w:szCs w:val="20"/>
          <w:color w:val="auto"/>
        </w:rPr>
      </w:pPr>
    </w:p>
    <w:p>
      <w:pPr>
        <w:ind w:left="5740"/>
        <w:spacing w:after="0"/>
        <w:tabs>
          <w:tab w:leader="none" w:pos="9212" w:val="left"/>
        </w:tabs>
        <w:rPr>
          <w:sz w:val="20"/>
          <w:szCs w:val="20"/>
          <w:color w:val="auto"/>
        </w:rPr>
      </w:pPr>
      <w:r>
        <w:rPr>
          <w:rFonts w:ascii="Arial" w:cs="Arial" w:eastAsia="Arial" w:hAnsi="Arial"/>
          <w:sz w:val="18"/>
          <w:szCs w:val="18"/>
          <w:color w:val="auto"/>
        </w:rPr>
        <w:t>6</w:t>
      </w:r>
      <w:r>
        <w:rPr>
          <w:sz w:val="20"/>
          <w:szCs w:val="20"/>
          <w:color w:val="auto"/>
        </w:rPr>
        <w:tab/>
      </w:r>
      <w:r>
        <w:rPr>
          <w:sz w:val="1"/>
          <w:szCs w:val="1"/>
          <w:color w:val="auto"/>
        </w:rPr>
        <w:drawing>
          <wp:inline distT="0" distB="0" distL="0" distR="0">
            <wp:extent cx="120015" cy="12001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1440" w:right="219" w:bottom="1440" w:gutter="0" w:footer="0" w:header="0"/>
        </w:sectPr>
      </w:pPr>
    </w:p>
    <w:bookmarkStart w:id="10" w:name="page11"/>
    <w:bookmarkEnd w:id="10"/>
    <w:p>
      <w:pPr>
        <w:ind w:left="8400"/>
        <w:spacing w:after="0"/>
        <w:rPr>
          <w:sz w:val="20"/>
          <w:szCs w:val="20"/>
          <w:color w:val="auto"/>
        </w:rPr>
      </w:pPr>
      <w:r>
        <w:rPr>
          <w:rFonts w:ascii="Arial" w:cs="Arial" w:eastAsia="Arial" w:hAnsi="Arial"/>
          <w:sz w:val="18"/>
          <w:szCs w:val="18"/>
          <w:b w:val="1"/>
          <w:bCs w:val="1"/>
          <w:color w:val="134A9C"/>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voting instruction form without specifying how you wish to cast your vote, your shares will be voted according to the recommendations of the Board of Directors, as indicated in this proxy statement. Internet and telephone voting is available 24 hours a day, through 11:59 p.m. Eastern Time on </w:t>
      </w:r>
      <w:r>
        <w:rPr>
          <w:rFonts w:ascii="Arial" w:cs="Arial" w:eastAsia="Arial" w:hAnsi="Arial"/>
          <w:sz w:val="18"/>
          <w:szCs w:val="18"/>
          <w:b w:val="1"/>
          <w:bCs w:val="1"/>
          <w:color w:val="auto"/>
        </w:rPr>
        <w:t>Monday, June 8, 2015.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Stockholders may vote their proxy in any one of the following ways:</w:t>
      </w:r>
    </w:p>
    <w:p>
      <w:pPr>
        <w:spacing w:after="0" w:line="109" w:lineRule="exact"/>
        <w:rPr>
          <w:sz w:val="20"/>
          <w:szCs w:val="20"/>
          <w:color w:val="auto"/>
        </w:rPr>
      </w:pPr>
    </w:p>
    <w:p>
      <w:pPr>
        <w:jc w:val="both"/>
        <w:ind w:left="340" w:hanging="332"/>
        <w:spacing w:after="0" w:line="256" w:lineRule="auto"/>
        <w:tabs>
          <w:tab w:leader="none" w:pos="340" w:val="left"/>
        </w:tabs>
        <w:numPr>
          <w:ilvl w:val="0"/>
          <w:numId w:val="16"/>
        </w:numPr>
        <w:rPr>
          <w:rFonts w:ascii="Arial" w:cs="Arial" w:eastAsia="Arial" w:hAnsi="Arial"/>
          <w:sz w:val="18"/>
          <w:szCs w:val="18"/>
          <w:b w:val="1"/>
          <w:bCs w:val="1"/>
          <w:color w:val="134A9C"/>
        </w:rPr>
      </w:pPr>
      <w:r>
        <w:rPr>
          <w:rFonts w:ascii="Arial" w:cs="Arial" w:eastAsia="Arial" w:hAnsi="Arial"/>
          <w:sz w:val="18"/>
          <w:szCs w:val="18"/>
          <w:b w:val="1"/>
          <w:bCs w:val="1"/>
          <w:i w:val="1"/>
          <w:iCs w:val="1"/>
          <w:color w:val="134A9C"/>
        </w:rPr>
        <w:t xml:space="preserve">If you received a paper copy of proxy materials: </w:t>
      </w:r>
      <w:r>
        <w:rPr>
          <w:rFonts w:ascii="Arial" w:cs="Arial" w:eastAsia="Arial" w:hAnsi="Arial"/>
          <w:sz w:val="18"/>
          <w:szCs w:val="18"/>
          <w:color w:val="000000"/>
        </w:rPr>
        <w:t>To vote by Internet or telephone, you should follow the instructions provided on the</w:t>
      </w:r>
      <w:r>
        <w:rPr>
          <w:rFonts w:ascii="Arial" w:cs="Arial" w:eastAsia="Arial" w:hAnsi="Arial"/>
          <w:sz w:val="18"/>
          <w:szCs w:val="18"/>
          <w:b w:val="1"/>
          <w:bCs w:val="1"/>
          <w:i w:val="1"/>
          <w:iCs w:val="1"/>
          <w:color w:val="134A9C"/>
        </w:rPr>
        <w:t xml:space="preserve"> </w:t>
      </w:r>
      <w:r>
        <w:rPr>
          <w:rFonts w:ascii="Arial" w:cs="Arial" w:eastAsia="Arial" w:hAnsi="Arial"/>
          <w:sz w:val="18"/>
          <w:szCs w:val="18"/>
          <w:color w:val="000000"/>
        </w:rPr>
        <w:t>proxy card or voting instruction form enclosed with the proxy materials. To vote by mail, mark, sign, date, and return the proxy card or voting instruction form. We encourage you to mark, sign, date, and mail the proxy card or voting instruction form included with the proxy materials and return it in time to be received before the date of the annual meeting. If you hold your shares in multiple accounts or registrations, you will receive a proxy card or voting instruction form for each account. Please mark, sign, date, and return all proxy cards or voting instruction forms you receive. If you choose to vote by phone or by the Internet, please vote once for each proxy card or voting instruction form you receive, and you do not need to mail your proxy card or voting instruction form.</w:t>
      </w:r>
    </w:p>
    <w:p>
      <w:pPr>
        <w:spacing w:after="0" w:line="21" w:lineRule="exact"/>
        <w:rPr>
          <w:rFonts w:ascii="Arial" w:cs="Arial" w:eastAsia="Arial" w:hAnsi="Arial"/>
          <w:sz w:val="18"/>
          <w:szCs w:val="18"/>
          <w:b w:val="1"/>
          <w:bCs w:val="1"/>
          <w:color w:val="134A9C"/>
        </w:rPr>
      </w:pPr>
    </w:p>
    <w:p>
      <w:pPr>
        <w:jc w:val="both"/>
        <w:ind w:left="340" w:hanging="332"/>
        <w:spacing w:after="0" w:line="259" w:lineRule="auto"/>
        <w:tabs>
          <w:tab w:leader="none" w:pos="340" w:val="left"/>
        </w:tabs>
        <w:numPr>
          <w:ilvl w:val="0"/>
          <w:numId w:val="16"/>
        </w:numPr>
        <w:rPr>
          <w:rFonts w:ascii="Arial" w:cs="Arial" w:eastAsia="Arial" w:hAnsi="Arial"/>
          <w:sz w:val="18"/>
          <w:szCs w:val="18"/>
          <w:b w:val="1"/>
          <w:bCs w:val="1"/>
          <w:color w:val="134A9C"/>
        </w:rPr>
      </w:pPr>
      <w:r>
        <w:rPr>
          <w:rFonts w:ascii="Arial" w:cs="Arial" w:eastAsia="Arial" w:hAnsi="Arial"/>
          <w:sz w:val="18"/>
          <w:szCs w:val="18"/>
          <w:b w:val="1"/>
          <w:bCs w:val="1"/>
          <w:i w:val="1"/>
          <w:iCs w:val="1"/>
          <w:color w:val="134A9C"/>
        </w:rPr>
        <w:t xml:space="preserve">If you received a mailed Notice: </w:t>
      </w:r>
      <w:r>
        <w:rPr>
          <w:rFonts w:ascii="Arial" w:cs="Arial" w:eastAsia="Arial" w:hAnsi="Arial"/>
          <w:sz w:val="18"/>
          <w:szCs w:val="18"/>
          <w:color w:val="000000"/>
        </w:rPr>
        <w:t>You may access and review the proxy statement and Annual Report on the Internet and submit your vote</w:t>
      </w:r>
      <w:r>
        <w:rPr>
          <w:rFonts w:ascii="Arial" w:cs="Arial" w:eastAsia="Arial" w:hAnsi="Arial"/>
          <w:sz w:val="18"/>
          <w:szCs w:val="18"/>
          <w:b w:val="1"/>
          <w:bCs w:val="1"/>
          <w:i w:val="1"/>
          <w:iCs w:val="1"/>
          <w:color w:val="134A9C"/>
        </w:rPr>
        <w:t xml:space="preserve"> </w:t>
      </w:r>
      <w:r>
        <w:rPr>
          <w:rFonts w:ascii="Arial" w:cs="Arial" w:eastAsia="Arial" w:hAnsi="Arial"/>
          <w:sz w:val="18"/>
          <w:szCs w:val="18"/>
          <w:color w:val="000000"/>
        </w:rPr>
        <w:t>by Internet or telephone by following the instructions provided in the Notice or on the website indicated in the Notice. If you prefer to vote by mail, you must request a paper copy of the proxy materials and follow the instructions on the proxy card or voting instruction form included with the proxy materials. We encourage you to mark, sign, date, and mail the proxy card or voting instruction form and return it in the enclosed postage-paid envelope in time to be received before the date of the annual meeting.</w:t>
      </w:r>
    </w:p>
    <w:p>
      <w:pPr>
        <w:spacing w:after="0" w:line="17" w:lineRule="exact"/>
        <w:rPr>
          <w:rFonts w:ascii="Arial" w:cs="Arial" w:eastAsia="Arial" w:hAnsi="Arial"/>
          <w:sz w:val="18"/>
          <w:szCs w:val="18"/>
          <w:b w:val="1"/>
          <w:bCs w:val="1"/>
          <w:color w:val="134A9C"/>
        </w:rPr>
      </w:pPr>
    </w:p>
    <w:p>
      <w:pPr>
        <w:ind w:left="340" w:hanging="332"/>
        <w:spacing w:after="0" w:line="287" w:lineRule="auto"/>
        <w:tabs>
          <w:tab w:leader="none" w:pos="340" w:val="left"/>
        </w:tabs>
        <w:numPr>
          <w:ilvl w:val="0"/>
          <w:numId w:val="16"/>
        </w:numPr>
        <w:rPr>
          <w:rFonts w:ascii="Arial" w:cs="Arial" w:eastAsia="Arial" w:hAnsi="Arial"/>
          <w:sz w:val="18"/>
          <w:szCs w:val="18"/>
          <w:b w:val="1"/>
          <w:bCs w:val="1"/>
          <w:color w:val="134A9C"/>
        </w:rPr>
      </w:pPr>
      <w:r>
        <w:rPr>
          <w:rFonts w:ascii="Arial" w:cs="Arial" w:eastAsia="Arial" w:hAnsi="Arial"/>
          <w:sz w:val="18"/>
          <w:szCs w:val="18"/>
          <w:b w:val="1"/>
          <w:bCs w:val="1"/>
          <w:i w:val="1"/>
          <w:iCs w:val="1"/>
          <w:color w:val="134A9C"/>
        </w:rPr>
        <w:t>If you received the proxy materials electronically via e-mail</w:t>
      </w:r>
      <w:r>
        <w:rPr>
          <w:rFonts w:ascii="Arial" w:cs="Arial" w:eastAsia="Arial" w:hAnsi="Arial"/>
          <w:sz w:val="18"/>
          <w:szCs w:val="18"/>
          <w:b w:val="1"/>
          <w:bCs w:val="1"/>
          <w:color w:val="134A9C"/>
        </w:rPr>
        <w:t>:</w:t>
      </w:r>
      <w:r>
        <w:rPr>
          <w:rFonts w:ascii="Arial" w:cs="Arial" w:eastAsia="Arial" w:hAnsi="Arial"/>
          <w:sz w:val="18"/>
          <w:szCs w:val="18"/>
          <w:b w:val="1"/>
          <w:bCs w:val="1"/>
          <w:i w:val="1"/>
          <w:iCs w:val="1"/>
          <w:color w:val="134A9C"/>
        </w:rPr>
        <w:t xml:space="preserve"> </w:t>
      </w:r>
      <w:r>
        <w:rPr>
          <w:rFonts w:ascii="Arial" w:cs="Arial" w:eastAsia="Arial" w:hAnsi="Arial"/>
          <w:sz w:val="18"/>
          <w:szCs w:val="18"/>
          <w:color w:val="000000"/>
        </w:rPr>
        <w:t>You may access and review the proxy statement and Annual Report on</w:t>
      </w:r>
      <w:r>
        <w:rPr>
          <w:rFonts w:ascii="Arial" w:cs="Arial" w:eastAsia="Arial" w:hAnsi="Arial"/>
          <w:sz w:val="18"/>
          <w:szCs w:val="18"/>
          <w:b w:val="1"/>
          <w:bCs w:val="1"/>
          <w:i w:val="1"/>
          <w:iCs w:val="1"/>
          <w:color w:val="134A9C"/>
        </w:rPr>
        <w:t xml:space="preserve"> </w:t>
      </w:r>
      <w:r>
        <w:rPr>
          <w:rFonts w:ascii="Arial" w:cs="Arial" w:eastAsia="Arial" w:hAnsi="Arial"/>
          <w:sz w:val="18"/>
          <w:szCs w:val="18"/>
          <w:color w:val="000000"/>
        </w:rPr>
        <w:t>the Internet and submit your vote by Internet or telephone by following the instructions on the website provided in the e-mail notification.</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By submitting your vote by Internet, telephone, or mail, and following the instructions on the proxy card or voting instruction form, you will authorize the Proxy Committee to vote your shares of our Common Stock as you direct and as they determine on all matters that we do not know about now, but that may be properly presented at the meeting. We encourage you to vote by Internet, or by telephone by following the instructions on the proxy card or voting instruction form.</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5. How can I change or revoke my vote after I have voted?</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After you have voted by Internet, telephone, or mail, you may revoke your proxy at any time until it is voted at the annual meeting. If you are a stockholder of record, you may do this by voting subsequently by Internet or telephone, submitting a new proxy card with a later date, sending a written notice of revocation to the Corporate Secretary at the address provided in "</w:t>
      </w:r>
      <w:r>
        <w:rPr>
          <w:rFonts w:ascii="Arial" w:cs="Arial" w:eastAsia="Arial" w:hAnsi="Arial"/>
          <w:sz w:val="18"/>
          <w:szCs w:val="18"/>
          <w:i w:val="1"/>
          <w:iCs w:val="1"/>
          <w:color w:val="auto"/>
        </w:rPr>
        <w:t>How can I obtain the Company’s corporate governance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on page 11, or by voting in person at the annual meeting.</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you are a beneficial stockholder, you may subsequently vote by Internet or telephone, or you may revoke your vote through your broker, bank, or other nominee in accordance with their instructions.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6. How can I vote in person at the annual meeting?</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you are a stockholder of record, you may vote your shares at the annual meeting by completing a ballot at the meeting. If you are a beneficial stockholder and want to vote your shares in person at the annual meeting, you must bring a signed legal proxy from your broker, bank, or other nominee giving you the right to vote the shares, which must be submitted with your ballot at the meeting. You will not be able to vote your shares at the meeting without a legal proxy. Accordingly, we encourage you to vote your shares in advance by telephone, or Internet, or by completing and mailing the enclosed proxy card or voting instruction form, even if you plan to attend the meeting. Your vote at the annual meeting will supersede any prior vote by you.</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7. Will my vote be confidential? Who will count the vote?</w:t>
      </w:r>
    </w:p>
    <w:p>
      <w:pPr>
        <w:spacing w:after="0" w:line="14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a matter of policy, GM believes your vote should be private except in contested elections. Therefore, we use an independent third party to receive, inspect, count, and tabulate proxies. Representatives of the independent third party also act as judges at the annual meeting.</w:t>
      </w:r>
    </w:p>
    <w:p>
      <w:pPr>
        <w:spacing w:after="0" w:line="386" w:lineRule="exact"/>
        <w:rPr>
          <w:sz w:val="20"/>
          <w:szCs w:val="20"/>
          <w:color w:val="auto"/>
        </w:rPr>
      </w:pPr>
    </w:p>
    <w:p>
      <w:pPr>
        <w:ind w:left="5740"/>
        <w:spacing w:after="0"/>
        <w:tabs>
          <w:tab w:leader="none" w:pos="9212" w:val="left"/>
        </w:tabs>
        <w:rPr>
          <w:sz w:val="20"/>
          <w:szCs w:val="20"/>
          <w:color w:val="auto"/>
        </w:rPr>
      </w:pPr>
      <w:r>
        <w:rPr>
          <w:rFonts w:ascii="Arial" w:cs="Arial" w:eastAsia="Arial" w:hAnsi="Arial"/>
          <w:sz w:val="18"/>
          <w:szCs w:val="18"/>
          <w:color w:val="auto"/>
        </w:rPr>
        <w:t>7</w:t>
      </w:r>
      <w:r>
        <w:rPr>
          <w:sz w:val="20"/>
          <w:szCs w:val="20"/>
          <w:color w:val="auto"/>
        </w:rPr>
        <w:tab/>
      </w:r>
      <w:r>
        <w:rPr>
          <w:sz w:val="1"/>
          <w:szCs w:val="1"/>
          <w:color w:val="auto"/>
        </w:rPr>
        <w:drawing>
          <wp:inline distT="0" distB="0" distL="0" distR="0">
            <wp:extent cx="120015" cy="12001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79" w:right="239" w:bottom="1440" w:gutter="0" w:footer="0" w:header="0"/>
        </w:sectPr>
      </w:pPr>
    </w:p>
    <w:bookmarkStart w:id="11" w:name="page12"/>
    <w:bookmarkEnd w:id="11"/>
    <w:p>
      <w:pPr>
        <w:ind w:left="8400"/>
        <w:spacing w:after="0"/>
        <w:rPr>
          <w:sz w:val="20"/>
          <w:szCs w:val="20"/>
          <w:color w:val="auto"/>
        </w:rPr>
      </w:pPr>
      <w:r>
        <w:rPr>
          <w:rFonts w:ascii="Arial" w:cs="Arial" w:eastAsia="Arial" w:hAnsi="Arial"/>
          <w:sz w:val="18"/>
          <w:szCs w:val="18"/>
          <w:b w:val="1"/>
          <w:bCs w:val="1"/>
          <w:color w:val="134A9C"/>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40" w:hanging="332"/>
        <w:spacing w:after="0" w:line="274" w:lineRule="auto"/>
        <w:tabs>
          <w:tab w:leader="none" w:pos="340" w:val="left"/>
        </w:tabs>
        <w:numPr>
          <w:ilvl w:val="0"/>
          <w:numId w:val="17"/>
        </w:numPr>
        <w:rPr>
          <w:rFonts w:ascii="Arial" w:cs="Arial" w:eastAsia="Arial" w:hAnsi="Arial"/>
          <w:sz w:val="22"/>
          <w:szCs w:val="22"/>
          <w:b w:val="1"/>
          <w:bCs w:val="1"/>
          <w:color w:val="134A9C"/>
        </w:rPr>
      </w:pPr>
      <w:r>
        <w:rPr>
          <w:rFonts w:ascii="Arial" w:cs="Arial" w:eastAsia="Arial" w:hAnsi="Arial"/>
          <w:sz w:val="22"/>
          <w:szCs w:val="22"/>
          <w:b w:val="1"/>
          <w:bCs w:val="1"/>
          <w:color w:val="134A9C"/>
        </w:rPr>
        <w:t>What is the difference between a "stockholder of record" and a "beneficial" stockholder of shares held in street name?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If your shares are owned directly in your name in an account with GM’s stock transfer agent, Computershare Trust Company,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(“Computershare”), you are considered the "stockholder of record" of those shares in your account.</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your shares are held in an account with a broker, bank, or other nominee as custodian on your behalf, you are considered a “beneficial” stockholder of those shares, which are held in “street name.” The broker, bank, or other nominee is considered the stockholder of record for those shares. As the beneficial owner, you have the right to instruct the broker, bank, or other nominee on how to vote the shares in your account.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9. I am a beneficial stockholder. What happens if I do not provide voting instructions to my broker?</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a beneficial stockholder, you </w:t>
      </w:r>
      <w:r>
        <w:rPr>
          <w:rFonts w:ascii="Arial" w:cs="Arial" w:eastAsia="Arial" w:hAnsi="Arial"/>
          <w:sz w:val="18"/>
          <w:szCs w:val="18"/>
          <w:b w:val="1"/>
          <w:bCs w:val="1"/>
          <w:u w:val="single" w:color="auto"/>
          <w:color w:val="auto"/>
        </w:rPr>
        <w:t>must</w:t>
      </w:r>
      <w:r>
        <w:rPr>
          <w:rFonts w:ascii="Arial" w:cs="Arial" w:eastAsia="Arial" w:hAnsi="Arial"/>
          <w:sz w:val="18"/>
          <w:szCs w:val="18"/>
          <w:color w:val="auto"/>
        </w:rPr>
        <w:t xml:space="preserve"> provide voting instructions to your broker, bank, or other nominee by the deadline provided in the proxy materials you receive from your broker, bank, or other nominee to ensure your shares are voted in the way you would like. If you do not provide voting instructions to your broker, bank, or other nominee, whether your shares can be voted on your behalf depends on the type of item being considered for vote. Under New York Stock Exchange (“NYSE”) rules, brokers are permitted to exercise discretionary voting authority on “routine” matters. Therefore, your broker may vote on Item No. 2 (Ratification of the selection of Deloitte &amp; Touche LLP as the Company's independent registered public accounting firm for 2015) even if you do not provide voting instructions, because it is considered a routine matter.</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Your broker may not vote on the other Agenda Items if you do not provide voting instructions, because those items involve matters that are considered non-routine.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10.What is a broker non-vote?</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your broker does not receive instructions from you on how to vote your shares and does not have discretion to vote on a proposal because it is a non-routine item, the broker may return the proxy without voting on that proposal. This is known as a “broker non-vote.” A broker non-vote is deemed as not entitled to vote at the meeting with regard to a proposal so that it does not have any effect on the outcome of a vote.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11.What are the voting requirements to elect the directors and to approve each of the proposals?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Under GM’s Bylaws, directors are elected by a majority in uncontested elections and by plurality in contested elections. A contested election is one in which the number of nominees exceeds the number of directors to be elected, and other conditions are met. In an </w:t>
      </w:r>
      <w:r>
        <w:rPr>
          <w:rFonts w:ascii="Arial" w:cs="Arial" w:eastAsia="Arial" w:hAnsi="Arial"/>
          <w:sz w:val="18"/>
          <w:szCs w:val="18"/>
          <w:u w:val="single" w:color="auto"/>
          <w:color w:val="auto"/>
        </w:rPr>
        <w:t>uncontested election</w:t>
      </w:r>
      <w:r>
        <w:rPr>
          <w:rFonts w:ascii="Arial" w:cs="Arial" w:eastAsia="Arial" w:hAnsi="Arial"/>
          <w:sz w:val="18"/>
          <w:szCs w:val="18"/>
          <w:color w:val="auto"/>
        </w:rPr>
        <w:t xml:space="preserve">, nominees will be elected directors if they receive a majority of the votes cast (i.e., the number of shares voted “for” a director must exceed the number of votes cast “against” that director, without counting abstentions). In a </w:t>
      </w:r>
      <w:r>
        <w:rPr>
          <w:rFonts w:ascii="Arial" w:cs="Arial" w:eastAsia="Arial" w:hAnsi="Arial"/>
          <w:sz w:val="18"/>
          <w:szCs w:val="18"/>
          <w:u w:val="single" w:color="auto"/>
          <w:color w:val="auto"/>
        </w:rPr>
        <w:t>contested election</w:t>
      </w:r>
      <w:r>
        <w:rPr>
          <w:rFonts w:ascii="Arial" w:cs="Arial" w:eastAsia="Arial" w:hAnsi="Arial"/>
          <w:sz w:val="18"/>
          <w:szCs w:val="18"/>
          <w:color w:val="auto"/>
        </w:rPr>
        <w:t>, the nominees who receive a plurality of the votes cast (i.e., more votes in favor of their election than other nominees) will be elected directors.</w:t>
      </w:r>
    </w:p>
    <w:p>
      <w:pPr>
        <w:spacing w:after="0" w:line="11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table sets forth the vote required for approval and the effect of abstentions and broker non-votes for each of the following Agenda Items for the annual meeting.</w:t>
      </w:r>
    </w:p>
    <w:p>
      <w:pPr>
        <w:spacing w:after="0" w:line="200" w:lineRule="exact"/>
        <w:rPr>
          <w:sz w:val="20"/>
          <w:szCs w:val="20"/>
          <w:color w:val="auto"/>
        </w:rPr>
      </w:pPr>
    </w:p>
    <w:p>
      <w:pPr>
        <w:spacing w:after="0" w:line="375" w:lineRule="exact"/>
        <w:rPr>
          <w:sz w:val="20"/>
          <w:szCs w:val="20"/>
          <w:color w:val="auto"/>
        </w:rPr>
      </w:pPr>
    </w:p>
    <w:p>
      <w:pPr>
        <w:ind w:left="5740"/>
        <w:spacing w:after="0"/>
        <w:tabs>
          <w:tab w:leader="none" w:pos="9212" w:val="left"/>
        </w:tabs>
        <w:rPr>
          <w:sz w:val="20"/>
          <w:szCs w:val="20"/>
          <w:color w:val="auto"/>
        </w:rPr>
      </w:pPr>
      <w:r>
        <w:rPr>
          <w:rFonts w:ascii="Arial" w:cs="Arial" w:eastAsia="Arial" w:hAnsi="Arial"/>
          <w:sz w:val="18"/>
          <w:szCs w:val="18"/>
          <w:color w:val="auto"/>
        </w:rPr>
        <w:t>8</w:t>
      </w:r>
      <w:r>
        <w:rPr>
          <w:sz w:val="20"/>
          <w:szCs w:val="20"/>
          <w:color w:val="auto"/>
        </w:rPr>
        <w:tab/>
      </w:r>
      <w:r>
        <w:rPr>
          <w:sz w:val="1"/>
          <w:szCs w:val="1"/>
          <w:color w:val="auto"/>
        </w:rPr>
        <w:drawing>
          <wp:inline distT="0" distB="0" distL="0" distR="0">
            <wp:extent cx="120015" cy="12001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79"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39"/>
        </w:trPr>
        <w:tc>
          <w:tcPr>
            <w:tcW w:w="12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760" w:type="dxa"/>
            <w:vAlign w:val="bottom"/>
          </w:tcPr>
          <w:p>
            <w:pPr>
              <w:ind w:left="720"/>
              <w:spacing w:after="0"/>
              <w:rPr>
                <w:sz w:val="20"/>
                <w:szCs w:val="20"/>
                <w:color w:val="auto"/>
              </w:rPr>
            </w:pPr>
            <w:r>
              <w:rPr>
                <w:rFonts w:ascii="Arial" w:cs="Arial" w:eastAsia="Arial" w:hAnsi="Arial"/>
                <w:sz w:val="18"/>
                <w:szCs w:val="18"/>
                <w:b w:val="1"/>
                <w:bCs w:val="1"/>
                <w:color w:val="134A9C"/>
              </w:rPr>
              <w:t>Questions and Answers</w:t>
            </w:r>
          </w:p>
        </w:tc>
        <w:tc>
          <w:tcPr>
            <w:tcW w:w="0" w:type="dxa"/>
            <w:vAlign w:val="bottom"/>
          </w:tcPr>
          <w:p>
            <w:pPr>
              <w:spacing w:after="0"/>
              <w:rPr>
                <w:sz w:val="1"/>
                <w:szCs w:val="1"/>
                <w:color w:val="auto"/>
              </w:rPr>
            </w:pPr>
          </w:p>
        </w:tc>
      </w:tr>
      <w:tr>
        <w:trPr>
          <w:trHeight w:val="27"/>
        </w:trPr>
        <w:tc>
          <w:tcPr>
            <w:tcW w:w="1280" w:type="dxa"/>
            <w:vAlign w:val="bottom"/>
            <w:tcBorders>
              <w:bottom w:val="single" w:sz="8" w:color="134A9C"/>
            </w:tcBorders>
          </w:tcPr>
          <w:p>
            <w:pPr>
              <w:spacing w:after="0"/>
              <w:rPr>
                <w:sz w:val="2"/>
                <w:szCs w:val="2"/>
                <w:color w:val="auto"/>
              </w:rPr>
            </w:pPr>
          </w:p>
        </w:tc>
        <w:tc>
          <w:tcPr>
            <w:tcW w:w="3320" w:type="dxa"/>
            <w:vAlign w:val="bottom"/>
            <w:tcBorders>
              <w:bottom w:val="single" w:sz="8" w:color="134A9C"/>
            </w:tcBorders>
          </w:tcPr>
          <w:p>
            <w:pPr>
              <w:spacing w:after="0"/>
              <w:rPr>
                <w:sz w:val="2"/>
                <w:szCs w:val="2"/>
                <w:color w:val="auto"/>
              </w:rPr>
            </w:pPr>
          </w:p>
        </w:tc>
        <w:tc>
          <w:tcPr>
            <w:tcW w:w="3080" w:type="dxa"/>
            <w:vAlign w:val="bottom"/>
            <w:tcBorders>
              <w:bottom w:val="single" w:sz="8" w:color="134A9C"/>
            </w:tcBorders>
          </w:tcPr>
          <w:p>
            <w:pPr>
              <w:spacing w:after="0"/>
              <w:rPr>
                <w:sz w:val="2"/>
                <w:szCs w:val="2"/>
                <w:color w:val="auto"/>
              </w:rPr>
            </w:pPr>
          </w:p>
        </w:tc>
        <w:tc>
          <w:tcPr>
            <w:tcW w:w="3760" w:type="dxa"/>
            <w:vAlign w:val="bottom"/>
            <w:tcBorders>
              <w:bottom w:val="single" w:sz="8" w:color="134A9C"/>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134A9C"/>
            </w:tcBorders>
          </w:tcPr>
          <w:p>
            <w:pPr>
              <w:spacing w:after="0"/>
              <w:rPr>
                <w:sz w:val="24"/>
                <w:szCs w:val="24"/>
                <w:color w:val="auto"/>
              </w:rPr>
            </w:pPr>
          </w:p>
        </w:tc>
        <w:tc>
          <w:tcPr>
            <w:tcW w:w="3320" w:type="dxa"/>
            <w:vAlign w:val="bottom"/>
            <w:tcBorders>
              <w:bottom w:val="single" w:sz="8" w:color="134A9C"/>
            </w:tcBorders>
          </w:tcPr>
          <w:p>
            <w:pPr>
              <w:spacing w:after="0"/>
              <w:rPr>
                <w:sz w:val="24"/>
                <w:szCs w:val="24"/>
                <w:color w:val="auto"/>
              </w:rPr>
            </w:pPr>
          </w:p>
        </w:tc>
        <w:tc>
          <w:tcPr>
            <w:tcW w:w="3080" w:type="dxa"/>
            <w:vAlign w:val="bottom"/>
            <w:tcBorders>
              <w:bottom w:val="single" w:sz="8" w:color="134A9C"/>
            </w:tcBorders>
          </w:tcPr>
          <w:p>
            <w:pPr>
              <w:spacing w:after="0"/>
              <w:rPr>
                <w:sz w:val="24"/>
                <w:szCs w:val="24"/>
                <w:color w:val="auto"/>
              </w:rPr>
            </w:pPr>
          </w:p>
        </w:tc>
        <w:tc>
          <w:tcPr>
            <w:tcW w:w="3760" w:type="dxa"/>
            <w:vAlign w:val="bottom"/>
            <w:tcBorders>
              <w:bottom w:val="single" w:sz="8" w:color="134A9C"/>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80" w:type="dxa"/>
            <w:vAlign w:val="bottom"/>
            <w:tcBorders>
              <w:left w:val="single" w:sz="8" w:color="134A9C"/>
              <w:right w:val="single" w:sz="8" w:color="999999"/>
            </w:tcBorders>
            <w:shd w:val="clear" w:color="auto" w:fill="134A9C"/>
          </w:tcPr>
          <w:p>
            <w:pPr>
              <w:spacing w:after="0"/>
              <w:rPr>
                <w:sz w:val="17"/>
                <w:szCs w:val="17"/>
                <w:color w:val="auto"/>
              </w:rPr>
            </w:pPr>
          </w:p>
        </w:tc>
        <w:tc>
          <w:tcPr>
            <w:tcW w:w="3320" w:type="dxa"/>
            <w:vAlign w:val="bottom"/>
            <w:tcBorders>
              <w:right w:val="single" w:sz="8" w:color="999999"/>
            </w:tcBorders>
            <w:shd w:val="clear" w:color="auto" w:fill="134A9C"/>
          </w:tcPr>
          <w:p>
            <w:pPr>
              <w:spacing w:after="0"/>
              <w:rPr>
                <w:sz w:val="17"/>
                <w:szCs w:val="17"/>
                <w:color w:val="auto"/>
              </w:rPr>
            </w:pPr>
          </w:p>
        </w:tc>
        <w:tc>
          <w:tcPr>
            <w:tcW w:w="3080" w:type="dxa"/>
            <w:vAlign w:val="bottom"/>
            <w:tcBorders>
              <w:right w:val="single" w:sz="8" w:color="134A9C"/>
            </w:tcBorders>
            <w:shd w:val="clear" w:color="auto" w:fill="134A9C"/>
          </w:tcPr>
          <w:p>
            <w:pPr>
              <w:spacing w:after="0"/>
              <w:rPr>
                <w:sz w:val="17"/>
                <w:szCs w:val="17"/>
                <w:color w:val="auto"/>
              </w:rPr>
            </w:pPr>
          </w:p>
        </w:tc>
        <w:tc>
          <w:tcPr>
            <w:tcW w:w="3760" w:type="dxa"/>
            <w:vAlign w:val="bottom"/>
            <w:tcBorders>
              <w:right w:val="single" w:sz="8" w:color="134A9C"/>
            </w:tcBorders>
            <w:shd w:val="clear" w:color="auto" w:fill="134A9C"/>
          </w:tcPr>
          <w:p>
            <w:pPr>
              <w:jc w:val="center"/>
              <w:spacing w:after="0" w:line="201" w:lineRule="exact"/>
              <w:rPr>
                <w:sz w:val="20"/>
                <w:szCs w:val="20"/>
                <w:color w:val="auto"/>
              </w:rPr>
            </w:pPr>
            <w:r>
              <w:rPr>
                <w:rFonts w:ascii="Arial" w:cs="Arial" w:eastAsia="Arial" w:hAnsi="Arial"/>
                <w:sz w:val="18"/>
                <w:szCs w:val="18"/>
                <w:b w:val="1"/>
                <w:bCs w:val="1"/>
                <w:color w:val="FFFFFF"/>
                <w:w w:val="99"/>
              </w:rPr>
              <w:t>Effect of</w:t>
            </w:r>
          </w:p>
        </w:tc>
        <w:tc>
          <w:tcPr>
            <w:tcW w:w="0" w:type="dxa"/>
            <w:vAlign w:val="bottom"/>
          </w:tcPr>
          <w:p>
            <w:pPr>
              <w:spacing w:after="0"/>
              <w:rPr>
                <w:sz w:val="1"/>
                <w:szCs w:val="1"/>
                <w:color w:val="auto"/>
              </w:rPr>
            </w:pPr>
          </w:p>
        </w:tc>
      </w:tr>
      <w:tr>
        <w:trPr>
          <w:trHeight w:val="203"/>
        </w:trPr>
        <w:tc>
          <w:tcPr>
            <w:tcW w:w="1280" w:type="dxa"/>
            <w:vAlign w:val="bottom"/>
            <w:tcBorders>
              <w:left w:val="single" w:sz="8" w:color="134A9C"/>
              <w:right w:val="single" w:sz="8" w:color="999999"/>
            </w:tcBorders>
            <w:shd w:val="clear" w:color="auto" w:fill="134A9C"/>
          </w:tcPr>
          <w:p>
            <w:pPr>
              <w:jc w:val="center"/>
              <w:spacing w:after="0" w:line="202" w:lineRule="exact"/>
              <w:rPr>
                <w:sz w:val="20"/>
                <w:szCs w:val="20"/>
                <w:color w:val="auto"/>
              </w:rPr>
            </w:pPr>
            <w:r>
              <w:rPr>
                <w:rFonts w:ascii="Arial" w:cs="Arial" w:eastAsia="Arial" w:hAnsi="Arial"/>
                <w:sz w:val="18"/>
                <w:szCs w:val="18"/>
                <w:b w:val="1"/>
                <w:bCs w:val="1"/>
                <w:color w:val="FFFFFF"/>
                <w:w w:val="99"/>
              </w:rPr>
              <w:t>Agenda</w:t>
            </w:r>
          </w:p>
        </w:tc>
        <w:tc>
          <w:tcPr>
            <w:tcW w:w="3320" w:type="dxa"/>
            <w:vAlign w:val="bottom"/>
            <w:tcBorders>
              <w:right w:val="single" w:sz="8" w:color="999999"/>
            </w:tcBorders>
            <w:shd w:val="clear" w:color="auto" w:fill="134A9C"/>
          </w:tcPr>
          <w:p>
            <w:pPr>
              <w:spacing w:after="0"/>
              <w:rPr>
                <w:sz w:val="17"/>
                <w:szCs w:val="17"/>
                <w:color w:val="auto"/>
              </w:rPr>
            </w:pPr>
          </w:p>
        </w:tc>
        <w:tc>
          <w:tcPr>
            <w:tcW w:w="3080" w:type="dxa"/>
            <w:vAlign w:val="bottom"/>
            <w:tcBorders>
              <w:right w:val="single" w:sz="8" w:color="134A9C"/>
            </w:tcBorders>
            <w:shd w:val="clear" w:color="auto" w:fill="134A9C"/>
          </w:tcPr>
          <w:p>
            <w:pPr>
              <w:ind w:left="760"/>
              <w:spacing w:after="0" w:line="202" w:lineRule="exact"/>
              <w:rPr>
                <w:sz w:val="20"/>
                <w:szCs w:val="20"/>
                <w:color w:val="auto"/>
              </w:rPr>
            </w:pPr>
            <w:r>
              <w:rPr>
                <w:rFonts w:ascii="Arial" w:cs="Arial" w:eastAsia="Arial" w:hAnsi="Arial"/>
                <w:sz w:val="18"/>
                <w:szCs w:val="18"/>
                <w:b w:val="1"/>
                <w:bCs w:val="1"/>
                <w:color w:val="FFFFFF"/>
              </w:rPr>
              <w:t>Vote Required for</w:t>
            </w:r>
          </w:p>
        </w:tc>
        <w:tc>
          <w:tcPr>
            <w:tcW w:w="3760" w:type="dxa"/>
            <w:vAlign w:val="bottom"/>
            <w:tcBorders>
              <w:right w:val="single" w:sz="8" w:color="134A9C"/>
            </w:tcBorders>
            <w:shd w:val="clear" w:color="auto" w:fill="134A9C"/>
          </w:tcPr>
          <w:p>
            <w:pPr>
              <w:jc w:val="center"/>
              <w:spacing w:after="0" w:line="202" w:lineRule="exact"/>
              <w:rPr>
                <w:sz w:val="20"/>
                <w:szCs w:val="20"/>
                <w:color w:val="auto"/>
              </w:rPr>
            </w:pPr>
            <w:r>
              <w:rPr>
                <w:rFonts w:ascii="Arial" w:cs="Arial" w:eastAsia="Arial" w:hAnsi="Arial"/>
                <w:sz w:val="18"/>
                <w:szCs w:val="18"/>
                <w:b w:val="1"/>
                <w:bCs w:val="1"/>
                <w:color w:val="FFFFFF"/>
              </w:rPr>
              <w:t>Abstentions and</w:t>
            </w:r>
          </w:p>
        </w:tc>
        <w:tc>
          <w:tcPr>
            <w:tcW w:w="0" w:type="dxa"/>
            <w:vAlign w:val="bottom"/>
          </w:tcPr>
          <w:p>
            <w:pPr>
              <w:spacing w:after="0"/>
              <w:rPr>
                <w:sz w:val="1"/>
                <w:szCs w:val="1"/>
                <w:color w:val="auto"/>
              </w:rPr>
            </w:pPr>
          </w:p>
        </w:tc>
      </w:tr>
      <w:tr>
        <w:trPr>
          <w:trHeight w:val="246"/>
        </w:trPr>
        <w:tc>
          <w:tcPr>
            <w:tcW w:w="1280" w:type="dxa"/>
            <w:vAlign w:val="bottom"/>
            <w:tcBorders>
              <w:left w:val="single" w:sz="8" w:color="134A9C"/>
              <w:bottom w:val="single" w:sz="8" w:color="134A9C"/>
              <w:right w:val="single" w:sz="8" w:color="999999"/>
            </w:tcBorders>
            <w:shd w:val="clear" w:color="auto" w:fill="134A9C"/>
          </w:tcPr>
          <w:p>
            <w:pPr>
              <w:jc w:val="center"/>
              <w:spacing w:after="0"/>
              <w:rPr>
                <w:sz w:val="20"/>
                <w:szCs w:val="20"/>
                <w:color w:val="auto"/>
              </w:rPr>
            </w:pPr>
            <w:r>
              <w:rPr>
                <w:rFonts w:ascii="Arial" w:cs="Arial" w:eastAsia="Arial" w:hAnsi="Arial"/>
                <w:sz w:val="18"/>
                <w:szCs w:val="18"/>
                <w:b w:val="1"/>
                <w:bCs w:val="1"/>
                <w:color w:val="FFFFFF"/>
                <w:w w:val="97"/>
              </w:rPr>
              <w:t>Item</w:t>
            </w:r>
          </w:p>
        </w:tc>
        <w:tc>
          <w:tcPr>
            <w:tcW w:w="3320" w:type="dxa"/>
            <w:vAlign w:val="bottom"/>
            <w:tcBorders>
              <w:bottom w:val="single" w:sz="8" w:color="134A9C"/>
              <w:right w:val="single" w:sz="8" w:color="999999"/>
            </w:tcBorders>
            <w:shd w:val="clear" w:color="auto" w:fill="134A9C"/>
          </w:tcPr>
          <w:p>
            <w:pPr>
              <w:ind w:left="1160"/>
              <w:spacing w:after="0"/>
              <w:rPr>
                <w:sz w:val="20"/>
                <w:szCs w:val="20"/>
                <w:color w:val="auto"/>
              </w:rPr>
            </w:pPr>
            <w:r>
              <w:rPr>
                <w:rFonts w:ascii="Arial" w:cs="Arial" w:eastAsia="Arial" w:hAnsi="Arial"/>
                <w:sz w:val="18"/>
                <w:szCs w:val="18"/>
                <w:b w:val="1"/>
                <w:bCs w:val="1"/>
                <w:color w:val="FFFFFF"/>
              </w:rPr>
              <w:t>Description</w:t>
            </w:r>
          </w:p>
        </w:tc>
        <w:tc>
          <w:tcPr>
            <w:tcW w:w="3080" w:type="dxa"/>
            <w:vAlign w:val="bottom"/>
            <w:tcBorders>
              <w:bottom w:val="single" w:sz="8" w:color="134A9C"/>
              <w:right w:val="single" w:sz="8" w:color="134A9C"/>
            </w:tcBorders>
            <w:shd w:val="clear" w:color="auto" w:fill="134A9C"/>
          </w:tcPr>
          <w:p>
            <w:pPr>
              <w:ind w:left="1140"/>
              <w:spacing w:after="0"/>
              <w:rPr>
                <w:sz w:val="20"/>
                <w:szCs w:val="20"/>
                <w:color w:val="auto"/>
              </w:rPr>
            </w:pPr>
            <w:r>
              <w:rPr>
                <w:rFonts w:ascii="Arial" w:cs="Arial" w:eastAsia="Arial" w:hAnsi="Arial"/>
                <w:sz w:val="18"/>
                <w:szCs w:val="18"/>
                <w:b w:val="1"/>
                <w:bCs w:val="1"/>
                <w:color w:val="FFFFFF"/>
              </w:rPr>
              <w:t>Approval</w:t>
            </w:r>
          </w:p>
        </w:tc>
        <w:tc>
          <w:tcPr>
            <w:tcW w:w="376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8"/>
                <w:szCs w:val="18"/>
                <w:b w:val="1"/>
                <w:bCs w:val="1"/>
                <w:color w:val="FFFFFF"/>
                <w:w w:val="97"/>
              </w:rPr>
              <w:t>Broker Non-Votes</w:t>
            </w:r>
          </w:p>
        </w:tc>
        <w:tc>
          <w:tcPr>
            <w:tcW w:w="0" w:type="dxa"/>
            <w:vAlign w:val="bottom"/>
          </w:tcPr>
          <w:p>
            <w:pPr>
              <w:spacing w:after="0"/>
              <w:rPr>
                <w:sz w:val="1"/>
                <w:szCs w:val="1"/>
                <w:color w:val="auto"/>
              </w:rPr>
            </w:pPr>
          </w:p>
        </w:tc>
      </w:tr>
      <w:tr>
        <w:trPr>
          <w:trHeight w:val="229"/>
        </w:trPr>
        <w:tc>
          <w:tcPr>
            <w:tcW w:w="1280" w:type="dxa"/>
            <w:vAlign w:val="bottom"/>
            <w:tcBorders>
              <w:left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9"/>
              </w:rPr>
              <w:t>1</w:t>
            </w:r>
          </w:p>
        </w:tc>
        <w:tc>
          <w:tcPr>
            <w:tcW w:w="332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Election of directors</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This year's election will be</w:t>
            </w:r>
          </w:p>
        </w:tc>
        <w:tc>
          <w:tcPr>
            <w:tcW w:w="376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Abstentions and broker non-votes are not</w:t>
            </w:r>
          </w:p>
        </w:tc>
        <w:tc>
          <w:tcPr>
            <w:tcW w:w="0" w:type="dxa"/>
            <w:vAlign w:val="bottom"/>
          </w:tcPr>
          <w:p>
            <w:pPr>
              <w:spacing w:after="0"/>
              <w:rPr>
                <w:sz w:val="1"/>
                <w:szCs w:val="1"/>
                <w:color w:val="auto"/>
              </w:rPr>
            </w:pPr>
          </w:p>
        </w:tc>
      </w:tr>
      <w:tr>
        <w:trPr>
          <w:trHeight w:val="203"/>
        </w:trPr>
        <w:tc>
          <w:tcPr>
            <w:tcW w:w="1280" w:type="dxa"/>
            <w:vAlign w:val="bottom"/>
            <w:tcBorders>
              <w:left w:val="single" w:sz="8" w:color="134A9C"/>
              <w:right w:val="single" w:sz="8" w:color="134A9C"/>
            </w:tcBorders>
          </w:tcPr>
          <w:p>
            <w:pPr>
              <w:spacing w:after="0"/>
              <w:rPr>
                <w:sz w:val="17"/>
                <w:szCs w:val="17"/>
                <w:color w:val="auto"/>
              </w:rPr>
            </w:pPr>
          </w:p>
        </w:tc>
        <w:tc>
          <w:tcPr>
            <w:tcW w:w="3320" w:type="dxa"/>
            <w:vAlign w:val="bottom"/>
            <w:tcBorders>
              <w:right w:val="single" w:sz="8" w:color="134A9C"/>
            </w:tcBorders>
          </w:tcPr>
          <w:p>
            <w:pPr>
              <w:spacing w:after="0"/>
              <w:rPr>
                <w:sz w:val="17"/>
                <w:szCs w:val="17"/>
                <w:color w:val="auto"/>
              </w:rPr>
            </w:pPr>
          </w:p>
        </w:tc>
        <w:tc>
          <w:tcPr>
            <w:tcW w:w="308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considered uncontested, so that</w:t>
            </w:r>
          </w:p>
        </w:tc>
        <w:tc>
          <w:tcPr>
            <w:tcW w:w="376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considered as votes cast and have no effect</w:t>
            </w:r>
          </w:p>
        </w:tc>
        <w:tc>
          <w:tcPr>
            <w:tcW w:w="0" w:type="dxa"/>
            <w:vAlign w:val="bottom"/>
          </w:tcPr>
          <w:p>
            <w:pPr>
              <w:spacing w:after="0"/>
              <w:rPr>
                <w:sz w:val="1"/>
                <w:szCs w:val="1"/>
                <w:color w:val="auto"/>
              </w:rPr>
            </w:pPr>
          </w:p>
        </w:tc>
      </w:tr>
      <w:tr>
        <w:trPr>
          <w:trHeight w:val="203"/>
        </w:trPr>
        <w:tc>
          <w:tcPr>
            <w:tcW w:w="1280" w:type="dxa"/>
            <w:vAlign w:val="bottom"/>
            <w:tcBorders>
              <w:left w:val="single" w:sz="8" w:color="134A9C"/>
              <w:right w:val="single" w:sz="8" w:color="134A9C"/>
            </w:tcBorders>
          </w:tcPr>
          <w:p>
            <w:pPr>
              <w:spacing w:after="0"/>
              <w:rPr>
                <w:sz w:val="17"/>
                <w:szCs w:val="17"/>
                <w:color w:val="auto"/>
              </w:rPr>
            </w:pPr>
          </w:p>
        </w:tc>
        <w:tc>
          <w:tcPr>
            <w:tcW w:w="3320" w:type="dxa"/>
            <w:vAlign w:val="bottom"/>
            <w:tcBorders>
              <w:right w:val="single" w:sz="8" w:color="134A9C"/>
            </w:tcBorders>
          </w:tcPr>
          <w:p>
            <w:pPr>
              <w:spacing w:after="0"/>
              <w:rPr>
                <w:sz w:val="17"/>
                <w:szCs w:val="17"/>
                <w:color w:val="auto"/>
              </w:rPr>
            </w:pPr>
          </w:p>
        </w:tc>
        <w:tc>
          <w:tcPr>
            <w:tcW w:w="308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majority voting will apply. The 12</w:t>
            </w:r>
          </w:p>
        </w:tc>
        <w:tc>
          <w:tcPr>
            <w:tcW w:w="376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on the outcome of the vote.</w:t>
            </w:r>
          </w:p>
        </w:tc>
        <w:tc>
          <w:tcPr>
            <w:tcW w:w="0" w:type="dxa"/>
            <w:vAlign w:val="bottom"/>
          </w:tcPr>
          <w:p>
            <w:pPr>
              <w:spacing w:after="0"/>
              <w:rPr>
                <w:sz w:val="1"/>
                <w:szCs w:val="1"/>
                <w:color w:val="auto"/>
              </w:rPr>
            </w:pPr>
          </w:p>
        </w:tc>
      </w:tr>
      <w:tr>
        <w:trPr>
          <w:trHeight w:val="203"/>
        </w:trPr>
        <w:tc>
          <w:tcPr>
            <w:tcW w:w="1280" w:type="dxa"/>
            <w:vAlign w:val="bottom"/>
            <w:tcBorders>
              <w:left w:val="single" w:sz="8" w:color="134A9C"/>
              <w:right w:val="single" w:sz="8" w:color="134A9C"/>
            </w:tcBorders>
          </w:tcPr>
          <w:p>
            <w:pPr>
              <w:spacing w:after="0"/>
              <w:rPr>
                <w:sz w:val="17"/>
                <w:szCs w:val="17"/>
                <w:color w:val="auto"/>
              </w:rPr>
            </w:pPr>
          </w:p>
        </w:tc>
        <w:tc>
          <w:tcPr>
            <w:tcW w:w="3320" w:type="dxa"/>
            <w:vAlign w:val="bottom"/>
            <w:tcBorders>
              <w:right w:val="single" w:sz="8" w:color="134A9C"/>
            </w:tcBorders>
          </w:tcPr>
          <w:p>
            <w:pPr>
              <w:spacing w:after="0"/>
              <w:rPr>
                <w:sz w:val="17"/>
                <w:szCs w:val="17"/>
                <w:color w:val="auto"/>
              </w:rPr>
            </w:pPr>
          </w:p>
        </w:tc>
        <w:tc>
          <w:tcPr>
            <w:tcW w:w="308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nominees receiving a majority of</w:t>
            </w:r>
          </w:p>
        </w:tc>
        <w:tc>
          <w:tcPr>
            <w:tcW w:w="3760" w:type="dxa"/>
            <w:vAlign w:val="bottom"/>
            <w:tcBorders>
              <w:right w:val="single" w:sz="8" w:color="134A9C"/>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80" w:type="dxa"/>
            <w:vAlign w:val="bottom"/>
            <w:tcBorders>
              <w:left w:val="single" w:sz="8" w:color="134A9C"/>
              <w:right w:val="single" w:sz="8" w:color="134A9C"/>
            </w:tcBorders>
          </w:tcPr>
          <w:p>
            <w:pPr>
              <w:spacing w:after="0"/>
              <w:rPr>
                <w:sz w:val="16"/>
                <w:szCs w:val="16"/>
                <w:color w:val="auto"/>
              </w:rPr>
            </w:pPr>
          </w:p>
        </w:tc>
        <w:tc>
          <w:tcPr>
            <w:tcW w:w="3320" w:type="dxa"/>
            <w:vAlign w:val="bottom"/>
            <w:tcBorders>
              <w:right w:val="single" w:sz="8" w:color="134A9C"/>
            </w:tcBorders>
          </w:tcPr>
          <w:p>
            <w:pPr>
              <w:spacing w:after="0"/>
              <w:rPr>
                <w:sz w:val="16"/>
                <w:szCs w:val="16"/>
                <w:color w:val="auto"/>
              </w:rPr>
            </w:pPr>
          </w:p>
        </w:tc>
        <w:tc>
          <w:tcPr>
            <w:tcW w:w="3080" w:type="dxa"/>
            <w:vAlign w:val="bottom"/>
            <w:tcBorders>
              <w:right w:val="single" w:sz="8" w:color="134A9C"/>
            </w:tcBorders>
          </w:tcPr>
          <w:p>
            <w:pPr>
              <w:ind w:left="20"/>
              <w:spacing w:after="0" w:line="185" w:lineRule="exact"/>
              <w:rPr>
                <w:sz w:val="20"/>
                <w:szCs w:val="20"/>
                <w:color w:val="auto"/>
              </w:rPr>
            </w:pPr>
            <w:r>
              <w:rPr>
                <w:rFonts w:ascii="Arial" w:cs="Arial" w:eastAsia="Arial" w:hAnsi="Arial"/>
                <w:sz w:val="18"/>
                <w:szCs w:val="18"/>
                <w:color w:val="auto"/>
              </w:rPr>
              <w:t>votes cast for their election will be</w:t>
            </w:r>
          </w:p>
        </w:tc>
        <w:tc>
          <w:tcPr>
            <w:tcW w:w="3760" w:type="dxa"/>
            <w:vAlign w:val="bottom"/>
            <w:tcBorders>
              <w:right w:val="single" w:sz="8" w:color="134A9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80" w:type="dxa"/>
            <w:vAlign w:val="bottom"/>
            <w:tcBorders>
              <w:left w:val="single" w:sz="8" w:color="134A9C"/>
              <w:right w:val="single" w:sz="8" w:color="134A9C"/>
            </w:tcBorders>
          </w:tcPr>
          <w:p>
            <w:pPr>
              <w:spacing w:after="0"/>
              <w:rPr>
                <w:sz w:val="17"/>
                <w:szCs w:val="17"/>
                <w:color w:val="auto"/>
              </w:rPr>
            </w:pPr>
          </w:p>
        </w:tc>
        <w:tc>
          <w:tcPr>
            <w:tcW w:w="3320" w:type="dxa"/>
            <w:vAlign w:val="bottom"/>
            <w:tcBorders>
              <w:right w:val="single" w:sz="8" w:color="134A9C"/>
            </w:tcBorders>
          </w:tcPr>
          <w:p>
            <w:pPr>
              <w:spacing w:after="0"/>
              <w:rPr>
                <w:sz w:val="17"/>
                <w:szCs w:val="17"/>
                <w:color w:val="auto"/>
              </w:rPr>
            </w:pPr>
          </w:p>
        </w:tc>
        <w:tc>
          <w:tcPr>
            <w:tcW w:w="308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 xml:space="preserve">elected as a director. See </w:t>
            </w:r>
            <w:r>
              <w:rPr>
                <w:rFonts w:ascii="Arial" w:cs="Arial" w:eastAsia="Arial" w:hAnsi="Arial"/>
                <w:sz w:val="18"/>
                <w:szCs w:val="18"/>
                <w:i w:val="1"/>
                <w:iCs w:val="1"/>
                <w:color w:val="auto"/>
              </w:rPr>
              <w:t>“Item No. 1</w:t>
            </w:r>
          </w:p>
        </w:tc>
        <w:tc>
          <w:tcPr>
            <w:tcW w:w="3760" w:type="dxa"/>
            <w:vAlign w:val="bottom"/>
            <w:tcBorders>
              <w:right w:val="single" w:sz="8" w:color="134A9C"/>
            </w:tcBorders>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280" w:type="dxa"/>
            <w:vAlign w:val="bottom"/>
            <w:tcBorders>
              <w:left w:val="single" w:sz="8" w:color="134A9C"/>
              <w:bottom w:val="single" w:sz="8" w:color="134A9C"/>
              <w:right w:val="single" w:sz="8" w:color="134A9C"/>
            </w:tcBorders>
          </w:tcPr>
          <w:p>
            <w:pPr>
              <w:spacing w:after="0"/>
              <w:rPr>
                <w:sz w:val="21"/>
                <w:szCs w:val="21"/>
                <w:color w:val="auto"/>
              </w:rPr>
            </w:pPr>
          </w:p>
        </w:tc>
        <w:tc>
          <w:tcPr>
            <w:tcW w:w="3320" w:type="dxa"/>
            <w:vAlign w:val="bottom"/>
            <w:tcBorders>
              <w:bottom w:val="single" w:sz="8" w:color="134A9C"/>
              <w:right w:val="single" w:sz="8" w:color="134A9C"/>
            </w:tcBorders>
          </w:tcPr>
          <w:p>
            <w:pPr>
              <w:spacing w:after="0"/>
              <w:rPr>
                <w:sz w:val="21"/>
                <w:szCs w:val="21"/>
                <w:color w:val="auto"/>
              </w:rPr>
            </w:pPr>
          </w:p>
        </w:tc>
        <w:tc>
          <w:tcPr>
            <w:tcW w:w="308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i w:val="1"/>
                <w:iCs w:val="1"/>
                <w:color w:val="auto"/>
              </w:rPr>
              <w:t xml:space="preserve">– Election of Directors” </w:t>
            </w:r>
            <w:r>
              <w:rPr>
                <w:rFonts w:ascii="Arial" w:cs="Arial" w:eastAsia="Arial" w:hAnsi="Arial"/>
                <w:sz w:val="18"/>
                <w:szCs w:val="18"/>
                <w:color w:val="auto"/>
              </w:rPr>
              <w:t>on page 12.</w:t>
            </w:r>
          </w:p>
        </w:tc>
        <w:tc>
          <w:tcPr>
            <w:tcW w:w="3760" w:type="dxa"/>
            <w:vAlign w:val="bottom"/>
            <w:tcBorders>
              <w:bottom w:val="single" w:sz="8" w:color="134A9C"/>
              <w:right w:val="single" w:sz="8" w:color="134A9C"/>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80" w:type="dxa"/>
            <w:vAlign w:val="bottom"/>
            <w:tcBorders>
              <w:left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9"/>
              </w:rPr>
              <w:t>2</w:t>
            </w:r>
          </w:p>
        </w:tc>
        <w:tc>
          <w:tcPr>
            <w:tcW w:w="332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Ratification of the selection of Deloitte &amp;</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The majority of votes cast of shares</w:t>
            </w:r>
          </w:p>
        </w:tc>
        <w:tc>
          <w:tcPr>
            <w:tcW w:w="376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Abstentions have the same effect as a vote</w:t>
            </w:r>
          </w:p>
        </w:tc>
        <w:tc>
          <w:tcPr>
            <w:tcW w:w="0" w:type="dxa"/>
            <w:vAlign w:val="bottom"/>
          </w:tcPr>
          <w:p>
            <w:pPr>
              <w:spacing w:after="0"/>
              <w:rPr>
                <w:sz w:val="1"/>
                <w:szCs w:val="1"/>
                <w:color w:val="auto"/>
              </w:rPr>
            </w:pPr>
          </w:p>
        </w:tc>
      </w:tr>
      <w:tr>
        <w:trPr>
          <w:trHeight w:val="203"/>
        </w:trPr>
        <w:tc>
          <w:tcPr>
            <w:tcW w:w="1280" w:type="dxa"/>
            <w:vAlign w:val="bottom"/>
            <w:tcBorders>
              <w:left w:val="single" w:sz="8" w:color="134A9C"/>
              <w:right w:val="single" w:sz="8" w:color="134A9C"/>
            </w:tcBorders>
          </w:tcPr>
          <w:p>
            <w:pPr>
              <w:spacing w:after="0"/>
              <w:rPr>
                <w:sz w:val="17"/>
                <w:szCs w:val="17"/>
                <w:color w:val="auto"/>
              </w:rPr>
            </w:pPr>
          </w:p>
        </w:tc>
        <w:tc>
          <w:tcPr>
            <w:tcW w:w="332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Touche LLP as the Company's</w:t>
            </w:r>
          </w:p>
        </w:tc>
        <w:tc>
          <w:tcPr>
            <w:tcW w:w="308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present in person or by proxy and</w:t>
            </w:r>
          </w:p>
        </w:tc>
        <w:tc>
          <w:tcPr>
            <w:tcW w:w="376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against.</w:t>
            </w:r>
          </w:p>
        </w:tc>
        <w:tc>
          <w:tcPr>
            <w:tcW w:w="0" w:type="dxa"/>
            <w:vAlign w:val="bottom"/>
          </w:tcPr>
          <w:p>
            <w:pPr>
              <w:spacing w:after="0"/>
              <w:rPr>
                <w:sz w:val="1"/>
                <w:szCs w:val="1"/>
                <w:color w:val="auto"/>
              </w:rPr>
            </w:pPr>
          </w:p>
        </w:tc>
      </w:tr>
      <w:tr>
        <w:trPr>
          <w:trHeight w:val="203"/>
        </w:trPr>
        <w:tc>
          <w:tcPr>
            <w:tcW w:w="1280" w:type="dxa"/>
            <w:vAlign w:val="bottom"/>
            <w:tcBorders>
              <w:left w:val="single" w:sz="8" w:color="134A9C"/>
              <w:right w:val="single" w:sz="8" w:color="134A9C"/>
            </w:tcBorders>
          </w:tcPr>
          <w:p>
            <w:pPr>
              <w:spacing w:after="0"/>
              <w:rPr>
                <w:sz w:val="17"/>
                <w:szCs w:val="17"/>
                <w:color w:val="auto"/>
              </w:rPr>
            </w:pPr>
          </w:p>
        </w:tc>
        <w:tc>
          <w:tcPr>
            <w:tcW w:w="332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independent registered public</w:t>
            </w:r>
          </w:p>
        </w:tc>
        <w:tc>
          <w:tcPr>
            <w:tcW w:w="308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entitled to vote.</w:t>
            </w:r>
          </w:p>
        </w:tc>
        <w:tc>
          <w:tcPr>
            <w:tcW w:w="3760" w:type="dxa"/>
            <w:vAlign w:val="bottom"/>
            <w:tcBorders>
              <w:right w:val="single" w:sz="8" w:color="134A9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Borders>
              <w:left w:val="single" w:sz="8" w:color="134A9C"/>
              <w:right w:val="single" w:sz="8" w:color="134A9C"/>
            </w:tcBorders>
          </w:tcPr>
          <w:p>
            <w:pPr>
              <w:spacing w:after="0"/>
              <w:rPr>
                <w:sz w:val="17"/>
                <w:szCs w:val="17"/>
                <w:color w:val="auto"/>
              </w:rPr>
            </w:pPr>
          </w:p>
        </w:tc>
        <w:tc>
          <w:tcPr>
            <w:tcW w:w="332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accounting firm for 2015</w:t>
            </w:r>
          </w:p>
        </w:tc>
        <w:tc>
          <w:tcPr>
            <w:tcW w:w="3080" w:type="dxa"/>
            <w:vAlign w:val="bottom"/>
            <w:tcBorders>
              <w:right w:val="single" w:sz="8" w:color="134A9C"/>
            </w:tcBorders>
          </w:tcPr>
          <w:p>
            <w:pPr>
              <w:spacing w:after="0"/>
              <w:rPr>
                <w:sz w:val="17"/>
                <w:szCs w:val="17"/>
                <w:color w:val="auto"/>
              </w:rPr>
            </w:pPr>
          </w:p>
        </w:tc>
        <w:tc>
          <w:tcPr>
            <w:tcW w:w="376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NYSE rules permit brokers to vote</w:t>
            </w:r>
          </w:p>
        </w:tc>
        <w:tc>
          <w:tcPr>
            <w:tcW w:w="0" w:type="dxa"/>
            <w:vAlign w:val="bottom"/>
          </w:tcPr>
          <w:p>
            <w:pPr>
              <w:spacing w:after="0"/>
              <w:rPr>
                <w:sz w:val="1"/>
                <w:szCs w:val="1"/>
                <w:color w:val="auto"/>
              </w:rPr>
            </w:pPr>
          </w:p>
        </w:tc>
      </w:tr>
      <w:tr>
        <w:trPr>
          <w:trHeight w:val="203"/>
        </w:trPr>
        <w:tc>
          <w:tcPr>
            <w:tcW w:w="1280" w:type="dxa"/>
            <w:vAlign w:val="bottom"/>
            <w:tcBorders>
              <w:left w:val="single" w:sz="8" w:color="134A9C"/>
              <w:right w:val="single" w:sz="8" w:color="134A9C"/>
            </w:tcBorders>
          </w:tcPr>
          <w:p>
            <w:pPr>
              <w:spacing w:after="0"/>
              <w:rPr>
                <w:sz w:val="17"/>
                <w:szCs w:val="17"/>
                <w:color w:val="auto"/>
              </w:rPr>
            </w:pPr>
          </w:p>
        </w:tc>
        <w:tc>
          <w:tcPr>
            <w:tcW w:w="3320" w:type="dxa"/>
            <w:vAlign w:val="bottom"/>
            <w:tcBorders>
              <w:right w:val="single" w:sz="8" w:color="134A9C"/>
            </w:tcBorders>
          </w:tcPr>
          <w:p>
            <w:pPr>
              <w:spacing w:after="0"/>
              <w:rPr>
                <w:sz w:val="17"/>
                <w:szCs w:val="17"/>
                <w:color w:val="auto"/>
              </w:rPr>
            </w:pPr>
          </w:p>
        </w:tc>
        <w:tc>
          <w:tcPr>
            <w:tcW w:w="3080" w:type="dxa"/>
            <w:vAlign w:val="bottom"/>
            <w:tcBorders>
              <w:right w:val="single" w:sz="8" w:color="134A9C"/>
            </w:tcBorders>
          </w:tcPr>
          <w:p>
            <w:pPr>
              <w:spacing w:after="0"/>
              <w:rPr>
                <w:sz w:val="17"/>
                <w:szCs w:val="17"/>
                <w:color w:val="auto"/>
              </w:rPr>
            </w:pPr>
          </w:p>
        </w:tc>
        <w:tc>
          <w:tcPr>
            <w:tcW w:w="376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uninstructed shares at their discretion on this</w:t>
            </w:r>
          </w:p>
        </w:tc>
        <w:tc>
          <w:tcPr>
            <w:tcW w:w="0" w:type="dxa"/>
            <w:vAlign w:val="bottom"/>
          </w:tcPr>
          <w:p>
            <w:pPr>
              <w:spacing w:after="0"/>
              <w:rPr>
                <w:sz w:val="1"/>
                <w:szCs w:val="1"/>
                <w:color w:val="auto"/>
              </w:rPr>
            </w:pPr>
          </w:p>
        </w:tc>
      </w:tr>
      <w:tr>
        <w:trPr>
          <w:trHeight w:val="203"/>
        </w:trPr>
        <w:tc>
          <w:tcPr>
            <w:tcW w:w="1280" w:type="dxa"/>
            <w:vAlign w:val="bottom"/>
            <w:tcBorders>
              <w:left w:val="single" w:sz="8" w:color="134A9C"/>
              <w:right w:val="single" w:sz="8" w:color="134A9C"/>
            </w:tcBorders>
          </w:tcPr>
          <w:p>
            <w:pPr>
              <w:spacing w:after="0"/>
              <w:rPr>
                <w:sz w:val="17"/>
                <w:szCs w:val="17"/>
                <w:color w:val="auto"/>
              </w:rPr>
            </w:pPr>
          </w:p>
        </w:tc>
        <w:tc>
          <w:tcPr>
            <w:tcW w:w="3320" w:type="dxa"/>
            <w:vAlign w:val="bottom"/>
            <w:tcBorders>
              <w:right w:val="single" w:sz="8" w:color="134A9C"/>
            </w:tcBorders>
          </w:tcPr>
          <w:p>
            <w:pPr>
              <w:spacing w:after="0"/>
              <w:rPr>
                <w:sz w:val="17"/>
                <w:szCs w:val="17"/>
                <w:color w:val="auto"/>
              </w:rPr>
            </w:pPr>
          </w:p>
        </w:tc>
        <w:tc>
          <w:tcPr>
            <w:tcW w:w="3080" w:type="dxa"/>
            <w:vAlign w:val="bottom"/>
            <w:tcBorders>
              <w:right w:val="single" w:sz="8" w:color="134A9C"/>
            </w:tcBorders>
          </w:tcPr>
          <w:p>
            <w:pPr>
              <w:spacing w:after="0"/>
              <w:rPr>
                <w:sz w:val="17"/>
                <w:szCs w:val="17"/>
                <w:color w:val="auto"/>
              </w:rPr>
            </w:pPr>
          </w:p>
        </w:tc>
        <w:tc>
          <w:tcPr>
            <w:tcW w:w="376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proposal, so broker non-votes are not</w:t>
            </w:r>
          </w:p>
        </w:tc>
        <w:tc>
          <w:tcPr>
            <w:tcW w:w="0" w:type="dxa"/>
            <w:vAlign w:val="bottom"/>
          </w:tcPr>
          <w:p>
            <w:pPr>
              <w:spacing w:after="0"/>
              <w:rPr>
                <w:sz w:val="1"/>
                <w:szCs w:val="1"/>
                <w:color w:val="auto"/>
              </w:rPr>
            </w:pPr>
          </w:p>
        </w:tc>
      </w:tr>
      <w:tr>
        <w:trPr>
          <w:trHeight w:val="224"/>
        </w:trPr>
        <w:tc>
          <w:tcPr>
            <w:tcW w:w="1280" w:type="dxa"/>
            <w:vAlign w:val="bottom"/>
            <w:tcBorders>
              <w:left w:val="single" w:sz="8" w:color="134A9C"/>
              <w:bottom w:val="single" w:sz="8" w:color="134A9C"/>
              <w:right w:val="single" w:sz="8" w:color="134A9C"/>
            </w:tcBorders>
          </w:tcPr>
          <w:p>
            <w:pPr>
              <w:spacing w:after="0"/>
              <w:rPr>
                <w:sz w:val="19"/>
                <w:szCs w:val="19"/>
                <w:color w:val="auto"/>
              </w:rPr>
            </w:pPr>
          </w:p>
        </w:tc>
        <w:tc>
          <w:tcPr>
            <w:tcW w:w="3320" w:type="dxa"/>
            <w:vAlign w:val="bottom"/>
            <w:tcBorders>
              <w:bottom w:val="single" w:sz="8" w:color="134A9C"/>
              <w:right w:val="single" w:sz="8" w:color="134A9C"/>
            </w:tcBorders>
          </w:tcPr>
          <w:p>
            <w:pPr>
              <w:spacing w:after="0"/>
              <w:rPr>
                <w:sz w:val="19"/>
                <w:szCs w:val="19"/>
                <w:color w:val="auto"/>
              </w:rPr>
            </w:pPr>
          </w:p>
        </w:tc>
        <w:tc>
          <w:tcPr>
            <w:tcW w:w="3080" w:type="dxa"/>
            <w:vAlign w:val="bottom"/>
            <w:tcBorders>
              <w:bottom w:val="single" w:sz="8" w:color="134A9C"/>
              <w:right w:val="single" w:sz="8" w:color="134A9C"/>
            </w:tcBorders>
          </w:tcPr>
          <w:p>
            <w:pPr>
              <w:spacing w:after="0"/>
              <w:rPr>
                <w:sz w:val="19"/>
                <w:szCs w:val="19"/>
                <w:color w:val="auto"/>
              </w:rPr>
            </w:pPr>
          </w:p>
        </w:tc>
        <w:tc>
          <w:tcPr>
            <w:tcW w:w="376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expected.</w:t>
            </w:r>
          </w:p>
        </w:tc>
        <w:tc>
          <w:tcPr>
            <w:tcW w:w="0" w:type="dxa"/>
            <w:vAlign w:val="bottom"/>
          </w:tcPr>
          <w:p>
            <w:pPr>
              <w:spacing w:after="0"/>
              <w:rPr>
                <w:sz w:val="1"/>
                <w:szCs w:val="1"/>
                <w:color w:val="auto"/>
              </w:rPr>
            </w:pPr>
          </w:p>
        </w:tc>
      </w:tr>
      <w:tr>
        <w:trPr>
          <w:trHeight w:val="229"/>
        </w:trPr>
        <w:tc>
          <w:tcPr>
            <w:tcW w:w="1280" w:type="dxa"/>
            <w:vAlign w:val="bottom"/>
            <w:tcBorders>
              <w:left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9"/>
              </w:rPr>
              <w:t>3</w:t>
            </w:r>
          </w:p>
        </w:tc>
        <w:tc>
          <w:tcPr>
            <w:tcW w:w="332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Advisory vote to approve executive</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The majority of votes cast of shares</w:t>
            </w:r>
          </w:p>
        </w:tc>
        <w:tc>
          <w:tcPr>
            <w:tcW w:w="376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Abstentions have the same effect as a vote</w:t>
            </w:r>
          </w:p>
        </w:tc>
        <w:tc>
          <w:tcPr>
            <w:tcW w:w="0" w:type="dxa"/>
            <w:vAlign w:val="bottom"/>
          </w:tcPr>
          <w:p>
            <w:pPr>
              <w:spacing w:after="0"/>
              <w:rPr>
                <w:sz w:val="1"/>
                <w:szCs w:val="1"/>
                <w:color w:val="auto"/>
              </w:rPr>
            </w:pPr>
          </w:p>
        </w:tc>
      </w:tr>
      <w:tr>
        <w:trPr>
          <w:trHeight w:val="203"/>
        </w:trPr>
        <w:tc>
          <w:tcPr>
            <w:tcW w:w="1280" w:type="dxa"/>
            <w:vAlign w:val="bottom"/>
            <w:tcBorders>
              <w:left w:val="single" w:sz="8" w:color="134A9C"/>
              <w:right w:val="single" w:sz="8" w:color="134A9C"/>
            </w:tcBorders>
          </w:tcPr>
          <w:p>
            <w:pPr>
              <w:spacing w:after="0"/>
              <w:rPr>
                <w:sz w:val="17"/>
                <w:szCs w:val="17"/>
                <w:color w:val="auto"/>
              </w:rPr>
            </w:pPr>
          </w:p>
        </w:tc>
        <w:tc>
          <w:tcPr>
            <w:tcW w:w="332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compensation</w:t>
            </w:r>
          </w:p>
        </w:tc>
        <w:tc>
          <w:tcPr>
            <w:tcW w:w="308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present in person or by proxy and</w:t>
            </w:r>
          </w:p>
        </w:tc>
        <w:tc>
          <w:tcPr>
            <w:tcW w:w="3760" w:type="dxa"/>
            <w:vAlign w:val="bottom"/>
            <w:tcBorders>
              <w:right w:val="single" w:sz="8" w:color="134A9C"/>
            </w:tcBorders>
          </w:tcPr>
          <w:p>
            <w:pPr>
              <w:ind w:left="20"/>
              <w:spacing w:after="0" w:line="202" w:lineRule="exact"/>
              <w:rPr>
                <w:sz w:val="20"/>
                <w:szCs w:val="20"/>
                <w:color w:val="auto"/>
              </w:rPr>
            </w:pPr>
            <w:r>
              <w:rPr>
                <w:rFonts w:ascii="Arial" w:cs="Arial" w:eastAsia="Arial" w:hAnsi="Arial"/>
                <w:sz w:val="18"/>
                <w:szCs w:val="18"/>
                <w:color w:val="auto"/>
              </w:rPr>
              <w:t>against.</w:t>
            </w:r>
          </w:p>
        </w:tc>
        <w:tc>
          <w:tcPr>
            <w:tcW w:w="0" w:type="dxa"/>
            <w:vAlign w:val="bottom"/>
          </w:tcPr>
          <w:p>
            <w:pPr>
              <w:spacing w:after="0"/>
              <w:rPr>
                <w:sz w:val="1"/>
                <w:szCs w:val="1"/>
                <w:color w:val="auto"/>
              </w:rPr>
            </w:pPr>
          </w:p>
        </w:tc>
      </w:tr>
      <w:tr>
        <w:trPr>
          <w:trHeight w:val="257"/>
        </w:trPr>
        <w:tc>
          <w:tcPr>
            <w:tcW w:w="1280" w:type="dxa"/>
            <w:vAlign w:val="bottom"/>
            <w:tcBorders>
              <w:left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9"/>
              </w:rPr>
              <w:t>4</w:t>
            </w:r>
          </w:p>
        </w:tc>
        <w:tc>
          <w:tcPr>
            <w:tcW w:w="332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Stockholder proposal regarding</w:t>
            </w:r>
          </w:p>
        </w:tc>
        <w:tc>
          <w:tcPr>
            <w:tcW w:w="308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entitled to vote.</w:t>
            </w:r>
          </w:p>
        </w:tc>
        <w:tc>
          <w:tcPr>
            <w:tcW w:w="3760" w:type="dxa"/>
            <w:vAlign w:val="bottom"/>
            <w:tcBorders>
              <w:right w:val="single" w:sz="8" w:color="134A9C"/>
            </w:tcBorders>
            <w:vMerge w:val="restart"/>
          </w:tcPr>
          <w:p>
            <w:pPr>
              <w:ind w:left="20"/>
              <w:spacing w:after="0"/>
              <w:rPr>
                <w:sz w:val="20"/>
                <w:szCs w:val="20"/>
                <w:color w:val="auto"/>
              </w:rPr>
            </w:pPr>
            <w:r>
              <w:rPr>
                <w:rFonts w:ascii="Arial" w:cs="Arial" w:eastAsia="Arial" w:hAnsi="Arial"/>
                <w:sz w:val="18"/>
                <w:szCs w:val="18"/>
                <w:color w:val="auto"/>
              </w:rPr>
              <w:t>Broker non-votes have no effect on the</w:t>
            </w:r>
          </w:p>
        </w:tc>
        <w:tc>
          <w:tcPr>
            <w:tcW w:w="0" w:type="dxa"/>
            <w:vAlign w:val="bottom"/>
          </w:tcPr>
          <w:p>
            <w:pPr>
              <w:spacing w:after="0"/>
              <w:rPr>
                <w:sz w:val="1"/>
                <w:szCs w:val="1"/>
                <w:color w:val="auto"/>
              </w:rPr>
            </w:pPr>
          </w:p>
        </w:tc>
      </w:tr>
      <w:tr>
        <w:trPr>
          <w:trHeight w:val="163"/>
        </w:trPr>
        <w:tc>
          <w:tcPr>
            <w:tcW w:w="1280" w:type="dxa"/>
            <w:vAlign w:val="bottom"/>
            <w:tcBorders>
              <w:left w:val="single" w:sz="8" w:color="134A9C"/>
              <w:right w:val="single" w:sz="8" w:color="134A9C"/>
            </w:tcBorders>
          </w:tcPr>
          <w:p>
            <w:pPr>
              <w:spacing w:after="0"/>
              <w:rPr>
                <w:sz w:val="14"/>
                <w:szCs w:val="14"/>
                <w:color w:val="auto"/>
              </w:rPr>
            </w:pPr>
          </w:p>
        </w:tc>
        <w:tc>
          <w:tcPr>
            <w:tcW w:w="3320" w:type="dxa"/>
            <w:vAlign w:val="bottom"/>
            <w:tcBorders>
              <w:right w:val="single" w:sz="8" w:color="134A9C"/>
            </w:tcBorders>
          </w:tcPr>
          <w:p>
            <w:pPr>
              <w:ind w:left="20"/>
              <w:spacing w:after="0" w:line="163" w:lineRule="exact"/>
              <w:rPr>
                <w:sz w:val="20"/>
                <w:szCs w:val="20"/>
                <w:color w:val="auto"/>
              </w:rPr>
            </w:pPr>
            <w:r>
              <w:rPr>
                <w:rFonts w:ascii="Arial" w:cs="Arial" w:eastAsia="Arial" w:hAnsi="Arial"/>
                <w:sz w:val="18"/>
                <w:szCs w:val="18"/>
                <w:color w:val="auto"/>
              </w:rPr>
              <w:t>independent board chairman</w:t>
            </w:r>
          </w:p>
        </w:tc>
        <w:tc>
          <w:tcPr>
            <w:tcW w:w="3080" w:type="dxa"/>
            <w:vAlign w:val="bottom"/>
            <w:tcBorders>
              <w:right w:val="single" w:sz="8" w:color="134A9C"/>
            </w:tcBorders>
          </w:tcPr>
          <w:p>
            <w:pPr>
              <w:spacing w:after="0"/>
              <w:rPr>
                <w:sz w:val="14"/>
                <w:szCs w:val="14"/>
                <w:color w:val="auto"/>
              </w:rPr>
            </w:pPr>
          </w:p>
        </w:tc>
        <w:tc>
          <w:tcPr>
            <w:tcW w:w="3760" w:type="dxa"/>
            <w:vAlign w:val="bottom"/>
            <w:tcBorders>
              <w:right w:val="single" w:sz="8" w:color="134A9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134A9C"/>
              <w:right w:val="single" w:sz="8" w:color="134A9C"/>
            </w:tcBorders>
            <w:vMerge w:val="restart"/>
          </w:tcPr>
          <w:p>
            <w:pPr>
              <w:jc w:val="center"/>
              <w:spacing w:after="0"/>
              <w:rPr>
                <w:sz w:val="20"/>
                <w:szCs w:val="20"/>
                <w:color w:val="auto"/>
              </w:rPr>
            </w:pPr>
            <w:r>
              <w:rPr>
                <w:rFonts w:ascii="Arial" w:cs="Arial" w:eastAsia="Arial" w:hAnsi="Arial"/>
                <w:sz w:val="18"/>
                <w:szCs w:val="18"/>
                <w:b w:val="1"/>
                <w:bCs w:val="1"/>
                <w:color w:val="134A9C"/>
                <w:w w:val="99"/>
              </w:rPr>
              <w:t>5</w:t>
            </w:r>
          </w:p>
        </w:tc>
        <w:tc>
          <w:tcPr>
            <w:tcW w:w="3320" w:type="dxa"/>
            <w:vAlign w:val="bottom"/>
            <w:tcBorders>
              <w:right w:val="single" w:sz="8" w:color="134A9C"/>
            </w:tcBorders>
            <w:vMerge w:val="restart"/>
          </w:tcPr>
          <w:p>
            <w:pPr>
              <w:ind w:left="20"/>
              <w:spacing w:after="0"/>
              <w:rPr>
                <w:sz w:val="20"/>
                <w:szCs w:val="20"/>
                <w:color w:val="auto"/>
              </w:rPr>
            </w:pPr>
            <w:r>
              <w:rPr>
                <w:rFonts w:ascii="Arial" w:cs="Arial" w:eastAsia="Arial" w:hAnsi="Arial"/>
                <w:sz w:val="18"/>
                <w:szCs w:val="18"/>
                <w:color w:val="auto"/>
              </w:rPr>
              <w:t>Stockholder proposal regarding</w:t>
            </w:r>
          </w:p>
        </w:tc>
        <w:tc>
          <w:tcPr>
            <w:tcW w:w="3080" w:type="dxa"/>
            <w:vAlign w:val="bottom"/>
            <w:tcBorders>
              <w:right w:val="single" w:sz="8" w:color="134A9C"/>
            </w:tcBorders>
          </w:tcPr>
          <w:p>
            <w:pPr>
              <w:spacing w:after="0"/>
              <w:rPr>
                <w:sz w:val="18"/>
                <w:szCs w:val="18"/>
                <w:color w:val="auto"/>
              </w:rPr>
            </w:pPr>
          </w:p>
        </w:tc>
        <w:tc>
          <w:tcPr>
            <w:tcW w:w="376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outcome of the vote.</w:t>
            </w:r>
          </w:p>
        </w:tc>
        <w:tc>
          <w:tcPr>
            <w:tcW w:w="0" w:type="dxa"/>
            <w:vAlign w:val="bottom"/>
          </w:tcPr>
          <w:p>
            <w:pPr>
              <w:spacing w:after="0"/>
              <w:rPr>
                <w:sz w:val="1"/>
                <w:szCs w:val="1"/>
                <w:color w:val="auto"/>
              </w:rPr>
            </w:pPr>
          </w:p>
        </w:tc>
      </w:tr>
      <w:tr>
        <w:trPr>
          <w:trHeight w:val="79"/>
        </w:trPr>
        <w:tc>
          <w:tcPr>
            <w:tcW w:w="1280" w:type="dxa"/>
            <w:vAlign w:val="bottom"/>
            <w:tcBorders>
              <w:left w:val="single" w:sz="8" w:color="134A9C"/>
              <w:right w:val="single" w:sz="8" w:color="134A9C"/>
            </w:tcBorders>
            <w:vMerge w:val="continue"/>
          </w:tcPr>
          <w:p>
            <w:pPr>
              <w:spacing w:after="0"/>
              <w:rPr>
                <w:sz w:val="6"/>
                <w:szCs w:val="6"/>
                <w:color w:val="auto"/>
              </w:rPr>
            </w:pPr>
          </w:p>
        </w:tc>
        <w:tc>
          <w:tcPr>
            <w:tcW w:w="3320" w:type="dxa"/>
            <w:vAlign w:val="bottom"/>
            <w:tcBorders>
              <w:right w:val="single" w:sz="8" w:color="134A9C"/>
            </w:tcBorders>
            <w:vMerge w:val="continue"/>
          </w:tcPr>
          <w:p>
            <w:pPr>
              <w:spacing w:after="0"/>
              <w:rPr>
                <w:sz w:val="6"/>
                <w:szCs w:val="6"/>
                <w:color w:val="auto"/>
              </w:rPr>
            </w:pPr>
          </w:p>
        </w:tc>
        <w:tc>
          <w:tcPr>
            <w:tcW w:w="3080" w:type="dxa"/>
            <w:vAlign w:val="bottom"/>
            <w:tcBorders>
              <w:right w:val="single" w:sz="8" w:color="134A9C"/>
            </w:tcBorders>
          </w:tcPr>
          <w:p>
            <w:pPr>
              <w:spacing w:after="0"/>
              <w:rPr>
                <w:sz w:val="6"/>
                <w:szCs w:val="6"/>
                <w:color w:val="auto"/>
              </w:rPr>
            </w:pPr>
          </w:p>
        </w:tc>
        <w:tc>
          <w:tcPr>
            <w:tcW w:w="3760" w:type="dxa"/>
            <w:vAlign w:val="bottom"/>
            <w:tcBorders>
              <w:right w:val="single" w:sz="8" w:color="134A9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134A9C"/>
              <w:bottom w:val="single" w:sz="8" w:color="134A9C"/>
              <w:right w:val="single" w:sz="8" w:color="134A9C"/>
            </w:tcBorders>
          </w:tcPr>
          <w:p>
            <w:pPr>
              <w:spacing w:after="0"/>
              <w:rPr>
                <w:sz w:val="19"/>
                <w:szCs w:val="19"/>
                <w:color w:val="auto"/>
              </w:rPr>
            </w:pPr>
          </w:p>
        </w:tc>
        <w:tc>
          <w:tcPr>
            <w:tcW w:w="332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cumulative voting</w:t>
            </w:r>
          </w:p>
        </w:tc>
        <w:tc>
          <w:tcPr>
            <w:tcW w:w="3080" w:type="dxa"/>
            <w:vAlign w:val="bottom"/>
            <w:tcBorders>
              <w:bottom w:val="single" w:sz="8" w:color="134A9C"/>
              <w:right w:val="single" w:sz="8" w:color="134A9C"/>
            </w:tcBorders>
          </w:tcPr>
          <w:p>
            <w:pPr>
              <w:spacing w:after="0"/>
              <w:rPr>
                <w:sz w:val="19"/>
                <w:szCs w:val="19"/>
                <w:color w:val="auto"/>
              </w:rPr>
            </w:pPr>
          </w:p>
        </w:tc>
        <w:tc>
          <w:tcPr>
            <w:tcW w:w="3760" w:type="dxa"/>
            <w:vAlign w:val="bottom"/>
            <w:tcBorders>
              <w:bottom w:val="single" w:sz="8" w:color="134A9C"/>
              <w:right w:val="single" w:sz="8" w:color="134A9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12.What constitutes a quorum at the annual meeting?</w:t>
      </w:r>
    </w:p>
    <w:p>
      <w:pPr>
        <w:spacing w:after="0" w:line="14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presence of the holders of a majority of the outstanding shares of our Common Stock, in person or by proxy, will constitute a quorum for transacting business at the annual meeting. Abstentions and broker non-votes are counted as present for purposes of establishing a quorum at the meeting.</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13.How can I attend the annual meeting?</w:t>
      </w:r>
    </w:p>
    <w:p>
      <w:pPr>
        <w:spacing w:after="0" w:line="14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welcome you to attend the annual meeting. To attend the meeting, you must be a holder of our Common Stock as of the record date of April 10, 2015 and request an admission ticket in advance by following the instructions below.</w:t>
      </w:r>
    </w:p>
    <w:p>
      <w:pPr>
        <w:spacing w:after="0" w:line="10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If your shares are owned directly in your name in an account with Computershare, GM’s stock transfer agent, you must provide your name and address as shown on your account or voting materials with your admission ticket request. If you hold your shares in an account with a broker, bank, or other nominee, you must include proof of your stock ownership such as a copy of the portion of your Notice or voting instruction form that shows your name and address, or a letter from your broker, bank, or other nominee confirming your stock ownership as of April 10, 2015.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e-mail notification received with electronic delivery of proxy materials is not sufficient proof of stock ownership.</w:t>
      </w:r>
    </w:p>
    <w:p>
      <w:pPr>
        <w:spacing w:after="0" w:line="1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Please send your annual meeting admission ticket request and proof of stock ownership as described above to GM Stockholder Services by one of the following methods:</w:t>
      </w:r>
    </w:p>
    <w:p>
      <w:pPr>
        <w:spacing w:after="0" w:line="10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134A9C"/>
        </w:rPr>
      </w:pPr>
      <w:r>
        <w:rPr>
          <w:rFonts w:ascii="Arial" w:cs="Arial" w:eastAsia="Arial" w:hAnsi="Arial"/>
          <w:sz w:val="18"/>
          <w:szCs w:val="18"/>
          <w:color w:val="auto"/>
        </w:rPr>
        <w:t>Email: stockholder.services@gm.com;</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18"/>
        </w:numPr>
        <w:rPr>
          <w:rFonts w:ascii="Arial" w:cs="Arial" w:eastAsia="Arial" w:hAnsi="Arial"/>
          <w:sz w:val="18"/>
          <w:szCs w:val="18"/>
          <w:color w:val="134A9C"/>
        </w:rPr>
      </w:pPr>
      <w:r>
        <w:rPr>
          <w:rFonts w:ascii="Arial" w:cs="Arial" w:eastAsia="Arial" w:hAnsi="Arial"/>
          <w:sz w:val="18"/>
          <w:szCs w:val="18"/>
          <w:color w:val="auto"/>
        </w:rPr>
        <w:t>Fax: 313-667-1426; or</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18"/>
        </w:numPr>
        <w:rPr>
          <w:rFonts w:ascii="Arial" w:cs="Arial" w:eastAsia="Arial" w:hAnsi="Arial"/>
          <w:sz w:val="18"/>
          <w:szCs w:val="18"/>
          <w:color w:val="134A9C"/>
        </w:rPr>
      </w:pPr>
      <w:r>
        <w:rPr>
          <w:rFonts w:ascii="Arial" w:cs="Arial" w:eastAsia="Arial" w:hAnsi="Arial"/>
          <w:sz w:val="18"/>
          <w:szCs w:val="18"/>
          <w:color w:val="auto"/>
        </w:rPr>
        <w:t>Mail: GM Stockholder Services, Mail Code 482-C25-A36, P.O. Box 300, Detroit, Michigan 48265-3000.</w:t>
      </w:r>
    </w:p>
    <w:p>
      <w:pPr>
        <w:spacing w:after="0" w:line="13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Because our space is limited, you may only bring one guest to the meeting. If you plan to bring a guest, you will need to provide the name of your guest when making your ticket request. Ticket requests will be processed in the order in which they are received and must be received no later than June 2, 2015. Please include your e-mail address or telephone number in your fax or mail communication in case we need to contact you regarding your ticket request. You will receive your admission ticket(s) by mail. On the day of the meeting, each stockholder must accompany their guest at the meeting entrance. Stockholders and accompanying</w:t>
      </w:r>
    </w:p>
    <w:p>
      <w:pPr>
        <w:spacing w:after="0" w:line="395" w:lineRule="exact"/>
        <w:rPr>
          <w:sz w:val="20"/>
          <w:szCs w:val="20"/>
          <w:color w:val="auto"/>
        </w:rPr>
      </w:pPr>
    </w:p>
    <w:p>
      <w:pPr>
        <w:ind w:left="5740"/>
        <w:spacing w:after="0"/>
        <w:tabs>
          <w:tab w:leader="none" w:pos="9212" w:val="left"/>
        </w:tabs>
        <w:rPr>
          <w:sz w:val="20"/>
          <w:szCs w:val="20"/>
          <w:color w:val="auto"/>
        </w:rPr>
      </w:pPr>
      <w:r>
        <w:rPr>
          <w:rFonts w:ascii="Arial" w:cs="Arial" w:eastAsia="Arial" w:hAnsi="Arial"/>
          <w:sz w:val="18"/>
          <w:szCs w:val="18"/>
          <w:color w:val="auto"/>
        </w:rPr>
        <w:t>9</w:t>
      </w:r>
      <w:r>
        <w:rPr>
          <w:sz w:val="20"/>
          <w:szCs w:val="20"/>
          <w:color w:val="auto"/>
        </w:rPr>
        <w:tab/>
      </w:r>
      <w:r>
        <w:rPr>
          <w:sz w:val="1"/>
          <w:szCs w:val="1"/>
          <w:color w:val="auto"/>
        </w:rPr>
        <w:drawing>
          <wp:inline distT="0" distB="0" distL="0" distR="0">
            <wp:extent cx="120015" cy="12001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79" w:right="219" w:bottom="1440" w:gutter="0" w:footer="0" w:header="0"/>
        </w:sectPr>
      </w:pPr>
    </w:p>
    <w:bookmarkStart w:id="13" w:name="page14"/>
    <w:bookmarkEnd w:id="13"/>
    <w:p>
      <w:pPr>
        <w:ind w:left="8400"/>
        <w:spacing w:after="0"/>
        <w:rPr>
          <w:sz w:val="20"/>
          <w:szCs w:val="20"/>
          <w:color w:val="auto"/>
        </w:rPr>
      </w:pPr>
      <w:r>
        <w:rPr>
          <w:rFonts w:ascii="Arial" w:cs="Arial" w:eastAsia="Arial" w:hAnsi="Arial"/>
          <w:sz w:val="18"/>
          <w:szCs w:val="18"/>
          <w:b w:val="1"/>
          <w:bCs w:val="1"/>
          <w:color w:val="134A9C"/>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guests must each have an admission ticket to enter the meeting. Both admission tickets will be issued in the stockholder's name. Along with the admission ticket, each stockholder and accompanying guest will be required to present a form of government-issued photo identification, such as a driver’s license or passport. The admission ticket is not transferable.</w:t>
      </w:r>
    </w:p>
    <w:p>
      <w:pPr>
        <w:spacing w:after="0" w:line="10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Large bags, backpacks and packages, suitcases, briefcases, personal communication devices (e.g., cell phones, smartphones, and tablets), cameras, recording equipment, and other electronic devices will not be permitted in the meeting, and attendees will be subject to a security inspection.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14.Will there be a webcast of the annual meeting?</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Yes. Our annual meeting will be audio webcast on Tuesday, June 9, 2015 at 9:30 a.m. ET and may be accessed at </w:t>
      </w:r>
      <w:r>
        <w:rPr>
          <w:rFonts w:ascii="Arial" w:cs="Arial" w:eastAsia="Arial" w:hAnsi="Arial"/>
          <w:sz w:val="18"/>
          <w:szCs w:val="18"/>
          <w:i w:val="1"/>
          <w:iCs w:val="1"/>
          <w:color w:val="auto"/>
        </w:rPr>
        <w:t>www.gm.com/gmannualmeeting</w:t>
      </w:r>
      <w:r>
        <w:rPr>
          <w:rFonts w:ascii="Arial" w:cs="Arial" w:eastAsia="Arial" w:hAnsi="Arial"/>
          <w:sz w:val="18"/>
          <w:szCs w:val="18"/>
          <w:color w:val="auto"/>
        </w:rPr>
        <w:t>. Listening to our annual meeting audio webcast will not constitute attendance at the meeting, and you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able to cast a vote as a listener to the live audio webcast. For specific instructions on how to vote your shares, please see, </w:t>
      </w:r>
      <w:r>
        <w:rPr>
          <w:rFonts w:ascii="Arial" w:cs="Arial" w:eastAsia="Arial" w:hAnsi="Arial"/>
          <w:sz w:val="18"/>
          <w:szCs w:val="18"/>
          <w:i w:val="1"/>
          <w:iCs w:val="1"/>
          <w:color w:val="auto"/>
        </w:rPr>
        <w:t>“How do I vote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without attending the annual meeting?” </w:t>
      </w:r>
      <w:r>
        <w:rPr>
          <w:rFonts w:ascii="Arial" w:cs="Arial" w:eastAsia="Arial" w:hAnsi="Arial"/>
          <w:sz w:val="18"/>
          <w:szCs w:val="18"/>
          <w:color w:val="auto"/>
        </w:rPr>
        <w:t>on page 6.</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15.Can I access proxy materials on the Internet instead of receiving paper copies?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Yes. You may consent to receive your proxy materials and Annual Report by Internet, which will reduce the amount of paper you receive, our future postage and printing expenses, and the impact on the environment. At your request, you will be notified by e-mail when these documents are available electronically through the Internet. If you are a stockholder of record, you may sign up for this service at </w:t>
      </w:r>
      <w:r>
        <w:rPr>
          <w:rFonts w:ascii="Arial" w:cs="Arial" w:eastAsia="Arial" w:hAnsi="Arial"/>
          <w:sz w:val="18"/>
          <w:szCs w:val="18"/>
          <w:i w:val="1"/>
          <w:iCs w:val="1"/>
          <w:color w:val="auto"/>
        </w:rPr>
        <w:t>www.computershare.com/gm</w:t>
      </w:r>
      <w:r>
        <w:rPr>
          <w:rFonts w:ascii="Arial" w:cs="Arial" w:eastAsia="Arial" w:hAnsi="Arial"/>
          <w:sz w:val="18"/>
          <w:szCs w:val="18"/>
          <w:color w:val="auto"/>
        </w:rPr>
        <w:t>. If you are a beneficial stockholder, you should refer to the instructions provided by your broker, bank,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on how to receive electronic delivery of proxy materials. You may also enroll for electronic delivery when you vote by Internet.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16.Why did I receive a Notice of Internet Availability of Proxy Materials in the mail?</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SEC has adopted a rule that permits companies to furnish proxy materials to stockholders through the Internet. Under this rule, we are mailing a Notice instead of a paper copy of the proxy materials to most of our stockholders. The Notice tells you how to access and review our proxy statement and Annual Report on the Internet and how to vote your shares after you have reviewed the proxy materials. If you would like to receive a paper copy of these proxy materials or electronic delivery of materials via e-mail, free of charge, you should follow the instructions for requesting such materials included in the Notice. Stockholders who have previously elected delivery of proxy materials electronically will receive an e-mail with instructions on how to access these proxy materials electronically. Stockholders who have previously elected to receive a paper copy of our proxy materials will receive a full paper set of these materials by mail.</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17.What is “householding” and how does it affect me?</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SEC permits companies to send a single envelope containing all of the Notices or a single copy of their annual report and proxy statement to any household at which two or more stockholders reside if it appears they are members of the same family. Each stockholder will continue to receive a separate proxy card, voting instruction form, or Notice and it will include the unique control number, which is needed to vote those shares. This procedure, referred to as householding, is intended to reduce the volume of duplicate information stockholders receive and also to reduce expenses for companies. General Motors has instituted this procedure for its stockholders.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one set of these documents was sent to your household for the use of all GM stockholders in your household and one or more of you would prefer to receive additional sets, or if multiple copies of these documents were sent to your household and you want to receive one set, please contact Broadridge Financial Solutions, Inc., by calling toll-free at 866-540-7095, or by writing to Broadridge Financial Solutions, Inc., Householding Department, 51 Mercedes Way, Edgewood, New York 11717.</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 broker, bank, or other nominee holds your shares, please contact your broker, bank, or other nominee directly if you have questions about delivery of materials, require additional copies of the proxy statement or Annual Report, or wish to receive multiple copies of proxy materials by stating that you do not consent to householding.</w:t>
      </w:r>
    </w:p>
    <w:p>
      <w:pPr>
        <w:spacing w:after="0" w:line="392"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120015" cy="12001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79" w:right="239" w:bottom="1440" w:gutter="0" w:footer="0" w:header="0"/>
        </w:sectPr>
      </w:pPr>
    </w:p>
    <w:bookmarkStart w:id="14" w:name="page15"/>
    <w:bookmarkEnd w:id="14"/>
    <w:p>
      <w:pPr>
        <w:ind w:left="8400"/>
        <w:spacing w:after="0"/>
        <w:rPr>
          <w:sz w:val="20"/>
          <w:szCs w:val="20"/>
          <w:color w:val="auto"/>
        </w:rPr>
      </w:pPr>
      <w:r>
        <w:rPr>
          <w:rFonts w:ascii="Arial" w:cs="Arial" w:eastAsia="Arial" w:hAnsi="Arial"/>
          <w:sz w:val="18"/>
          <w:szCs w:val="18"/>
          <w:b w:val="1"/>
          <w:bCs w:val="1"/>
          <w:color w:val="134A9C"/>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18.How can nominees obtain proxy materials for beneficial owners?</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Brokers, banks, and other nominees who want a supply of the Company’s proxy materials to send to beneficial owners should write to Broadridge Financial Solutions, Inc., 51 Mercedes Way, Edgewood, New York 11717.</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19.What proposals will be submitted at the 2016 annual meeting?</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year at the annual meeting, the Board of Directors asks stockholders to vote on its nominees for election as directors. In addition, the stockholders ratify or reject the independent registered public accounting firm selected by the Audit Committee. The Board of Directors also may submit other matters for stockholder approval at the annual meeting.</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deadline for stockholders to submit a proposal under Rule 14a-8 of the SEC’s proxy rules for inclusion in the Company’s proxy statement for the 2016 annual meeting is December 26, 2015. Any proposals intended to be included in the proxy statement for the 2016 annual meeting must be received by the Company on or before that date. Please send proposals to the Corporate Secretary at the mailing address, or e-mail address given below.</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20.How can I obtain the Company’s corporate governance information?</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You may download a copy of GM’s corporate governance documents by visiting our website at </w:t>
      </w:r>
      <w:r>
        <w:rPr>
          <w:rFonts w:ascii="Arial" w:cs="Arial" w:eastAsia="Arial" w:hAnsi="Arial"/>
          <w:sz w:val="18"/>
          <w:szCs w:val="18"/>
          <w:i w:val="1"/>
          <w:iCs w:val="1"/>
          <w:color w:val="auto"/>
        </w:rPr>
        <w:t>www.gm.com/investor</w:t>
      </w:r>
      <w:r>
        <w:rPr>
          <w:rFonts w:ascii="Arial" w:cs="Arial" w:eastAsia="Arial" w:hAnsi="Arial"/>
          <w:sz w:val="18"/>
          <w:szCs w:val="18"/>
          <w:color w:val="auto"/>
        </w:rPr>
        <w:t>, under “Corporate Governance.” To request a printed copy of any of these documents, write to the Corporate Secretary at General Motors Company, Mail Code 482-C25-A36, 300 Renaissance Center, P.O. Box 300, Detroit, Michigan 48265-3000, or at stockholder.services@gm.com.</w:t>
      </w:r>
    </w:p>
    <w:p>
      <w:pPr>
        <w:spacing w:after="0" w:line="149" w:lineRule="exact"/>
        <w:rPr>
          <w:sz w:val="20"/>
          <w:szCs w:val="20"/>
          <w:color w:val="auto"/>
        </w:rPr>
      </w:pPr>
    </w:p>
    <w:p>
      <w:pPr>
        <w:ind w:left="340" w:right="3740" w:hanging="332"/>
        <w:spacing w:after="0" w:line="274" w:lineRule="auto"/>
        <w:tabs>
          <w:tab w:leader="none" w:pos="340" w:val="left"/>
        </w:tabs>
        <w:numPr>
          <w:ilvl w:val="0"/>
          <w:numId w:val="19"/>
        </w:numPr>
        <w:rPr>
          <w:rFonts w:ascii="Arial" w:cs="Arial" w:eastAsia="Arial" w:hAnsi="Arial"/>
          <w:sz w:val="22"/>
          <w:szCs w:val="22"/>
          <w:b w:val="1"/>
          <w:bCs w:val="1"/>
          <w:color w:val="134A9C"/>
        </w:rPr>
      </w:pPr>
      <w:r>
        <w:rPr>
          <w:rFonts w:ascii="Arial" w:cs="Arial" w:eastAsia="Arial" w:hAnsi="Arial"/>
          <w:sz w:val="22"/>
          <w:szCs w:val="22"/>
          <w:b w:val="1"/>
          <w:bCs w:val="1"/>
          <w:color w:val="134A9C"/>
        </w:rPr>
        <w:t>How can I obtain a copy of the Company’s 2014 Annual Report on Form 10-K?</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You may download a copy of our 2014 Annual Report on Form 10-K by visiting our website at </w:t>
      </w:r>
      <w:r>
        <w:rPr>
          <w:rFonts w:ascii="Arial" w:cs="Arial" w:eastAsia="Arial" w:hAnsi="Arial"/>
          <w:sz w:val="18"/>
          <w:szCs w:val="18"/>
          <w:i w:val="1"/>
          <w:iCs w:val="1"/>
          <w:color w:val="auto"/>
        </w:rPr>
        <w:t>www.gm.com/investor</w:t>
      </w:r>
      <w:r>
        <w:rPr>
          <w:rFonts w:ascii="Arial" w:cs="Arial" w:eastAsia="Arial" w:hAnsi="Arial"/>
          <w:sz w:val="18"/>
          <w:szCs w:val="18"/>
          <w:color w:val="auto"/>
        </w:rPr>
        <w:t>, under “Contacts.” Alternatively, you may request a printed copy by writing to GM Stockholder Services at General Motors Company, Mail Code 482-C25-A36, 300 Renaissance Center, P.O. Box 300, Detroit, Michigan 48265-3000.</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22.How can I review a list of stockholders entitled to vote at the annual meeting?</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list of stockholders of record entitled to vote at the annual meeting will be available for examination for a purpose that is germane to the meeting at General Motors Global Headquarters, 300 Renaissance Center, Detroit, Michigan, 48243, for ten business days before the annual meeting between 9:00 a.m. and 5:00 p.m. Eastern Time, and also during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23.When will the annual meeting voting results be announced?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will provide final voting results on our website and in a Form 8-K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24.Who pays for this proxy solicitation and how much did it cost?</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pay our cost for soliciting proxies for the 2015 annual meeting. The Company will distribute proxy materials and follow-up reminders, if any, by mail and electronic means. We have engaged Morrow &amp; Co., LLC ("Morrow"), a professional proxy solicitation firm, located at 470 West Avenue, Stamford, Connecticut 06902, to assist with the solicitation of proxies and to provide related advice and informational support, for a service fee, plus customary disbursements. We expect to pay Morrow an aggregate fee, including reasonable out-of-pocket expenses, of up to $30,000, depending on the level of services actually provided.</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GM directors, officers, and employees may also solicit proxies by mail, telephone, or personal visits. They will not receive any additional compensation for their services.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As usual, we will reimburse brokers, banks, and other nominees for their expenses in forwarding proxy materials to beneficial owners.</w:t>
      </w:r>
    </w:p>
    <w:p>
      <w:pPr>
        <w:spacing w:after="0" w:line="200" w:lineRule="exact"/>
        <w:rPr>
          <w:sz w:val="20"/>
          <w:szCs w:val="20"/>
          <w:color w:val="auto"/>
        </w:rPr>
      </w:pPr>
    </w:p>
    <w:p>
      <w:pPr>
        <w:spacing w:after="0" w:line="215"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11</w:t>
      </w:r>
      <w:r>
        <w:rPr>
          <w:sz w:val="20"/>
          <w:szCs w:val="20"/>
          <w:color w:val="auto"/>
        </w:rPr>
        <w:tab/>
      </w:r>
      <w:r>
        <w:rPr>
          <w:sz w:val="1"/>
          <w:szCs w:val="1"/>
          <w:color w:val="auto"/>
        </w:rPr>
        <w:drawing>
          <wp:inline distT="0" distB="0" distL="0" distR="0">
            <wp:extent cx="120015" cy="12001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79" w:right="239" w:bottom="1440" w:gutter="0" w:footer="0" w:header="0"/>
        </w:sectPr>
      </w:pPr>
    </w:p>
    <w:bookmarkStart w:id="15" w:name="page16"/>
    <w:bookmarkEnd w:id="15"/>
    <w:p>
      <w:pPr>
        <w:ind w:left="8980"/>
        <w:spacing w:after="0"/>
        <w:rPr>
          <w:sz w:val="20"/>
          <w:szCs w:val="20"/>
          <w:color w:val="auto"/>
        </w:rPr>
      </w:pPr>
      <w:r>
        <w:rPr>
          <w:rFonts w:ascii="Arial" w:cs="Arial" w:eastAsia="Arial" w:hAnsi="Arial"/>
          <w:sz w:val="18"/>
          <w:szCs w:val="18"/>
          <w:b w:val="1"/>
          <w:bCs w:val="1"/>
          <w:color w:val="134A9C"/>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9"/>
          <w:szCs w:val="29"/>
          <w:b w:val="1"/>
          <w:bCs w:val="1"/>
          <w:u w:val="single" w:color="auto"/>
          <w:color w:val="134A9C"/>
        </w:rPr>
        <w:t>ITEM NO. 1 — ELECTION OF DIRECTORS</w:t>
      </w: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recommending our 12 nominees for election at the 2015 annual meeting, each of whom has been recommended by our Governance Committee and approved by the Board. We believe our nominees possess the attributes necessary to contribute to an effective Board: integrity, honesty, and adherence to high ethical standards; business acumen; global business and social perspective; sound and independent judgment; diversity; ability to devote sufficient time to serve on our Board of Directors and its Committees and to work in a collaborative manner with other Board members; and an unwavering commitment to representing the long-term interests of our stockholders.</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sign and return the proxy card or voting instruction form or vote by Internet or telephone, the Proxy Committee will vote your shares for all 12 nominees described in the following section, unless you vote against, or abstain from voting for, one or more such nominees. Each director will serve until the next annual meeting of stockholders and until a successor is elected and qualified, or until his or her earlier resignation, removal, or death. If any of the Board’s nominees for director becomes unavailable to serve before the annual meeting (which we do not anticipate), the Board may decrease the number of directors to be elected or designate a substitute nominee for that vacancy.</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GM has received notice pursuant to Section 1.11 of our Bylaws that a stockholder, who owns two shares of our Common Stock, intends to nominate candidates for election to the Board at the 2015 annual meeting. Under Section 2.2(d) of our Bylaws, the Board has determined in its reasonable judgment that this is not considered a contested election, and therefore, majority voting will apply. The Board recommends that you vote your shares for the candidates nominated by the Board.</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Board’s retirement age policy, E. Neville Isdell, who will reach the age of 72 just prior to the date of the annual meeting, is not standing for re-election. Further, on March 23, 2015, Erroll B. Davis, Jr. gave notice that he does not intend to stand for re-election. Mr. Isdell and Mr. Davis have been members of our Board since July 2009.</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than Linda R. Gooden and Joseph Jimenez, Jr. all of the directors in the following section were elected to the Board at the 2014 annual meeting of stockholders. Ms. Gooden was elected a director of the Company effective, February 5, 2015. A third-party search firm engaged by the Governance Committee provided assistance in identifying Mr. Jimenez as a potential Board candidate. The Governance Committee recommended Mr. Jimenez as a nominee for election at the annual meeting after determining that he was qualified under the Governance Committee’s criteria.</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Information about Nominees for Director</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Set forth below is information about our nominees, including their names and ages, recent employment or principal occupation, their period of service as a GM director, the names of other public companies for which they currently serve as a director or have served as a director within the past five years, and a summary of their specific experience, qualifications, attributes, or skills that led to the conclusion that they are qualified to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54875"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83210"/>
                    </a:xfrm>
                    <a:prstGeom prst="rect">
                      <a:avLst/>
                    </a:prstGeom>
                    <a:noFill/>
                  </pic:spPr>
                </pic:pic>
              </a:graphicData>
            </a:graphic>
          </wp:anchor>
        </w:drawing>
      </w:r>
    </w:p>
    <w:p>
      <w:pPr>
        <w:spacing w:after="0" w:line="234" w:lineRule="exact"/>
        <w:rPr>
          <w:sz w:val="20"/>
          <w:szCs w:val="20"/>
          <w:color w:val="auto"/>
        </w:rPr>
      </w:pPr>
    </w:p>
    <w:p>
      <w:pPr>
        <w:ind w:left="40"/>
        <w:spacing w:after="0"/>
        <w:rPr>
          <w:sz w:val="20"/>
          <w:szCs w:val="20"/>
          <w:color w:val="auto"/>
        </w:rPr>
      </w:pPr>
      <w:r>
        <w:rPr>
          <w:rFonts w:ascii="Arial" w:cs="Arial" w:eastAsia="Arial" w:hAnsi="Arial"/>
          <w:sz w:val="22"/>
          <w:szCs w:val="22"/>
          <w:color w:val="FFFFFF"/>
        </w:rPr>
        <w:t xml:space="preserve">The Board of Directors recommends a vote </w:t>
      </w:r>
      <w:r>
        <w:rPr>
          <w:rFonts w:ascii="Arial" w:cs="Arial" w:eastAsia="Arial" w:hAnsi="Arial"/>
          <w:sz w:val="22"/>
          <w:szCs w:val="22"/>
          <w:b w:val="1"/>
          <w:bCs w:val="1"/>
          <w:color w:val="FFFFFF"/>
        </w:rPr>
        <w:t>FOR</w:t>
      </w:r>
      <w:r>
        <w:rPr>
          <w:rFonts w:ascii="Arial" w:cs="Arial" w:eastAsia="Arial" w:hAnsi="Arial"/>
          <w:sz w:val="22"/>
          <w:szCs w:val="22"/>
          <w:color w:val="FFFFFF"/>
        </w:rPr>
        <w:t xml:space="preserve"> the election of all of the following nominees for director.</w:t>
      </w:r>
    </w:p>
    <w:p>
      <w:pPr>
        <w:spacing w:after="0" w:line="200" w:lineRule="exact"/>
        <w:rPr>
          <w:sz w:val="20"/>
          <w:szCs w:val="20"/>
          <w:color w:val="auto"/>
        </w:rPr>
      </w:pPr>
    </w:p>
    <w:p>
      <w:pPr>
        <w:spacing w:after="0" w:line="268"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12</w:t>
      </w:r>
      <w:r>
        <w:rPr>
          <w:sz w:val="20"/>
          <w:szCs w:val="20"/>
          <w:color w:val="auto"/>
        </w:rPr>
        <w:tab/>
      </w:r>
      <w:r>
        <w:rPr>
          <w:sz w:val="1"/>
          <w:szCs w:val="1"/>
          <w:color w:val="auto"/>
        </w:rPr>
        <w:drawing>
          <wp:inline distT="0" distB="0" distL="0" distR="0">
            <wp:extent cx="120015" cy="12001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79" w:right="239" w:bottom="1440" w:gutter="0" w:footer="0" w:header="0"/>
        </w:sectPr>
      </w:pPr>
    </w:p>
    <w:bookmarkStart w:id="16" w:name="page17"/>
    <w:bookmarkEnd w:id="16"/>
    <w:p>
      <w:pPr>
        <w:ind w:left="8380"/>
        <w:spacing w:after="0"/>
        <w:rPr>
          <w:sz w:val="20"/>
          <w:szCs w:val="20"/>
          <w:color w:val="auto"/>
        </w:rPr>
      </w:pPr>
      <w:r>
        <w:rPr>
          <w:rFonts w:ascii="Arial" w:cs="Arial" w:eastAsia="Arial" w:hAnsi="Arial"/>
          <w:sz w:val="17"/>
          <w:szCs w:val="17"/>
          <w:b w:val="1"/>
          <w:bCs w:val="1"/>
          <w:color w:val="134A9C"/>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44450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wp:posOffset>
            </wp:positionH>
            <wp:positionV relativeFrom="paragraph">
              <wp:posOffset>370840</wp:posOffset>
            </wp:positionV>
            <wp:extent cx="1595120" cy="2684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95120" cy="2684145"/>
                    </a:xfrm>
                    <a:prstGeom prst="rect">
                      <a:avLst/>
                    </a:prstGeom>
                    <a:noFill/>
                  </pic:spPr>
                </pic:pic>
              </a:graphicData>
            </a:graphic>
          </wp:anchor>
        </w:drawing>
      </w:r>
    </w:p>
    <w:p>
      <w:pPr>
        <w:sectPr>
          <w:pgSz w:w="11900" w:h="16838" w:orient="portrait"/>
          <w:cols w:equalWidth="0" w:num="1">
            <w:col w:w="10800"/>
          </w:cols>
          <w:pgMar w:left="840" w:top="27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Joseph J.</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Ashton</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FFFFFF"/>
        </w:rPr>
        <w:t>Age: 66</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Director since 2014</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Committees: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Public Policy,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280670</wp:posOffset>
            </wp:positionV>
            <wp:extent cx="1595120" cy="26327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95120" cy="2632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Retired Vice President, United Auto Workers</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Ashton served as a Vice President of the International Union, United Automobile, Aerospace and Agricultural Workers of America (the “UAW”) from 2010 until his retirement in June 2014. Prior to that time, Mr. Ashton served as director of the UAW’s Region 9 (Central New York, New Jersey, and Pennsylvania) from 2006 to 2010 and as assistant director of Region 9 from 2003 to 2006. He had been a member of the UAW International staff since 1986. Mr. Ashton is active in labor and civic affairs, including previously serving as the executive vice president of the Pennsylvania AFL-CIO Executive Council and executive vice president of the New Jersey AFL-CIO. Under the terms of the Stockholders Agreement among some of GM’s largest stockholders, which is described on page 34, Mr. Ashton was designated for nomination to the GM Board by the UAW Retiree Medical Benefits Trust (the "VEBA Trust")</w:t>
      </w:r>
      <w:r>
        <w:rPr>
          <w:rFonts w:ascii="Arial" w:cs="Arial" w:eastAsia="Arial" w:hAnsi="Arial"/>
          <w:sz w:val="16"/>
          <w:szCs w:val="16"/>
          <w:b w:val="1"/>
          <w:bCs w:val="1"/>
          <w:color w:val="auto"/>
        </w:rPr>
        <w:t>,</w:t>
      </w:r>
      <w:r>
        <w:rPr>
          <w:rFonts w:ascii="Arial" w:cs="Arial" w:eastAsia="Arial" w:hAnsi="Arial"/>
          <w:sz w:val="16"/>
          <w:szCs w:val="16"/>
          <w:color w:val="auto"/>
        </w:rPr>
        <w:t xml:space="preserve"> where he is a member of the Financial Committee.</w:t>
      </w:r>
    </w:p>
    <w:p>
      <w:pPr>
        <w:spacing w:after="0" w:line="113"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During his career with the UAW, Mr. Ashton played a key role in organizing campaigns and contract negotiations with major manufacturing and technology companies in a variety of industries including vehicle components, defense, aerospace, steel, and marine products. Based on these experiences, he has developed a deep understanding of how labor strategy can affect a company's financial success, including expertise in areas such as manufacturing processes, pension and health care costs, government relations, employee engagement and training, and plant safety.</w:t>
      </w:r>
    </w:p>
    <w:p>
      <w:pPr>
        <w:spacing w:after="0" w:line="1174" w:lineRule="exact"/>
        <w:rPr>
          <w:sz w:val="20"/>
          <w:szCs w:val="20"/>
          <w:color w:val="auto"/>
        </w:rPr>
      </w:pPr>
    </w:p>
    <w:p>
      <w:pPr>
        <w:sectPr>
          <w:pgSz w:w="11900" w:h="16838" w:orient="portrait"/>
          <w:cols w:equalWidth="0" w:num="2">
            <w:col w:w="1320" w:space="620"/>
            <w:col w:w="8860"/>
          </w:cols>
          <w:pgMar w:left="840" w:top="279"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Mary 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Barra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Age: 53</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Director since 2014</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Chief Executive Officer, General Motors Company</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Ms. Barra has been Chief Executive Officer of the Company since January 2014. Prior to becoming CEO, she had been Executive Vice President, Global Product Development, Purchasing &amp; Supply Chain since August 2013. She served as Senior Vice President, Global Product Development from 2011 to 2013; Vice President, Global Human Resources from 2009 to 2011; and Vice President, Global Manufacturing Engineering from 2008 to 2009. Ms. Barra also serves as a director of General Dynamics Corporation.</w:t>
      </w:r>
    </w:p>
    <w:p>
      <w:pPr>
        <w:spacing w:after="0" w:line="10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Ms. Barra brings to our Board an in-depth knowledge of the Company and the global automotive industry. With more than 34 years at GM and having served in various leadership roles, Ms. Barra has gained substantial strategic planning, operating and business experience and a deep understanding of the Company’s strengths, weaknesses, risks, and challenges. As CEO of the Company, she shares management’s perspective on the business with the Board and engages with the Board in developing her strategic vision for GM. Through her demonstrated leadership and management skills, Ms. Barra has aggressively led the Company through a very challenging period since becoming CEO last year. Her strong engineering background and leadership experience in global product development enables her to provide significant insight to the Board on one of the most critical and complex parts of GM’s business. Her previous leadership in other key areas of the Company, including purchasing and supply chain, human resources and manufacturing engineering also allow her to contribute to Board deliberations on matters regarding those functions. Ms. Barra’s service to GM and experience in serving as a director of another large public company with complex, global operations provides her with a deep understanding of the governance and management matters that large public companies face.</w:t>
      </w:r>
    </w:p>
    <w:p>
      <w:pPr>
        <w:spacing w:after="0" w:line="200" w:lineRule="exact"/>
        <w:rPr>
          <w:sz w:val="20"/>
          <w:szCs w:val="20"/>
          <w:color w:val="auto"/>
        </w:rPr>
      </w:pPr>
    </w:p>
    <w:p>
      <w:pPr>
        <w:sectPr>
          <w:pgSz w:w="11900" w:h="16838" w:orient="portrait"/>
          <w:cols w:equalWidth="0" w:num="2">
            <w:col w:w="1320" w:space="620"/>
            <w:col w:w="8860"/>
          </w:cols>
          <w:pgMar w:left="840" w:top="279" w:right="25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5080"/>
        <w:spacing w:after="0"/>
        <w:tabs>
          <w:tab w:leader="none" w:pos="8612" w:val="left"/>
        </w:tabs>
        <w:rPr>
          <w:sz w:val="20"/>
          <w:szCs w:val="20"/>
          <w:color w:val="auto"/>
        </w:rPr>
      </w:pPr>
      <w:r>
        <w:rPr>
          <w:rFonts w:ascii="Arial" w:cs="Arial" w:eastAsia="Arial" w:hAnsi="Arial"/>
          <w:sz w:val="18"/>
          <w:szCs w:val="18"/>
          <w:color w:val="auto"/>
        </w:rPr>
        <w:t>13</w:t>
      </w:r>
      <w:r>
        <w:rPr>
          <w:sz w:val="20"/>
          <w:szCs w:val="20"/>
          <w:color w:val="auto"/>
        </w:rPr>
        <w:tab/>
      </w:r>
      <w:r>
        <w:rPr>
          <w:sz w:val="1"/>
          <w:szCs w:val="1"/>
          <w:color w:val="auto"/>
        </w:rPr>
        <w:drawing>
          <wp:inline distT="0" distB="0" distL="0" distR="0">
            <wp:extent cx="120015" cy="12001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0800"/>
          </w:cols>
          <w:pgMar w:left="840" w:top="279" w:right="259" w:bottom="1440" w:gutter="0" w:footer="0" w:header="0"/>
          <w:type w:val="continuous"/>
        </w:sectPr>
      </w:pPr>
    </w:p>
    <w:bookmarkStart w:id="17" w:name="page18"/>
    <w:bookmarkEnd w:id="17"/>
    <w:p>
      <w:pPr>
        <w:ind w:left="8380"/>
        <w:spacing w:after="0"/>
        <w:rPr>
          <w:sz w:val="20"/>
          <w:szCs w:val="20"/>
          <w:color w:val="auto"/>
        </w:rPr>
      </w:pPr>
      <w:r>
        <w:rPr>
          <w:rFonts w:ascii="Arial" w:cs="Arial" w:eastAsia="Arial" w:hAnsi="Arial"/>
          <w:sz w:val="17"/>
          <w:szCs w:val="17"/>
          <w:b w:val="1"/>
          <w:bCs w:val="1"/>
          <w:color w:val="134A9C"/>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44450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wp:posOffset>
            </wp:positionH>
            <wp:positionV relativeFrom="paragraph">
              <wp:posOffset>370840</wp:posOffset>
            </wp:positionV>
            <wp:extent cx="1595120" cy="3112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95120" cy="3112770"/>
                    </a:xfrm>
                    <a:prstGeom prst="rect">
                      <a:avLst/>
                    </a:prstGeom>
                    <a:noFill/>
                  </pic:spPr>
                </pic:pic>
              </a:graphicData>
            </a:graphic>
          </wp:anchor>
        </w:drawing>
      </w:r>
    </w:p>
    <w:p>
      <w:pPr>
        <w:sectPr>
          <w:pgSz w:w="11900" w:h="16838" w:orient="portrait"/>
          <w:cols w:equalWidth="0" w:num="1">
            <w:col w:w="10800"/>
          </w:cols>
          <w:pgMar w:left="840" w:top="27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Stephen J.</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Girsky</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FFFFFF"/>
        </w:rPr>
        <w:t>Age: 52</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Director since 2009</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Committees: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FFFFF"/>
        </w:rPr>
        <w:t>Finance,</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F"/>
        </w:rPr>
        <w:t>Public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495300</wp:posOffset>
            </wp:positionV>
            <wp:extent cx="1595120" cy="2795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95120" cy="2795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President, S. J. Girsky &amp; Company</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Girsky has served as President of S. J. Girsky &amp; Company, an independent advisory firm, since returning to that role in July 2014. Prior to that, he held various senior leadership roles with the Company. He served as Senior Advisor from January 2014 to June 30, 2014 and GM Vice Chairman from March 2010 to January 2014. As GM Vice Chairman, he had overall responsibility for global corporate strategy, new business development, global product planning and program management, global connected customer/OnStar, GM Ventures LLC, and global research and development. He also had responsibility for global purchasing and supply chain from 2011 to 2013. He served as Interim President of GM Europe from July 2012 to February 2013; and Senior Advisor to the Office of the Chairman at GM from December 2009 to February 2010. Prior to joining GM, Mr. Girsky was President of S. J. Girsky &amp; Company from January 2009 to March 2010 and President of Centerbridge Industrial Partners, LLC (“Centerbridge”), an affiliate of Centerbridge Partners, L.P., a private investment firm, from 2006 to 2009. From November 2008 to June 2009, Mr. Girsky provided advisory services to the UAW. Prior to joining Centerbridge, Mr. Girsky was a special advisor to the Chief Executive Officer and the Chief Financial Officer of General Motors Corporation from 2005 to 2006. From 1995 to 2005, he served as Managing Director at Morgan Stanley and a Senior Analyst of the Morgan Stanley Global Automotive and Auto Parts Research Team. Mr. Girsky also served as lead director of Dana Holdings Corporation (2008 to 2009).</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Having served in various senior leadership roles with the Company with responsibility for several key areas of the business, Mr. Girsky has an in-depth knowledge of the Company. In total, he brings more than 25 years of experience in the automotive industry, both as a participant and knowledgeable observer, which provides our Board with unique insight into the Company’s challenges, operations, and strategic opportunities as well as a deep understanding of the automotive business and its key participants. In addition, Mr. Girsky’s experience as an auto analyst and president of a private equity firm brings to our Board significant expertise in finance, market and risk analysis, and business restructuring and development.</w:t>
      </w:r>
    </w:p>
    <w:p>
      <w:pPr>
        <w:spacing w:after="0" w:line="200" w:lineRule="exact"/>
        <w:rPr>
          <w:sz w:val="20"/>
          <w:szCs w:val="20"/>
          <w:color w:val="auto"/>
        </w:rPr>
      </w:pPr>
    </w:p>
    <w:p>
      <w:pPr>
        <w:sectPr>
          <w:pgSz w:w="11900" w:h="16838" w:orient="portrait"/>
          <w:cols w:equalWidth="0" w:num="2">
            <w:col w:w="1320" w:space="620"/>
            <w:col w:w="8860"/>
          </w:cols>
          <w:pgMar w:left="840" w:top="279"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Linda R.</w:t>
      </w:r>
    </w:p>
    <w:p>
      <w:pPr>
        <w:spacing w:after="0" w:line="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FFFFF"/>
        </w:rPr>
        <w:t>Gooden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Age: 62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Director since 2015</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Independent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Committees: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FFFFFF"/>
        </w:rPr>
        <w:t>Audit,</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FFFFFF"/>
        </w:rPr>
        <w:t>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color w:val="134A9C"/>
        </w:rPr>
        <w:t>Retired Executive Vice President, Information Systems and Global Solutions, Lockheed Martin Corporation</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Ms. Gooden served as Executive Vice President, Information Systems &amp; Global Solutions (“IS&amp;GS”) of Lockheed Martin Corporation (“Lockheed”) from 2007 to 2013; Deputy Executive Vice President, Information and Technology Services from October to December 2006; and President, Information Technology from 1997 to December 2006. Ms. Gooden is a director at Automatic Data Processing, Inc. (“ADP”), WGL Holdings, Inc. (“WGL”), a public utility holding company, and Washington Gas Light Company, a subsidiary of WGL.</w:t>
      </w:r>
    </w:p>
    <w:p>
      <w:pPr>
        <w:spacing w:after="0" w:line="109"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Ms. Gooden brings to our board her strong leadership capability demonstrated through her various senior leadership positions at Lockheed. She has significant operations and strategic planning expertise, and an extensive background in information technology (“IT”). Under her leadership as Executive Vice President of IS&amp;GS, Lockheed expanded its IT capabilities beyond government customers to international and commercial markets. In her role as President of Lockheed’s IT division, Ms. Gooden grew the business over a 10-year period to become a multi-billion dollar business. Her deep knowledge of IT will add valuable perspective to our Board deliberations regarding GM’s IT transformation. Moreover, Ms. Gooden brings to our Board her experience in business restructuring, finance, cybersecurity, and risk management. She also brings to our Board her experience as a director at other public companies, particularly in the areas of finance, audit, strategic investments, acquisitions, and divestitures.</w:t>
      </w:r>
    </w:p>
    <w:p>
      <w:pPr>
        <w:spacing w:after="0" w:line="1124" w:lineRule="exact"/>
        <w:rPr>
          <w:sz w:val="20"/>
          <w:szCs w:val="20"/>
          <w:color w:val="auto"/>
        </w:rPr>
      </w:pPr>
    </w:p>
    <w:p>
      <w:pPr>
        <w:sectPr>
          <w:pgSz w:w="11900" w:h="16838" w:orient="portrait"/>
          <w:cols w:equalWidth="0" w:num="2">
            <w:col w:w="1320" w:space="620"/>
            <w:col w:w="8860"/>
          </w:cols>
          <w:pgMar w:left="840" w:top="279" w:right="25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ind w:left="5080"/>
        <w:spacing w:after="0"/>
        <w:tabs>
          <w:tab w:leader="none" w:pos="8612" w:val="left"/>
        </w:tabs>
        <w:rPr>
          <w:sz w:val="20"/>
          <w:szCs w:val="20"/>
          <w:color w:val="auto"/>
        </w:rPr>
      </w:pPr>
      <w:r>
        <w:rPr>
          <w:rFonts w:ascii="Arial" w:cs="Arial" w:eastAsia="Arial" w:hAnsi="Arial"/>
          <w:sz w:val="18"/>
          <w:szCs w:val="18"/>
          <w:color w:val="auto"/>
        </w:rPr>
        <w:t>14</w:t>
      </w:r>
      <w:r>
        <w:rPr>
          <w:sz w:val="20"/>
          <w:szCs w:val="20"/>
          <w:color w:val="auto"/>
        </w:rPr>
        <w:tab/>
      </w:r>
      <w:r>
        <w:rPr>
          <w:sz w:val="1"/>
          <w:szCs w:val="1"/>
          <w:color w:val="auto"/>
        </w:rPr>
        <w:drawing>
          <wp:inline distT="0" distB="0" distL="0" distR="0">
            <wp:extent cx="120015" cy="12001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0800"/>
          </w:cols>
          <w:pgMar w:left="840" w:top="279" w:right="259" w:bottom="1440" w:gutter="0" w:footer="0" w:header="0"/>
          <w:type w:val="continuous"/>
        </w:sectPr>
      </w:pPr>
    </w:p>
    <w:bookmarkStart w:id="18" w:name="page19"/>
    <w:bookmarkEnd w:id="18"/>
    <w:p>
      <w:pPr>
        <w:ind w:left="8580"/>
        <w:spacing w:after="0"/>
        <w:rPr>
          <w:sz w:val="20"/>
          <w:szCs w:val="20"/>
          <w:color w:val="auto"/>
        </w:rPr>
      </w:pPr>
      <w:r>
        <w:rPr>
          <w:rFonts w:ascii="Arial" w:cs="Arial" w:eastAsia="Arial" w:hAnsi="Arial"/>
          <w:sz w:val="17"/>
          <w:szCs w:val="17"/>
          <w:b w:val="1"/>
          <w:bCs w:val="1"/>
          <w:color w:val="134A9C"/>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44450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370840</wp:posOffset>
            </wp:positionV>
            <wp:extent cx="1595120" cy="26327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95120" cy="2632710"/>
                    </a:xfrm>
                    <a:prstGeom prst="rect">
                      <a:avLst/>
                    </a:prstGeom>
                    <a:noFill/>
                  </pic:spPr>
                </pic:pic>
              </a:graphicData>
            </a:graphic>
          </wp:anchor>
        </w:drawing>
      </w:r>
    </w:p>
    <w:p>
      <w:pPr>
        <w:sectPr>
          <w:pgSz w:w="11900" w:h="16838" w:orient="portrait"/>
          <w:cols w:equalWidth="0" w:num="1">
            <w:col w:w="11000"/>
          </w:cols>
          <w:pgMar w:left="640" w:top="27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FFFFFF"/>
        </w:rPr>
        <w:t>Joseph</w:t>
      </w:r>
    </w:p>
    <w:p>
      <w:pPr>
        <w:spacing w:after="0" w:line="18"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FFFFFF"/>
        </w:rPr>
        <w:t>Jimenez, Jr.</w:t>
      </w:r>
    </w:p>
    <w:p>
      <w:pPr>
        <w:spacing w:after="0" w:line="197"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FFFFFF"/>
        </w:rPr>
        <w:t>Age: 55</w:t>
      </w:r>
    </w:p>
    <w:p>
      <w:pPr>
        <w:spacing w:after="0" w:line="16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772160</wp:posOffset>
            </wp:positionV>
            <wp:extent cx="1595120" cy="3207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95120" cy="3207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Chief Executive Officer, Novartis AG</w:t>
      </w:r>
    </w:p>
    <w:p>
      <w:pPr>
        <w:spacing w:after="0" w:line="142"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Mr. Jimenez has been Chief Executive Officer of Novartis AG (“Novartis”) since February 2010. He joined Novartis in April 2007 as Head of the Consumer Health Division, and in October 2007, he became the Head of the Pharmaceuticals Division, where he served until 2010. Prior to joining Novartis, Mr. Jimenez served as an Advisor to the Blackstone Group L.P., a private equity firm from 2006-2007. He was President and Chief Executive Officer of H. J. Heinz Company (“Heinz”) North America from 2002-2006 and Executive Vice President, President and Chief Executive Officer of Heinz Europe from 1999-2002. From 1993-1998, Mr. Jimenez held various leadership positions at ConAgra Foods Inc. (“ConAgra”), including President and Senior Vice President of two operating divisions. He began his career in 1984 at The Clorox Company, where he held a number of progressive roles in marketing and brand management. Mr. Jimenez served as a director of Colgate-Palmolive Company (2010-2015).</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Jimenez brings to our Board significant international and operational leadership, strategic planning, and business and finance experience gained through his role as Chief Executive Officer of Novartis, a large, global, complex company in a highly regulated industry, and President of various operating divisions at Heinz and ConAgra. Mr. Jimenez has a long track record in consumer businesses, which allows him to bring a consumer orientation and valuable insight to Board deliberations regarding our strategy to build stronger brands to inspire customer loyalty. Moreover, he has business restructuring expertise and has executed significant business transformations at both Heinz and Novartis, which will allow him to make a significant contribution to our Board as we continue to restructure and strengthen GM’s European operations. Mr. Jimenez also brings to our Board his experience as a director of another large, global, public company.</w:t>
      </w:r>
    </w:p>
    <w:p>
      <w:pPr>
        <w:spacing w:after="0" w:line="200" w:lineRule="exact"/>
        <w:rPr>
          <w:sz w:val="20"/>
          <w:szCs w:val="20"/>
          <w:color w:val="auto"/>
        </w:rPr>
      </w:pPr>
    </w:p>
    <w:p>
      <w:pPr>
        <w:sectPr>
          <w:pgSz w:w="11900" w:h="16838" w:orient="portrait"/>
          <w:cols w:equalWidth="0" w:num="2">
            <w:col w:w="1420" w:space="720"/>
            <w:col w:w="8860"/>
          </w:cols>
          <w:pgMar w:left="640" w:top="279"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Kathryn V. Marinello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Age: 58</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Director since 2009</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Independent</w:t>
      </w:r>
    </w:p>
    <w:p>
      <w:pPr>
        <w:spacing w:after="0" w:line="16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FFFFFF"/>
        </w:rPr>
        <w:t>Committees: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Audit,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Directors and Corporate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Governance,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Senior Advisor, Ares Management LLC</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Ms. Marinello has served as Senior Advisor of Ares Management LLC ("Ares"), a global asset manager, since rejoining the company in March 2014. Prior to that, she served as Chairman and Chief Executive Officer of Stream Global Services, Inc. (“Stream”), a global business process outsource service provider specializing in customer relationship management, since August 2010. Ms. Marinello served as senior advisor and consultant at Providence Equity Partners LLC, a private equity firm, and Ares from June to August 2010. She served as Chairman and Chief Executive Officer of Ceridian Corporation, a human resources outsourcing company, from December 2007 to January 2010; and President and Chief Executive Officer from 2006 to 2007. Prior to joining Ceridian, Ms. Marinello spent 10 years at General Electric Company (“GE”), and served in a variety of senior roles, including President and Chief Executive Officer of GE Fleet Services, a division of GE, from 2002 to 2006. Ms. Marinello is a director of AB Volvo and Nielsen Holdings N.V., a global information and measurement company.</w:t>
      </w:r>
    </w:p>
    <w:p>
      <w:pPr>
        <w:spacing w:after="0" w:line="3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Ms. Marinello’s experience at large, complex service companies in various industries enables her to bring a varied perspective to our Board. As Chairman and CEO of Stream, she was focused on using information technology to enhance customer service, areas that are key to our success. At Ceridian, she led a business service company providing integrated human resource systems, involving a wide range of issues including audit and financial reporting, compliance and controls, and mergers and acquisitions. As the former President and CEO of GE Fleet Services, Ms. Marinello has significant experience with vehicle fleet sales and financing and dealer relations, and ensures that our Board considers the customer perspective in its decision making. Moreover, at GE Capital, and in her prior roles at Chemical Bank, Citibank, and First Bank Systems, Inc., Ms. Marinello operated large consumer financial services divisions, which included auto lending, auto warranty, telematics, and auto insurance companies, further broadening her contribution to our Board. She also brings to our Board her experience as a director of other large, global, public companies.</w:t>
      </w:r>
    </w:p>
    <w:p>
      <w:pPr>
        <w:spacing w:after="0" w:line="461" w:lineRule="exact"/>
        <w:rPr>
          <w:sz w:val="20"/>
          <w:szCs w:val="20"/>
          <w:color w:val="auto"/>
        </w:rPr>
      </w:pPr>
    </w:p>
    <w:p>
      <w:pPr>
        <w:sectPr>
          <w:pgSz w:w="11900" w:h="16838" w:orient="portrait"/>
          <w:cols w:equalWidth="0" w:num="2">
            <w:col w:w="1720" w:space="420"/>
            <w:col w:w="8860"/>
          </w:cols>
          <w:pgMar w:left="640" w:top="279"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80"/>
        <w:spacing w:after="0"/>
        <w:tabs>
          <w:tab w:leader="none" w:pos="8812" w:val="left"/>
        </w:tabs>
        <w:rPr>
          <w:sz w:val="20"/>
          <w:szCs w:val="20"/>
          <w:color w:val="auto"/>
        </w:rPr>
      </w:pPr>
      <w:r>
        <w:rPr>
          <w:rFonts w:ascii="Arial" w:cs="Arial" w:eastAsia="Arial" w:hAnsi="Arial"/>
          <w:sz w:val="18"/>
          <w:szCs w:val="18"/>
          <w:color w:val="auto"/>
        </w:rPr>
        <w:t>15</w:t>
      </w:r>
      <w:r>
        <w:rPr>
          <w:sz w:val="20"/>
          <w:szCs w:val="20"/>
          <w:color w:val="auto"/>
        </w:rPr>
        <w:tab/>
      </w:r>
      <w:r>
        <w:rPr>
          <w:sz w:val="1"/>
          <w:szCs w:val="1"/>
          <w:color w:val="auto"/>
        </w:rPr>
        <w:drawing>
          <wp:inline distT="0" distB="0" distL="0" distR="0">
            <wp:extent cx="120015" cy="12001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000"/>
          </w:cols>
          <w:pgMar w:left="640" w:top="279" w:right="259" w:bottom="1440" w:gutter="0" w:footer="0" w:header="0"/>
          <w:type w:val="continuous"/>
        </w:sectPr>
      </w:pPr>
    </w:p>
    <w:bookmarkStart w:id="19" w:name="page20"/>
    <w:bookmarkEnd w:id="19"/>
    <w:p>
      <w:pPr>
        <w:ind w:left="8600"/>
        <w:spacing w:after="0"/>
        <w:rPr>
          <w:sz w:val="20"/>
          <w:szCs w:val="20"/>
          <w:color w:val="auto"/>
        </w:rPr>
      </w:pPr>
      <w:r>
        <w:rPr>
          <w:rFonts w:ascii="Arial" w:cs="Arial" w:eastAsia="Arial" w:hAnsi="Arial"/>
          <w:sz w:val="17"/>
          <w:szCs w:val="17"/>
          <w:b w:val="1"/>
          <w:bCs w:val="1"/>
          <w:color w:val="134A9C"/>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44450</wp:posOffset>
            </wp:positionV>
            <wp:extent cx="7246620" cy="32759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275965"/>
                    </a:xfrm>
                    <a:prstGeom prst="rect">
                      <a:avLst/>
                    </a:prstGeom>
                    <a:noFill/>
                  </pic:spPr>
                </pic:pic>
              </a:graphicData>
            </a:graphic>
          </wp:anchor>
        </w:drawing>
      </w:r>
    </w:p>
    <w:p>
      <w:pPr>
        <w:sectPr>
          <w:pgSz w:w="11900" w:h="16838" w:orient="portrait"/>
          <w:cols w:equalWidth="0" w:num="1">
            <w:col w:w="11020"/>
          </w:cols>
          <w:pgMar w:left="620" w:top="27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Admiral</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Michael G. Mullen</w:t>
      </w:r>
    </w:p>
    <w:p>
      <w:pPr>
        <w:jc w:val="center"/>
        <w:spacing w:after="0"/>
        <w:rPr>
          <w:sz w:val="20"/>
          <w:szCs w:val="20"/>
          <w:color w:val="auto"/>
        </w:rPr>
      </w:pPr>
      <w:r>
        <w:rPr>
          <w:rFonts w:ascii="Arial" w:cs="Arial" w:eastAsia="Arial" w:hAnsi="Arial"/>
          <w:sz w:val="18"/>
          <w:szCs w:val="18"/>
          <w:b w:val="1"/>
          <w:bCs w:val="1"/>
          <w:color w:val="FFFFFF"/>
        </w:rPr>
        <w:t>USN (ret.)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Age: 68</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Director since 2013</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Independent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Committees: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Audit,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Public Policy,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Risk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177800</wp:posOffset>
            </wp:positionV>
            <wp:extent cx="1595120" cy="2838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9512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FFFFFF"/>
        </w:rPr>
        <w:t>James J.</w:t>
      </w:r>
    </w:p>
    <w:p>
      <w:pPr>
        <w:spacing w:after="0" w:line="1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FFFFFF"/>
        </w:rPr>
        <w:t>Mulva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Age: 68</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Director since 2012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Independent</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FFFFFF"/>
        </w:rPr>
        <w:t>Committees:</w:t>
      </w:r>
    </w:p>
    <w:p>
      <w:pPr>
        <w:spacing w:after="0" w:line="163" w:lineRule="exact"/>
        <w:rPr>
          <w:sz w:val="20"/>
          <w:szCs w:val="20"/>
          <w:color w:val="auto"/>
        </w:rPr>
      </w:pPr>
    </w:p>
    <w:p>
      <w:pPr>
        <w:jc w:val="center"/>
        <w:spacing w:after="0" w:line="271" w:lineRule="auto"/>
        <w:rPr>
          <w:sz w:val="20"/>
          <w:szCs w:val="20"/>
          <w:color w:val="auto"/>
        </w:rPr>
      </w:pPr>
      <w:r>
        <w:rPr>
          <w:rFonts w:ascii="Arial" w:cs="Arial" w:eastAsia="Arial" w:hAnsi="Arial"/>
          <w:sz w:val="14"/>
          <w:szCs w:val="14"/>
          <w:b w:val="1"/>
          <w:bCs w:val="1"/>
          <w:color w:val="FFFFFF"/>
        </w:rPr>
        <w:t>Executive Compensation, Finance (Chair),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Retired Chairman, Joint Chiefs of Staff</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Admiral Mullen served as the 17th Chairman of the Joint Chiefs of Staff from October 2007 until his retirement in 2011. Previously, he served as the 28th Chief of Naval Operations (“CNO”) from July 2005 to 2007. CNO was one of four different four-star assignments Admiral Mullen held, which also included Commander, U.S. Naval Forces Europe and Commander, Allied Joint Force Command, and the 32nd Vice Chief of Naval Operations. Since 2012, Admiral Mullen has served as President of MGM Consulting LLC and is the Charles and Marie Robertson Visiting Professor at the Woodrow Wilson School of Public and International Affairs at Princeton University. Admiral Mullen also serves on the board of directors of Sprint Corporation.</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Admiral Mullen brings to our Board extensive senior leadership experience gained over his 43-year career in the U.S. military. As Chairman of the Joint Chiefs of Staff, the highest ranking officer in the U.S. military, Admiral Mullen led the armed forces during a critical period of transition, overseeing two active war zones. His involvement in key aspects of U.S. diplomacy, including forging vital relationships with diverse countries around the world, brings valuable insight to our Board as we work to restructure GM’s operations in Europe and continue to expand our global footprint. In addition to having strong global relationships, Admiral Mullen has deep experience in leading change in complex organizations, executive development and succession planning, crisis management, diversity implementation, strategic planning, budget policy, risk management, and technical innovation, which are important to the oversight of GM’s business and allows him to make a significant contribution to our Board. Admiral Mullen also brings to our Board his experience as a director of another large, global,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Retired Chairman and Chief Executive Officer, ConocoPhillips</w:t>
      </w:r>
    </w:p>
    <w:p>
      <w:pPr>
        <w:spacing w:after="0" w:line="14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Mr. Mulva served as Chairman and Chief Executive Officer of ConocoPhillips, an international, integrated oil and gas company, from 2004 until his retirement in 2012; Chairman, President and Chief Executive Officer from 2004 to 2008; and President and Chief Executive Officer from 2002 to 2004. Mr. Mulva is a director of General Electric Company and Statoil ASA, a Norwegian oil and gas company.</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Mulva brings to our Board 39 years of experience in the energy industry, first at Phillips Petroleum Company (“Phillips”) and, from 2002 to 2012, as Chief Executive Officer of ConocoPhillips. Prior to overseeing the merger of Conoco and Phillips, Mr. Mulva served as Chairman and Chief Executive Officer of Phillips, where he also held various domestic and international senior management positions in finance, including Executive Vice President and Chief Financial Officer. As Chief Executive Officer of Phillips and later ConocoPhillips, Mr. Mulva oversaw mergers and acquisitions, business restructurings, and negotiated joint ventures, positioning the company to compete in an increasingly challenging and highly competitive industry. Prior to his retirement from ConocoPhillips, Mr. Mulva oversaw the strategic repositioning of the company to split its fuel production and refining businesses. Mr. Mulva’s expertise in the energy industry provides valuable insight to our Board in developing GM’s long-term energy diversity strategy. Mr. Mulva also brings to our Board an in-depth background in finance and his experience as a director of other large, global, public companies.</w:t>
      </w:r>
    </w:p>
    <w:p>
      <w:pPr>
        <w:spacing w:after="0" w:line="1253" w:lineRule="exact"/>
        <w:rPr>
          <w:sz w:val="20"/>
          <w:szCs w:val="20"/>
          <w:color w:val="auto"/>
        </w:rPr>
      </w:pPr>
    </w:p>
    <w:p>
      <w:pPr>
        <w:sectPr>
          <w:pgSz w:w="11900" w:h="16838" w:orient="portrait"/>
          <w:cols w:equalWidth="0" w:num="2">
            <w:col w:w="1760" w:space="400"/>
            <w:col w:w="8860"/>
          </w:cols>
          <w:pgMar w:left="620" w:top="279" w:right="259" w:bottom="1440" w:gutter="0" w:footer="0" w:header="0"/>
          <w:type w:val="continuous"/>
        </w:sectPr>
      </w:pPr>
    </w:p>
    <w:p>
      <w:pPr>
        <w:spacing w:after="0" w:line="368" w:lineRule="exact"/>
        <w:rPr>
          <w:sz w:val="20"/>
          <w:szCs w:val="20"/>
          <w:color w:val="auto"/>
        </w:rPr>
      </w:pPr>
    </w:p>
    <w:p>
      <w:pPr>
        <w:ind w:left="5300"/>
        <w:spacing w:after="0"/>
        <w:tabs>
          <w:tab w:leader="none" w:pos="8832" w:val="left"/>
        </w:tabs>
        <w:rPr>
          <w:sz w:val="20"/>
          <w:szCs w:val="20"/>
          <w:color w:val="auto"/>
        </w:rPr>
      </w:pPr>
      <w:r>
        <w:rPr>
          <w:rFonts w:ascii="Arial" w:cs="Arial" w:eastAsia="Arial" w:hAnsi="Arial"/>
          <w:sz w:val="18"/>
          <w:szCs w:val="18"/>
          <w:color w:val="auto"/>
        </w:rPr>
        <w:t>16</w:t>
      </w:r>
      <w:r>
        <w:rPr>
          <w:sz w:val="20"/>
          <w:szCs w:val="20"/>
          <w:color w:val="auto"/>
        </w:rPr>
        <w:tab/>
      </w:r>
      <w:r>
        <w:rPr>
          <w:sz w:val="1"/>
          <w:szCs w:val="1"/>
          <w:color w:val="auto"/>
        </w:rPr>
        <w:drawing>
          <wp:inline distT="0" distB="0" distL="0" distR="0">
            <wp:extent cx="120015" cy="1200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020"/>
          </w:cols>
          <w:pgMar w:left="620" w:top="279" w:right="259" w:bottom="1440" w:gutter="0" w:footer="0" w:header="0"/>
          <w:type w:val="continuous"/>
        </w:sectPr>
      </w:pPr>
    </w:p>
    <w:bookmarkStart w:id="20" w:name="page21"/>
    <w:bookmarkEnd w:id="20"/>
    <w:p>
      <w:pPr>
        <w:ind w:left="8600"/>
        <w:spacing w:after="0"/>
        <w:rPr>
          <w:sz w:val="20"/>
          <w:szCs w:val="20"/>
          <w:color w:val="auto"/>
        </w:rPr>
      </w:pPr>
      <w:r>
        <w:rPr>
          <w:rFonts w:ascii="Arial" w:cs="Arial" w:eastAsia="Arial" w:hAnsi="Arial"/>
          <w:sz w:val="17"/>
          <w:szCs w:val="17"/>
          <w:b w:val="1"/>
          <w:bCs w:val="1"/>
          <w:color w:val="134A9C"/>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44450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370840</wp:posOffset>
            </wp:positionV>
            <wp:extent cx="1595120" cy="30016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95120" cy="3001645"/>
                    </a:xfrm>
                    <a:prstGeom prst="rect">
                      <a:avLst/>
                    </a:prstGeom>
                    <a:noFill/>
                  </pic:spPr>
                </pic:pic>
              </a:graphicData>
            </a:graphic>
          </wp:anchor>
        </w:drawing>
      </w:r>
    </w:p>
    <w:p>
      <w:pPr>
        <w:sectPr>
          <w:pgSz w:w="11900" w:h="16838" w:orient="portrait"/>
          <w:cols w:equalWidth="0" w:num="1">
            <w:col w:w="11020"/>
          </w:cols>
          <w:pgMar w:left="620" w:top="27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Patricia 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Russo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Age: 62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Director since 2009</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Independent</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FFFFFF"/>
        </w:rPr>
        <w:t>Committees:</w:t>
      </w:r>
    </w:p>
    <w:p>
      <w:pPr>
        <w:spacing w:after="0" w:line="163" w:lineRule="exact"/>
        <w:rPr>
          <w:sz w:val="20"/>
          <w:szCs w:val="20"/>
          <w:color w:val="auto"/>
        </w:rPr>
      </w:pPr>
    </w:p>
    <w:p>
      <w:pPr>
        <w:jc w:val="center"/>
        <w:spacing w:after="0" w:line="256" w:lineRule="auto"/>
        <w:rPr>
          <w:sz w:val="20"/>
          <w:szCs w:val="20"/>
          <w:color w:val="auto"/>
        </w:rPr>
      </w:pPr>
      <w:r>
        <w:rPr>
          <w:rFonts w:ascii="Arial" w:cs="Arial" w:eastAsia="Arial" w:hAnsi="Arial"/>
          <w:sz w:val="14"/>
          <w:szCs w:val="14"/>
          <w:b w:val="1"/>
          <w:bCs w:val="1"/>
          <w:color w:val="FFFFFF"/>
        </w:rPr>
        <w:t>Directors and Corporate Governance (Chair), Executive Compensation,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163830</wp:posOffset>
            </wp:positionV>
            <wp:extent cx="1595120" cy="2769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95120"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Thomas M. Schoewe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Age: 62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Director since 2011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Independent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Committees:</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FFFFFF"/>
        </w:rPr>
        <w:t>Audit (Chair),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Finance,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Former Chief Executive Officer, Alcatel-Lucent S.A.</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Ms. Russo served as Chief Executive Officer of Alcatel-Lucent S.A. from 2006 to 2008. Prior to the merger of Alcatel S.A. (“Alcatel”) and Lucent Technologies, Inc. (“Lucent”) in 2006, she served as Chairman and Chief Executive Officer of Lucent from 2003 to 2006; and President and Chief Executive Officer from 2002 to 2003. Ms. Russo served as Lead Director of our Board from March 2010 to January 2014 and currently serves as lead director of Hewlett-Packard Company ("HP"). She will become Chairman of HP Enterprises upon the completion of HP's separation into two companies. Ms. Russo is also a director of Alcoa Inc., KKR Management LLC (the managing partner of KKR &amp; Co. L.P.), and Merck &amp; Co. Inc.</w:t>
      </w:r>
    </w:p>
    <w:p>
      <w:pPr>
        <w:spacing w:after="0" w:line="11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the chief executive officer of highly technical, global, complex companies, Ms. Russo demonstrated leadership that strongly supported her nomination to our Board. In that capacity she dealt with a wide range of issues including mergers and acquisitions and business restructuring as she led Lucent’s recovery through a severe industry downturn and later a merger with Alcatel, a French company. In addition, she brings to the Board extensive global experience in corporate strategy, finance, sales and marketing, technology, and leadership development. Ms. Russo also brings extensive expertise in corporate governance and executive compensation as a member of the board and board committees of other large, global,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Retired Executive Vice President and Chief Financial Officer, Wal-Mart Stores, Inc.</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Mr. Schoewe served as Executive Vice President and Chief Financial Officer of Wal-Mart Stores, Inc. (“Wal-Mart”) from 2000 to 2011. Prior to joining Wal-Mart, Mr. Schoewe worked for Black &amp; Decker Corporation from 1986 to 1999, most recently serving as Senior Vice President and Chief Financial Officer. Mr. Schoewe is a director of KKR Management LLC and Northrop Grumman Corporation. In the past five years, he also served as a director of PulteGroup, Inc. (2009 to 2012).</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With extensive experience in finance, including serving as the chief financial officer of large multi-national, consumer-facing companies, Mr. Schoewe brings financial expertise, corporate leadership, and operational experience to our Board. His extensive experience as a senior leader in corporate finance has provided him with key skills, including financial reporting, accounting and control, business planning and analysis, and risk management that are valuable to the oversight of our business. Mr. Schoewe also brings to our Board his experience at Wal-Mart and Black &amp; Decker with large-scale, transformational information technology implementations, which provides valuable insight as we continue to restructure our IT operations. Further, Mr. Schoewe’s previous and current board positions at public companies involved with home building, security, and investments provides exposure to diverse industries with unique challenges enabling him to make a significant contribution to our Board.</w:t>
      </w:r>
    </w:p>
    <w:p>
      <w:pPr>
        <w:spacing w:after="0" w:line="1475" w:lineRule="exact"/>
        <w:rPr>
          <w:sz w:val="20"/>
          <w:szCs w:val="20"/>
          <w:color w:val="auto"/>
        </w:rPr>
      </w:pPr>
    </w:p>
    <w:p>
      <w:pPr>
        <w:sectPr>
          <w:pgSz w:w="11900" w:h="16838" w:orient="portrait"/>
          <w:cols w:equalWidth="0" w:num="2">
            <w:col w:w="1760" w:space="400"/>
            <w:col w:w="8860"/>
          </w:cols>
          <w:pgMar w:left="620" w:top="279" w:right="259" w:bottom="1440" w:gutter="0" w:footer="0" w:header="0"/>
          <w:type w:val="continuous"/>
        </w:sectPr>
      </w:pPr>
    </w:p>
    <w:p>
      <w:pPr>
        <w:spacing w:after="0" w:line="228" w:lineRule="exact"/>
        <w:rPr>
          <w:sz w:val="20"/>
          <w:szCs w:val="20"/>
          <w:color w:val="auto"/>
        </w:rPr>
      </w:pPr>
    </w:p>
    <w:p>
      <w:pPr>
        <w:ind w:left="5300"/>
        <w:spacing w:after="0"/>
        <w:tabs>
          <w:tab w:leader="none" w:pos="8832" w:val="left"/>
        </w:tabs>
        <w:rPr>
          <w:sz w:val="20"/>
          <w:szCs w:val="20"/>
          <w:color w:val="auto"/>
        </w:rPr>
      </w:pPr>
      <w:r>
        <w:rPr>
          <w:rFonts w:ascii="Arial" w:cs="Arial" w:eastAsia="Arial" w:hAnsi="Arial"/>
          <w:sz w:val="18"/>
          <w:szCs w:val="18"/>
          <w:color w:val="auto"/>
        </w:rPr>
        <w:t>17</w:t>
      </w:r>
      <w:r>
        <w:rPr>
          <w:sz w:val="20"/>
          <w:szCs w:val="20"/>
          <w:color w:val="auto"/>
        </w:rPr>
        <w:tab/>
      </w:r>
      <w:r>
        <w:rPr>
          <w:sz w:val="1"/>
          <w:szCs w:val="1"/>
          <w:color w:val="auto"/>
        </w:rPr>
        <w:drawing>
          <wp:inline distT="0" distB="0" distL="0" distR="0">
            <wp:extent cx="120015" cy="12001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020"/>
          </w:cols>
          <w:pgMar w:left="620" w:top="279" w:right="259" w:bottom="1440" w:gutter="0" w:footer="0" w:header="0"/>
          <w:type w:val="continuous"/>
        </w:sectPr>
      </w:pPr>
    </w:p>
    <w:bookmarkStart w:id="21" w:name="page22"/>
    <w:bookmarkEnd w:id="21"/>
    <w:p>
      <w:pPr>
        <w:ind w:left="8620"/>
        <w:spacing w:after="0"/>
        <w:rPr>
          <w:sz w:val="20"/>
          <w:szCs w:val="20"/>
          <w:color w:val="auto"/>
        </w:rPr>
      </w:pPr>
      <w:r>
        <w:rPr>
          <w:rFonts w:ascii="Arial" w:cs="Arial" w:eastAsia="Arial" w:hAnsi="Arial"/>
          <w:sz w:val="17"/>
          <w:szCs w:val="17"/>
          <w:b w:val="1"/>
          <w:bCs w:val="1"/>
          <w:color w:val="134A9C"/>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44450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370840</wp:posOffset>
            </wp:positionV>
            <wp:extent cx="1595120" cy="27273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95120" cy="2727325"/>
                    </a:xfrm>
                    <a:prstGeom prst="rect">
                      <a:avLst/>
                    </a:prstGeom>
                    <a:noFill/>
                  </pic:spPr>
                </pic:pic>
              </a:graphicData>
            </a:graphic>
          </wp:anchor>
        </w:drawing>
      </w:r>
    </w:p>
    <w:p>
      <w:pPr>
        <w:sectPr>
          <w:pgSz w:w="11900" w:h="16838" w:orient="portrait"/>
          <w:cols w:equalWidth="0" w:num="1">
            <w:col w:w="11040"/>
          </w:cols>
          <w:pgMar w:left="600" w:top="27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Theodore M.</w:t>
      </w:r>
    </w:p>
    <w:p>
      <w:pPr>
        <w:spacing w:after="0" w:line="18"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Solso</w:t>
      </w:r>
    </w:p>
    <w:p>
      <w:pPr>
        <w:spacing w:after="0" w:line="145"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FFFFFF"/>
        </w:rPr>
        <w:t>Age: 68</w:t>
      </w:r>
    </w:p>
    <w:p>
      <w:pPr>
        <w:spacing w:after="0" w:line="163"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FFFFFF"/>
        </w:rPr>
        <w:t>Director since 2012</w:t>
      </w:r>
    </w:p>
    <w:p>
      <w:pPr>
        <w:spacing w:after="0" w:line="163"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403860</wp:posOffset>
            </wp:positionV>
            <wp:extent cx="1595120" cy="2950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95120" cy="2950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Chairman, General Motors Company and Retired Chairman and Chief Executive Officer, Cummins, Inc.</w:t>
      </w:r>
    </w:p>
    <w:p>
      <w:pPr>
        <w:spacing w:after="0" w:line="142"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Mr. Solso has been the Non-Executive Chairman of our Board since January 2014. He served as Chairman and Chief Executive Officer of Cummins, Inc. (“Cummins”), a global manufacturer of diesel and natural gas engines and engine-related component products, from 2000 until his retirement in 2011. He is currently the lead director of Ball Corporation, a manufacturer of metal packaging products and aerospace systems and technologies. In the past five years, Mr. Solso also served as a director of Ashland Inc. (1999 to 2012), where he was lead director from 2003 to 2010.</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Solso gained significant senior management experience during his 40-year career at Cummins, which culminated in his role as Chairman and Chief Executive Officer. He brings to our Board his experience and insight into the complexities of managing a major global organization. Mr. Solso led Cummins through strong financial performance and stockholder returns, international growth, business restructuring, and leadership in emissions reduction technology and related environmental activities, corporate responsibility, diversity, and human rights issues. His extensive experience in manufacturing and engineering of diesel engines and compliance with challenging emissions laws and regulations allows him to contribute significantly to Board deliberations regarding GM’s global product development strategies. His previous experience in serving as U.S. Chairman of the U.S. - Brazil CEO Forum provides valuable insight to advance the business priorities of our operations in Brazil. In addition to his deep understanding of global markets and business operations and corporate responsibility, Mr. Solso also brings to our Board his experience as a director of other large, global, public companies, particularly in the areas of finance, accounting and corporate governance.</w:t>
      </w:r>
    </w:p>
    <w:p>
      <w:pPr>
        <w:spacing w:after="0" w:line="482" w:lineRule="exact"/>
        <w:rPr>
          <w:sz w:val="20"/>
          <w:szCs w:val="20"/>
          <w:color w:val="auto"/>
        </w:rPr>
      </w:pPr>
    </w:p>
    <w:p>
      <w:pPr>
        <w:sectPr>
          <w:pgSz w:w="11900" w:h="16838" w:orient="portrait"/>
          <w:cols w:equalWidth="0" w:num="2">
            <w:col w:w="1560" w:space="620"/>
            <w:col w:w="8860"/>
          </w:cols>
          <w:pgMar w:left="600" w:top="279"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Carol M. Stephenson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Age: 64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Director since 2009</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Independent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Committees: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Directors and Corporate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Governance,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Executive Compensation,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Retired Dean, Ivey Business School, The University of Western Ontario</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Ms. Stephenson served as Dean of the Ivey Business School at The University of Western Ontario (“Ivey”) from 2003 until her retirement in September 2013. Prior to joining Ivey, Ms. Stephenson served as President and Chief Executive Officer, Lucent Technologies Canada from 1999 to 2003. Ms. Stephenson is a director of Ballard Power Systems, Inc., a manufacturer of fuel cell products, Intact Financial Corporation (formerly ING Canada), an insurance provider in Canada, and Manitoba Telecom Services Inc., a communications provider in Canada. She was a member of the Advisory Board of General Motors of Canada, Limited (“GM Canada”), a GM subsidiary, from 2005 to 2009. Ms. Stephenson was invested as an Officer into the Order of Canada in 2009.</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Ms. Stephenson’s experience as Dean of Ivey and President and Chief Executive Officer of Lucent Technologies Canada provides our Board with diverse perspectives and progressive management expertise in marketing, operations, strategic planning, technology development, and financial management. Her experience on the boards of several top Canadian companies provides our Board with her broad perspective on successful management strategies and insight on matters affecting the business interest of GM and GM Canada. Ms. Stephenson also brings to our Board her experience in serving on the compensation and governance committees of other public companies.</w:t>
      </w:r>
    </w:p>
    <w:p>
      <w:pPr>
        <w:spacing w:after="0" w:line="1595" w:lineRule="exact"/>
        <w:rPr>
          <w:sz w:val="20"/>
          <w:szCs w:val="20"/>
          <w:color w:val="auto"/>
        </w:rPr>
      </w:pPr>
    </w:p>
    <w:p>
      <w:pPr>
        <w:sectPr>
          <w:pgSz w:w="11900" w:h="16838" w:orient="portrait"/>
          <w:cols w:equalWidth="0" w:num="2">
            <w:col w:w="1800" w:space="380"/>
            <w:col w:w="8860"/>
          </w:cols>
          <w:pgMar w:left="600" w:top="279"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320"/>
        <w:spacing w:after="0"/>
        <w:tabs>
          <w:tab w:leader="none" w:pos="8852" w:val="left"/>
        </w:tabs>
        <w:rPr>
          <w:sz w:val="20"/>
          <w:szCs w:val="20"/>
          <w:color w:val="auto"/>
        </w:rPr>
      </w:pPr>
      <w:r>
        <w:rPr>
          <w:rFonts w:ascii="Arial" w:cs="Arial" w:eastAsia="Arial" w:hAnsi="Arial"/>
          <w:sz w:val="18"/>
          <w:szCs w:val="18"/>
          <w:color w:val="auto"/>
        </w:rPr>
        <w:t>18</w:t>
      </w:r>
      <w:r>
        <w:rPr>
          <w:sz w:val="20"/>
          <w:szCs w:val="20"/>
          <w:color w:val="auto"/>
        </w:rPr>
        <w:tab/>
      </w:r>
      <w:r>
        <w:rPr>
          <w:sz w:val="1"/>
          <w:szCs w:val="1"/>
          <w:color w:val="auto"/>
        </w:rPr>
        <w:drawing>
          <wp:inline distT="0" distB="0" distL="0" distR="0">
            <wp:extent cx="120015" cy="12001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040"/>
          </w:cols>
          <w:pgMar w:left="600" w:top="279" w:right="259" w:bottom="1440" w:gutter="0" w:footer="0" w:header="0"/>
          <w:type w:val="continuous"/>
        </w:sectPr>
      </w:pPr>
    </w:p>
    <w:bookmarkStart w:id="22" w:name="page23"/>
    <w:bookmarkEnd w:id="22"/>
    <w:p>
      <w:pPr>
        <w:ind w:left="8700"/>
        <w:spacing w:after="0"/>
        <w:rPr>
          <w:sz w:val="20"/>
          <w:szCs w:val="20"/>
          <w:color w:val="auto"/>
        </w:rPr>
      </w:pPr>
      <w:r>
        <w:rPr>
          <w:rFonts w:ascii="Arial" w:cs="Arial" w:eastAsia="Arial" w:hAnsi="Arial"/>
          <w:sz w:val="18"/>
          <w:szCs w:val="18"/>
          <w:b w:val="1"/>
          <w:bCs w:val="1"/>
          <w:color w:val="134A9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9"/>
          <w:szCs w:val="29"/>
          <w:b w:val="1"/>
          <w:bCs w:val="1"/>
          <w:color w:val="134A9C"/>
        </w:rPr>
        <w:t>CORPORATE GOVERNANCE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Corporate Governance Guidelines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is committed to having a sound governance structure that promotes the best interests of our stockholders. To that end, the Board actively maintains its Corporate Governance Guidelines and other policies that it believes enable it to satisfy its responsibility to provide oversight and direction to the conduct of the Company’s business most effectively. The Board’s Corporate Governance Guidelines and related policies cover among other things:</w:t>
      </w:r>
    </w:p>
    <w:p>
      <w:pPr>
        <w:spacing w:after="0" w:line="11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Board membership criteria and the process for the selection of new directors;</w:t>
      </w:r>
    </w:p>
    <w:p>
      <w:pPr>
        <w:spacing w:after="0" w:line="63" w:lineRule="exact"/>
        <w:rPr>
          <w:rFonts w:ascii="Arial" w:cs="Arial" w:eastAsia="Arial" w:hAnsi="Arial"/>
          <w:sz w:val="18"/>
          <w:szCs w:val="18"/>
          <w:color w:val="134A9C"/>
        </w:rPr>
      </w:pPr>
    </w:p>
    <w:p>
      <w:pPr>
        <w:jc w:val="both"/>
        <w:ind w:left="340" w:hanging="332"/>
        <w:spacing w:after="0" w:line="256" w:lineRule="auto"/>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Majority voting for directors and the related requirement that each incumbent director, before being considered for re-election, submit a written irrevocable resignation that would become effective if the director fails to receive a majority of the votes cast (excluding abstentions) in an uncontested election and if the Board chooses to accept the resignation;</w:t>
      </w:r>
    </w:p>
    <w:p>
      <w:pPr>
        <w:spacing w:after="0" w:line="39" w:lineRule="exact"/>
        <w:rPr>
          <w:rFonts w:ascii="Arial" w:cs="Arial" w:eastAsia="Arial" w:hAnsi="Arial"/>
          <w:sz w:val="18"/>
          <w:szCs w:val="18"/>
          <w:color w:val="134A9C"/>
        </w:rPr>
      </w:pPr>
    </w:p>
    <w:p>
      <w:pPr>
        <w:ind w:left="340" w:hanging="332"/>
        <w:spacing w:after="0"/>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Orientation program for new directors and continuing education for all directors;</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Requirement that at least two-thirds of the Board be independent;</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Limitation on the number of outside board memberships that can be held by any director;</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Mandatory retirement for directors at age 72;</w:t>
      </w:r>
    </w:p>
    <w:p>
      <w:pPr>
        <w:spacing w:after="0" w:line="63" w:lineRule="exact"/>
        <w:rPr>
          <w:rFonts w:ascii="Arial" w:cs="Arial" w:eastAsia="Arial" w:hAnsi="Arial"/>
          <w:sz w:val="18"/>
          <w:szCs w:val="18"/>
          <w:color w:val="134A9C"/>
        </w:rPr>
      </w:pPr>
    </w:p>
    <w:p>
      <w:pPr>
        <w:ind w:left="340" w:right="20" w:hanging="332"/>
        <w:spacing w:after="0" w:line="262" w:lineRule="auto"/>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Prohibition against personal loans from the Company or its subsidiaries to directors and executive officers that would violate the Sarbanes-Oxley Act of 2002;</w:t>
      </w:r>
    </w:p>
    <w:p>
      <w:pPr>
        <w:spacing w:after="0" w:line="34" w:lineRule="exact"/>
        <w:rPr>
          <w:rFonts w:ascii="Arial" w:cs="Arial" w:eastAsia="Arial" w:hAnsi="Arial"/>
          <w:sz w:val="18"/>
          <w:szCs w:val="18"/>
          <w:color w:val="134A9C"/>
        </w:rPr>
      </w:pPr>
    </w:p>
    <w:p>
      <w:pPr>
        <w:ind w:left="340" w:right="20" w:hanging="332"/>
        <w:spacing w:after="0" w:line="262" w:lineRule="auto"/>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Requirement that non-management directors own stock and/or deferred share units, which must be retained until after retirement or otherwise leaving the Board;</w:t>
      </w:r>
    </w:p>
    <w:p>
      <w:pPr>
        <w:spacing w:after="0" w:line="34" w:lineRule="exact"/>
        <w:rPr>
          <w:rFonts w:ascii="Arial" w:cs="Arial" w:eastAsia="Arial" w:hAnsi="Arial"/>
          <w:sz w:val="18"/>
          <w:szCs w:val="18"/>
          <w:color w:val="134A9C"/>
        </w:rPr>
      </w:pPr>
    </w:p>
    <w:p>
      <w:pPr>
        <w:ind w:left="340" w:hanging="332"/>
        <w:spacing w:after="0"/>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Requirements for executive sessions of the Board attended by non-management and independent directors;</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Role and responsibilities of the Chairman of the Board and Lead Director, if the Chairman is not independent;</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Access by the Board and each of its Committees to independent advisors at the Company’s expense;</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Annual self-evaluations of the Board and each of its Committees by directors;</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Directors’ obligations to comply with the Company’s policies regarding ethics and conflicts of interest;</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Confidentiality of Board materials, deliberations, and actions;</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Directors’ unrestricted access to management;</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Annual evaluation of the CEO by the Board; and</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0"/>
        </w:numPr>
        <w:rPr>
          <w:rFonts w:ascii="Arial" w:cs="Arial" w:eastAsia="Arial" w:hAnsi="Arial"/>
          <w:sz w:val="18"/>
          <w:szCs w:val="18"/>
          <w:color w:val="134A9C"/>
        </w:rPr>
      </w:pPr>
      <w:r>
        <w:rPr>
          <w:rFonts w:ascii="Arial" w:cs="Arial" w:eastAsia="Arial" w:hAnsi="Arial"/>
          <w:sz w:val="18"/>
          <w:szCs w:val="18"/>
          <w:color w:val="auto"/>
        </w:rPr>
        <w:t>Board responsibility for CEO succession planning and oversight of management talent development and succession.</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Governance Committee regularly considers information concerning the Board’s Corporate Governance Guidelines and periodically recommends to our Board the adoption of amendments in response to changing regulatory requirements, evolving best practices, and the perspectives of our stockholders. To obtain a copy of our Corporate Governance Guidelines, see </w:t>
      </w:r>
      <w:r>
        <w:rPr>
          <w:rFonts w:ascii="Arial" w:cs="Arial" w:eastAsia="Arial" w:hAnsi="Arial"/>
          <w:sz w:val="18"/>
          <w:szCs w:val="18"/>
          <w:i w:val="1"/>
          <w:iCs w:val="1"/>
          <w:color w:val="auto"/>
        </w:rPr>
        <w:t>“How can I obtain the Company’s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governance information?” </w:t>
      </w:r>
      <w:r>
        <w:rPr>
          <w:rFonts w:ascii="Arial" w:cs="Arial" w:eastAsia="Arial" w:hAnsi="Arial"/>
          <w:sz w:val="18"/>
          <w:szCs w:val="18"/>
          <w:color w:val="auto"/>
        </w:rPr>
        <w:t>on page 11.</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Board Leadership Structure</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Bylaws and Corporate Governance Guidelines provide the Board with flexibility to select the appropriate leadership structure for the Company. The Board strongly believes that when making these determinations it should not be constrained by a policy that could deprive the Board of its ability to select the most qualified and appropriate individual to lead the Board as Chairman at any particular time. In making leadership structure determinations, the Board considers many factors to determine what is in the best interests of the Company’s stockholders, including the qualifications of individual directors and the specific needs of the business. At certain points in the Company’s history, the Chairman and CEO roles have been held by the same person, and at other times, the roles have been held by different individuals. In each instance, the decision on whether to combine or separate the roles was made in the best interests of the Company’s stockholders, based on the circumstances at the time. Our Bylaws provide that if the Chairman is not an independent director, the independent directors will elect a Lead Director from among the independent directors serving on the Board.</w:t>
      </w:r>
    </w:p>
    <w:p>
      <w:pPr>
        <w:spacing w:after="0" w:line="200" w:lineRule="exact"/>
        <w:rPr>
          <w:sz w:val="20"/>
          <w:szCs w:val="20"/>
          <w:color w:val="auto"/>
        </w:rPr>
      </w:pPr>
    </w:p>
    <w:p>
      <w:pPr>
        <w:spacing w:after="0" w:line="203"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19</w:t>
      </w:r>
      <w:r>
        <w:rPr>
          <w:sz w:val="20"/>
          <w:szCs w:val="20"/>
          <w:color w:val="auto"/>
        </w:rPr>
        <w:tab/>
      </w:r>
      <w:r>
        <w:rPr>
          <w:sz w:val="1"/>
          <w:szCs w:val="1"/>
          <w:color w:val="auto"/>
        </w:rPr>
        <w:drawing>
          <wp:inline distT="0" distB="0" distL="0" distR="0">
            <wp:extent cx="120015" cy="12001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23" w:name="page24"/>
    <w:bookmarkEnd w:id="23"/>
    <w:p>
      <w:pPr>
        <w:ind w:left="8700"/>
        <w:spacing w:after="0"/>
        <w:rPr>
          <w:sz w:val="20"/>
          <w:szCs w:val="20"/>
          <w:color w:val="auto"/>
        </w:rPr>
      </w:pPr>
      <w:r>
        <w:rPr>
          <w:rFonts w:ascii="Arial" w:cs="Arial" w:eastAsia="Arial" w:hAnsi="Arial"/>
          <w:sz w:val="18"/>
          <w:szCs w:val="18"/>
          <w:b w:val="1"/>
          <w:bCs w:val="1"/>
          <w:color w:val="134A9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Currently, Theodore M. Solso serves as our independent, non-executive Chairman, and Mary T. Barra is CEO. We believe this structure is appropriate for GM at this time because it allows Ms. Barra, as the CEO, to focus on leading the Company’s business. At the same time, the Chairman can focus on leadership of the Board. Given the dynamic and competitive environment in which GM operates, our Board may reconsider its leadership structure from time to time based on changes in our circumstances and in the members of the Board.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Board’s Role in Risk Oversight</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One of the essential functions of our Board is oversight of management, directly and through its various Committees. Identifying and managing the risks we face is an important component of management’s responsibilities. Risks are considered in virtually every business decision and as part of the Company’s business strategy. We recognize that it is neither possible nor prudent to eliminate all risk. Indeed, purposeful and appropriate risk-taking is essential for the Company to be competitive on a global basis and to achieve our strategic objectives.</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has overall responsibility for risk oversight, with a focus on the most significant risks facing the Company. Effective risk management is the responsibility of the CEO and other members of the Company’s management, specifically the Executive Leadership Team. As part of the risk management process, each of the Company’s business units and functions is responsible for identifying risks that could affect achievement of business goals and strategies, assessing the likelihood and potential impact of significant risks, and prioritizing risks and actions to be taken in mitigation and/or response.</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Board implements its risk oversight function both as a whole and through delegation to Board Committees, particularly the Risk Committee. The Board receives regular reports from our management on particular risks within the Company, through review of the Company’s strategic plan, and through regular communication with its Committees. At least annually, management provides a comprehensive report to the Board on the Company’s key strategic, operating, compliance and financial risks (the “Risk Report”). The Board retains oversight responsibility on the key strategic risks, while the Audit and Finance Committees retain oversight responsibilities for compliance and financial risks. The Board’s Risk Committee, created in June 2014, is responsible for assisting and actively advising the Board in fulfilling its oversight responsibilities with regard to management’s identification, evaluation, and treatment of the Company’s strategic operating risk exposures. This oversight responsibility includes, but is not limited to:</w:t>
      </w:r>
    </w:p>
    <w:p>
      <w:pPr>
        <w:spacing w:after="0" w:line="44"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134A9C"/>
        </w:rPr>
      </w:pPr>
      <w:r>
        <w:rPr>
          <w:rFonts w:ascii="Arial" w:cs="Arial" w:eastAsia="Arial" w:hAnsi="Arial"/>
          <w:sz w:val="18"/>
          <w:szCs w:val="18"/>
          <w:color w:val="auto"/>
        </w:rPr>
        <w:t>Vehicle development safety and security;</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1"/>
        </w:numPr>
        <w:rPr>
          <w:rFonts w:ascii="Arial" w:cs="Arial" w:eastAsia="Arial" w:hAnsi="Arial"/>
          <w:sz w:val="18"/>
          <w:szCs w:val="18"/>
          <w:color w:val="134A9C"/>
        </w:rPr>
      </w:pPr>
      <w:r>
        <w:rPr>
          <w:rFonts w:ascii="Arial" w:cs="Arial" w:eastAsia="Arial" w:hAnsi="Arial"/>
          <w:sz w:val="18"/>
          <w:szCs w:val="18"/>
          <w:color w:val="auto"/>
        </w:rPr>
        <w:t>Product quality;</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1"/>
        </w:numPr>
        <w:rPr>
          <w:rFonts w:ascii="Arial" w:cs="Arial" w:eastAsia="Arial" w:hAnsi="Arial"/>
          <w:sz w:val="18"/>
          <w:szCs w:val="18"/>
          <w:color w:val="134A9C"/>
        </w:rPr>
      </w:pPr>
      <w:r>
        <w:rPr>
          <w:rFonts w:ascii="Arial" w:cs="Arial" w:eastAsia="Arial" w:hAnsi="Arial"/>
          <w:sz w:val="18"/>
          <w:szCs w:val="18"/>
          <w:color w:val="auto"/>
        </w:rPr>
        <w:t>Employee and other persons’ health and safety;</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1"/>
        </w:numPr>
        <w:rPr>
          <w:rFonts w:ascii="Arial" w:cs="Arial" w:eastAsia="Arial" w:hAnsi="Arial"/>
          <w:sz w:val="18"/>
          <w:szCs w:val="18"/>
          <w:color w:val="134A9C"/>
        </w:rPr>
      </w:pPr>
      <w:r>
        <w:rPr>
          <w:rFonts w:ascii="Arial" w:cs="Arial" w:eastAsia="Arial" w:hAnsi="Arial"/>
          <w:sz w:val="18"/>
          <w:szCs w:val="18"/>
          <w:color w:val="auto"/>
        </w:rPr>
        <w:t>Company and vehicle cybersecurity;</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1"/>
        </w:numPr>
        <w:rPr>
          <w:rFonts w:ascii="Arial" w:cs="Arial" w:eastAsia="Arial" w:hAnsi="Arial"/>
          <w:sz w:val="18"/>
          <w:szCs w:val="18"/>
          <w:color w:val="134A9C"/>
        </w:rPr>
      </w:pPr>
      <w:r>
        <w:rPr>
          <w:rFonts w:ascii="Arial" w:cs="Arial" w:eastAsia="Arial" w:hAnsi="Arial"/>
          <w:sz w:val="18"/>
          <w:szCs w:val="18"/>
          <w:color w:val="auto"/>
        </w:rPr>
        <w:t>Key intellectual property;</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1"/>
        </w:numPr>
        <w:rPr>
          <w:rFonts w:ascii="Arial" w:cs="Arial" w:eastAsia="Arial" w:hAnsi="Arial"/>
          <w:sz w:val="18"/>
          <w:szCs w:val="18"/>
          <w:color w:val="134A9C"/>
        </w:rPr>
      </w:pPr>
      <w:r>
        <w:rPr>
          <w:rFonts w:ascii="Arial" w:cs="Arial" w:eastAsia="Arial" w:hAnsi="Arial"/>
          <w:sz w:val="18"/>
          <w:szCs w:val="18"/>
          <w:color w:val="auto"/>
        </w:rPr>
        <w:t>Supply chain, logistics, and country level operating risks;</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1"/>
        </w:numPr>
        <w:rPr>
          <w:rFonts w:ascii="Arial" w:cs="Arial" w:eastAsia="Arial" w:hAnsi="Arial"/>
          <w:sz w:val="18"/>
          <w:szCs w:val="18"/>
          <w:color w:val="134A9C"/>
        </w:rPr>
      </w:pPr>
      <w:r>
        <w:rPr>
          <w:rFonts w:ascii="Arial" w:cs="Arial" w:eastAsia="Arial" w:hAnsi="Arial"/>
          <w:sz w:val="18"/>
          <w:szCs w:val="18"/>
          <w:color w:val="auto"/>
        </w:rPr>
        <w:t>Labor relations;</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1"/>
        </w:numPr>
        <w:rPr>
          <w:rFonts w:ascii="Arial" w:cs="Arial" w:eastAsia="Arial" w:hAnsi="Arial"/>
          <w:sz w:val="18"/>
          <w:szCs w:val="18"/>
          <w:color w:val="134A9C"/>
        </w:rPr>
      </w:pPr>
      <w:r>
        <w:rPr>
          <w:rFonts w:ascii="Arial" w:cs="Arial" w:eastAsia="Arial" w:hAnsi="Arial"/>
          <w:sz w:val="18"/>
          <w:szCs w:val="18"/>
          <w:color w:val="auto"/>
        </w:rPr>
        <w:t>Crisis preparedness and disaster recovery capability; and</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21"/>
        </w:numPr>
        <w:rPr>
          <w:rFonts w:ascii="Arial" w:cs="Arial" w:eastAsia="Arial" w:hAnsi="Arial"/>
          <w:sz w:val="18"/>
          <w:szCs w:val="18"/>
          <w:color w:val="134A9C"/>
        </w:rPr>
      </w:pPr>
      <w:r>
        <w:rPr>
          <w:rFonts w:ascii="Arial" w:cs="Arial" w:eastAsia="Arial" w:hAnsi="Arial"/>
          <w:sz w:val="18"/>
          <w:szCs w:val="18"/>
          <w:color w:val="auto"/>
        </w:rPr>
        <w:t>Other strategic operating risks identified in the Risk Report and subject to the Committee’s oversight and review.</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Risk Committee also oversees the Company’s risk management framework, including policies, procedures, and practices employed to assess and manage its major strategic risks related to operations. The Chair of the Risk Committee coordinates with the Chairs of other Board Committees in their review of the Company’s risks that have been delegated to these Committees to support them in coordinating the relationship between risk management policies and practices.</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the other Board Committees, which meet regularly and report back to the Board, is responsible for oversight of risk management practices for categories of risks relevant to their functions. In general, the Board Committees oversee the following risks:</w:t>
      </w:r>
    </w:p>
    <w:p>
      <w:pPr>
        <w:spacing w:after="0" w:line="102" w:lineRule="exact"/>
        <w:rPr>
          <w:sz w:val="20"/>
          <w:szCs w:val="20"/>
          <w:color w:val="auto"/>
        </w:rPr>
      </w:pPr>
    </w:p>
    <w:p>
      <w:pPr>
        <w:jc w:val="both"/>
        <w:ind w:left="340" w:hanging="332"/>
        <w:spacing w:after="0" w:line="256" w:lineRule="auto"/>
        <w:tabs>
          <w:tab w:leader="none" w:pos="340" w:val="left"/>
        </w:tabs>
        <w:numPr>
          <w:ilvl w:val="0"/>
          <w:numId w:val="22"/>
        </w:numPr>
        <w:rPr>
          <w:rFonts w:ascii="Arial" w:cs="Arial" w:eastAsia="Arial" w:hAnsi="Arial"/>
          <w:sz w:val="18"/>
          <w:szCs w:val="18"/>
          <w:color w:val="134A9C"/>
        </w:rPr>
      </w:pPr>
      <w:r>
        <w:rPr>
          <w:rFonts w:ascii="Arial" w:cs="Arial" w:eastAsia="Arial" w:hAnsi="Arial"/>
          <w:sz w:val="18"/>
          <w:szCs w:val="18"/>
          <w:color w:val="auto"/>
        </w:rPr>
        <w:t>The Audit Committee oversees risks associated with financial and accounting matters and the Company’s financial reporting and disclosure process. It also reviews the Company’s policies for risk assessment and risk management, including our major financial and accounting risk exposures and actions taken to mitigate</w:t>
      </w:r>
    </w:p>
    <w:p>
      <w:pPr>
        <w:spacing w:after="0" w:line="200" w:lineRule="exact"/>
        <w:rPr>
          <w:sz w:val="20"/>
          <w:szCs w:val="20"/>
          <w:color w:val="auto"/>
        </w:rPr>
      </w:pPr>
    </w:p>
    <w:p>
      <w:pPr>
        <w:spacing w:after="0" w:line="246"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20</w:t>
      </w:r>
      <w:r>
        <w:rPr>
          <w:sz w:val="20"/>
          <w:szCs w:val="20"/>
          <w:color w:val="auto"/>
        </w:rPr>
        <w:tab/>
      </w:r>
      <w:r>
        <w:rPr>
          <w:sz w:val="1"/>
          <w:szCs w:val="1"/>
          <w:color w:val="auto"/>
        </w:rPr>
        <w:drawing>
          <wp:inline distT="0" distB="0" distL="0" distR="0">
            <wp:extent cx="120015" cy="12001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24" w:name="page25"/>
    <w:bookmarkEnd w:id="24"/>
    <w:p>
      <w:pPr>
        <w:ind w:left="8700"/>
        <w:spacing w:after="0"/>
        <w:rPr>
          <w:sz w:val="20"/>
          <w:szCs w:val="20"/>
          <w:color w:val="auto"/>
        </w:rPr>
      </w:pPr>
      <w:r>
        <w:rPr>
          <w:rFonts w:ascii="Arial" w:cs="Arial" w:eastAsia="Arial" w:hAnsi="Arial"/>
          <w:sz w:val="18"/>
          <w:szCs w:val="18"/>
          <w:b w:val="1"/>
          <w:bCs w:val="1"/>
          <w:color w:val="134A9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risks as well as reviewing management’s assessment of legal and regulatory risks identified in the Company’s compliance programs;</w:t>
      </w:r>
    </w:p>
    <w:p>
      <w:pPr>
        <w:spacing w:after="0" w:line="131" w:lineRule="exact"/>
        <w:rPr>
          <w:sz w:val="20"/>
          <w:szCs w:val="20"/>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134A9C"/>
        </w:rPr>
      </w:pPr>
      <w:r>
        <w:rPr>
          <w:rFonts w:ascii="Arial" w:cs="Arial" w:eastAsia="Arial" w:hAnsi="Arial"/>
          <w:sz w:val="18"/>
          <w:szCs w:val="18"/>
          <w:color w:val="auto"/>
        </w:rPr>
        <w:t>The Compensation Committee ensures that GM’s executive compensation programs are designed to provide incentives that are consistent with the interests of GM’s stockholders but do not encourage senior executives to take excessive risks that threaten the value of the Company. It also considers risks related to executive recruitment, development, and retention;</w:t>
      </w:r>
    </w:p>
    <w:p>
      <w:pPr>
        <w:spacing w:after="0" w:line="39" w:lineRule="exact"/>
        <w:rPr>
          <w:rFonts w:ascii="Arial" w:cs="Arial" w:eastAsia="Arial" w:hAnsi="Arial"/>
          <w:sz w:val="18"/>
          <w:szCs w:val="18"/>
          <w:color w:val="134A9C"/>
        </w:rPr>
      </w:pPr>
    </w:p>
    <w:p>
      <w:pPr>
        <w:ind w:left="340" w:hanging="332"/>
        <w:spacing w:after="0" w:line="262" w:lineRule="auto"/>
        <w:tabs>
          <w:tab w:leader="none" w:pos="340" w:val="left"/>
        </w:tabs>
        <w:numPr>
          <w:ilvl w:val="0"/>
          <w:numId w:val="23"/>
        </w:numPr>
        <w:rPr>
          <w:rFonts w:ascii="Arial" w:cs="Arial" w:eastAsia="Arial" w:hAnsi="Arial"/>
          <w:sz w:val="18"/>
          <w:szCs w:val="18"/>
          <w:color w:val="134A9C"/>
        </w:rPr>
      </w:pPr>
      <w:r>
        <w:rPr>
          <w:rFonts w:ascii="Arial" w:cs="Arial" w:eastAsia="Arial" w:hAnsi="Arial"/>
          <w:sz w:val="18"/>
          <w:szCs w:val="18"/>
          <w:color w:val="auto"/>
        </w:rPr>
        <w:t>The Governance Committee oversees risks that may arise in connection with the Company’s governance structure and processes, including Board structure and composition, director independence, and related party transactions;</w:t>
      </w:r>
    </w:p>
    <w:p>
      <w:pPr>
        <w:spacing w:after="0" w:line="34" w:lineRule="exact"/>
        <w:rPr>
          <w:rFonts w:ascii="Arial" w:cs="Arial" w:eastAsia="Arial" w:hAnsi="Arial"/>
          <w:sz w:val="18"/>
          <w:szCs w:val="18"/>
          <w:color w:val="134A9C"/>
        </w:rPr>
      </w:pPr>
    </w:p>
    <w:p>
      <w:pPr>
        <w:ind w:left="340" w:hanging="332"/>
        <w:spacing w:after="0" w:line="262" w:lineRule="auto"/>
        <w:tabs>
          <w:tab w:leader="none" w:pos="340" w:val="left"/>
        </w:tabs>
        <w:numPr>
          <w:ilvl w:val="0"/>
          <w:numId w:val="23"/>
        </w:numPr>
        <w:rPr>
          <w:rFonts w:ascii="Arial" w:cs="Arial" w:eastAsia="Arial" w:hAnsi="Arial"/>
          <w:sz w:val="18"/>
          <w:szCs w:val="18"/>
          <w:color w:val="134A9C"/>
        </w:rPr>
      </w:pPr>
      <w:r>
        <w:rPr>
          <w:rFonts w:ascii="Arial" w:cs="Arial" w:eastAsia="Arial" w:hAnsi="Arial"/>
          <w:sz w:val="18"/>
          <w:szCs w:val="18"/>
          <w:color w:val="auto"/>
        </w:rPr>
        <w:t>The Finance Committee oversees risks associated with general economic conditions, financial instruments, financial policies and strategies, capital structure, and pension funding; and</w:t>
      </w:r>
    </w:p>
    <w:p>
      <w:pPr>
        <w:spacing w:after="0" w:line="34" w:lineRule="exact"/>
        <w:rPr>
          <w:rFonts w:ascii="Arial" w:cs="Arial" w:eastAsia="Arial" w:hAnsi="Arial"/>
          <w:sz w:val="18"/>
          <w:szCs w:val="18"/>
          <w:color w:val="134A9C"/>
        </w:rPr>
      </w:pPr>
    </w:p>
    <w:p>
      <w:pPr>
        <w:ind w:left="340" w:hanging="332"/>
        <w:spacing w:after="0" w:line="262" w:lineRule="auto"/>
        <w:tabs>
          <w:tab w:leader="none" w:pos="340" w:val="left"/>
        </w:tabs>
        <w:numPr>
          <w:ilvl w:val="0"/>
          <w:numId w:val="23"/>
        </w:numPr>
        <w:rPr>
          <w:rFonts w:ascii="Arial" w:cs="Arial" w:eastAsia="Arial" w:hAnsi="Arial"/>
          <w:sz w:val="18"/>
          <w:szCs w:val="18"/>
          <w:color w:val="134A9C"/>
        </w:rPr>
      </w:pPr>
      <w:r>
        <w:rPr>
          <w:rFonts w:ascii="Arial" w:cs="Arial" w:eastAsia="Arial" w:hAnsi="Arial"/>
          <w:sz w:val="18"/>
          <w:szCs w:val="18"/>
          <w:color w:val="auto"/>
        </w:rPr>
        <w:t>The Public Policy Committee oversees risks that may arise in connection with social, and public policy issues that may affect the Company’s business operations, profitability, or reputation.</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the Board is ultimately responsible for risk oversight, our management is responsible for day-to-day risk management processes. We believe that this division of responsibilities is the most effective risk management approach and that our Board leadership structure supports this approach.</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134A9C"/>
        </w:rPr>
        <w:t xml:space="preserve">Ignition Switch Recall: </w:t>
      </w:r>
      <w:r>
        <w:rPr>
          <w:rFonts w:ascii="Arial" w:cs="Arial" w:eastAsia="Arial" w:hAnsi="Arial"/>
          <w:sz w:val="18"/>
          <w:szCs w:val="18"/>
          <w:color w:val="000000"/>
        </w:rPr>
        <w:t>Since the ignition switch recalls began in February 2014, the Board of Directors and/or Board Committees have been</w:t>
      </w:r>
      <w:r>
        <w:rPr>
          <w:rFonts w:ascii="Arial" w:cs="Arial" w:eastAsia="Arial" w:hAnsi="Arial"/>
          <w:sz w:val="18"/>
          <w:szCs w:val="18"/>
          <w:b w:val="1"/>
          <w:bCs w:val="1"/>
          <w:color w:val="134A9C"/>
        </w:rPr>
        <w:t xml:space="preserve"> </w:t>
      </w:r>
      <w:r>
        <w:rPr>
          <w:rFonts w:ascii="Arial" w:cs="Arial" w:eastAsia="Arial" w:hAnsi="Arial"/>
          <w:sz w:val="18"/>
          <w:szCs w:val="18"/>
          <w:color w:val="000000"/>
        </w:rPr>
        <w:t>exercising their oversight role regarding the Company’s response to the ignition switch recalls. The Board reviewed and approved the GM Ignition Compensation Claims Resolution facility. In addition, the Board and its Risk Committee have had presentations and updates from representatives of the Global Safety organization regarding its activities. The Company is implementing the recommendations in the report by former U.S. Attorney Anton Valukas of his investigation into our ignition switch recalls, and the Board and/or Board Committees have been provided updates on the progress of those activities. In addition, the Board is updated at its meetings concerning the status of the various investigations and legal proceedings related to ignition switch matters.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Selection of Nominees for Election to the Board</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makes nominations for the election of directors pursuant to the recommendations of the Governance Committee. Any stockholder entitled to vote for the election of directors may make a nomination by complying with the requirements of applicable law and Section 1.11 of our Bylaws.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9, 2015, GM received notice from Harry J. Wilson regarding his intent to nominate himself as a candidate to stand for election to the Board at the annual meeting and bring before the annual meeting a stockholder proposal. On March 9, 2015, GM and an investment group led by Mr. Wilson jointly announced that, in conjunction with GM's disciplined capital allocation framework announcement made on March 9, 2015, Mr. Wilson agreed to withdraw his nomination to stand for election to the Board at the annual meeting and to withdraw his stockholder proposal.</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Governance Committee annually reviews with the Board the appropriate skills and characteristics required of Board nominees, considering current Board composition and Company circumstances. The Governance Committee is responsible for identifying potential candidates for Board membership and making its recommendations to the full Board. To assist in the identification and evaluation of qualified director candidates, the Governance Committee from time to time engages search firms that specialize in providing services for the identification and evaluation of candidates for election to corporate boards.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selection of qualified directors is complex and crucial to our long-term success. The Governance Committee and the Board establish different priorities for recruiting new Board members from time to time depending on the Company’s needs and the current make-up of the Board. In every case, however, candidates for election to the Board must be able to make a significant contribution to the Board’s discussion and decision making concerning the broad array of complex issues facing the Company. Recently, our recruiting efforts have been particularly directed toward identifying candidates who have distinguished themselves as leaders of large, complex organizations with deep experience in global operations and the delivery of stockholder value. Potential candidates who satisfy our priorities are further evaluated based upon criteria that include:</w:t>
      </w:r>
    </w:p>
    <w:p>
      <w:pPr>
        <w:spacing w:after="0" w:line="11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134A9C"/>
        </w:rPr>
      </w:pPr>
      <w:r>
        <w:rPr>
          <w:rFonts w:ascii="Arial" w:cs="Arial" w:eastAsia="Arial" w:hAnsi="Arial"/>
          <w:sz w:val="18"/>
          <w:szCs w:val="18"/>
          <w:color w:val="auto"/>
        </w:rPr>
        <w:t>Their demonstrated global business and social perspective, leadership, and ability to exercise sound judgment;</w:t>
      </w:r>
    </w:p>
    <w:p>
      <w:pPr>
        <w:spacing w:after="0" w:line="200" w:lineRule="exact"/>
        <w:rPr>
          <w:sz w:val="20"/>
          <w:szCs w:val="20"/>
          <w:color w:val="auto"/>
        </w:rPr>
      </w:pPr>
    </w:p>
    <w:p>
      <w:pPr>
        <w:spacing w:after="0" w:line="269"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21</w:t>
      </w:r>
      <w:r>
        <w:rPr>
          <w:sz w:val="20"/>
          <w:szCs w:val="20"/>
          <w:color w:val="auto"/>
        </w:rPr>
        <w:tab/>
      </w:r>
      <w:r>
        <w:rPr>
          <w:sz w:val="1"/>
          <w:szCs w:val="1"/>
          <w:color w:val="auto"/>
        </w:rPr>
        <w:drawing>
          <wp:inline distT="0" distB="0" distL="0" distR="0">
            <wp:extent cx="120015" cy="12001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25" w:name="page26"/>
    <w:bookmarkEnd w:id="25"/>
    <w:p>
      <w:pPr>
        <w:ind w:left="8700"/>
        <w:spacing w:after="0"/>
        <w:rPr>
          <w:sz w:val="20"/>
          <w:szCs w:val="20"/>
          <w:color w:val="auto"/>
        </w:rPr>
      </w:pPr>
      <w:r>
        <w:rPr>
          <w:rFonts w:ascii="Arial" w:cs="Arial" w:eastAsia="Arial" w:hAnsi="Arial"/>
          <w:sz w:val="18"/>
          <w:szCs w:val="18"/>
          <w:b w:val="1"/>
          <w:bCs w:val="1"/>
          <w:color w:val="134A9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ind w:left="340" w:hanging="332"/>
        <w:spacing w:after="0" w:line="262" w:lineRule="auto"/>
        <w:tabs>
          <w:tab w:leader="none" w:pos="340" w:val="left"/>
        </w:tabs>
        <w:numPr>
          <w:ilvl w:val="0"/>
          <w:numId w:val="25"/>
        </w:numPr>
        <w:rPr>
          <w:rFonts w:ascii="Arial" w:cs="Arial" w:eastAsia="Arial" w:hAnsi="Arial"/>
          <w:sz w:val="18"/>
          <w:szCs w:val="18"/>
          <w:color w:val="134A9C"/>
        </w:rPr>
      </w:pPr>
      <w:r>
        <w:rPr>
          <w:rFonts w:ascii="Arial" w:cs="Arial" w:eastAsia="Arial" w:hAnsi="Arial"/>
          <w:sz w:val="18"/>
          <w:szCs w:val="18"/>
          <w:color w:val="auto"/>
        </w:rPr>
        <w:t>Any individual skills, expertise and experience that would complement or expand that of the current directors and enhance the diversity and effectiveness of the Board as a whole;</w:t>
      </w:r>
    </w:p>
    <w:p>
      <w:pPr>
        <w:spacing w:after="0" w:line="34" w:lineRule="exact"/>
        <w:rPr>
          <w:rFonts w:ascii="Arial" w:cs="Arial" w:eastAsia="Arial" w:hAnsi="Arial"/>
          <w:sz w:val="18"/>
          <w:szCs w:val="18"/>
          <w:color w:val="134A9C"/>
        </w:rPr>
      </w:pPr>
    </w:p>
    <w:p>
      <w:pPr>
        <w:ind w:left="340" w:hanging="332"/>
        <w:spacing w:after="0"/>
        <w:tabs>
          <w:tab w:leader="none" w:pos="340" w:val="left"/>
        </w:tabs>
        <w:numPr>
          <w:ilvl w:val="0"/>
          <w:numId w:val="25"/>
        </w:numPr>
        <w:rPr>
          <w:rFonts w:ascii="Arial" w:cs="Arial" w:eastAsia="Arial" w:hAnsi="Arial"/>
          <w:sz w:val="18"/>
          <w:szCs w:val="18"/>
          <w:color w:val="134A9C"/>
        </w:rPr>
      </w:pPr>
      <w:r>
        <w:rPr>
          <w:rFonts w:ascii="Arial" w:cs="Arial" w:eastAsia="Arial" w:hAnsi="Arial"/>
          <w:sz w:val="18"/>
          <w:szCs w:val="18"/>
          <w:color w:val="auto"/>
        </w:rPr>
        <w:t>Their demonstrated commitment to the highest personal and professional ethical standards, integrity and values of the Company;</w:t>
      </w:r>
    </w:p>
    <w:p>
      <w:pPr>
        <w:spacing w:after="0" w:line="63" w:lineRule="exact"/>
        <w:rPr>
          <w:rFonts w:ascii="Arial" w:cs="Arial" w:eastAsia="Arial" w:hAnsi="Arial"/>
          <w:sz w:val="18"/>
          <w:szCs w:val="18"/>
          <w:color w:val="134A9C"/>
        </w:rPr>
      </w:pPr>
    </w:p>
    <w:p>
      <w:pPr>
        <w:ind w:left="340" w:right="20" w:hanging="332"/>
        <w:spacing w:after="0" w:line="262" w:lineRule="auto"/>
        <w:tabs>
          <w:tab w:leader="none" w:pos="340" w:val="left"/>
        </w:tabs>
        <w:numPr>
          <w:ilvl w:val="0"/>
          <w:numId w:val="25"/>
        </w:numPr>
        <w:rPr>
          <w:rFonts w:ascii="Arial" w:cs="Arial" w:eastAsia="Arial" w:hAnsi="Arial"/>
          <w:sz w:val="18"/>
          <w:szCs w:val="18"/>
          <w:color w:val="134A9C"/>
        </w:rPr>
      </w:pPr>
      <w:r>
        <w:rPr>
          <w:rFonts w:ascii="Arial" w:cs="Arial" w:eastAsia="Arial" w:hAnsi="Arial"/>
          <w:sz w:val="18"/>
          <w:szCs w:val="18"/>
          <w:color w:val="auto"/>
        </w:rPr>
        <w:t>Their ability to take into account and balance the legitimate interests and concerns of all our stockholders and other stakeholders effectively, consistently, and appropriately in reaching decisions; and</w:t>
      </w:r>
    </w:p>
    <w:p>
      <w:pPr>
        <w:spacing w:after="0" w:line="34" w:lineRule="exact"/>
        <w:rPr>
          <w:rFonts w:ascii="Arial" w:cs="Arial" w:eastAsia="Arial" w:hAnsi="Arial"/>
          <w:sz w:val="18"/>
          <w:szCs w:val="18"/>
          <w:color w:val="134A9C"/>
        </w:rPr>
      </w:pPr>
    </w:p>
    <w:p>
      <w:pPr>
        <w:ind w:left="340" w:right="20" w:hanging="332"/>
        <w:spacing w:after="0" w:line="262" w:lineRule="auto"/>
        <w:tabs>
          <w:tab w:leader="none" w:pos="340" w:val="left"/>
        </w:tabs>
        <w:numPr>
          <w:ilvl w:val="0"/>
          <w:numId w:val="25"/>
        </w:numPr>
        <w:rPr>
          <w:rFonts w:ascii="Arial" w:cs="Arial" w:eastAsia="Arial" w:hAnsi="Arial"/>
          <w:sz w:val="18"/>
          <w:szCs w:val="18"/>
          <w:color w:val="134A9C"/>
        </w:rPr>
      </w:pPr>
      <w:r>
        <w:rPr>
          <w:rFonts w:ascii="Arial" w:cs="Arial" w:eastAsia="Arial" w:hAnsi="Arial"/>
          <w:sz w:val="18"/>
          <w:szCs w:val="18"/>
          <w:color w:val="auto"/>
        </w:rPr>
        <w:t>Their ability and willingness to give sufficient time and attention to preparing for and participating fully in Board activities, including enhancing their knowledge of our Company and the global automotive industry.</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assessing potential candidates, the Governance Committee seeks to consider individuals with a broad range of business experience and backgrounds. While GM does not have a formal policy governing diversity among members of the Board, we continually strive to add directors with diverse backgrounds in recognition of the value of overall diversity, considering members’ opinions, perspectives, personal and professional experiences, and backgrounds, such as gender, race, ethnicity, or country of origin. We believe that the judgment and perspectives offered from deliberations of a diverse board of directors improve the quality of their decision making and enhance the Company’s business performance by enabling it to respond more effectively to the needs of customers, stockholders, employees, suppliers, and other stakeholders worldwide.</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Governance Committee is also responsible for recommending nominees to the Board annually. In determining whether to recommend a director for re-election, the Governance Committee considers a number of factors, including the director’s history of attendance and participation in meetings, other contributions to the activities of the Board, and the results of Board self-evaluations.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Governance Committee will consider persons recommended by stockholders for election to the Board. To recommend an individual for Board membership, write to the Corporate Secretary of our Company at the mailing address or e-mail address provided on page 11 in </w:t>
      </w:r>
      <w:r>
        <w:rPr>
          <w:rFonts w:ascii="Arial" w:cs="Arial" w:eastAsia="Arial" w:hAnsi="Arial"/>
          <w:sz w:val="18"/>
          <w:szCs w:val="18"/>
          <w:i w:val="1"/>
          <w:iCs w:val="1"/>
          <w:color w:val="auto"/>
        </w:rPr>
        <w:t>“How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 I obtain the Company’s corporate governance information?” </w:t>
      </w:r>
      <w:r>
        <w:rPr>
          <w:rFonts w:ascii="Arial" w:cs="Arial" w:eastAsia="Arial" w:hAnsi="Arial"/>
          <w:sz w:val="18"/>
          <w:szCs w:val="18"/>
          <w:color w:val="auto"/>
        </w:rPr>
        <w:t>Using the same criteria for candidates proposed by stockholders and by</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of the Board, the Governance Committee will review the qualifications and background of each recommended candidate in light of the selection criteria listed above and will then communicate its decision to the candidate or the person who made the recommendation.</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If you intend to nominate a candidate for director at the annual meeting or to introduce any other matter (aside from a stockholder proposal under Rule 14a-8 of the SEC’s proxy rules, which is discussed on page 11), you must give us written notice as required in Section 1.11 of our Bylaws. The Corporate Secretary must receive such notice at the mailing address or e-mail address provided in </w:t>
      </w:r>
      <w:r>
        <w:rPr>
          <w:rFonts w:ascii="Arial" w:cs="Arial" w:eastAsia="Arial" w:hAnsi="Arial"/>
          <w:sz w:val="18"/>
          <w:szCs w:val="18"/>
          <w:i w:val="1"/>
          <w:iCs w:val="1"/>
          <w:color w:val="auto"/>
        </w:rPr>
        <w:t>“How can I obtain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Company’s corporate governance information?” </w:t>
      </w:r>
      <w:r>
        <w:rPr>
          <w:rFonts w:ascii="Arial" w:cs="Arial" w:eastAsia="Arial" w:hAnsi="Arial"/>
          <w:sz w:val="18"/>
          <w:szCs w:val="18"/>
          <w:color w:val="auto"/>
        </w:rPr>
        <w:t>on page 11, not more than 180 days and not less than 120 days before the date of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For the 2016 annual meeting, your notice must be received between December 11, 2015 and February 9, 2016.</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Board Meetings and Attendance</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2014, our Board held a total of eleven meetings, and average attendance at Board and Committee meetings was 94 percent. In addition, our Board has been actively engaged between meetings by holding a number of informational calls during the year. Each director standing for re-election attended more than 75 percent of the total meetings of the Board and Committees on which he or she served during 2014. Directors are expected to attend our annual meeting of stockholders, which is held in conjunction with a regularly scheduled Board meeting. All of GM’s directors standing for re-election attended the 2014 annual meeting of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Size of the Board</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is currently composed of 13 members. The Board of Directors sets the number of directors from time to time by resolution adopted by a majority of the Board. The Governance Committee reassesses the Board’s size at least annually to determine if a larger or smaller group would be more effective. If any nominee is unable to serve as a director or if any director leaves the Board between annual meetings of stockholders, the Board, by resolution, may reduce the number of directors or elect an individual to fill the resulting vacancy. If all of the Board's nominees are elected, the Board will be composed of 12 members immediately following the annual meeting.</w:t>
      </w:r>
    </w:p>
    <w:p>
      <w:pPr>
        <w:spacing w:after="0" w:line="395"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22</w:t>
      </w:r>
      <w:r>
        <w:rPr>
          <w:sz w:val="20"/>
          <w:szCs w:val="20"/>
          <w:color w:val="auto"/>
        </w:rPr>
        <w:tab/>
      </w:r>
      <w:r>
        <w:rPr>
          <w:sz w:val="1"/>
          <w:szCs w:val="1"/>
          <w:color w:val="auto"/>
        </w:rPr>
        <w:drawing>
          <wp:inline distT="0" distB="0" distL="0" distR="0">
            <wp:extent cx="120015" cy="12001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26" w:name="page27"/>
    <w:bookmarkEnd w:id="26"/>
    <w:p>
      <w:pPr>
        <w:ind w:left="8700"/>
        <w:spacing w:after="0"/>
        <w:rPr>
          <w:sz w:val="20"/>
          <w:szCs w:val="20"/>
          <w:color w:val="auto"/>
        </w:rPr>
      </w:pPr>
      <w:r>
        <w:rPr>
          <w:rFonts w:ascii="Arial" w:cs="Arial" w:eastAsia="Arial" w:hAnsi="Arial"/>
          <w:sz w:val="18"/>
          <w:szCs w:val="18"/>
          <w:b w:val="1"/>
          <w:bCs w:val="1"/>
          <w:color w:val="134A9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Voting Standards for the Election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Section 2.2 of GM’s Bylaws and our Corporate Governance Guidelines provide that:</w:t>
      </w:r>
    </w:p>
    <w:p>
      <w:pPr>
        <w:spacing w:after="0" w:line="13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134A9C"/>
        </w:rPr>
      </w:pPr>
      <w:r>
        <w:rPr>
          <w:rFonts w:ascii="Arial" w:cs="Arial" w:eastAsia="Arial" w:hAnsi="Arial"/>
          <w:sz w:val="18"/>
          <w:szCs w:val="18"/>
          <w:color w:val="auto"/>
        </w:rPr>
        <w:t>In uncontested elections, directors are elected by a majority of the votes cast; and</w:t>
      </w:r>
    </w:p>
    <w:p>
      <w:pPr>
        <w:spacing w:after="0" w:line="63" w:lineRule="exact"/>
        <w:rPr>
          <w:rFonts w:ascii="Arial" w:cs="Arial" w:eastAsia="Arial" w:hAnsi="Arial"/>
          <w:sz w:val="18"/>
          <w:szCs w:val="18"/>
          <w:color w:val="134A9C"/>
        </w:rPr>
      </w:pPr>
    </w:p>
    <w:p>
      <w:pPr>
        <w:ind w:left="340" w:hanging="332"/>
        <w:spacing w:after="0" w:line="262" w:lineRule="auto"/>
        <w:tabs>
          <w:tab w:leader="none" w:pos="340" w:val="left"/>
        </w:tabs>
        <w:numPr>
          <w:ilvl w:val="0"/>
          <w:numId w:val="26"/>
        </w:numPr>
        <w:rPr>
          <w:rFonts w:ascii="Arial" w:cs="Arial" w:eastAsia="Arial" w:hAnsi="Arial"/>
          <w:sz w:val="18"/>
          <w:szCs w:val="18"/>
          <w:color w:val="134A9C"/>
        </w:rPr>
      </w:pPr>
      <w:r>
        <w:rPr>
          <w:rFonts w:ascii="Arial" w:cs="Arial" w:eastAsia="Arial" w:hAnsi="Arial"/>
          <w:sz w:val="18"/>
          <w:szCs w:val="18"/>
          <w:color w:val="auto"/>
        </w:rPr>
        <w:t>In contested elections, the plurality voting standard applies so that the Board vacancies are filled by the nominees who receive the most votes, regardless of whether they receive a majority of votes cast.</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 election is considered “contested” if we receive proper notice pursuant to Section 1.11 of our Bylaws that a stockholder intends to nominate a candidate for the election so that the number of candidates would be greater than the number of directors to be elected, unless the Board determines in its reasonable judgment that the stockholder’s nominee or nominees are likely to receive less than 0.01 percent of the votes cast.</w:t>
      </w:r>
    </w:p>
    <w:p>
      <w:pPr>
        <w:spacing w:after="0" w:line="28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Our Bylaws and Corporate Governance Guidelines provide that before any incumbent director may be nominated by the Board for re-election to the Board, he or she must submit a written irrevocable resignation, which would become effective if: (1) the director did not receive more than 50 percent of the votes cast in an uncontested election and (2) the Board accepts that resignation in accordance with policies and procedures adopted by the Board for such purposes.</w:t>
      </w:r>
    </w:p>
    <w:p>
      <w:pPr>
        <w:spacing w:after="0" w:line="2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Within 90 days after receipt of the certified final vote for an uncontested election of directors in which one or more incumbent directors did not receive a majority of the votes cast, the Governance Committee will consider his or her tendered resignation in light of the best interests of GM and its stockholders and make a recommendation to the Board whether to accept or reject the resignation, and whether a different individual should be chosen to serve as a director in place of the unsuccessful incumbent. In any event, however, the Board will accept the resignation of an unsuccessful incumbent unless it determines that for compelling reasons it is in the best interests of GM for that incumbent to continue serving as a director.</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Director Independence</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our Bylaws and the terms of the Stockholders Agreement described on page 34, at least two-thirds of our directors must be independent within the meaning of applicable NYSE listing rules, as determined by our Board of Directors.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Governance Committee assesses the independence of each director and makes recommendations to the Board as to each director’s independence both by using the quantitative criteria in the Board’s Corporate Governance Guidelines and by determining whether the director is free from any qualitative relationship that would interfere with the exercise of independent judgment.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Section 2.10 of our Bylaws incorporates, by reference, the independence criteria of the NYSE, and the Board’s Corporate Governance Guidelines set forth our standards for director independence, which are based on all the applicable SEC and NYSE requirements. The Board’s Corporate Governance Guidelines provide that an independent director must satisfy all of the following criteria:</w:t>
      </w:r>
    </w:p>
    <w:p>
      <w:pPr>
        <w:spacing w:after="0" w:line="107" w:lineRule="exact"/>
        <w:rPr>
          <w:sz w:val="20"/>
          <w:szCs w:val="20"/>
          <w:color w:val="auto"/>
        </w:rPr>
      </w:pPr>
    </w:p>
    <w:p>
      <w:pPr>
        <w:ind w:left="340" w:hanging="332"/>
        <w:spacing w:after="0" w:line="262" w:lineRule="auto"/>
        <w:tabs>
          <w:tab w:leader="none" w:pos="340" w:val="left"/>
        </w:tabs>
        <w:numPr>
          <w:ilvl w:val="0"/>
          <w:numId w:val="27"/>
        </w:numPr>
        <w:rPr>
          <w:rFonts w:ascii="Arial" w:cs="Arial" w:eastAsia="Arial" w:hAnsi="Arial"/>
          <w:sz w:val="18"/>
          <w:szCs w:val="18"/>
          <w:color w:val="134A9C"/>
        </w:rPr>
      </w:pPr>
      <w:r>
        <w:rPr>
          <w:rFonts w:ascii="Arial" w:cs="Arial" w:eastAsia="Arial" w:hAnsi="Arial"/>
          <w:sz w:val="18"/>
          <w:szCs w:val="18"/>
          <w:color w:val="auto"/>
        </w:rPr>
        <w:t>During the past three years, we have not employed the director, and have not employed (except in a non-executive capacity) any of his or her immediate family members;</w:t>
      </w:r>
    </w:p>
    <w:p>
      <w:pPr>
        <w:spacing w:after="0" w:line="34" w:lineRule="exact"/>
        <w:rPr>
          <w:rFonts w:ascii="Arial" w:cs="Arial" w:eastAsia="Arial" w:hAnsi="Arial"/>
          <w:sz w:val="18"/>
          <w:szCs w:val="18"/>
          <w:color w:val="134A9C"/>
        </w:rPr>
      </w:pPr>
    </w:p>
    <w:p>
      <w:pPr>
        <w:jc w:val="both"/>
        <w:ind w:left="340" w:hanging="332"/>
        <w:spacing w:after="0" w:line="256" w:lineRule="auto"/>
        <w:tabs>
          <w:tab w:leader="none" w:pos="340" w:val="left"/>
        </w:tabs>
        <w:numPr>
          <w:ilvl w:val="0"/>
          <w:numId w:val="27"/>
        </w:numPr>
        <w:rPr>
          <w:rFonts w:ascii="Arial" w:cs="Arial" w:eastAsia="Arial" w:hAnsi="Arial"/>
          <w:sz w:val="18"/>
          <w:szCs w:val="18"/>
          <w:color w:val="134A9C"/>
        </w:rPr>
      </w:pPr>
      <w:r>
        <w:rPr>
          <w:rFonts w:ascii="Arial" w:cs="Arial" w:eastAsia="Arial" w:hAnsi="Arial"/>
          <w:sz w:val="18"/>
          <w:szCs w:val="18"/>
          <w:color w:val="auto"/>
        </w:rPr>
        <w:t>During any twelve-month period within the last three years, the director has not received more than $120,000 in direct compensation from us other than director fees or other forms of deferred compensation. No immediate family members of the director have received any compensation other than for employment in a non-executive capacity;</w:t>
      </w:r>
    </w:p>
    <w:p>
      <w:pPr>
        <w:spacing w:after="0" w:line="39" w:lineRule="exact"/>
        <w:rPr>
          <w:rFonts w:ascii="Arial" w:cs="Arial" w:eastAsia="Arial" w:hAnsi="Arial"/>
          <w:sz w:val="18"/>
          <w:szCs w:val="18"/>
          <w:color w:val="134A9C"/>
        </w:rPr>
      </w:pPr>
    </w:p>
    <w:p>
      <w:pPr>
        <w:jc w:val="both"/>
        <w:ind w:left="340" w:hanging="332"/>
        <w:spacing w:after="0" w:line="254" w:lineRule="auto"/>
        <w:tabs>
          <w:tab w:leader="none" w:pos="340" w:val="left"/>
        </w:tabs>
        <w:numPr>
          <w:ilvl w:val="0"/>
          <w:numId w:val="27"/>
        </w:numPr>
        <w:rPr>
          <w:rFonts w:ascii="Arial" w:cs="Arial" w:eastAsia="Arial" w:hAnsi="Arial"/>
          <w:sz w:val="18"/>
          <w:szCs w:val="18"/>
          <w:color w:val="134A9C"/>
        </w:rPr>
      </w:pPr>
      <w:r>
        <w:rPr>
          <w:rFonts w:ascii="Arial" w:cs="Arial" w:eastAsia="Arial" w:hAnsi="Arial"/>
          <w:sz w:val="18"/>
          <w:szCs w:val="18"/>
          <w:color w:val="auto"/>
        </w:rPr>
        <w:t>Neither the director nor any immediate family member is a current partner of a firm that is our internal or external auditor; the director is not an employee of such a firm; the director does not have an immediate family member who is a current employee of such a firm and personally works on our audit; and neither the director nor any immediate family member was a partner or employee of such a firm and personally worked on our audit within the last three years;</w:t>
      </w:r>
    </w:p>
    <w:p>
      <w:pPr>
        <w:spacing w:after="0" w:line="42" w:lineRule="exact"/>
        <w:rPr>
          <w:rFonts w:ascii="Arial" w:cs="Arial" w:eastAsia="Arial" w:hAnsi="Arial"/>
          <w:sz w:val="18"/>
          <w:szCs w:val="18"/>
          <w:color w:val="134A9C"/>
        </w:rPr>
      </w:pPr>
    </w:p>
    <w:p>
      <w:pPr>
        <w:ind w:left="340" w:hanging="332"/>
        <w:spacing w:after="0" w:line="262" w:lineRule="auto"/>
        <w:tabs>
          <w:tab w:leader="none" w:pos="340" w:val="left"/>
        </w:tabs>
        <w:numPr>
          <w:ilvl w:val="0"/>
          <w:numId w:val="27"/>
        </w:numPr>
        <w:rPr>
          <w:rFonts w:ascii="Arial" w:cs="Arial" w:eastAsia="Arial" w:hAnsi="Arial"/>
          <w:sz w:val="18"/>
          <w:szCs w:val="18"/>
          <w:color w:val="134A9C"/>
        </w:rPr>
      </w:pPr>
      <w:r>
        <w:rPr>
          <w:rFonts w:ascii="Arial" w:cs="Arial" w:eastAsia="Arial" w:hAnsi="Arial"/>
          <w:sz w:val="18"/>
          <w:szCs w:val="18"/>
          <w:color w:val="auto"/>
        </w:rPr>
        <w:t>During the past three years, neither the director nor any immediate family member has been part of an “interlocking directorate” in which one of our executive officers serves on the compensation committee (or its equivalent) of another company that employs the director; and</w:t>
      </w:r>
    </w:p>
    <w:p>
      <w:pPr>
        <w:spacing w:after="0" w:line="34" w:lineRule="exact"/>
        <w:rPr>
          <w:rFonts w:ascii="Arial" w:cs="Arial" w:eastAsia="Arial" w:hAnsi="Arial"/>
          <w:sz w:val="18"/>
          <w:szCs w:val="18"/>
          <w:color w:val="134A9C"/>
        </w:rPr>
      </w:pPr>
    </w:p>
    <w:p>
      <w:pPr>
        <w:ind w:left="340" w:hanging="332"/>
        <w:spacing w:after="0" w:line="262" w:lineRule="auto"/>
        <w:tabs>
          <w:tab w:leader="none" w:pos="340" w:val="left"/>
        </w:tabs>
        <w:numPr>
          <w:ilvl w:val="0"/>
          <w:numId w:val="27"/>
        </w:numPr>
        <w:rPr>
          <w:rFonts w:ascii="Arial" w:cs="Arial" w:eastAsia="Arial" w:hAnsi="Arial"/>
          <w:sz w:val="18"/>
          <w:szCs w:val="18"/>
          <w:color w:val="134A9C"/>
        </w:rPr>
      </w:pPr>
      <w:r>
        <w:rPr>
          <w:rFonts w:ascii="Arial" w:cs="Arial" w:eastAsia="Arial" w:hAnsi="Arial"/>
          <w:sz w:val="18"/>
          <w:szCs w:val="18"/>
          <w:color w:val="auto"/>
        </w:rPr>
        <w:t>During the past three years, neither the director nor any immediate family member has been employed (except, in the case of family members, in a capacity other than as an executive officer) by one of our</w:t>
      </w:r>
    </w:p>
    <w:p>
      <w:pPr>
        <w:spacing w:after="0" w:line="386"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23</w:t>
      </w:r>
      <w:r>
        <w:rPr>
          <w:sz w:val="20"/>
          <w:szCs w:val="20"/>
          <w:color w:val="auto"/>
        </w:rPr>
        <w:tab/>
      </w:r>
      <w:r>
        <w:rPr>
          <w:sz w:val="1"/>
          <w:szCs w:val="1"/>
          <w:color w:val="auto"/>
        </w:rPr>
        <w:drawing>
          <wp:inline distT="0" distB="0" distL="0" distR="0">
            <wp:extent cx="120015" cy="12001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27" w:name="page28"/>
    <w:bookmarkEnd w:id="27"/>
    <w:p>
      <w:pPr>
        <w:ind w:left="8700"/>
        <w:spacing w:after="0"/>
        <w:rPr>
          <w:sz w:val="20"/>
          <w:szCs w:val="20"/>
          <w:color w:val="auto"/>
        </w:rPr>
      </w:pPr>
      <w:r>
        <w:rPr>
          <w:rFonts w:ascii="Arial" w:cs="Arial" w:eastAsia="Arial" w:hAnsi="Arial"/>
          <w:sz w:val="18"/>
          <w:szCs w:val="18"/>
          <w:b w:val="1"/>
          <w:bCs w:val="1"/>
          <w:color w:val="134A9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jc w:val="both"/>
        <w:ind w:left="340"/>
        <w:spacing w:after="0" w:line="303" w:lineRule="auto"/>
        <w:rPr>
          <w:sz w:val="20"/>
          <w:szCs w:val="20"/>
          <w:color w:val="auto"/>
        </w:rPr>
      </w:pPr>
      <w:r>
        <w:rPr>
          <w:rFonts w:ascii="Arial" w:cs="Arial" w:eastAsia="Arial" w:hAnsi="Arial"/>
          <w:sz w:val="18"/>
          <w:szCs w:val="18"/>
          <w:color w:val="auto"/>
        </w:rPr>
        <w:t>significant suppliers or customers or any affiliate of such supplier or customer. For the purposes of this standard, a supplier or customer is considered significant if its sales to, or purchases from, us represent the greater of $1 million or two percent of our or the supplier’s or customer’s consolidated gross revenues.</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satisfying all of the foregoing requirements, a director or director nominee would not be considered independent if he or she has, in the judgment of the Board, any other “material” relationship with the Company, other than serving as a director that would influence or interfere with the exercise of his or her independent judgment.</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Members of the Audit Committee will not be considered independent if they receive, directly or indirectly, any compensation from the Company other than their compensation for service as directors, or are an “affiliated person” of the Company or subsidiary thereof, as such term is defined under Rule 10A-3 promulgated under the Securities Exchange Act of 1934, as amended. In determining the independence of members of the Compensation Committee, the Board must consider all factors specifically relevant to determining whether they have a relationship to the Company that is material to their ability to be independent from management in connection with the duties of a compensation committee member, including their source of compensation, any consulting, advisory or other compensatory fee paid by the Company to them; and whether they are affiliated with the Company or any subsidiary.</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Consistent with the standards described above, the Board has reviewed all relationships between the Company and each director or director nominee, considering quantitative and qualitative criteria, and affirmatively has determined that all of the directors and director nominees other than Mr. Ashton, Mr. Girsky, and Ms. Barra are independent according to the definition in the Board’s Corporate Governance Guidelines. The Board has determined that Mr. Ashton is not independent because of his long-term affiliation with the UAW and the significant relationship between the Company and the UAW, Mr. Girsky is not independent because of his former employment with the Company, and Ms. Barra is not independent because of her status as our current CEO.</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recommending to the Board that each non-employee director or director nominee be found independent, the Governance Committee also considered whether there were any other facts or circumstances that might impair a director’s independence. In particular, the Governance Committee evaluated charitable contributions that GM (including the GM Foundation) has made to non-profit organizations with which our directors are or have been associated. None of these transactions was material. The Governance Committee also considered that GM in the ordinary course of business, during the last three years, has sold fleet vehicles to and purchased products and services from companies at which some of our directors serve as non-employee directors and confirmed the absence of any material relationship. In each case, these transactions were in the ordinary course of business for GM and the other companies involved and were on terms and conditions available to similarly situated customers and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Bylaws and Corporate Governance Guidelines are available on our website at </w:t>
      </w:r>
      <w:r>
        <w:rPr>
          <w:rFonts w:ascii="Arial" w:cs="Arial" w:eastAsia="Arial" w:hAnsi="Arial"/>
          <w:sz w:val="18"/>
          <w:szCs w:val="18"/>
          <w:i w:val="1"/>
          <w:iCs w:val="1"/>
          <w:color w:val="auto"/>
        </w:rPr>
        <w:t>www.gm.com/investor</w:t>
      </w:r>
      <w:r>
        <w:rPr>
          <w:rFonts w:ascii="Arial" w:cs="Arial" w:eastAsia="Arial" w:hAnsi="Arial"/>
          <w:sz w:val="18"/>
          <w:szCs w:val="18"/>
          <w:color w:val="auto"/>
        </w:rPr>
        <w:t>, under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Executive Sessions</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Board’s Corporate Governance Guidelines, the non-management directors generally have an opportunity to meet in executive session without management present as part of each regularly scheduled Board meeting. If any non-management directors are not independent, then the independent directors schedule an executive session of independent directors at least once per year. Executive sessions are chaired by the non-executive Chairman of the Board, Mr. Solso. During these sessions, the non-management directors review CEO performance, compensation, and succession planning; future Board agendas and flow of information to directors; the Board’s corporate governance matters; and any other matters of importance to the Company or other issues raised by the non-management directors. The non-management directors of the Board met in executive session four times in 2014, including one time with only independent directors present.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Stockholder Communication with the Board</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Stockholders and other interested parties may contact our Board as a whole, or the non-management directors as a group, any Board Committee, or the Chairman of the Board by using contact information provided on our website at </w:t>
      </w:r>
      <w:r>
        <w:rPr>
          <w:rFonts w:ascii="Arial" w:cs="Arial" w:eastAsia="Arial" w:hAnsi="Arial"/>
          <w:sz w:val="18"/>
          <w:szCs w:val="18"/>
          <w:i w:val="1"/>
          <w:iCs w:val="1"/>
          <w:color w:val="auto"/>
        </w:rPr>
        <w:t>www.gm.com/investor</w:t>
      </w:r>
      <w:r>
        <w:rPr>
          <w:rFonts w:ascii="Arial" w:cs="Arial" w:eastAsia="Arial" w:hAnsi="Arial"/>
          <w:sz w:val="18"/>
          <w:szCs w:val="18"/>
          <w:color w:val="auto"/>
        </w:rPr>
        <w:t>, under “Corporate Governance.”</w:t>
      </w:r>
    </w:p>
    <w:p>
      <w:pPr>
        <w:spacing w:after="0" w:line="392"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24</w:t>
      </w:r>
      <w:r>
        <w:rPr>
          <w:sz w:val="20"/>
          <w:szCs w:val="20"/>
          <w:color w:val="auto"/>
        </w:rPr>
        <w:tab/>
      </w:r>
      <w:r>
        <w:rPr>
          <w:sz w:val="1"/>
          <w:szCs w:val="1"/>
          <w:color w:val="auto"/>
        </w:rPr>
        <w:drawing>
          <wp:inline distT="0" distB="0" distL="0" distR="0">
            <wp:extent cx="120015" cy="12001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28" w:name="page29"/>
    <w:bookmarkEnd w:id="28"/>
    <w:p>
      <w:pPr>
        <w:ind w:left="8700"/>
        <w:spacing w:after="0"/>
        <w:rPr>
          <w:sz w:val="20"/>
          <w:szCs w:val="20"/>
          <w:color w:val="auto"/>
        </w:rPr>
      </w:pPr>
      <w:r>
        <w:rPr>
          <w:rFonts w:ascii="Arial" w:cs="Arial" w:eastAsia="Arial" w:hAnsi="Arial"/>
          <w:sz w:val="18"/>
          <w:szCs w:val="18"/>
          <w:b w:val="1"/>
          <w:bCs w:val="1"/>
          <w:color w:val="134A9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Code of Ethics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adopted a code of ethics that applies to our directors, officers, and employees, including the CEO, the Executive Vice President and Chief Financial Officer, the Vice President, Controller and Chief Accounting Officer, and any other persons performing similar functions. GM’s code of ethics, “Winning With Integrity: Our Values and Guidelines for Employee Conduct,” is posted on our website at </w:t>
      </w:r>
      <w:r>
        <w:rPr>
          <w:rFonts w:ascii="Arial" w:cs="Arial" w:eastAsia="Arial" w:hAnsi="Arial"/>
          <w:sz w:val="18"/>
          <w:szCs w:val="18"/>
          <w:i w:val="1"/>
          <w:iCs w:val="1"/>
          <w:color w:val="auto"/>
        </w:rPr>
        <w:t>www.gm.com/investor</w:t>
      </w:r>
      <w:r>
        <w:rPr>
          <w:rFonts w:ascii="Arial" w:cs="Arial" w:eastAsia="Arial" w:hAnsi="Arial"/>
          <w:sz w:val="18"/>
          <w:szCs w:val="18"/>
          <w:color w:val="auto"/>
        </w:rPr>
        <w:t>, under “Corporate Governance.”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Confidentiality</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Directors, like all employees, are required to maintain the confidentiality of information entrusted to them by us or any other confidential information about GM that they receive from any source in their capacity as a director, except when disclosure is legally required or specifically authorized by our Board. Directors are expected to take all appropriate steps to minimize the risk of disclosure of confidential communications coming to them from us as well as confidential discussions and decisions by or among directors and by or among the directors and management. All discussions that occur at meetings of the Board or a Board Committee are deemed confidential, except to the extent that disclosure may be legally required. Directors may not use confidential information for their benefit or for the benefit of persons or entities outside the Company or in violation of any law or regulation including insider trading laws and regulations. Directors are subject to these obligations with regard to confidential information during and after their service on the Board. For purposes of this policy, “confidential information” is all non-public information relating to GM including, but not limited to, information that could be useful to competitors or otherwise harmful to our interests or objectives, if disclosed.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Director Orientation and Continuing Education</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new directors must participate in the Company’s director orientation program, which is generally conducted promptly after the meeting at which a new director is elected. The Governance Committee oversees an orientation process developed by management to familiarize new directors with the Company’s business and strategic plans, significant financial matters, core values, including ethics, compliance programs, corporate governance practices, and other key policies and practices through a review of background material and meetings with senior management. It is the responsibility of the Governance Committee to advise directors about their continuing education on subjects that would assist them in discharging their duties. For example, Board members are encouraged to visit GM facilities, dealers, and auto shows to enhance their understanding of the Company and its competitors in the auto industry. All directors are encouraged to attend, at our expense, director continuing education programs sponsored by educational and other institutions.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Access to Outside Advisors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Board as well as each Board Committee can retain the services of outside advisors at our expense.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Committees of the Board of Directors</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Board of Directors has six standing Committees: Audit, Directors and Corporate Governance, Executive Compensation, Finance, Public Policy, and Risk. Our Board has adopted a written charter for each of our standing Committees, which may be found on our website at </w:t>
      </w:r>
      <w:r>
        <w:rPr>
          <w:rFonts w:ascii="Arial" w:cs="Arial" w:eastAsia="Arial" w:hAnsi="Arial"/>
          <w:sz w:val="18"/>
          <w:szCs w:val="18"/>
          <w:i w:val="1"/>
          <w:iCs w:val="1"/>
          <w:color w:val="auto"/>
        </w:rPr>
        <w:t>www.gm.com/investor</w:t>
      </w:r>
      <w:r>
        <w:rPr>
          <w:rFonts w:ascii="Arial" w:cs="Arial" w:eastAsia="Arial" w:hAnsi="Arial"/>
          <w:sz w:val="18"/>
          <w:szCs w:val="18"/>
          <w:color w:val="auto"/>
        </w:rPr>
        <w:t>, under “Corporate Governance.” See</w:t>
      </w:r>
      <w:r>
        <w:rPr>
          <w:rFonts w:ascii="Arial" w:cs="Arial" w:eastAsia="Arial" w:hAnsi="Arial"/>
          <w:sz w:val="18"/>
          <w:szCs w:val="18"/>
          <w:i w:val="1"/>
          <w:iCs w:val="1"/>
          <w:color w:val="auto"/>
        </w:rPr>
        <w:t xml:space="preserve"> “How can I obtain the Company’s corporate governance information?” </w:t>
      </w:r>
      <w:r>
        <w:rPr>
          <w:rFonts w:ascii="Arial" w:cs="Arial" w:eastAsia="Arial" w:hAnsi="Arial"/>
          <w:sz w:val="18"/>
          <w:szCs w:val="18"/>
          <w:color w:val="auto"/>
        </w:rPr>
        <w:t>on page 11</w:t>
      </w:r>
      <w:r>
        <w:rPr>
          <w:rFonts w:ascii="Arial" w:cs="Arial" w:eastAsia="Arial" w:hAnsi="Arial"/>
          <w:sz w:val="18"/>
          <w:szCs w:val="18"/>
          <w:i w:val="1"/>
          <w:iCs w:val="1"/>
          <w:color w:val="auto"/>
        </w:rPr>
        <w:t xml:space="preserve"> </w:t>
      </w:r>
      <w:r>
        <w:rPr>
          <w:rFonts w:ascii="Arial" w:cs="Arial" w:eastAsia="Arial" w:hAnsi="Arial"/>
          <w:sz w:val="18"/>
          <w:szCs w:val="18"/>
          <w:color w:val="auto"/>
        </w:rPr>
        <w:t>for information about obtaining a printed copy of each Committee charter. Our Board may also realign from time to time the structure of the committees as it deems necessary or desirable. Each member of the Audit, Governance, and Compensation Committees has been determined by the Board to be independent for purposes of the NYSE Corporate Governance listing standards. The composition of each Committee also complies with the listing requirements and other rules of the Toronto Stock Exchange. The following table shows for each of our standing Committees the current membership and the number of meetings held in 2014.</w:t>
      </w:r>
    </w:p>
    <w:p>
      <w:pPr>
        <w:spacing w:after="0" w:line="396"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25</w:t>
      </w:r>
      <w:r>
        <w:rPr>
          <w:sz w:val="20"/>
          <w:szCs w:val="20"/>
          <w:color w:val="auto"/>
        </w:rPr>
        <w:tab/>
      </w:r>
      <w:r>
        <w:rPr>
          <w:sz w:val="1"/>
          <w:szCs w:val="1"/>
          <w:color w:val="auto"/>
        </w:rPr>
        <w:drawing>
          <wp:inline distT="0" distB="0" distL="0" distR="0">
            <wp:extent cx="120015" cy="12001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29" w:name="page30"/>
    <w:bookmarkEnd w:id="29"/>
    <w:p>
      <w:pPr>
        <w:ind w:left="8700"/>
        <w:spacing w:after="0"/>
        <w:rPr>
          <w:sz w:val="20"/>
          <w:szCs w:val="20"/>
          <w:color w:val="auto"/>
        </w:rPr>
      </w:pPr>
      <w:r>
        <w:rPr>
          <w:rFonts w:ascii="Arial" w:cs="Arial" w:eastAsia="Arial" w:hAnsi="Arial"/>
          <w:sz w:val="18"/>
          <w:szCs w:val="18"/>
          <w:b w:val="1"/>
          <w:bCs w:val="1"/>
          <w:color w:val="134A9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540" w:type="dxa"/>
            <w:vAlign w:val="bottom"/>
            <w:tcBorders>
              <w:left w:val="single" w:sz="8" w:color="134A9C"/>
              <w:right w:val="single" w:sz="8" w:color="134A9C"/>
            </w:tcBorders>
            <w:shd w:val="clear" w:color="auto" w:fill="134A9C"/>
          </w:tcPr>
          <w:p>
            <w:pPr>
              <w:spacing w:after="0"/>
              <w:rPr>
                <w:sz w:val="16"/>
                <w:szCs w:val="16"/>
                <w:color w:val="auto"/>
              </w:rPr>
            </w:pPr>
          </w:p>
        </w:tc>
        <w:tc>
          <w:tcPr>
            <w:tcW w:w="1480" w:type="dxa"/>
            <w:vAlign w:val="bottom"/>
            <w:tcBorders>
              <w:right w:val="single" w:sz="8" w:color="134A9C"/>
            </w:tcBorders>
            <w:shd w:val="clear" w:color="auto" w:fill="134A9C"/>
          </w:tcPr>
          <w:p>
            <w:pPr>
              <w:spacing w:after="0"/>
              <w:rPr>
                <w:sz w:val="16"/>
                <w:szCs w:val="16"/>
                <w:color w:val="auto"/>
              </w:rPr>
            </w:pPr>
          </w:p>
        </w:tc>
        <w:tc>
          <w:tcPr>
            <w:tcW w:w="1500" w:type="dxa"/>
            <w:vAlign w:val="bottom"/>
            <w:tcBorders>
              <w:right w:val="single" w:sz="8" w:color="134A9C"/>
            </w:tcBorders>
            <w:shd w:val="clear" w:color="auto" w:fill="134A9C"/>
          </w:tcPr>
          <w:p>
            <w:pPr>
              <w:ind w:left="400"/>
              <w:spacing w:after="0"/>
              <w:rPr>
                <w:sz w:val="20"/>
                <w:szCs w:val="20"/>
                <w:color w:val="auto"/>
              </w:rPr>
            </w:pPr>
            <w:r>
              <w:rPr>
                <w:rFonts w:ascii="Arial" w:cs="Arial" w:eastAsia="Arial" w:hAnsi="Arial"/>
                <w:sz w:val="14"/>
                <w:szCs w:val="14"/>
                <w:b w:val="1"/>
                <w:bCs w:val="1"/>
                <w:color w:val="FFFFFF"/>
              </w:rPr>
              <w:t>Directors</w:t>
            </w:r>
          </w:p>
        </w:tc>
        <w:tc>
          <w:tcPr>
            <w:tcW w:w="1480" w:type="dxa"/>
            <w:vAlign w:val="bottom"/>
            <w:tcBorders>
              <w:right w:val="single" w:sz="8" w:color="134A9C"/>
            </w:tcBorders>
            <w:shd w:val="clear" w:color="auto" w:fill="134A9C"/>
          </w:tcPr>
          <w:p>
            <w:pPr>
              <w:spacing w:after="0"/>
              <w:rPr>
                <w:sz w:val="16"/>
                <w:szCs w:val="16"/>
                <w:color w:val="auto"/>
              </w:rPr>
            </w:pPr>
          </w:p>
        </w:tc>
        <w:tc>
          <w:tcPr>
            <w:tcW w:w="1480" w:type="dxa"/>
            <w:vAlign w:val="bottom"/>
            <w:tcBorders>
              <w:right w:val="single" w:sz="8" w:color="134A9C"/>
            </w:tcBorders>
            <w:shd w:val="clear" w:color="auto" w:fill="134A9C"/>
          </w:tcPr>
          <w:p>
            <w:pPr>
              <w:spacing w:after="0"/>
              <w:rPr>
                <w:sz w:val="16"/>
                <w:szCs w:val="16"/>
                <w:color w:val="auto"/>
              </w:rPr>
            </w:pPr>
          </w:p>
        </w:tc>
        <w:tc>
          <w:tcPr>
            <w:tcW w:w="1480" w:type="dxa"/>
            <w:vAlign w:val="bottom"/>
            <w:tcBorders>
              <w:right w:val="single" w:sz="8" w:color="134A9C"/>
            </w:tcBorders>
            <w:shd w:val="clear" w:color="auto" w:fill="134A9C"/>
          </w:tcPr>
          <w:p>
            <w:pPr>
              <w:spacing w:after="0"/>
              <w:rPr>
                <w:sz w:val="16"/>
                <w:szCs w:val="16"/>
                <w:color w:val="auto"/>
              </w:rPr>
            </w:pPr>
          </w:p>
        </w:tc>
        <w:tc>
          <w:tcPr>
            <w:tcW w:w="1480" w:type="dxa"/>
            <w:vAlign w:val="bottom"/>
            <w:tcBorders>
              <w:right w:val="single" w:sz="8" w:color="134A9C"/>
            </w:tcBorders>
            <w:shd w:val="clear" w:color="auto" w:fill="134A9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40" w:type="dxa"/>
            <w:vAlign w:val="bottom"/>
            <w:tcBorders>
              <w:left w:val="single" w:sz="8" w:color="134A9C"/>
              <w:right w:val="single" w:sz="8" w:color="134A9C"/>
            </w:tcBorders>
            <w:shd w:val="clear" w:color="auto" w:fill="134A9C"/>
          </w:tcPr>
          <w:p>
            <w:pPr>
              <w:spacing w:after="0"/>
              <w:rPr>
                <w:sz w:val="14"/>
                <w:szCs w:val="14"/>
                <w:color w:val="auto"/>
              </w:rPr>
            </w:pPr>
          </w:p>
        </w:tc>
        <w:tc>
          <w:tcPr>
            <w:tcW w:w="1480" w:type="dxa"/>
            <w:vAlign w:val="bottom"/>
            <w:tcBorders>
              <w:right w:val="single" w:sz="8" w:color="134A9C"/>
            </w:tcBorders>
            <w:shd w:val="clear" w:color="auto" w:fill="134A9C"/>
          </w:tcPr>
          <w:p>
            <w:pPr>
              <w:spacing w:after="0"/>
              <w:rPr>
                <w:sz w:val="14"/>
                <w:szCs w:val="14"/>
                <w:color w:val="auto"/>
              </w:rPr>
            </w:pPr>
          </w:p>
        </w:tc>
        <w:tc>
          <w:tcPr>
            <w:tcW w:w="150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and</w:t>
            </w:r>
          </w:p>
        </w:tc>
        <w:tc>
          <w:tcPr>
            <w:tcW w:w="1480" w:type="dxa"/>
            <w:vAlign w:val="bottom"/>
            <w:tcBorders>
              <w:right w:val="single" w:sz="8" w:color="134A9C"/>
            </w:tcBorders>
            <w:shd w:val="clear" w:color="auto" w:fill="134A9C"/>
          </w:tcPr>
          <w:p>
            <w:pPr>
              <w:spacing w:after="0"/>
              <w:rPr>
                <w:sz w:val="14"/>
                <w:szCs w:val="14"/>
                <w:color w:val="auto"/>
              </w:rPr>
            </w:pPr>
          </w:p>
        </w:tc>
        <w:tc>
          <w:tcPr>
            <w:tcW w:w="1480" w:type="dxa"/>
            <w:vAlign w:val="bottom"/>
            <w:tcBorders>
              <w:right w:val="single" w:sz="8" w:color="134A9C"/>
            </w:tcBorders>
            <w:shd w:val="clear" w:color="auto" w:fill="134A9C"/>
          </w:tcPr>
          <w:p>
            <w:pPr>
              <w:spacing w:after="0"/>
              <w:rPr>
                <w:sz w:val="14"/>
                <w:szCs w:val="14"/>
                <w:color w:val="auto"/>
              </w:rPr>
            </w:pPr>
          </w:p>
        </w:tc>
        <w:tc>
          <w:tcPr>
            <w:tcW w:w="1480" w:type="dxa"/>
            <w:vAlign w:val="bottom"/>
            <w:tcBorders>
              <w:right w:val="single" w:sz="8" w:color="134A9C"/>
            </w:tcBorders>
            <w:shd w:val="clear" w:color="auto" w:fill="134A9C"/>
          </w:tcPr>
          <w:p>
            <w:pPr>
              <w:spacing w:after="0"/>
              <w:rPr>
                <w:sz w:val="14"/>
                <w:szCs w:val="14"/>
                <w:color w:val="auto"/>
              </w:rPr>
            </w:pPr>
          </w:p>
        </w:tc>
        <w:tc>
          <w:tcPr>
            <w:tcW w:w="1480" w:type="dxa"/>
            <w:vAlign w:val="bottom"/>
            <w:tcBorders>
              <w:right w:val="single" w:sz="8" w:color="134A9C"/>
            </w:tcBorders>
            <w:shd w:val="clear" w:color="auto" w:fill="134A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Borders>
              <w:left w:val="single" w:sz="8" w:color="134A9C"/>
              <w:right w:val="single" w:sz="8" w:color="134A9C"/>
            </w:tcBorders>
            <w:vMerge w:val="restart"/>
            <w:shd w:val="clear" w:color="auto" w:fill="134A9C"/>
          </w:tcPr>
          <w:p>
            <w:pPr>
              <w:ind w:left="40"/>
              <w:spacing w:after="0"/>
              <w:rPr>
                <w:sz w:val="20"/>
                <w:szCs w:val="20"/>
                <w:color w:val="auto"/>
              </w:rPr>
            </w:pPr>
            <w:r>
              <w:rPr>
                <w:rFonts w:ascii="Arial" w:cs="Arial" w:eastAsia="Arial" w:hAnsi="Arial"/>
                <w:sz w:val="14"/>
                <w:szCs w:val="14"/>
                <w:b w:val="1"/>
                <w:bCs w:val="1"/>
                <w:color w:val="FFFFFF"/>
              </w:rPr>
              <w:t>Director</w:t>
            </w:r>
          </w:p>
        </w:tc>
        <w:tc>
          <w:tcPr>
            <w:tcW w:w="1480" w:type="dxa"/>
            <w:vAlign w:val="bottom"/>
            <w:tcBorders>
              <w:right w:val="single" w:sz="8" w:color="134A9C"/>
            </w:tcBorders>
            <w:shd w:val="clear" w:color="auto" w:fill="134A9C"/>
          </w:tcPr>
          <w:p>
            <w:pPr>
              <w:spacing w:after="0"/>
              <w:rPr>
                <w:sz w:val="14"/>
                <w:szCs w:val="14"/>
                <w:color w:val="auto"/>
              </w:rPr>
            </w:pPr>
          </w:p>
        </w:tc>
        <w:tc>
          <w:tcPr>
            <w:tcW w:w="150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Corporate</w:t>
            </w:r>
          </w:p>
        </w:tc>
        <w:tc>
          <w:tcPr>
            <w:tcW w:w="148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Executive</w:t>
            </w:r>
          </w:p>
        </w:tc>
        <w:tc>
          <w:tcPr>
            <w:tcW w:w="1480" w:type="dxa"/>
            <w:vAlign w:val="bottom"/>
            <w:tcBorders>
              <w:right w:val="single" w:sz="8" w:color="134A9C"/>
            </w:tcBorders>
            <w:shd w:val="clear" w:color="auto" w:fill="134A9C"/>
          </w:tcPr>
          <w:p>
            <w:pPr>
              <w:spacing w:after="0"/>
              <w:rPr>
                <w:sz w:val="14"/>
                <w:szCs w:val="14"/>
                <w:color w:val="auto"/>
              </w:rPr>
            </w:pPr>
          </w:p>
        </w:tc>
        <w:tc>
          <w:tcPr>
            <w:tcW w:w="1480" w:type="dxa"/>
            <w:vAlign w:val="bottom"/>
            <w:tcBorders>
              <w:right w:val="single" w:sz="8" w:color="134A9C"/>
            </w:tcBorders>
            <w:shd w:val="clear" w:color="auto" w:fill="134A9C"/>
          </w:tcPr>
          <w:p>
            <w:pPr>
              <w:spacing w:after="0"/>
              <w:rPr>
                <w:sz w:val="14"/>
                <w:szCs w:val="14"/>
                <w:color w:val="auto"/>
              </w:rPr>
            </w:pPr>
          </w:p>
        </w:tc>
        <w:tc>
          <w:tcPr>
            <w:tcW w:w="1480" w:type="dxa"/>
            <w:vAlign w:val="bottom"/>
            <w:tcBorders>
              <w:right w:val="single" w:sz="8" w:color="134A9C"/>
            </w:tcBorders>
            <w:shd w:val="clear" w:color="auto" w:fill="134A9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40" w:type="dxa"/>
            <w:vAlign w:val="bottom"/>
            <w:tcBorders>
              <w:left w:val="single" w:sz="8" w:color="134A9C"/>
              <w:bottom w:val="single" w:sz="8" w:color="134A9C"/>
              <w:right w:val="single" w:sz="8" w:color="134A9C"/>
            </w:tcBorders>
            <w:vMerge w:val="continue"/>
            <w:shd w:val="clear" w:color="auto" w:fill="134A9C"/>
          </w:tcPr>
          <w:p>
            <w:pPr>
              <w:spacing w:after="0"/>
              <w:rPr>
                <w:sz w:val="17"/>
                <w:szCs w:val="17"/>
                <w:color w:val="auto"/>
              </w:rPr>
            </w:pPr>
          </w:p>
        </w:tc>
        <w:tc>
          <w:tcPr>
            <w:tcW w:w="148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Audit</w:t>
            </w:r>
          </w:p>
        </w:tc>
        <w:tc>
          <w:tcPr>
            <w:tcW w:w="150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Governance</w:t>
            </w:r>
          </w:p>
        </w:tc>
        <w:tc>
          <w:tcPr>
            <w:tcW w:w="148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Compensation</w:t>
            </w:r>
          </w:p>
        </w:tc>
        <w:tc>
          <w:tcPr>
            <w:tcW w:w="148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Finance</w:t>
            </w:r>
          </w:p>
        </w:tc>
        <w:tc>
          <w:tcPr>
            <w:tcW w:w="148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Public Policy</w:t>
            </w:r>
          </w:p>
        </w:tc>
        <w:tc>
          <w:tcPr>
            <w:tcW w:w="1480" w:type="dxa"/>
            <w:vAlign w:val="bottom"/>
            <w:tcBorders>
              <w:bottom w:val="single" w:sz="8" w:color="134A9C"/>
              <w:right w:val="single" w:sz="8" w:color="134A9C"/>
            </w:tcBorders>
            <w:shd w:val="clear" w:color="auto" w:fill="134A9C"/>
          </w:tcPr>
          <w:p>
            <w:pPr>
              <w:jc w:val="center"/>
              <w:spacing w:after="0" w:line="189" w:lineRule="exact"/>
              <w:rPr>
                <w:sz w:val="20"/>
                <w:szCs w:val="20"/>
                <w:color w:val="auto"/>
              </w:rPr>
            </w:pPr>
            <w:r>
              <w:rPr>
                <w:rFonts w:ascii="Arial" w:cs="Arial" w:eastAsia="Arial" w:hAnsi="Arial"/>
                <w:sz w:val="14"/>
                <w:szCs w:val="14"/>
                <w:b w:val="1"/>
                <w:bCs w:val="1"/>
                <w:color w:val="FFFFFF"/>
                <w:w w:val="96"/>
              </w:rPr>
              <w:t>Risk</w:t>
            </w:r>
            <w:r>
              <w:rPr>
                <w:rFonts w:ascii="Arial" w:cs="Arial" w:eastAsia="Arial" w:hAnsi="Arial"/>
                <w:sz w:val="17"/>
                <w:szCs w:val="17"/>
                <w:b w:val="1"/>
                <w:bCs w:val="1"/>
                <w:color w:val="FFFFFF"/>
                <w:w w:val="96"/>
                <w:vertAlign w:val="superscript"/>
              </w:rPr>
              <w:t>(1)</w:t>
            </w:r>
          </w:p>
        </w:tc>
        <w:tc>
          <w:tcPr>
            <w:tcW w:w="0" w:type="dxa"/>
            <w:vAlign w:val="bottom"/>
          </w:tcPr>
          <w:p>
            <w:pPr>
              <w:spacing w:after="0"/>
              <w:rPr>
                <w:sz w:val="1"/>
                <w:szCs w:val="1"/>
                <w:color w:val="auto"/>
              </w:rPr>
            </w:pPr>
          </w:p>
        </w:tc>
      </w:tr>
      <w:tr>
        <w:trPr>
          <w:trHeight w:val="243"/>
        </w:trPr>
        <w:tc>
          <w:tcPr>
            <w:tcW w:w="25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Joseph J. Ashton</w:t>
            </w:r>
          </w:p>
        </w:tc>
        <w:tc>
          <w:tcPr>
            <w:tcW w:w="1480" w:type="dxa"/>
            <w:vAlign w:val="bottom"/>
            <w:tcBorders>
              <w:right w:val="single" w:sz="8" w:color="134A9C"/>
            </w:tcBorders>
          </w:tcPr>
          <w:p>
            <w:pPr>
              <w:spacing w:after="0"/>
              <w:rPr>
                <w:sz w:val="21"/>
                <w:szCs w:val="21"/>
                <w:color w:val="auto"/>
              </w:rPr>
            </w:pPr>
          </w:p>
        </w:tc>
        <w:tc>
          <w:tcPr>
            <w:tcW w:w="1500" w:type="dxa"/>
            <w:vAlign w:val="bottom"/>
            <w:tcBorders>
              <w:right w:val="single" w:sz="8" w:color="134A9C"/>
            </w:tcBorders>
          </w:tcPr>
          <w:p>
            <w:pPr>
              <w:spacing w:after="0"/>
              <w:rPr>
                <w:sz w:val="21"/>
                <w:szCs w:val="21"/>
                <w:color w:val="auto"/>
              </w:rPr>
            </w:pPr>
          </w:p>
        </w:tc>
        <w:tc>
          <w:tcPr>
            <w:tcW w:w="1480" w:type="dxa"/>
            <w:vAlign w:val="bottom"/>
            <w:tcBorders>
              <w:right w:val="single" w:sz="8" w:color="134A9C"/>
            </w:tcBorders>
          </w:tcPr>
          <w:p>
            <w:pPr>
              <w:spacing w:after="0"/>
              <w:rPr>
                <w:sz w:val="21"/>
                <w:szCs w:val="21"/>
                <w:color w:val="auto"/>
              </w:rPr>
            </w:pPr>
          </w:p>
        </w:tc>
        <w:tc>
          <w:tcPr>
            <w:tcW w:w="1480" w:type="dxa"/>
            <w:vAlign w:val="bottom"/>
            <w:tcBorders>
              <w:right w:val="single" w:sz="8" w:color="134A9C"/>
            </w:tcBorders>
          </w:tcPr>
          <w:p>
            <w:pPr>
              <w:spacing w:after="0"/>
              <w:rPr>
                <w:sz w:val="21"/>
                <w:szCs w:val="21"/>
                <w:color w:val="auto"/>
              </w:rPr>
            </w:pPr>
          </w:p>
        </w:tc>
        <w:tc>
          <w:tcPr>
            <w:tcW w:w="1480" w:type="dxa"/>
            <w:vAlign w:val="bottom"/>
            <w:tcBorders>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1480" w:type="dxa"/>
            <w:vAlign w:val="bottom"/>
            <w:tcBorders>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0" w:type="dxa"/>
            <w:vAlign w:val="bottom"/>
          </w:tcPr>
          <w:p>
            <w:pPr>
              <w:spacing w:after="0"/>
              <w:rPr>
                <w:sz w:val="1"/>
                <w:szCs w:val="1"/>
                <w:color w:val="auto"/>
              </w:rPr>
            </w:pPr>
          </w:p>
        </w:tc>
      </w:tr>
      <w:tr>
        <w:trPr>
          <w:trHeight w:val="27"/>
        </w:trPr>
        <w:tc>
          <w:tcPr>
            <w:tcW w:w="2540" w:type="dxa"/>
            <w:vAlign w:val="bottom"/>
            <w:tcBorders>
              <w:left w:val="single" w:sz="8" w:color="134A9C"/>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50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Erroll B. Davis, Jr.</w:t>
            </w:r>
            <w:r>
              <w:rPr>
                <w:rFonts w:ascii="Arial" w:cs="Arial" w:eastAsia="Arial" w:hAnsi="Arial"/>
                <w:sz w:val="18"/>
                <w:szCs w:val="18"/>
                <w:color w:val="auto"/>
                <w:vertAlign w:val="superscript"/>
              </w:rPr>
              <w:t>(2)</w:t>
            </w: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150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9"/>
              </w:rPr>
              <w:t>Chair</w:t>
            </w:r>
          </w:p>
        </w:tc>
        <w:tc>
          <w:tcPr>
            <w:tcW w:w="1480" w:type="dxa"/>
            <w:vAlign w:val="bottom"/>
            <w:tcBorders>
              <w:bottom w:val="single" w:sz="8" w:color="134A9C"/>
              <w:right w:val="single" w:sz="8" w:color="134A9C"/>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Stephen J. Girsky</w:t>
            </w:r>
          </w:p>
        </w:tc>
        <w:tc>
          <w:tcPr>
            <w:tcW w:w="1480" w:type="dxa"/>
            <w:vAlign w:val="bottom"/>
            <w:tcBorders>
              <w:right w:val="single" w:sz="8" w:color="134A9C"/>
            </w:tcBorders>
          </w:tcPr>
          <w:p>
            <w:pPr>
              <w:spacing w:after="0"/>
              <w:rPr>
                <w:sz w:val="21"/>
                <w:szCs w:val="21"/>
                <w:color w:val="auto"/>
              </w:rPr>
            </w:pPr>
          </w:p>
        </w:tc>
        <w:tc>
          <w:tcPr>
            <w:tcW w:w="1500" w:type="dxa"/>
            <w:vAlign w:val="bottom"/>
            <w:tcBorders>
              <w:right w:val="single" w:sz="8" w:color="134A9C"/>
            </w:tcBorders>
          </w:tcPr>
          <w:p>
            <w:pPr>
              <w:spacing w:after="0"/>
              <w:rPr>
                <w:sz w:val="21"/>
                <w:szCs w:val="21"/>
                <w:color w:val="auto"/>
              </w:rPr>
            </w:pPr>
          </w:p>
        </w:tc>
        <w:tc>
          <w:tcPr>
            <w:tcW w:w="1480" w:type="dxa"/>
            <w:vAlign w:val="bottom"/>
            <w:tcBorders>
              <w:right w:val="single" w:sz="8" w:color="134A9C"/>
            </w:tcBorders>
          </w:tcPr>
          <w:p>
            <w:pPr>
              <w:spacing w:after="0"/>
              <w:rPr>
                <w:sz w:val="21"/>
                <w:szCs w:val="21"/>
                <w:color w:val="auto"/>
              </w:rPr>
            </w:pPr>
          </w:p>
        </w:tc>
        <w:tc>
          <w:tcPr>
            <w:tcW w:w="1480" w:type="dxa"/>
            <w:vAlign w:val="bottom"/>
            <w:tcBorders>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1480" w:type="dxa"/>
            <w:vAlign w:val="bottom"/>
            <w:tcBorders>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1480" w:type="dxa"/>
            <w:vAlign w:val="bottom"/>
            <w:tcBorders>
              <w:right w:val="single" w:sz="8" w:color="134A9C"/>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Borders>
              <w:left w:val="single" w:sz="8" w:color="134A9C"/>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50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Linda R. Gooden</w:t>
            </w:r>
            <w:r>
              <w:rPr>
                <w:rFonts w:ascii="Arial" w:cs="Arial" w:eastAsia="Arial" w:hAnsi="Arial"/>
                <w:sz w:val="18"/>
                <w:szCs w:val="18"/>
                <w:color w:val="auto"/>
                <w:vertAlign w:val="superscript"/>
              </w:rPr>
              <w:t>(3)</w:t>
            </w: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150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0" w:type="dxa"/>
            <w:vAlign w:val="bottom"/>
          </w:tcPr>
          <w:p>
            <w:pPr>
              <w:spacing w:after="0"/>
              <w:rPr>
                <w:sz w:val="1"/>
                <w:szCs w:val="1"/>
                <w:color w:val="auto"/>
              </w:rPr>
            </w:pPr>
          </w:p>
        </w:tc>
      </w:tr>
      <w:tr>
        <w:trPr>
          <w:trHeight w:val="264"/>
        </w:trPr>
        <w:tc>
          <w:tcPr>
            <w:tcW w:w="25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E. Neville Isdell</w:t>
            </w:r>
            <w:r>
              <w:rPr>
                <w:rFonts w:ascii="Arial" w:cs="Arial" w:eastAsia="Arial" w:hAnsi="Arial"/>
                <w:sz w:val="18"/>
                <w:szCs w:val="18"/>
                <w:color w:val="auto"/>
                <w:vertAlign w:val="superscript"/>
              </w:rPr>
              <w:t>(4)</w:t>
            </w: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150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72"/>
              </w:rPr>
              <w:t>ò</w:t>
            </w: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9"/>
              </w:rPr>
              <w:t>Chair</w:t>
            </w:r>
          </w:p>
        </w:tc>
        <w:tc>
          <w:tcPr>
            <w:tcW w:w="148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Kathryn V. Marinello</w:t>
            </w:r>
          </w:p>
        </w:tc>
        <w:tc>
          <w:tcPr>
            <w:tcW w:w="1480" w:type="dxa"/>
            <w:vAlign w:val="bottom"/>
            <w:tcBorders>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1500" w:type="dxa"/>
            <w:vAlign w:val="bottom"/>
            <w:tcBorders>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72"/>
              </w:rPr>
              <w:t>ò</w:t>
            </w:r>
          </w:p>
        </w:tc>
        <w:tc>
          <w:tcPr>
            <w:tcW w:w="1480" w:type="dxa"/>
            <w:vAlign w:val="bottom"/>
            <w:tcBorders>
              <w:right w:val="single" w:sz="8" w:color="134A9C"/>
            </w:tcBorders>
          </w:tcPr>
          <w:p>
            <w:pPr>
              <w:spacing w:after="0"/>
              <w:rPr>
                <w:sz w:val="21"/>
                <w:szCs w:val="21"/>
                <w:color w:val="auto"/>
              </w:rPr>
            </w:pPr>
          </w:p>
        </w:tc>
        <w:tc>
          <w:tcPr>
            <w:tcW w:w="1480" w:type="dxa"/>
            <w:vAlign w:val="bottom"/>
            <w:tcBorders>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1480" w:type="dxa"/>
            <w:vAlign w:val="bottom"/>
            <w:tcBorders>
              <w:right w:val="single" w:sz="8" w:color="134A9C"/>
            </w:tcBorders>
          </w:tcPr>
          <w:p>
            <w:pPr>
              <w:spacing w:after="0"/>
              <w:rPr>
                <w:sz w:val="21"/>
                <w:szCs w:val="21"/>
                <w:color w:val="auto"/>
              </w:rPr>
            </w:pPr>
          </w:p>
        </w:tc>
        <w:tc>
          <w:tcPr>
            <w:tcW w:w="1480" w:type="dxa"/>
            <w:vAlign w:val="bottom"/>
            <w:tcBorders>
              <w:right w:val="single" w:sz="8" w:color="134A9C"/>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Borders>
              <w:left w:val="single" w:sz="8" w:color="134A9C"/>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50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Michael G. Mullen</w:t>
            </w:r>
            <w:r>
              <w:rPr>
                <w:rFonts w:ascii="Arial" w:cs="Arial" w:eastAsia="Arial" w:hAnsi="Arial"/>
                <w:sz w:val="18"/>
                <w:szCs w:val="18"/>
                <w:color w:val="auto"/>
                <w:vertAlign w:val="superscript"/>
              </w:rPr>
              <w:t>(5)</w:t>
            </w: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150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9"/>
              </w:rPr>
              <w:t>Chair</w:t>
            </w:r>
          </w:p>
        </w:tc>
        <w:tc>
          <w:tcPr>
            <w:tcW w:w="0" w:type="dxa"/>
            <w:vAlign w:val="bottom"/>
          </w:tcPr>
          <w:p>
            <w:pPr>
              <w:spacing w:after="0"/>
              <w:rPr>
                <w:sz w:val="1"/>
                <w:szCs w:val="1"/>
                <w:color w:val="auto"/>
              </w:rPr>
            </w:pPr>
          </w:p>
        </w:tc>
      </w:tr>
      <w:tr>
        <w:trPr>
          <w:trHeight w:val="264"/>
        </w:trPr>
        <w:tc>
          <w:tcPr>
            <w:tcW w:w="25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James J. Mulva</w:t>
            </w:r>
            <w:r>
              <w:rPr>
                <w:rFonts w:ascii="Arial" w:cs="Arial" w:eastAsia="Arial" w:hAnsi="Arial"/>
                <w:sz w:val="18"/>
                <w:szCs w:val="18"/>
                <w:color w:val="auto"/>
                <w:vertAlign w:val="superscript"/>
              </w:rPr>
              <w:t>(6)</w:t>
            </w:r>
          </w:p>
        </w:tc>
        <w:tc>
          <w:tcPr>
            <w:tcW w:w="1480" w:type="dxa"/>
            <w:vAlign w:val="bottom"/>
            <w:tcBorders>
              <w:bottom w:val="single" w:sz="8" w:color="134A9C"/>
              <w:right w:val="single" w:sz="8" w:color="134A9C"/>
            </w:tcBorders>
          </w:tcPr>
          <w:p>
            <w:pPr>
              <w:spacing w:after="0"/>
              <w:rPr>
                <w:sz w:val="22"/>
                <w:szCs w:val="22"/>
                <w:color w:val="auto"/>
              </w:rPr>
            </w:pPr>
          </w:p>
        </w:tc>
        <w:tc>
          <w:tcPr>
            <w:tcW w:w="150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72"/>
              </w:rPr>
              <w:t>ò</w:t>
            </w: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9"/>
              </w:rPr>
              <w:t>Chair</w:t>
            </w:r>
          </w:p>
        </w:tc>
        <w:tc>
          <w:tcPr>
            <w:tcW w:w="148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0" w:type="dxa"/>
            <w:vAlign w:val="bottom"/>
          </w:tcPr>
          <w:p>
            <w:pPr>
              <w:spacing w:after="0"/>
              <w:rPr>
                <w:sz w:val="1"/>
                <w:szCs w:val="1"/>
                <w:color w:val="auto"/>
              </w:rPr>
            </w:pPr>
          </w:p>
        </w:tc>
      </w:tr>
      <w:tr>
        <w:trPr>
          <w:trHeight w:val="243"/>
        </w:trPr>
        <w:tc>
          <w:tcPr>
            <w:tcW w:w="25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Patricia F. Russo</w:t>
            </w:r>
          </w:p>
        </w:tc>
        <w:tc>
          <w:tcPr>
            <w:tcW w:w="1480" w:type="dxa"/>
            <w:vAlign w:val="bottom"/>
            <w:tcBorders>
              <w:right w:val="single" w:sz="8" w:color="134A9C"/>
            </w:tcBorders>
          </w:tcPr>
          <w:p>
            <w:pPr>
              <w:spacing w:after="0"/>
              <w:rPr>
                <w:sz w:val="21"/>
                <w:szCs w:val="21"/>
                <w:color w:val="auto"/>
              </w:rPr>
            </w:pPr>
          </w:p>
        </w:tc>
        <w:tc>
          <w:tcPr>
            <w:tcW w:w="1500" w:type="dxa"/>
            <w:vAlign w:val="bottom"/>
            <w:tcBorders>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9"/>
              </w:rPr>
              <w:t>Chair</w:t>
            </w:r>
          </w:p>
        </w:tc>
        <w:tc>
          <w:tcPr>
            <w:tcW w:w="1480" w:type="dxa"/>
            <w:vAlign w:val="bottom"/>
            <w:tcBorders>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72"/>
              </w:rPr>
              <w:t>ò</w:t>
            </w:r>
          </w:p>
        </w:tc>
        <w:tc>
          <w:tcPr>
            <w:tcW w:w="1480" w:type="dxa"/>
            <w:vAlign w:val="bottom"/>
            <w:tcBorders>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1480" w:type="dxa"/>
            <w:vAlign w:val="bottom"/>
            <w:tcBorders>
              <w:right w:val="single" w:sz="8" w:color="134A9C"/>
            </w:tcBorders>
          </w:tcPr>
          <w:p>
            <w:pPr>
              <w:spacing w:after="0"/>
              <w:rPr>
                <w:sz w:val="21"/>
                <w:szCs w:val="21"/>
                <w:color w:val="auto"/>
              </w:rPr>
            </w:pPr>
          </w:p>
        </w:tc>
        <w:tc>
          <w:tcPr>
            <w:tcW w:w="1480" w:type="dxa"/>
            <w:vAlign w:val="bottom"/>
            <w:tcBorders>
              <w:right w:val="single" w:sz="8" w:color="134A9C"/>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Borders>
              <w:left w:val="single" w:sz="8" w:color="134A9C"/>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50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Thomas M. Schoewe</w:t>
            </w:r>
          </w:p>
        </w:tc>
        <w:tc>
          <w:tcPr>
            <w:tcW w:w="1480" w:type="dxa"/>
            <w:vAlign w:val="bottom"/>
            <w:tcBorders>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9"/>
              </w:rPr>
              <w:t>Chair</w:t>
            </w:r>
          </w:p>
        </w:tc>
        <w:tc>
          <w:tcPr>
            <w:tcW w:w="1500" w:type="dxa"/>
            <w:vAlign w:val="bottom"/>
            <w:tcBorders>
              <w:right w:val="single" w:sz="8" w:color="134A9C"/>
            </w:tcBorders>
          </w:tcPr>
          <w:p>
            <w:pPr>
              <w:spacing w:after="0"/>
              <w:rPr>
                <w:sz w:val="20"/>
                <w:szCs w:val="20"/>
                <w:color w:val="auto"/>
              </w:rPr>
            </w:pPr>
          </w:p>
        </w:tc>
        <w:tc>
          <w:tcPr>
            <w:tcW w:w="1480" w:type="dxa"/>
            <w:vAlign w:val="bottom"/>
            <w:tcBorders>
              <w:right w:val="single" w:sz="8" w:color="134A9C"/>
            </w:tcBorders>
          </w:tcPr>
          <w:p>
            <w:pPr>
              <w:spacing w:after="0"/>
              <w:rPr>
                <w:sz w:val="20"/>
                <w:szCs w:val="20"/>
                <w:color w:val="auto"/>
              </w:rPr>
            </w:pPr>
          </w:p>
        </w:tc>
        <w:tc>
          <w:tcPr>
            <w:tcW w:w="1480" w:type="dxa"/>
            <w:vAlign w:val="bottom"/>
            <w:tcBorders>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1480" w:type="dxa"/>
            <w:vAlign w:val="bottom"/>
            <w:tcBorders>
              <w:right w:val="single" w:sz="8" w:color="134A9C"/>
            </w:tcBorders>
          </w:tcPr>
          <w:p>
            <w:pPr>
              <w:spacing w:after="0"/>
              <w:rPr>
                <w:sz w:val="20"/>
                <w:szCs w:val="20"/>
                <w:color w:val="auto"/>
              </w:rPr>
            </w:pPr>
          </w:p>
        </w:tc>
        <w:tc>
          <w:tcPr>
            <w:tcW w:w="1480" w:type="dxa"/>
            <w:vAlign w:val="bottom"/>
            <w:tcBorders>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0" w:type="dxa"/>
            <w:vAlign w:val="bottom"/>
          </w:tcPr>
          <w:p>
            <w:pPr>
              <w:spacing w:after="0"/>
              <w:rPr>
                <w:sz w:val="1"/>
                <w:szCs w:val="1"/>
                <w:color w:val="auto"/>
              </w:rPr>
            </w:pPr>
          </w:p>
        </w:tc>
      </w:tr>
      <w:tr>
        <w:trPr>
          <w:trHeight w:val="27"/>
        </w:trPr>
        <w:tc>
          <w:tcPr>
            <w:tcW w:w="2540" w:type="dxa"/>
            <w:vAlign w:val="bottom"/>
            <w:tcBorders>
              <w:left w:val="single" w:sz="8" w:color="134A9C"/>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50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1480" w:type="dxa"/>
            <w:vAlign w:val="bottom"/>
            <w:tcBorders>
              <w:bottom w:val="single" w:sz="8" w:color="134A9C"/>
              <w:right w:val="single" w:sz="8" w:color="134A9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Theodore M. Solso</w:t>
            </w:r>
            <w:r>
              <w:rPr>
                <w:rFonts w:ascii="Arial" w:cs="Arial" w:eastAsia="Arial" w:hAnsi="Arial"/>
                <w:sz w:val="18"/>
                <w:szCs w:val="18"/>
                <w:color w:val="auto"/>
                <w:vertAlign w:val="superscript"/>
              </w:rPr>
              <w:t>(7)</w:t>
            </w:r>
          </w:p>
        </w:tc>
        <w:tc>
          <w:tcPr>
            <w:tcW w:w="1480" w:type="dxa"/>
            <w:vAlign w:val="bottom"/>
            <w:tcBorders>
              <w:bottom w:val="single" w:sz="8" w:color="134A9C"/>
              <w:right w:val="single" w:sz="8" w:color="134A9C"/>
            </w:tcBorders>
          </w:tcPr>
          <w:p>
            <w:pPr>
              <w:spacing w:after="0"/>
              <w:rPr>
                <w:sz w:val="22"/>
                <w:szCs w:val="22"/>
                <w:color w:val="auto"/>
              </w:rPr>
            </w:pPr>
          </w:p>
        </w:tc>
        <w:tc>
          <w:tcPr>
            <w:tcW w:w="150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Carol M. Stephenson</w:t>
            </w:r>
            <w:r>
              <w:rPr>
                <w:rFonts w:ascii="Arial" w:cs="Arial" w:eastAsia="Arial" w:hAnsi="Arial"/>
                <w:sz w:val="18"/>
                <w:szCs w:val="18"/>
                <w:color w:val="auto"/>
                <w:vertAlign w:val="superscript"/>
              </w:rPr>
              <w:t>(8)</w:t>
            </w:r>
          </w:p>
        </w:tc>
        <w:tc>
          <w:tcPr>
            <w:tcW w:w="1480" w:type="dxa"/>
            <w:vAlign w:val="bottom"/>
            <w:tcBorders>
              <w:bottom w:val="single" w:sz="8" w:color="134A9C"/>
              <w:right w:val="single" w:sz="8" w:color="134A9C"/>
            </w:tcBorders>
          </w:tcPr>
          <w:p>
            <w:pPr>
              <w:spacing w:after="0"/>
              <w:rPr>
                <w:sz w:val="22"/>
                <w:szCs w:val="22"/>
                <w:color w:val="auto"/>
              </w:rPr>
            </w:pPr>
          </w:p>
        </w:tc>
        <w:tc>
          <w:tcPr>
            <w:tcW w:w="150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72"/>
              </w:rPr>
              <w:t>ò</w:t>
            </w: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72"/>
              </w:rPr>
              <w:t>ò</w:t>
            </w:r>
          </w:p>
        </w:tc>
        <w:tc>
          <w:tcPr>
            <w:tcW w:w="148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spacing w:after="0"/>
              <w:rPr>
                <w:sz w:val="22"/>
                <w:szCs w:val="22"/>
                <w:color w:val="auto"/>
              </w:rPr>
            </w:pPr>
          </w:p>
        </w:tc>
        <w:tc>
          <w:tcPr>
            <w:tcW w:w="14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8"/>
                <w:szCs w:val="18"/>
                <w:b w:val="1"/>
                <w:bCs w:val="1"/>
                <w:color w:val="134A9C"/>
                <w:w w:val="90"/>
              </w:rPr>
              <w:t>ò</w:t>
            </w:r>
          </w:p>
        </w:tc>
        <w:tc>
          <w:tcPr>
            <w:tcW w:w="0" w:type="dxa"/>
            <w:vAlign w:val="bottom"/>
          </w:tcPr>
          <w:p>
            <w:pPr>
              <w:spacing w:after="0"/>
              <w:rPr>
                <w:sz w:val="1"/>
                <w:szCs w:val="1"/>
                <w:color w:val="auto"/>
              </w:rPr>
            </w:pPr>
          </w:p>
        </w:tc>
      </w:tr>
      <w:tr>
        <w:trPr>
          <w:trHeight w:val="207"/>
        </w:trPr>
        <w:tc>
          <w:tcPr>
            <w:tcW w:w="25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b w:val="1"/>
                <w:bCs w:val="1"/>
                <w:color w:val="134A9C"/>
              </w:rPr>
              <w:t>Number of</w:t>
            </w:r>
          </w:p>
        </w:tc>
        <w:tc>
          <w:tcPr>
            <w:tcW w:w="1480" w:type="dxa"/>
            <w:vAlign w:val="bottom"/>
            <w:tcBorders>
              <w:right w:val="single" w:sz="8" w:color="134A9C"/>
            </w:tcBorders>
            <w:vMerge w:val="restart"/>
          </w:tcPr>
          <w:p>
            <w:pPr>
              <w:jc w:val="center"/>
              <w:spacing w:after="0"/>
              <w:rPr>
                <w:sz w:val="20"/>
                <w:szCs w:val="20"/>
                <w:color w:val="auto"/>
              </w:rPr>
            </w:pPr>
            <w:r>
              <w:rPr>
                <w:rFonts w:ascii="Arial" w:cs="Arial" w:eastAsia="Arial" w:hAnsi="Arial"/>
                <w:sz w:val="18"/>
                <w:szCs w:val="18"/>
                <w:b w:val="1"/>
                <w:bCs w:val="1"/>
                <w:color w:val="134A9C"/>
                <w:w w:val="99"/>
              </w:rPr>
              <w:t>10</w:t>
            </w:r>
          </w:p>
        </w:tc>
        <w:tc>
          <w:tcPr>
            <w:tcW w:w="1500" w:type="dxa"/>
            <w:vAlign w:val="bottom"/>
            <w:tcBorders>
              <w:right w:val="single" w:sz="8" w:color="134A9C"/>
            </w:tcBorders>
            <w:vMerge w:val="restart"/>
          </w:tcPr>
          <w:p>
            <w:pPr>
              <w:jc w:val="center"/>
              <w:spacing w:after="0"/>
              <w:rPr>
                <w:sz w:val="20"/>
                <w:szCs w:val="20"/>
                <w:color w:val="auto"/>
              </w:rPr>
            </w:pPr>
            <w:r>
              <w:rPr>
                <w:rFonts w:ascii="Arial" w:cs="Arial" w:eastAsia="Arial" w:hAnsi="Arial"/>
                <w:sz w:val="18"/>
                <w:szCs w:val="18"/>
                <w:b w:val="1"/>
                <w:bCs w:val="1"/>
                <w:color w:val="134A9C"/>
                <w:w w:val="99"/>
              </w:rPr>
              <w:t>6</w:t>
            </w:r>
          </w:p>
        </w:tc>
        <w:tc>
          <w:tcPr>
            <w:tcW w:w="1480" w:type="dxa"/>
            <w:vAlign w:val="bottom"/>
            <w:tcBorders>
              <w:right w:val="single" w:sz="8" w:color="134A9C"/>
            </w:tcBorders>
            <w:vMerge w:val="restart"/>
          </w:tcPr>
          <w:p>
            <w:pPr>
              <w:jc w:val="center"/>
              <w:spacing w:after="0"/>
              <w:rPr>
                <w:sz w:val="20"/>
                <w:szCs w:val="20"/>
                <w:color w:val="auto"/>
              </w:rPr>
            </w:pPr>
            <w:r>
              <w:rPr>
                <w:rFonts w:ascii="Arial" w:cs="Arial" w:eastAsia="Arial" w:hAnsi="Arial"/>
                <w:sz w:val="18"/>
                <w:szCs w:val="18"/>
                <w:b w:val="1"/>
                <w:bCs w:val="1"/>
                <w:color w:val="134A9C"/>
                <w:w w:val="99"/>
              </w:rPr>
              <w:t>6</w:t>
            </w:r>
          </w:p>
        </w:tc>
        <w:tc>
          <w:tcPr>
            <w:tcW w:w="1480" w:type="dxa"/>
            <w:vAlign w:val="bottom"/>
            <w:tcBorders>
              <w:right w:val="single" w:sz="8" w:color="134A9C"/>
            </w:tcBorders>
            <w:vMerge w:val="restart"/>
          </w:tcPr>
          <w:p>
            <w:pPr>
              <w:jc w:val="center"/>
              <w:spacing w:after="0"/>
              <w:rPr>
                <w:sz w:val="20"/>
                <w:szCs w:val="20"/>
                <w:color w:val="auto"/>
              </w:rPr>
            </w:pPr>
            <w:r>
              <w:rPr>
                <w:rFonts w:ascii="Arial" w:cs="Arial" w:eastAsia="Arial" w:hAnsi="Arial"/>
                <w:sz w:val="18"/>
                <w:szCs w:val="18"/>
                <w:b w:val="1"/>
                <w:bCs w:val="1"/>
                <w:color w:val="134A9C"/>
                <w:w w:val="99"/>
              </w:rPr>
              <w:t>7</w:t>
            </w:r>
          </w:p>
        </w:tc>
        <w:tc>
          <w:tcPr>
            <w:tcW w:w="1480" w:type="dxa"/>
            <w:vAlign w:val="bottom"/>
            <w:tcBorders>
              <w:right w:val="single" w:sz="8" w:color="134A9C"/>
            </w:tcBorders>
            <w:vMerge w:val="restart"/>
          </w:tcPr>
          <w:p>
            <w:pPr>
              <w:jc w:val="center"/>
              <w:spacing w:after="0"/>
              <w:rPr>
                <w:sz w:val="20"/>
                <w:szCs w:val="20"/>
                <w:color w:val="auto"/>
              </w:rPr>
            </w:pPr>
            <w:r>
              <w:rPr>
                <w:rFonts w:ascii="Arial" w:cs="Arial" w:eastAsia="Arial" w:hAnsi="Arial"/>
                <w:sz w:val="18"/>
                <w:szCs w:val="18"/>
                <w:b w:val="1"/>
                <w:bCs w:val="1"/>
                <w:color w:val="134A9C"/>
                <w:w w:val="99"/>
              </w:rPr>
              <w:t>5</w:t>
            </w:r>
          </w:p>
        </w:tc>
        <w:tc>
          <w:tcPr>
            <w:tcW w:w="1480" w:type="dxa"/>
            <w:vAlign w:val="bottom"/>
            <w:tcBorders>
              <w:right w:val="single" w:sz="8" w:color="134A9C"/>
            </w:tcBorders>
            <w:vMerge w:val="restart"/>
          </w:tcPr>
          <w:p>
            <w:pPr>
              <w:jc w:val="center"/>
              <w:spacing w:after="0"/>
              <w:rPr>
                <w:sz w:val="20"/>
                <w:szCs w:val="20"/>
                <w:color w:val="auto"/>
              </w:rPr>
            </w:pPr>
            <w:r>
              <w:rPr>
                <w:rFonts w:ascii="Arial" w:cs="Arial" w:eastAsia="Arial" w:hAnsi="Arial"/>
                <w:sz w:val="18"/>
                <w:szCs w:val="18"/>
                <w:b w:val="1"/>
                <w:bCs w:val="1"/>
                <w:color w:val="134A9C"/>
                <w:w w:val="99"/>
              </w:rPr>
              <w:t>3</w:t>
            </w:r>
          </w:p>
        </w:tc>
        <w:tc>
          <w:tcPr>
            <w:tcW w:w="0" w:type="dxa"/>
            <w:vAlign w:val="bottom"/>
          </w:tcPr>
          <w:p>
            <w:pPr>
              <w:spacing w:after="0"/>
              <w:rPr>
                <w:sz w:val="1"/>
                <w:szCs w:val="1"/>
                <w:color w:val="auto"/>
              </w:rPr>
            </w:pPr>
          </w:p>
        </w:tc>
      </w:tr>
      <w:tr>
        <w:trPr>
          <w:trHeight w:val="144"/>
        </w:trPr>
        <w:tc>
          <w:tcPr>
            <w:tcW w:w="2540" w:type="dxa"/>
            <w:vAlign w:val="bottom"/>
            <w:tcBorders>
              <w:left w:val="single" w:sz="8" w:color="134A9C"/>
              <w:right w:val="single" w:sz="8" w:color="134A9C"/>
            </w:tcBorders>
            <w:vMerge w:val="restart"/>
          </w:tcPr>
          <w:p>
            <w:pPr>
              <w:ind w:left="40"/>
              <w:spacing w:after="0"/>
              <w:rPr>
                <w:sz w:val="20"/>
                <w:szCs w:val="20"/>
                <w:color w:val="auto"/>
              </w:rPr>
            </w:pPr>
            <w:r>
              <w:rPr>
                <w:rFonts w:ascii="Arial" w:cs="Arial" w:eastAsia="Arial" w:hAnsi="Arial"/>
                <w:sz w:val="18"/>
                <w:szCs w:val="18"/>
                <w:b w:val="1"/>
                <w:bCs w:val="1"/>
                <w:color w:val="134A9C"/>
              </w:rPr>
              <w:t>Meetings in 2014</w:t>
            </w:r>
          </w:p>
        </w:tc>
        <w:tc>
          <w:tcPr>
            <w:tcW w:w="1480" w:type="dxa"/>
            <w:vAlign w:val="bottom"/>
            <w:tcBorders>
              <w:right w:val="single" w:sz="8" w:color="134A9C"/>
            </w:tcBorders>
            <w:vMerge w:val="continue"/>
          </w:tcPr>
          <w:p>
            <w:pPr>
              <w:spacing w:after="0"/>
              <w:rPr>
                <w:sz w:val="12"/>
                <w:szCs w:val="12"/>
                <w:color w:val="auto"/>
              </w:rPr>
            </w:pPr>
          </w:p>
        </w:tc>
        <w:tc>
          <w:tcPr>
            <w:tcW w:w="1500" w:type="dxa"/>
            <w:vAlign w:val="bottom"/>
            <w:tcBorders>
              <w:right w:val="single" w:sz="8" w:color="134A9C"/>
            </w:tcBorders>
            <w:vMerge w:val="continue"/>
          </w:tcPr>
          <w:p>
            <w:pPr>
              <w:spacing w:after="0"/>
              <w:rPr>
                <w:sz w:val="12"/>
                <w:szCs w:val="12"/>
                <w:color w:val="auto"/>
              </w:rPr>
            </w:pPr>
          </w:p>
        </w:tc>
        <w:tc>
          <w:tcPr>
            <w:tcW w:w="1480" w:type="dxa"/>
            <w:vAlign w:val="bottom"/>
            <w:tcBorders>
              <w:right w:val="single" w:sz="8" w:color="134A9C"/>
            </w:tcBorders>
            <w:vMerge w:val="continue"/>
          </w:tcPr>
          <w:p>
            <w:pPr>
              <w:spacing w:after="0"/>
              <w:rPr>
                <w:sz w:val="12"/>
                <w:szCs w:val="12"/>
                <w:color w:val="auto"/>
              </w:rPr>
            </w:pPr>
          </w:p>
        </w:tc>
        <w:tc>
          <w:tcPr>
            <w:tcW w:w="1480" w:type="dxa"/>
            <w:vAlign w:val="bottom"/>
            <w:tcBorders>
              <w:right w:val="single" w:sz="8" w:color="134A9C"/>
            </w:tcBorders>
            <w:vMerge w:val="continue"/>
          </w:tcPr>
          <w:p>
            <w:pPr>
              <w:spacing w:after="0"/>
              <w:rPr>
                <w:sz w:val="12"/>
                <w:szCs w:val="12"/>
                <w:color w:val="auto"/>
              </w:rPr>
            </w:pPr>
          </w:p>
        </w:tc>
        <w:tc>
          <w:tcPr>
            <w:tcW w:w="1480" w:type="dxa"/>
            <w:vAlign w:val="bottom"/>
            <w:tcBorders>
              <w:right w:val="single" w:sz="8" w:color="134A9C"/>
            </w:tcBorders>
            <w:vMerge w:val="continue"/>
          </w:tcPr>
          <w:p>
            <w:pPr>
              <w:spacing w:after="0"/>
              <w:rPr>
                <w:sz w:val="12"/>
                <w:szCs w:val="12"/>
                <w:color w:val="auto"/>
              </w:rPr>
            </w:pPr>
          </w:p>
        </w:tc>
        <w:tc>
          <w:tcPr>
            <w:tcW w:w="1480" w:type="dxa"/>
            <w:vAlign w:val="bottom"/>
            <w:tcBorders>
              <w:right w:val="single" w:sz="8" w:color="134A9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540" w:type="dxa"/>
            <w:vAlign w:val="bottom"/>
            <w:tcBorders>
              <w:left w:val="single" w:sz="8" w:color="134A9C"/>
              <w:bottom w:val="single" w:sz="8" w:color="134A9C"/>
              <w:right w:val="single" w:sz="8" w:color="134A9C"/>
            </w:tcBorders>
            <w:vMerge w:val="continue"/>
          </w:tcPr>
          <w:p>
            <w:pPr>
              <w:spacing w:after="0"/>
              <w:rPr>
                <w:sz w:val="10"/>
                <w:szCs w:val="10"/>
                <w:color w:val="auto"/>
              </w:rPr>
            </w:pPr>
          </w:p>
        </w:tc>
        <w:tc>
          <w:tcPr>
            <w:tcW w:w="1480" w:type="dxa"/>
            <w:vAlign w:val="bottom"/>
            <w:tcBorders>
              <w:bottom w:val="single" w:sz="8" w:color="134A9C"/>
              <w:right w:val="single" w:sz="8" w:color="134A9C"/>
            </w:tcBorders>
          </w:tcPr>
          <w:p>
            <w:pPr>
              <w:spacing w:after="0"/>
              <w:rPr>
                <w:sz w:val="10"/>
                <w:szCs w:val="10"/>
                <w:color w:val="auto"/>
              </w:rPr>
            </w:pPr>
          </w:p>
        </w:tc>
        <w:tc>
          <w:tcPr>
            <w:tcW w:w="1500" w:type="dxa"/>
            <w:vAlign w:val="bottom"/>
            <w:tcBorders>
              <w:bottom w:val="single" w:sz="8" w:color="134A9C"/>
              <w:right w:val="single" w:sz="8" w:color="134A9C"/>
            </w:tcBorders>
          </w:tcPr>
          <w:p>
            <w:pPr>
              <w:spacing w:after="0"/>
              <w:rPr>
                <w:sz w:val="10"/>
                <w:szCs w:val="10"/>
                <w:color w:val="auto"/>
              </w:rPr>
            </w:pPr>
          </w:p>
        </w:tc>
        <w:tc>
          <w:tcPr>
            <w:tcW w:w="1480" w:type="dxa"/>
            <w:vAlign w:val="bottom"/>
            <w:tcBorders>
              <w:bottom w:val="single" w:sz="8" w:color="134A9C"/>
              <w:right w:val="single" w:sz="8" w:color="134A9C"/>
            </w:tcBorders>
          </w:tcPr>
          <w:p>
            <w:pPr>
              <w:spacing w:after="0"/>
              <w:rPr>
                <w:sz w:val="10"/>
                <w:szCs w:val="10"/>
                <w:color w:val="auto"/>
              </w:rPr>
            </w:pPr>
          </w:p>
        </w:tc>
        <w:tc>
          <w:tcPr>
            <w:tcW w:w="1480" w:type="dxa"/>
            <w:vAlign w:val="bottom"/>
            <w:tcBorders>
              <w:bottom w:val="single" w:sz="8" w:color="134A9C"/>
              <w:right w:val="single" w:sz="8" w:color="134A9C"/>
            </w:tcBorders>
          </w:tcPr>
          <w:p>
            <w:pPr>
              <w:spacing w:after="0"/>
              <w:rPr>
                <w:sz w:val="10"/>
                <w:szCs w:val="10"/>
                <w:color w:val="auto"/>
              </w:rPr>
            </w:pPr>
          </w:p>
        </w:tc>
        <w:tc>
          <w:tcPr>
            <w:tcW w:w="1480" w:type="dxa"/>
            <w:vAlign w:val="bottom"/>
            <w:tcBorders>
              <w:bottom w:val="single" w:sz="8" w:color="134A9C"/>
              <w:right w:val="single" w:sz="8" w:color="134A9C"/>
            </w:tcBorders>
          </w:tcPr>
          <w:p>
            <w:pPr>
              <w:spacing w:after="0"/>
              <w:rPr>
                <w:sz w:val="10"/>
                <w:szCs w:val="10"/>
                <w:color w:val="auto"/>
              </w:rPr>
            </w:pPr>
          </w:p>
        </w:tc>
        <w:tc>
          <w:tcPr>
            <w:tcW w:w="1480" w:type="dxa"/>
            <w:vAlign w:val="bottom"/>
            <w:tcBorders>
              <w:bottom w:val="single" w:sz="8" w:color="134A9C"/>
              <w:right w:val="single" w:sz="8" w:color="134A9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Risk Committee was created by the Board on June 10, 2014.</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Not standing for re-election to the Board at the 2015 annual meeting.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Ms. Gooden joined the Board on February 5, 2015 and was appointed to the Audit and Risk Committees on March 10, 2015.</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Retiring from the Board effective as of the 2015 annual meeting, pursuant to the Board’s retirement age policy.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Appointed Chair of the Risk Committee on June 10, 2014.</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Appointed Chair of the Finance Committee on June 10, 2014.</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Mr. Solso, as non-executive Chairman of the Board, attends all meetings of Board Committees. However, he is not a member of any Committee, in order to focus on his leadership role.</w:t>
      </w: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Ms. Stephenson will replace Mr. Isdell as Chair of the Compensation Committee effective June 8,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for each of the Committees of the Board are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Audit Committee</w:t>
      </w:r>
    </w:p>
    <w:p>
      <w:pPr>
        <w:spacing w:after="0" w:line="14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Audit Committee assists the Board in fulfilling its oversight responsibilities with respect to the financial reports and other financial information provided by us to stockholders and others; our system of internal controls; our compliance procedures for the employee code of ethics and standards of business conduct; and our audit, accounting, and financial reporting processes. Our Board has determined that all of the members of the Committee are independent, financially literate, and have accounting or related financial management expertise as defined by the NYSE. The Board also has determined that Mr. Davis, Ms. Marinello, and Mr. Schoewe all qualify as “audit committee financial experts” as defined by the SEC.</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Directors and Corporate Governance Committee</w:t>
      </w:r>
    </w:p>
    <w:p>
      <w:pPr>
        <w:spacing w:after="0" w:line="14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Governance Committee gives direction and oversight to the identification and evaluation of potential Board candidates and ultimately recommends candidates to be nominated for election to the Board, including any individuals designated under the Stockholders Agreement described on page 34. It periodically conducts studies of the appropriate size and composition of the Board and reviews and makes recommendations concerning compensation for non-employee directors. Among other items, the Governance Committee is responsible for: reviewing and recommending revisions, as appropriate, to the Company’s corporate governance framework, including our Certificate of Incorporation, Bylaws, and Corporate Governance Guidelines; overseeing the self-evaluation process of the Board and its standing Committees and reporting an assessment of the Board’s performance annually to the Board; and recommending memberships and Chairs for all Committees of the Board.</w:t>
      </w:r>
    </w:p>
    <w:p>
      <w:pPr>
        <w:spacing w:after="0" w:line="396"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26</w:t>
      </w:r>
      <w:r>
        <w:rPr>
          <w:sz w:val="20"/>
          <w:szCs w:val="20"/>
          <w:color w:val="auto"/>
        </w:rPr>
        <w:tab/>
      </w:r>
      <w:r>
        <w:rPr>
          <w:sz w:val="1"/>
          <w:szCs w:val="1"/>
          <w:color w:val="auto"/>
        </w:rPr>
        <w:drawing>
          <wp:inline distT="0" distB="0" distL="0" distR="0">
            <wp:extent cx="120015" cy="1200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sectPr>
      </w:pPr>
    </w:p>
    <w:bookmarkStart w:id="30" w:name="page31"/>
    <w:bookmarkEnd w:id="30"/>
    <w:p>
      <w:pPr>
        <w:ind w:left="8700"/>
        <w:spacing w:after="0"/>
        <w:rPr>
          <w:sz w:val="20"/>
          <w:szCs w:val="20"/>
          <w:color w:val="auto"/>
        </w:rPr>
      </w:pPr>
      <w:r>
        <w:rPr>
          <w:rFonts w:ascii="Arial" w:cs="Arial" w:eastAsia="Arial" w:hAnsi="Arial"/>
          <w:sz w:val="18"/>
          <w:szCs w:val="18"/>
          <w:b w:val="1"/>
          <w:bCs w:val="1"/>
          <w:color w:val="134A9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Executive Compensation Committee</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Compensation Committee’s overall objective is to ensure that our compensation policies and practices support the recruitment, development, and retention of the executive talent needed to ensure the long-term success of the Company. In addition to establishing goals and objectives related to compensation for all of our executives, the Compensation Committee sets individual award targets and approves all compensation matters for the CEO (with Board concurrence) and other NEOs, as well as our other executive officers and certain other senior leaders under its purview. As stated in its charter, the Compensation Committee meets at least annually with an executive from our risk management organization to assess executive compensation risk. The CEO is invited to participate in a portion of all meetings.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Finance Committee</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Finance Committee is responsible for assisting the Board in its oversight of our financial policies and strategies, including our capital structure. In addition, the Finance Committee periodically receives reports regarding our U.S. employee benefit plans for the purpose of reviewing the administration, financing, investment performance, risk and liability profile, and funding of such plans, in each case including with respect to regulatory compliance.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Public Policy Committee</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Public Policy Committee provides oversight and guidance to management on public policies to support the Company’s progress in growing the business globally within the framework of its core values. The Public Policy Committee discusses, and brings to the attention of the Board and management as appropriate, current and emerging global political, social, and public policy issues that may affect the business operations, profitability, or public image or reputation of the Company. The Public Policy Committee oversees global public policy matters as well as specific functions of the Company, as appropriate. Company functions reviewed by the Public Policy Committee include Global Public Policy, diversity, corporate social responsibility, employee health and safety, and philanthropic activities.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Risk Committee</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Risk Committee is responsible for assisting and actively advising the Board in fulfilling its oversight responsibilities with regard to management’s identification, evaluation and treatment of the Company’s strategic operating risk exposures. The Risk Committee also oversees the Company’s risk management framework including policies, procedures, and practices employed to assess and manage its major strategic risks related to operations.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Executive Committee</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above committees, our Board has an Executive Committee composed of the Chairman of the Board, the CEO, and the Chairs of each of our standing Committees. The Executive Committee is empowered to act for the full Board in intervals between Board meetings, with the exception of certain matters that by law may not be delegated. The Executive Committee meets as necessary, and all actions by the Executive Committee are reported at the next Board meeting.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Non-Employee Director Compensation</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Compensation for our non-employee directors is set by our Board at the recommendation of the Governance Committee. GM’s Legal Staff and Global Compensation and Benefits group in Global Human Resources supports the Governance Committee in setting director compensation and related benefit programs. In addition, the Governance Committee can engage the services of outside consultants, experts, and others to assist the Committee. During 2014, the Governance Committee did not engage any consultants in reviewing and setting director compensation. The Governance Committee periodically reviews compensation paid to non-employee directors and recommends changes, if appropriate, to the full Board based upon competitive market practices. The process for setting director pay is guided by the following principles:</w:t>
      </w:r>
    </w:p>
    <w:p>
      <w:pPr>
        <w:spacing w:after="0" w:line="4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134A9C"/>
        </w:rPr>
      </w:pPr>
      <w:r>
        <w:rPr>
          <w:rFonts w:ascii="Arial" w:cs="Arial" w:eastAsia="Arial" w:hAnsi="Arial"/>
          <w:sz w:val="18"/>
          <w:szCs w:val="18"/>
          <w:color w:val="auto"/>
        </w:rPr>
        <w:t>Fairly compensate directors for their responsibilities and time commitments;</w:t>
      </w:r>
    </w:p>
    <w:p>
      <w:pPr>
        <w:spacing w:after="0" w:line="200" w:lineRule="exact"/>
        <w:rPr>
          <w:sz w:val="20"/>
          <w:szCs w:val="20"/>
          <w:color w:val="auto"/>
        </w:rPr>
      </w:pPr>
    </w:p>
    <w:p>
      <w:pPr>
        <w:spacing w:after="0" w:line="256"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27</w:t>
      </w:r>
      <w:r>
        <w:rPr>
          <w:sz w:val="20"/>
          <w:szCs w:val="20"/>
          <w:color w:val="auto"/>
        </w:rPr>
        <w:tab/>
      </w:r>
      <w:r>
        <w:rPr>
          <w:sz w:val="1"/>
          <w:szCs w:val="1"/>
          <w:color w:val="auto"/>
        </w:rPr>
        <w:drawing>
          <wp:inline distT="0" distB="0" distL="0" distR="0">
            <wp:extent cx="120015" cy="12001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31" w:name="page32"/>
    <w:bookmarkEnd w:id="31"/>
    <w:p>
      <w:pPr>
        <w:ind w:left="8700"/>
        <w:spacing w:after="0"/>
        <w:rPr>
          <w:sz w:val="20"/>
          <w:szCs w:val="20"/>
          <w:color w:val="auto"/>
        </w:rPr>
      </w:pPr>
      <w:r>
        <w:rPr>
          <w:rFonts w:ascii="Arial" w:cs="Arial" w:eastAsia="Arial" w:hAnsi="Arial"/>
          <w:sz w:val="18"/>
          <w:szCs w:val="18"/>
          <w:b w:val="1"/>
          <w:bCs w:val="1"/>
          <w:color w:val="134A9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ind w:left="340" w:hanging="332"/>
        <w:spacing w:after="0" w:line="262" w:lineRule="auto"/>
        <w:tabs>
          <w:tab w:leader="none" w:pos="340" w:val="left"/>
        </w:tabs>
        <w:numPr>
          <w:ilvl w:val="0"/>
          <w:numId w:val="30"/>
        </w:numPr>
        <w:rPr>
          <w:rFonts w:ascii="Arial" w:cs="Arial" w:eastAsia="Arial" w:hAnsi="Arial"/>
          <w:sz w:val="18"/>
          <w:szCs w:val="18"/>
          <w:color w:val="134A9C"/>
        </w:rPr>
      </w:pPr>
      <w:r>
        <w:rPr>
          <w:rFonts w:ascii="Arial" w:cs="Arial" w:eastAsia="Arial" w:hAnsi="Arial"/>
          <w:sz w:val="18"/>
          <w:szCs w:val="18"/>
          <w:color w:val="auto"/>
        </w:rPr>
        <w:t>Attract and retain highly qualified directors by offering a compensation program consistent with those at companies having similar size, scope, and complexity;</w:t>
      </w:r>
    </w:p>
    <w:p>
      <w:pPr>
        <w:spacing w:after="0" w:line="34" w:lineRule="exact"/>
        <w:rPr>
          <w:rFonts w:ascii="Arial" w:cs="Arial" w:eastAsia="Arial" w:hAnsi="Arial"/>
          <w:sz w:val="18"/>
          <w:szCs w:val="18"/>
          <w:color w:val="134A9C"/>
        </w:rPr>
      </w:pPr>
    </w:p>
    <w:p>
      <w:pPr>
        <w:ind w:left="340" w:hanging="332"/>
        <w:spacing w:after="0" w:line="262" w:lineRule="auto"/>
        <w:tabs>
          <w:tab w:leader="none" w:pos="340" w:val="left"/>
        </w:tabs>
        <w:numPr>
          <w:ilvl w:val="0"/>
          <w:numId w:val="30"/>
        </w:numPr>
        <w:rPr>
          <w:rFonts w:ascii="Arial" w:cs="Arial" w:eastAsia="Arial" w:hAnsi="Arial"/>
          <w:sz w:val="18"/>
          <w:szCs w:val="18"/>
          <w:color w:val="134A9C"/>
        </w:rPr>
      </w:pPr>
      <w:r>
        <w:rPr>
          <w:rFonts w:ascii="Arial" w:cs="Arial" w:eastAsia="Arial" w:hAnsi="Arial"/>
          <w:sz w:val="18"/>
          <w:szCs w:val="18"/>
          <w:color w:val="auto"/>
        </w:rPr>
        <w:t>Align the interests of directors with our stockholders by providing a significant portion of compensation in equity and requiring directors to own our Common Stock (or Common Stock equivalents); and</w:t>
      </w:r>
    </w:p>
    <w:p>
      <w:pPr>
        <w:spacing w:after="0" w:line="34" w:lineRule="exact"/>
        <w:rPr>
          <w:rFonts w:ascii="Arial" w:cs="Arial" w:eastAsia="Arial" w:hAnsi="Arial"/>
          <w:sz w:val="18"/>
          <w:szCs w:val="18"/>
          <w:color w:val="134A9C"/>
        </w:rPr>
      </w:pPr>
    </w:p>
    <w:p>
      <w:pPr>
        <w:ind w:left="340" w:hanging="332"/>
        <w:spacing w:after="0"/>
        <w:tabs>
          <w:tab w:leader="none" w:pos="340" w:val="left"/>
        </w:tabs>
        <w:numPr>
          <w:ilvl w:val="0"/>
          <w:numId w:val="30"/>
        </w:numPr>
        <w:rPr>
          <w:rFonts w:ascii="Arial" w:cs="Arial" w:eastAsia="Arial" w:hAnsi="Arial"/>
          <w:sz w:val="18"/>
          <w:szCs w:val="18"/>
          <w:color w:val="134A9C"/>
        </w:rPr>
      </w:pPr>
      <w:r>
        <w:rPr>
          <w:rFonts w:ascii="Arial" w:cs="Arial" w:eastAsia="Arial" w:hAnsi="Arial"/>
          <w:sz w:val="18"/>
          <w:szCs w:val="18"/>
          <w:color w:val="auto"/>
        </w:rPr>
        <w:t>Provide compensation that is simple and transparent to stockholders.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2014, each non-employee member of the Board received an annual retainer of $200,000 for service on the Board and, if applicable, one or both of the following annual retainers: (1) $10,000 for service as Chair of any Board Committee; and (2) $ 20,000 for service on the Audit Committee. The fee paid for service as Lead Director was $30,000 per year and the fee paid for service as non-executive Chairman of the Board was $250,000 per year.</w:t>
      </w:r>
    </w:p>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Under the General Motors Company Deferred Compensation Plan for Non-Employee Directors (the “Director Compensation Plan”), which became effective January 1, 2011, non-employee directors are required to defer 50 percent of their annual Board retainer (i.e., $100,000) into share units of our Common Stock (“Deferred Share Units”) and may elect to defer all or half of the remainder in additional Deferred Share Units. Any portion of the retainer that is deferred into Deferred Share Units may also earn dividend equivalents, which are credited at the end of each calendar year to each director’s account in the form of additional Deferred Share Units. Deferred Share Units under this plan may not be voted and will not be available for disposition until after the director retires or otherwise leaves the Board. After leaving the Board, the director will receive a cash payment or payments under this plan based on the number of Deferred Share Units in the director’s account, valued at the average daily closing market price for the quarter immediately preceding payment. Directors will be paid in a lump sum or in annual installments for up to five years based on their deferral elections.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Governance Committee reviews director compensation data for the same companies that comprise the peer group we use for benchmarking executive compensation described on page 44. In December 2014, the Governance Committee determined that the Company’s director compensation program (originally established in July 2009) was below the median or market for director compensation overall and recommended that certain increases be made in order to align director compensation with market practices. Following the recommendation of the Governance Committee, the Board approved the following changes to non-employee director compensation, effective January 1, 2015:</w:t>
      </w:r>
    </w:p>
    <w:p>
      <w:pPr>
        <w:spacing w:after="0" w:line="111" w:lineRule="exact"/>
        <w:rPr>
          <w:sz w:val="20"/>
          <w:szCs w:val="20"/>
          <w:color w:val="auto"/>
        </w:rPr>
      </w:pPr>
    </w:p>
    <w:p>
      <w:pPr>
        <w:jc w:val="both"/>
        <w:ind w:left="340" w:hanging="332"/>
        <w:spacing w:after="0" w:line="254" w:lineRule="auto"/>
        <w:tabs>
          <w:tab w:leader="none" w:pos="340" w:val="left"/>
        </w:tabs>
        <w:numPr>
          <w:ilvl w:val="0"/>
          <w:numId w:val="31"/>
        </w:numPr>
        <w:rPr>
          <w:rFonts w:ascii="Arial" w:cs="Arial" w:eastAsia="Arial" w:hAnsi="Arial"/>
          <w:sz w:val="18"/>
          <w:szCs w:val="18"/>
          <w:color w:val="134A9C"/>
        </w:rPr>
      </w:pPr>
      <w:r>
        <w:rPr>
          <w:rFonts w:ascii="Arial" w:cs="Arial" w:eastAsia="Arial" w:hAnsi="Arial"/>
          <w:sz w:val="18"/>
          <w:szCs w:val="18"/>
          <w:color w:val="auto"/>
        </w:rPr>
        <w:t>An increase in the annual retainer for Board service from $200,000 to $250,000 with 50 percent (or $125,000) mandatorily deferred into Deferred Share Units. Under amendments to the Director Compensation Plan which became effective January 1, 2015, directors may elect to defer all or half of their remaining Board retainer (as previously provided under the plan) and any additional compensation (e.g., for serving as a Committee Chair or Chairman of the Board) into additional Deferred Share Units;</w:t>
      </w:r>
    </w:p>
    <w:p>
      <w:pPr>
        <w:spacing w:after="0" w:line="42" w:lineRule="exact"/>
        <w:rPr>
          <w:rFonts w:ascii="Arial" w:cs="Arial" w:eastAsia="Arial" w:hAnsi="Arial"/>
          <w:sz w:val="18"/>
          <w:szCs w:val="18"/>
          <w:color w:val="134A9C"/>
        </w:rPr>
      </w:pPr>
    </w:p>
    <w:p>
      <w:pPr>
        <w:ind w:left="340" w:hanging="332"/>
        <w:spacing w:after="0"/>
        <w:tabs>
          <w:tab w:leader="none" w:pos="340" w:val="left"/>
        </w:tabs>
        <w:numPr>
          <w:ilvl w:val="0"/>
          <w:numId w:val="31"/>
        </w:numPr>
        <w:rPr>
          <w:rFonts w:ascii="Arial" w:cs="Arial" w:eastAsia="Arial" w:hAnsi="Arial"/>
          <w:sz w:val="18"/>
          <w:szCs w:val="18"/>
          <w:color w:val="134A9C"/>
        </w:rPr>
      </w:pPr>
      <w:r>
        <w:rPr>
          <w:rFonts w:ascii="Arial" w:cs="Arial" w:eastAsia="Arial" w:hAnsi="Arial"/>
          <w:sz w:val="18"/>
          <w:szCs w:val="18"/>
          <w:color w:val="auto"/>
        </w:rPr>
        <w:t>An increase in the additional retainer for the non-executive Chairman of the Board from $250,000 to $300,000;</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31"/>
        </w:numPr>
        <w:rPr>
          <w:rFonts w:ascii="Arial" w:cs="Arial" w:eastAsia="Arial" w:hAnsi="Arial"/>
          <w:sz w:val="18"/>
          <w:szCs w:val="18"/>
          <w:color w:val="134A9C"/>
        </w:rPr>
      </w:pPr>
      <w:r>
        <w:rPr>
          <w:rFonts w:ascii="Arial" w:cs="Arial" w:eastAsia="Arial" w:hAnsi="Arial"/>
          <w:sz w:val="18"/>
          <w:szCs w:val="18"/>
          <w:color w:val="auto"/>
        </w:rPr>
        <w:t>An increase in the annual retainer for the Chair of the Compensation Committee from $10,000 to $20,000;</w:t>
      </w:r>
    </w:p>
    <w:p>
      <w:pPr>
        <w:spacing w:after="0" w:line="63" w:lineRule="exact"/>
        <w:rPr>
          <w:rFonts w:ascii="Arial" w:cs="Arial" w:eastAsia="Arial" w:hAnsi="Arial"/>
          <w:sz w:val="18"/>
          <w:szCs w:val="18"/>
          <w:color w:val="134A9C"/>
        </w:rPr>
      </w:pPr>
    </w:p>
    <w:p>
      <w:pPr>
        <w:ind w:left="340" w:hanging="332"/>
        <w:spacing w:after="0" w:line="262" w:lineRule="auto"/>
        <w:tabs>
          <w:tab w:leader="none" w:pos="340" w:val="left"/>
        </w:tabs>
        <w:numPr>
          <w:ilvl w:val="0"/>
          <w:numId w:val="31"/>
        </w:numPr>
        <w:rPr>
          <w:rFonts w:ascii="Arial" w:cs="Arial" w:eastAsia="Arial" w:hAnsi="Arial"/>
          <w:sz w:val="18"/>
          <w:szCs w:val="18"/>
          <w:color w:val="134A9C"/>
        </w:rPr>
      </w:pPr>
      <w:r>
        <w:rPr>
          <w:rFonts w:ascii="Arial" w:cs="Arial" w:eastAsia="Arial" w:hAnsi="Arial"/>
          <w:sz w:val="18"/>
          <w:szCs w:val="18"/>
          <w:color w:val="auto"/>
        </w:rPr>
        <w:t>An increase in the annual retainer for the Chairs of the Governance Committee, the Finance Committee, the Public Policy Committee, and the Risk Committee from $10,000 to $15,000;</w:t>
      </w:r>
    </w:p>
    <w:p>
      <w:pPr>
        <w:spacing w:after="0" w:line="34" w:lineRule="exact"/>
        <w:rPr>
          <w:rFonts w:ascii="Arial" w:cs="Arial" w:eastAsia="Arial" w:hAnsi="Arial"/>
          <w:sz w:val="18"/>
          <w:szCs w:val="18"/>
          <w:color w:val="134A9C"/>
        </w:rPr>
      </w:pPr>
    </w:p>
    <w:p>
      <w:pPr>
        <w:ind w:left="340" w:hanging="332"/>
        <w:spacing w:after="0"/>
        <w:tabs>
          <w:tab w:leader="none" w:pos="340" w:val="left"/>
        </w:tabs>
        <w:numPr>
          <w:ilvl w:val="0"/>
          <w:numId w:val="31"/>
        </w:numPr>
        <w:rPr>
          <w:rFonts w:ascii="Arial" w:cs="Arial" w:eastAsia="Arial" w:hAnsi="Arial"/>
          <w:sz w:val="18"/>
          <w:szCs w:val="18"/>
          <w:color w:val="134A9C"/>
        </w:rPr>
      </w:pPr>
      <w:r>
        <w:rPr>
          <w:rFonts w:ascii="Arial" w:cs="Arial" w:eastAsia="Arial" w:hAnsi="Arial"/>
          <w:sz w:val="18"/>
          <w:szCs w:val="18"/>
          <w:color w:val="auto"/>
        </w:rPr>
        <w:t>The overall annual retainer for the Chair of the Audit Committee was maintained at $30,000; and</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31"/>
        </w:numPr>
        <w:rPr>
          <w:rFonts w:ascii="Arial" w:cs="Arial" w:eastAsia="Arial" w:hAnsi="Arial"/>
          <w:sz w:val="18"/>
          <w:szCs w:val="18"/>
          <w:color w:val="134A9C"/>
        </w:rPr>
      </w:pPr>
      <w:r>
        <w:rPr>
          <w:rFonts w:ascii="Arial" w:cs="Arial" w:eastAsia="Arial" w:hAnsi="Arial"/>
          <w:sz w:val="18"/>
          <w:szCs w:val="18"/>
          <w:color w:val="auto"/>
        </w:rPr>
        <w:t>The annual retainer for other members of the Audit Committee was eliminated.</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establishing the retainer for the non-executive Chairman, the Governance Committee considered the scope of Mr. Solso’s responsibilities, his time commitment and the compensation paid at similar companies with chairmen having similar roles. Mr. Solso’s pay reflects the estimated additional time commitment for this role compared to other non-employee directors, which includes among other items, attending all Board Committee meetings, managing meetings of the Board, leading the work to set the agenda for Board meetings, leading the Board’s annual CEO performance review, and representing the Board at the annual stockholders meeting.</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Only non-employee directors receive fees for serving on the Board. Since Ms. Barra is an employee of the Company, she is not compensated as a director. Since Mr. Girsky was an employee of the Company through June 30, 2014, he was not compensated as a director during the first half of 2014. Effective July 1, 2014, Mr. Girsky began receiving fees for service on the Board as a non-employee director and became eligible to participate under the Director Compensation Plan. Unless previously employed by the Company, non-employee</w:t>
      </w:r>
    </w:p>
    <w:p>
      <w:pPr>
        <w:spacing w:after="0" w:line="394"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28</w:t>
      </w:r>
      <w:r>
        <w:rPr>
          <w:sz w:val="20"/>
          <w:szCs w:val="20"/>
          <w:color w:val="auto"/>
        </w:rPr>
        <w:tab/>
      </w:r>
      <w:r>
        <w:rPr>
          <w:sz w:val="1"/>
          <w:szCs w:val="1"/>
          <w:color w:val="auto"/>
        </w:rPr>
        <w:drawing>
          <wp:inline distT="0" distB="0" distL="0" distR="0">
            <wp:extent cx="120015" cy="12001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32" w:name="page33"/>
    <w:bookmarkEnd w:id="32"/>
    <w:p>
      <w:pPr>
        <w:ind w:left="8700"/>
        <w:spacing w:after="0"/>
        <w:rPr>
          <w:sz w:val="20"/>
          <w:szCs w:val="20"/>
          <w:color w:val="auto"/>
        </w:rPr>
      </w:pPr>
      <w:r>
        <w:rPr>
          <w:rFonts w:ascii="Arial" w:cs="Arial" w:eastAsia="Arial" w:hAnsi="Arial"/>
          <w:sz w:val="18"/>
          <w:szCs w:val="18"/>
          <w:b w:val="1"/>
          <w:bCs w:val="1"/>
          <w:color w:val="134A9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directors are not eligible to participate in any of the savings or retirement programs for our employees. Other than as described in this section, there are no separate benefit plans for directors.</w:t>
      </w:r>
    </w:p>
    <w:p>
      <w:pPr>
        <w:spacing w:after="0" w:line="102"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Non-employee directors are reimbursed for reasonable travel expenses incurred in connection with their duties as directors. Travel to and from Board meetings and other Company events may include the use of private or charter aircraft. From time to time, spouses may also join non-employee directors on the aircraft when traveling to or from a Board meeting or any other meeting of the Company when approved by the CEO or Executive Vice President and General Counsel (the “General Counsel”). This travel may result in the non-employee director recognizing income for tax purposes. The Company does not reimburse the non-employee director for the taxes incurred in connection with such income. In addition, we pay for the cost of personal accident insurance which provides coverage in the event of accidental death or dismemberment. Directors are responsible for associated taxes on the imputed income from the coverage.</w:t>
      </w:r>
    </w:p>
    <w:p>
      <w:pPr>
        <w:spacing w:after="0" w:line="11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To enhance the public image of our vehicles, we provide directors with the use of Company vehicles on a six-month rotating basis. Directors are expected to submit product evaluations to us. Directors are charged with imputed income based on the lease value of the vehicles provided and are responsible for associated taxes. After leaving the Board, retired directors receive the use of a Company vehicle on an annual basis, on the same terms as active directors.</w:t>
      </w:r>
    </w:p>
    <w:p>
      <w:pPr>
        <w:spacing w:after="0" w:line="11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fees for a director who joins or leaves the Board or assumes additional responsibilities during the year are prorated for his or her period of service. The fees listed in the tables below reflect any pro-rata adjustments that occurred in the year ended December 31, 2014.</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2014 Non-Employee Director Compensation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Table 1 — Total Non-Employee Director Compensation</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4940" w:type="dxa"/>
            <w:vAlign w:val="bottom"/>
            <w:tcBorders>
              <w:left w:val="single" w:sz="8" w:color="134A9C"/>
              <w:right w:val="single" w:sz="8" w:color="134A9C"/>
            </w:tcBorders>
            <w:shd w:val="clear" w:color="auto" w:fill="134A9C"/>
          </w:tcPr>
          <w:p>
            <w:pPr>
              <w:spacing w:after="0"/>
              <w:rPr>
                <w:sz w:val="18"/>
                <w:szCs w:val="18"/>
                <w:color w:val="auto"/>
              </w:rPr>
            </w:pPr>
          </w:p>
        </w:tc>
        <w:tc>
          <w:tcPr>
            <w:tcW w:w="218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Fees Earned or</w:t>
            </w:r>
          </w:p>
        </w:tc>
        <w:tc>
          <w:tcPr>
            <w:tcW w:w="2160" w:type="dxa"/>
            <w:vAlign w:val="bottom"/>
            <w:tcBorders>
              <w:right w:val="single" w:sz="8" w:color="134A9C"/>
            </w:tcBorders>
            <w:vMerge w:val="restart"/>
            <w:shd w:val="clear" w:color="auto" w:fill="134A9C"/>
          </w:tcPr>
          <w:p>
            <w:pPr>
              <w:jc w:val="center"/>
              <w:spacing w:after="0"/>
              <w:rPr>
                <w:sz w:val="20"/>
                <w:szCs w:val="20"/>
                <w:color w:val="auto"/>
              </w:rPr>
            </w:pPr>
            <w:r>
              <w:rPr>
                <w:rFonts w:ascii="Arial" w:cs="Arial" w:eastAsia="Arial" w:hAnsi="Arial"/>
                <w:sz w:val="14"/>
                <w:szCs w:val="14"/>
                <w:b w:val="1"/>
                <w:bCs w:val="1"/>
                <w:color w:val="FFFFFF"/>
              </w:rPr>
              <w:t>All Other</w:t>
            </w:r>
          </w:p>
        </w:tc>
        <w:tc>
          <w:tcPr>
            <w:tcW w:w="2160" w:type="dxa"/>
            <w:vAlign w:val="bottom"/>
            <w:tcBorders>
              <w:right w:val="single" w:sz="8" w:color="134A9C"/>
            </w:tcBorders>
            <w:shd w:val="clear" w:color="auto" w:fill="134A9C"/>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40" w:type="dxa"/>
            <w:vAlign w:val="bottom"/>
            <w:tcBorders>
              <w:left w:val="single" w:sz="8" w:color="134A9C"/>
              <w:right w:val="single" w:sz="8" w:color="134A9C"/>
            </w:tcBorders>
            <w:shd w:val="clear" w:color="auto" w:fill="134A9C"/>
          </w:tcPr>
          <w:p>
            <w:pPr>
              <w:spacing w:after="0"/>
              <w:rPr>
                <w:sz w:val="2"/>
                <w:szCs w:val="2"/>
                <w:color w:val="auto"/>
              </w:rPr>
            </w:pPr>
          </w:p>
        </w:tc>
        <w:tc>
          <w:tcPr>
            <w:tcW w:w="2180" w:type="dxa"/>
            <w:vAlign w:val="bottom"/>
            <w:tcBorders>
              <w:right w:val="single" w:sz="8" w:color="134A9C"/>
            </w:tcBorders>
            <w:shd w:val="clear" w:color="auto" w:fill="134A9C"/>
          </w:tcPr>
          <w:p>
            <w:pPr>
              <w:spacing w:after="0"/>
              <w:rPr>
                <w:sz w:val="2"/>
                <w:szCs w:val="2"/>
                <w:color w:val="auto"/>
              </w:rPr>
            </w:pPr>
          </w:p>
        </w:tc>
        <w:tc>
          <w:tcPr>
            <w:tcW w:w="2160" w:type="dxa"/>
            <w:vAlign w:val="bottom"/>
            <w:tcBorders>
              <w:right w:val="single" w:sz="8" w:color="134A9C"/>
            </w:tcBorders>
            <w:vMerge w:val="continue"/>
            <w:shd w:val="clear" w:color="auto" w:fill="134A9C"/>
          </w:tcPr>
          <w:p>
            <w:pPr>
              <w:spacing w:after="0"/>
              <w:rPr>
                <w:sz w:val="2"/>
                <w:szCs w:val="2"/>
                <w:color w:val="auto"/>
              </w:rPr>
            </w:pPr>
          </w:p>
        </w:tc>
        <w:tc>
          <w:tcPr>
            <w:tcW w:w="2160" w:type="dxa"/>
            <w:vAlign w:val="bottom"/>
            <w:tcBorders>
              <w:right w:val="single" w:sz="8" w:color="134A9C"/>
            </w:tcBorders>
            <w:shd w:val="clear" w:color="auto" w:fill="134A9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940" w:type="dxa"/>
            <w:vAlign w:val="bottom"/>
            <w:tcBorders>
              <w:left w:val="single" w:sz="8" w:color="134A9C"/>
              <w:right w:val="single" w:sz="8" w:color="134A9C"/>
            </w:tcBorders>
            <w:shd w:val="clear" w:color="auto" w:fill="134A9C"/>
          </w:tcPr>
          <w:p>
            <w:pPr>
              <w:spacing w:after="0"/>
              <w:rPr>
                <w:sz w:val="14"/>
                <w:szCs w:val="14"/>
                <w:color w:val="auto"/>
              </w:rPr>
            </w:pPr>
          </w:p>
        </w:tc>
        <w:tc>
          <w:tcPr>
            <w:tcW w:w="2180" w:type="dxa"/>
            <w:vAlign w:val="bottom"/>
            <w:tcBorders>
              <w:right w:val="single" w:sz="8" w:color="134A9C"/>
            </w:tcBorders>
            <w:shd w:val="clear" w:color="auto" w:fill="134A9C"/>
          </w:tcPr>
          <w:p>
            <w:pPr>
              <w:jc w:val="center"/>
              <w:spacing w:after="0" w:line="162" w:lineRule="exact"/>
              <w:rPr>
                <w:sz w:val="20"/>
                <w:szCs w:val="20"/>
                <w:color w:val="auto"/>
              </w:rPr>
            </w:pPr>
            <w:r>
              <w:rPr>
                <w:rFonts w:ascii="Arial" w:cs="Arial" w:eastAsia="Arial" w:hAnsi="Arial"/>
                <w:sz w:val="14"/>
                <w:szCs w:val="14"/>
                <w:b w:val="1"/>
                <w:bCs w:val="1"/>
                <w:color w:val="FFFFFF"/>
              </w:rPr>
              <w:t>Paid in Cash</w:t>
            </w:r>
            <w:r>
              <w:rPr>
                <w:rFonts w:ascii="Arial" w:cs="Arial" w:eastAsia="Arial" w:hAnsi="Arial"/>
                <w:sz w:val="17"/>
                <w:szCs w:val="17"/>
                <w:b w:val="1"/>
                <w:bCs w:val="1"/>
                <w:color w:val="FFFFFF"/>
                <w:vertAlign w:val="superscript"/>
              </w:rPr>
              <w:t>(1)</w:t>
            </w:r>
          </w:p>
        </w:tc>
        <w:tc>
          <w:tcPr>
            <w:tcW w:w="2160" w:type="dxa"/>
            <w:vAlign w:val="bottom"/>
            <w:tcBorders>
              <w:right w:val="single" w:sz="8" w:color="134A9C"/>
            </w:tcBorders>
            <w:shd w:val="clear" w:color="auto" w:fill="134A9C"/>
          </w:tcPr>
          <w:p>
            <w:pPr>
              <w:jc w:val="center"/>
              <w:spacing w:after="0" w:line="162"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17"/>
                <w:szCs w:val="17"/>
                <w:b w:val="1"/>
                <w:bCs w:val="1"/>
                <w:color w:val="FFFFFF"/>
                <w:vertAlign w:val="superscript"/>
              </w:rPr>
              <w:t>(2)</w:t>
            </w:r>
          </w:p>
        </w:tc>
        <w:tc>
          <w:tcPr>
            <w:tcW w:w="2160" w:type="dxa"/>
            <w:vAlign w:val="bottom"/>
            <w:tcBorders>
              <w:right w:val="single" w:sz="8" w:color="134A9C"/>
            </w:tcBorders>
            <w:shd w:val="clear" w:color="auto" w:fill="134A9C"/>
          </w:tcPr>
          <w:p>
            <w:pPr>
              <w:jc w:val="right"/>
              <w:ind w:right="86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96"/>
        </w:trPr>
        <w:tc>
          <w:tcPr>
            <w:tcW w:w="4940" w:type="dxa"/>
            <w:vAlign w:val="bottom"/>
            <w:tcBorders>
              <w:left w:val="single" w:sz="8" w:color="134A9C"/>
              <w:bottom w:val="single" w:sz="8" w:color="134A9C"/>
              <w:right w:val="single" w:sz="8" w:color="134A9C"/>
            </w:tcBorders>
            <w:shd w:val="clear" w:color="auto" w:fill="134A9C"/>
          </w:tcPr>
          <w:p>
            <w:pPr>
              <w:ind w:left="40"/>
              <w:spacing w:after="0"/>
              <w:rPr>
                <w:sz w:val="20"/>
                <w:szCs w:val="20"/>
                <w:color w:val="auto"/>
              </w:rPr>
            </w:pPr>
            <w:r>
              <w:rPr>
                <w:rFonts w:ascii="Arial" w:cs="Arial" w:eastAsia="Arial" w:hAnsi="Arial"/>
                <w:sz w:val="14"/>
                <w:szCs w:val="14"/>
                <w:b w:val="1"/>
                <w:bCs w:val="1"/>
                <w:color w:val="FFFFFF"/>
              </w:rPr>
              <w:t>Director</w:t>
            </w:r>
          </w:p>
        </w:tc>
        <w:tc>
          <w:tcPr>
            <w:tcW w:w="218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w:t>
            </w:r>
          </w:p>
        </w:tc>
        <w:tc>
          <w:tcPr>
            <w:tcW w:w="216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w w:val="93"/>
              </w:rPr>
              <w:t>($)</w:t>
            </w:r>
          </w:p>
        </w:tc>
        <w:tc>
          <w:tcPr>
            <w:tcW w:w="2160" w:type="dxa"/>
            <w:vAlign w:val="bottom"/>
            <w:tcBorders>
              <w:bottom w:val="single" w:sz="8" w:color="134A9C"/>
              <w:right w:val="single" w:sz="8" w:color="134A9C"/>
            </w:tcBorders>
            <w:shd w:val="clear" w:color="auto" w:fill="134A9C"/>
          </w:tcPr>
          <w:p>
            <w:pPr>
              <w:jc w:val="right"/>
              <w:ind w:right="9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70"/>
        </w:trPr>
        <w:tc>
          <w:tcPr>
            <w:tcW w:w="49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Joseph J. Ashton</w:t>
            </w:r>
            <w:r>
              <w:rPr>
                <w:rFonts w:ascii="Arial" w:cs="Arial" w:eastAsia="Arial" w:hAnsi="Arial"/>
                <w:sz w:val="17"/>
                <w:szCs w:val="17"/>
                <w:color w:val="auto"/>
                <w:vertAlign w:val="superscript"/>
              </w:rPr>
              <w:t>(3)</w:t>
            </w:r>
          </w:p>
        </w:tc>
        <w:tc>
          <w:tcPr>
            <w:tcW w:w="21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83,333</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3,678</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87,011</w:t>
            </w:r>
          </w:p>
        </w:tc>
        <w:tc>
          <w:tcPr>
            <w:tcW w:w="0" w:type="dxa"/>
            <w:vAlign w:val="bottom"/>
          </w:tcPr>
          <w:p>
            <w:pPr>
              <w:spacing w:after="0"/>
              <w:rPr>
                <w:sz w:val="1"/>
                <w:szCs w:val="1"/>
                <w:color w:val="auto"/>
              </w:rPr>
            </w:pPr>
          </w:p>
        </w:tc>
      </w:tr>
      <w:tr>
        <w:trPr>
          <w:trHeight w:val="210"/>
        </w:trPr>
        <w:tc>
          <w:tcPr>
            <w:tcW w:w="49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David Bonderman</w:t>
            </w:r>
            <w:r>
              <w:rPr>
                <w:rFonts w:ascii="Arial" w:cs="Arial" w:eastAsia="Arial" w:hAnsi="Arial"/>
                <w:sz w:val="17"/>
                <w:szCs w:val="17"/>
                <w:color w:val="auto"/>
                <w:vertAlign w:val="superscript"/>
              </w:rPr>
              <w:t>(4)</w:t>
            </w:r>
          </w:p>
        </w:tc>
        <w:tc>
          <w:tcPr>
            <w:tcW w:w="21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100,000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30,276</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130,276</w:t>
            </w:r>
          </w:p>
        </w:tc>
        <w:tc>
          <w:tcPr>
            <w:tcW w:w="0" w:type="dxa"/>
            <w:vAlign w:val="bottom"/>
          </w:tcPr>
          <w:p>
            <w:pPr>
              <w:spacing w:after="0"/>
              <w:rPr>
                <w:sz w:val="1"/>
                <w:szCs w:val="1"/>
                <w:color w:val="auto"/>
              </w:rPr>
            </w:pPr>
          </w:p>
        </w:tc>
      </w:tr>
      <w:tr>
        <w:trPr>
          <w:trHeight w:val="204"/>
        </w:trPr>
        <w:tc>
          <w:tcPr>
            <w:tcW w:w="49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Erroll B. Davis, Jr.</w:t>
            </w:r>
          </w:p>
        </w:tc>
        <w:tc>
          <w:tcPr>
            <w:tcW w:w="21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230,000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24,688</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254,688</w:t>
            </w:r>
          </w:p>
        </w:tc>
        <w:tc>
          <w:tcPr>
            <w:tcW w:w="0" w:type="dxa"/>
            <w:vAlign w:val="bottom"/>
          </w:tcPr>
          <w:p>
            <w:pPr>
              <w:spacing w:after="0"/>
              <w:rPr>
                <w:sz w:val="1"/>
                <w:szCs w:val="1"/>
                <w:color w:val="auto"/>
              </w:rPr>
            </w:pPr>
          </w:p>
        </w:tc>
      </w:tr>
      <w:tr>
        <w:trPr>
          <w:trHeight w:val="216"/>
        </w:trPr>
        <w:tc>
          <w:tcPr>
            <w:tcW w:w="49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Stephen J. Girsky</w:t>
            </w:r>
            <w:r>
              <w:rPr>
                <w:rFonts w:ascii="Arial" w:cs="Arial" w:eastAsia="Arial" w:hAnsi="Arial"/>
                <w:sz w:val="17"/>
                <w:szCs w:val="17"/>
                <w:color w:val="auto"/>
                <w:vertAlign w:val="superscript"/>
              </w:rPr>
              <w:t>(5)</w:t>
            </w:r>
          </w:p>
        </w:tc>
        <w:tc>
          <w:tcPr>
            <w:tcW w:w="21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100,000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815,775</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915,775</w:t>
            </w:r>
          </w:p>
        </w:tc>
        <w:tc>
          <w:tcPr>
            <w:tcW w:w="0" w:type="dxa"/>
            <w:vAlign w:val="bottom"/>
          </w:tcPr>
          <w:p>
            <w:pPr>
              <w:spacing w:after="0"/>
              <w:rPr>
                <w:sz w:val="1"/>
                <w:szCs w:val="1"/>
                <w:color w:val="auto"/>
              </w:rPr>
            </w:pPr>
          </w:p>
        </w:tc>
      </w:tr>
      <w:tr>
        <w:trPr>
          <w:trHeight w:val="204"/>
        </w:trPr>
        <w:tc>
          <w:tcPr>
            <w:tcW w:w="49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E. Neville Isdell</w:t>
            </w:r>
          </w:p>
        </w:tc>
        <w:tc>
          <w:tcPr>
            <w:tcW w:w="21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220,000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21,669</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241,669</w:t>
            </w:r>
          </w:p>
        </w:tc>
        <w:tc>
          <w:tcPr>
            <w:tcW w:w="0" w:type="dxa"/>
            <w:vAlign w:val="bottom"/>
          </w:tcPr>
          <w:p>
            <w:pPr>
              <w:spacing w:after="0"/>
              <w:rPr>
                <w:sz w:val="1"/>
                <w:szCs w:val="1"/>
                <w:color w:val="auto"/>
              </w:rPr>
            </w:pPr>
          </w:p>
        </w:tc>
      </w:tr>
      <w:tr>
        <w:trPr>
          <w:trHeight w:val="216"/>
        </w:trPr>
        <w:tc>
          <w:tcPr>
            <w:tcW w:w="49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Robert D. Krebs</w:t>
            </w:r>
            <w:r>
              <w:rPr>
                <w:rFonts w:ascii="Arial" w:cs="Arial" w:eastAsia="Arial" w:hAnsi="Arial"/>
                <w:sz w:val="17"/>
                <w:szCs w:val="17"/>
                <w:color w:val="auto"/>
                <w:vertAlign w:val="superscript"/>
              </w:rPr>
              <w:t>(6)</w:t>
            </w:r>
          </w:p>
        </w:tc>
        <w:tc>
          <w:tcPr>
            <w:tcW w:w="21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115,000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20,830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135,830</w:t>
            </w:r>
          </w:p>
        </w:tc>
        <w:tc>
          <w:tcPr>
            <w:tcW w:w="0" w:type="dxa"/>
            <w:vAlign w:val="bottom"/>
          </w:tcPr>
          <w:p>
            <w:pPr>
              <w:spacing w:after="0"/>
              <w:rPr>
                <w:sz w:val="1"/>
                <w:szCs w:val="1"/>
                <w:color w:val="auto"/>
              </w:rPr>
            </w:pPr>
          </w:p>
        </w:tc>
      </w:tr>
      <w:tr>
        <w:trPr>
          <w:trHeight w:val="204"/>
        </w:trPr>
        <w:tc>
          <w:tcPr>
            <w:tcW w:w="49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Kathryn V. Marinello</w:t>
            </w:r>
          </w:p>
        </w:tc>
        <w:tc>
          <w:tcPr>
            <w:tcW w:w="21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220,000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36,876</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256,876</w:t>
            </w:r>
          </w:p>
        </w:tc>
        <w:tc>
          <w:tcPr>
            <w:tcW w:w="0" w:type="dxa"/>
            <w:vAlign w:val="bottom"/>
          </w:tcPr>
          <w:p>
            <w:pPr>
              <w:spacing w:after="0"/>
              <w:rPr>
                <w:sz w:val="1"/>
                <w:szCs w:val="1"/>
                <w:color w:val="auto"/>
              </w:rPr>
            </w:pPr>
          </w:p>
        </w:tc>
      </w:tr>
      <w:tr>
        <w:trPr>
          <w:trHeight w:val="210"/>
        </w:trPr>
        <w:tc>
          <w:tcPr>
            <w:tcW w:w="49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Michael G. Mullen</w:t>
            </w:r>
          </w:p>
        </w:tc>
        <w:tc>
          <w:tcPr>
            <w:tcW w:w="21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225,000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11,768</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236,768</w:t>
            </w:r>
          </w:p>
        </w:tc>
        <w:tc>
          <w:tcPr>
            <w:tcW w:w="0" w:type="dxa"/>
            <w:vAlign w:val="bottom"/>
          </w:tcPr>
          <w:p>
            <w:pPr>
              <w:spacing w:after="0"/>
              <w:rPr>
                <w:sz w:val="1"/>
                <w:szCs w:val="1"/>
                <w:color w:val="auto"/>
              </w:rPr>
            </w:pPr>
          </w:p>
        </w:tc>
      </w:tr>
      <w:tr>
        <w:trPr>
          <w:trHeight w:val="210"/>
        </w:trPr>
        <w:tc>
          <w:tcPr>
            <w:tcW w:w="49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James J. Mulva</w:t>
            </w:r>
          </w:p>
        </w:tc>
        <w:tc>
          <w:tcPr>
            <w:tcW w:w="21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205,000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21,262</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226,262</w:t>
            </w:r>
          </w:p>
        </w:tc>
        <w:tc>
          <w:tcPr>
            <w:tcW w:w="0" w:type="dxa"/>
            <w:vAlign w:val="bottom"/>
          </w:tcPr>
          <w:p>
            <w:pPr>
              <w:spacing w:after="0"/>
              <w:rPr>
                <w:sz w:val="1"/>
                <w:szCs w:val="1"/>
                <w:color w:val="auto"/>
              </w:rPr>
            </w:pPr>
          </w:p>
        </w:tc>
      </w:tr>
      <w:tr>
        <w:trPr>
          <w:trHeight w:val="216"/>
        </w:trPr>
        <w:tc>
          <w:tcPr>
            <w:tcW w:w="49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Patricia F. Russo</w:t>
            </w:r>
            <w:r>
              <w:rPr>
                <w:rFonts w:ascii="Arial" w:cs="Arial" w:eastAsia="Arial" w:hAnsi="Arial"/>
                <w:sz w:val="17"/>
                <w:szCs w:val="17"/>
                <w:color w:val="auto"/>
                <w:vertAlign w:val="superscript"/>
              </w:rPr>
              <w:t>(7)</w:t>
            </w:r>
          </w:p>
        </w:tc>
        <w:tc>
          <w:tcPr>
            <w:tcW w:w="21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212,500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21,591</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234,091</w:t>
            </w:r>
          </w:p>
        </w:tc>
        <w:tc>
          <w:tcPr>
            <w:tcW w:w="0" w:type="dxa"/>
            <w:vAlign w:val="bottom"/>
          </w:tcPr>
          <w:p>
            <w:pPr>
              <w:spacing w:after="0"/>
              <w:rPr>
                <w:sz w:val="1"/>
                <w:szCs w:val="1"/>
                <w:color w:val="auto"/>
              </w:rPr>
            </w:pPr>
          </w:p>
        </w:tc>
      </w:tr>
      <w:tr>
        <w:trPr>
          <w:trHeight w:val="204"/>
        </w:trPr>
        <w:tc>
          <w:tcPr>
            <w:tcW w:w="49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Thomas M. Schoewe</w:t>
            </w:r>
          </w:p>
        </w:tc>
        <w:tc>
          <w:tcPr>
            <w:tcW w:w="21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230,000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18,249</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248,249</w:t>
            </w:r>
          </w:p>
        </w:tc>
        <w:tc>
          <w:tcPr>
            <w:tcW w:w="0" w:type="dxa"/>
            <w:vAlign w:val="bottom"/>
          </w:tcPr>
          <w:p>
            <w:pPr>
              <w:spacing w:after="0"/>
              <w:rPr>
                <w:sz w:val="1"/>
                <w:szCs w:val="1"/>
                <w:color w:val="auto"/>
              </w:rPr>
            </w:pPr>
          </w:p>
        </w:tc>
      </w:tr>
      <w:tr>
        <w:trPr>
          <w:trHeight w:val="216"/>
        </w:trPr>
        <w:tc>
          <w:tcPr>
            <w:tcW w:w="49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Theodore M. Solso</w:t>
            </w:r>
            <w:r>
              <w:rPr>
                <w:rFonts w:ascii="Arial" w:cs="Arial" w:eastAsia="Arial" w:hAnsi="Arial"/>
                <w:sz w:val="17"/>
                <w:szCs w:val="17"/>
                <w:color w:val="auto"/>
                <w:vertAlign w:val="superscript"/>
              </w:rPr>
              <w:t>(7)</w:t>
            </w:r>
          </w:p>
        </w:tc>
        <w:tc>
          <w:tcPr>
            <w:tcW w:w="21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460,000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27,556</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487,556</w:t>
            </w:r>
          </w:p>
        </w:tc>
        <w:tc>
          <w:tcPr>
            <w:tcW w:w="0" w:type="dxa"/>
            <w:vAlign w:val="bottom"/>
          </w:tcPr>
          <w:p>
            <w:pPr>
              <w:spacing w:after="0"/>
              <w:rPr>
                <w:sz w:val="1"/>
                <w:szCs w:val="1"/>
                <w:color w:val="auto"/>
              </w:rPr>
            </w:pPr>
          </w:p>
        </w:tc>
      </w:tr>
      <w:tr>
        <w:trPr>
          <w:trHeight w:val="204"/>
        </w:trPr>
        <w:tc>
          <w:tcPr>
            <w:tcW w:w="49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Carol M. Stephenson</w:t>
            </w:r>
          </w:p>
        </w:tc>
        <w:tc>
          <w:tcPr>
            <w:tcW w:w="21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200,000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36,876</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236,876</w:t>
            </w:r>
          </w:p>
        </w:tc>
        <w:tc>
          <w:tcPr>
            <w:tcW w:w="0" w:type="dxa"/>
            <w:vAlign w:val="bottom"/>
          </w:tcPr>
          <w:p>
            <w:pPr>
              <w:spacing w:after="0"/>
              <w:rPr>
                <w:sz w:val="1"/>
                <w:szCs w:val="1"/>
                <w:color w:val="auto"/>
              </w:rPr>
            </w:pPr>
          </w:p>
        </w:tc>
      </w:tr>
      <w:tr>
        <w:trPr>
          <w:trHeight w:val="216"/>
        </w:trPr>
        <w:tc>
          <w:tcPr>
            <w:tcW w:w="49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Cynthia A. Telles</w:t>
            </w:r>
            <w:r>
              <w:rPr>
                <w:rFonts w:ascii="Arial" w:cs="Arial" w:eastAsia="Arial" w:hAnsi="Arial"/>
                <w:sz w:val="17"/>
                <w:szCs w:val="17"/>
                <w:color w:val="auto"/>
                <w:vertAlign w:val="superscript"/>
              </w:rPr>
              <w:t>(4)</w:t>
            </w:r>
          </w:p>
        </w:tc>
        <w:tc>
          <w:tcPr>
            <w:tcW w:w="21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100,000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20,830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120,830</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340" w:right="2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annual retainer fees, Chair and Audit Committee fees, as well as Lead Director and non-executive Chairman of the Board fees. The totals in this column include amounts required or elected to be deferred under the Director Compensation Plan and converted into share units at the average daily closing price of our Common Stock for 2014 (and prorated as applicable for a director who has joined or retired from the Board during the calendar year) as disclosed in Table 2 below.</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See Table 3 below for additional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Ashton joined the Board on August 11, 2014.</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Bonderman and Dr. Telles departed from the Board on June 10, 2014.</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Girsky, a former executive officer and senior advisor of the Company, has been a member of the Board since July 2009. His status as a non-employee director became effective July 1, 2014.</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Krebs retired from the Board effective June 10, 2014.</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Effective January 15, 2014, Ms. Russo stepped down from the role of Lead Director and Mr. Solso assumed the role of non-executive Chairman of the Board.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29</w:t>
      </w:r>
      <w:r>
        <w:rPr>
          <w:sz w:val="20"/>
          <w:szCs w:val="20"/>
          <w:color w:val="auto"/>
        </w:rPr>
        <w:tab/>
      </w:r>
      <w:r>
        <w:rPr>
          <w:sz w:val="1"/>
          <w:szCs w:val="1"/>
          <w:color w:val="auto"/>
        </w:rPr>
        <w:drawing>
          <wp:inline distT="0" distB="0" distL="0" distR="0">
            <wp:extent cx="120015" cy="12001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246"/>
        </w:trPr>
        <w:tc>
          <w:tcPr>
            <w:tcW w:w="2760" w:type="dxa"/>
            <w:vAlign w:val="bottom"/>
            <w:tcBorders>
              <w:bottom w:val="single" w:sz="8" w:color="134A9C"/>
            </w:tcBorders>
          </w:tcPr>
          <w:p>
            <w:pPr>
              <w:spacing w:after="0"/>
              <w:rPr>
                <w:sz w:val="21"/>
                <w:szCs w:val="21"/>
                <w:color w:val="auto"/>
              </w:rPr>
            </w:pPr>
          </w:p>
        </w:tc>
        <w:tc>
          <w:tcPr>
            <w:tcW w:w="2200" w:type="dxa"/>
            <w:vAlign w:val="bottom"/>
            <w:tcBorders>
              <w:bottom w:val="single" w:sz="8" w:color="134A9C"/>
            </w:tcBorders>
          </w:tcPr>
          <w:p>
            <w:pPr>
              <w:spacing w:after="0"/>
              <w:rPr>
                <w:sz w:val="21"/>
                <w:szCs w:val="21"/>
                <w:color w:val="auto"/>
              </w:rPr>
            </w:pPr>
          </w:p>
        </w:tc>
        <w:tc>
          <w:tcPr>
            <w:tcW w:w="2160" w:type="dxa"/>
            <w:vAlign w:val="bottom"/>
            <w:tcBorders>
              <w:bottom w:val="single" w:sz="8" w:color="134A9C"/>
            </w:tcBorders>
          </w:tcPr>
          <w:p>
            <w:pPr>
              <w:spacing w:after="0"/>
              <w:rPr>
                <w:sz w:val="21"/>
                <w:szCs w:val="21"/>
                <w:color w:val="auto"/>
              </w:rPr>
            </w:pPr>
          </w:p>
        </w:tc>
        <w:tc>
          <w:tcPr>
            <w:tcW w:w="4320" w:type="dxa"/>
            <w:vAlign w:val="bottom"/>
            <w:tcBorders>
              <w:bottom w:val="single" w:sz="8" w:color="134A9C"/>
            </w:tcBorders>
            <w:gridSpan w:val="3"/>
          </w:tcPr>
          <w:p>
            <w:pPr>
              <w:jc w:val="right"/>
              <w:ind w:right="728"/>
              <w:spacing w:after="0"/>
              <w:rPr>
                <w:sz w:val="20"/>
                <w:szCs w:val="20"/>
                <w:color w:val="auto"/>
              </w:rPr>
            </w:pPr>
            <w:r>
              <w:rPr>
                <w:rFonts w:ascii="Arial" w:cs="Arial" w:eastAsia="Arial" w:hAnsi="Arial"/>
                <w:sz w:val="18"/>
                <w:szCs w:val="18"/>
                <w:b w:val="1"/>
                <w:bCs w:val="1"/>
                <w:color w:val="134A9C"/>
              </w:rPr>
              <w:t>Corporate Governance</w:t>
            </w:r>
          </w:p>
        </w:tc>
        <w:tc>
          <w:tcPr>
            <w:tcW w:w="0" w:type="dxa"/>
            <w:vAlign w:val="bottom"/>
          </w:tcPr>
          <w:p>
            <w:pPr>
              <w:spacing w:after="0"/>
              <w:rPr>
                <w:sz w:val="1"/>
                <w:szCs w:val="1"/>
                <w:color w:val="auto"/>
              </w:rPr>
            </w:pPr>
          </w:p>
        </w:tc>
      </w:tr>
      <w:tr>
        <w:trPr>
          <w:trHeight w:val="510"/>
        </w:trPr>
        <w:tc>
          <w:tcPr>
            <w:tcW w:w="4960" w:type="dxa"/>
            <w:vAlign w:val="bottom"/>
            <w:gridSpan w:val="2"/>
          </w:tcPr>
          <w:p>
            <w:pPr>
              <w:spacing w:after="0"/>
              <w:rPr>
                <w:sz w:val="20"/>
                <w:szCs w:val="20"/>
                <w:color w:val="auto"/>
              </w:rPr>
            </w:pPr>
            <w:r>
              <w:rPr>
                <w:rFonts w:ascii="Arial" w:cs="Arial" w:eastAsia="Arial" w:hAnsi="Arial"/>
                <w:sz w:val="22"/>
                <w:szCs w:val="22"/>
                <w:b w:val="1"/>
                <w:bCs w:val="1"/>
                <w:color w:val="134A9C"/>
              </w:rPr>
              <w:t>Table 2 — Retainer Fees Deferred</w:t>
            </w:r>
          </w:p>
        </w:tc>
        <w:tc>
          <w:tcPr>
            <w:tcW w:w="2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7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160" w:type="dxa"/>
            <w:vAlign w:val="bottom"/>
            <w:gridSpan w:val="2"/>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760" w:type="dxa"/>
            <w:vAlign w:val="bottom"/>
            <w:tcBorders>
              <w:left w:val="single" w:sz="8" w:color="134A9C"/>
              <w:right w:val="single" w:sz="8" w:color="134A9C"/>
            </w:tcBorders>
            <w:shd w:val="clear" w:color="auto" w:fill="134A9C"/>
          </w:tcPr>
          <w:p>
            <w:pPr>
              <w:spacing w:after="0"/>
              <w:rPr>
                <w:sz w:val="16"/>
                <w:szCs w:val="16"/>
                <w:color w:val="auto"/>
              </w:rPr>
            </w:pPr>
          </w:p>
        </w:tc>
        <w:tc>
          <w:tcPr>
            <w:tcW w:w="2200" w:type="dxa"/>
            <w:vAlign w:val="bottom"/>
            <w:tcBorders>
              <w:right w:val="single" w:sz="8" w:color="134A9C"/>
            </w:tcBorders>
            <w:shd w:val="clear" w:color="auto" w:fill="134A9C"/>
          </w:tcPr>
          <w:p>
            <w:pPr>
              <w:spacing w:after="0"/>
              <w:rPr>
                <w:sz w:val="16"/>
                <w:szCs w:val="16"/>
                <w:color w:val="auto"/>
              </w:rPr>
            </w:pPr>
          </w:p>
        </w:tc>
        <w:tc>
          <w:tcPr>
            <w:tcW w:w="2160" w:type="dxa"/>
            <w:vAlign w:val="bottom"/>
            <w:tcBorders>
              <w:right w:val="single" w:sz="8" w:color="134A9C"/>
            </w:tcBorders>
            <w:shd w:val="clear" w:color="auto" w:fill="134A9C"/>
          </w:tcPr>
          <w:p>
            <w:pPr>
              <w:spacing w:after="0"/>
              <w:rPr>
                <w:sz w:val="16"/>
                <w:szCs w:val="16"/>
                <w:color w:val="auto"/>
              </w:rPr>
            </w:pPr>
          </w:p>
        </w:tc>
        <w:tc>
          <w:tcPr>
            <w:tcW w:w="4320" w:type="dxa"/>
            <w:vAlign w:val="bottom"/>
            <w:tcBorders>
              <w:right w:val="single" w:sz="8" w:color="134A9C"/>
            </w:tcBorders>
            <w:gridSpan w:val="3"/>
            <w:shd w:val="clear" w:color="auto" w:fill="134A9C"/>
          </w:tcPr>
          <w:p>
            <w:pPr>
              <w:jc w:val="center"/>
              <w:spacing w:after="0"/>
              <w:rPr>
                <w:sz w:val="20"/>
                <w:szCs w:val="20"/>
                <w:color w:val="auto"/>
              </w:rPr>
            </w:pPr>
            <w:r>
              <w:rPr>
                <w:rFonts w:ascii="Arial" w:cs="Arial" w:eastAsia="Arial" w:hAnsi="Arial"/>
                <w:sz w:val="14"/>
                <w:szCs w:val="14"/>
                <w:b w:val="1"/>
                <w:bCs w:val="1"/>
                <w:color w:val="FFFFFF"/>
              </w:rPr>
              <w:t>Retainer Fees Deferred in Share</w:t>
            </w:r>
          </w:p>
        </w:tc>
        <w:tc>
          <w:tcPr>
            <w:tcW w:w="0" w:type="dxa"/>
            <w:vAlign w:val="bottom"/>
          </w:tcPr>
          <w:p>
            <w:pPr>
              <w:spacing w:after="0"/>
              <w:rPr>
                <w:sz w:val="1"/>
                <w:szCs w:val="1"/>
                <w:color w:val="auto"/>
              </w:rPr>
            </w:pPr>
          </w:p>
        </w:tc>
      </w:tr>
      <w:tr>
        <w:trPr>
          <w:trHeight w:val="162"/>
        </w:trPr>
        <w:tc>
          <w:tcPr>
            <w:tcW w:w="2760" w:type="dxa"/>
            <w:vAlign w:val="bottom"/>
            <w:tcBorders>
              <w:left w:val="single" w:sz="8" w:color="134A9C"/>
              <w:right w:val="single" w:sz="8" w:color="134A9C"/>
            </w:tcBorders>
            <w:shd w:val="clear" w:color="auto" w:fill="134A9C"/>
          </w:tcPr>
          <w:p>
            <w:pPr>
              <w:spacing w:after="0"/>
              <w:rPr>
                <w:sz w:val="14"/>
                <w:szCs w:val="14"/>
                <w:color w:val="auto"/>
              </w:rPr>
            </w:pPr>
          </w:p>
        </w:tc>
        <w:tc>
          <w:tcPr>
            <w:tcW w:w="2200" w:type="dxa"/>
            <w:vAlign w:val="bottom"/>
            <w:tcBorders>
              <w:right w:val="single" w:sz="8" w:color="134A9C"/>
            </w:tcBorders>
            <w:shd w:val="clear" w:color="auto" w:fill="134A9C"/>
          </w:tcPr>
          <w:p>
            <w:pPr>
              <w:spacing w:after="0"/>
              <w:rPr>
                <w:sz w:val="14"/>
                <w:szCs w:val="14"/>
                <w:color w:val="auto"/>
              </w:rPr>
            </w:pPr>
          </w:p>
        </w:tc>
        <w:tc>
          <w:tcPr>
            <w:tcW w:w="2160" w:type="dxa"/>
            <w:vAlign w:val="bottom"/>
            <w:tcBorders>
              <w:right w:val="single" w:sz="8" w:color="134A9C"/>
            </w:tcBorders>
            <w:shd w:val="clear" w:color="auto" w:fill="134A9C"/>
          </w:tcPr>
          <w:p>
            <w:pPr>
              <w:spacing w:after="0"/>
              <w:rPr>
                <w:sz w:val="14"/>
                <w:szCs w:val="14"/>
                <w:color w:val="auto"/>
              </w:rPr>
            </w:pPr>
          </w:p>
        </w:tc>
        <w:tc>
          <w:tcPr>
            <w:tcW w:w="4320" w:type="dxa"/>
            <w:vAlign w:val="bottom"/>
            <w:tcBorders>
              <w:right w:val="single" w:sz="8" w:color="134A9C"/>
            </w:tcBorders>
            <w:gridSpan w:val="3"/>
            <w:shd w:val="clear" w:color="auto" w:fill="134A9C"/>
          </w:tcPr>
          <w:p>
            <w:pPr>
              <w:jc w:val="center"/>
              <w:spacing w:after="0"/>
              <w:rPr>
                <w:sz w:val="20"/>
                <w:szCs w:val="20"/>
                <w:color w:val="auto"/>
              </w:rPr>
            </w:pPr>
            <w:r>
              <w:rPr>
                <w:rFonts w:ascii="Arial" w:cs="Arial" w:eastAsia="Arial" w:hAnsi="Arial"/>
                <w:sz w:val="14"/>
                <w:szCs w:val="14"/>
                <w:b w:val="1"/>
                <w:bCs w:val="1"/>
                <w:color w:val="FFFFFF"/>
              </w:rPr>
              <w:t>Units of Common Stock under the</w:t>
            </w:r>
          </w:p>
        </w:tc>
        <w:tc>
          <w:tcPr>
            <w:tcW w:w="0" w:type="dxa"/>
            <w:vAlign w:val="bottom"/>
          </w:tcPr>
          <w:p>
            <w:pPr>
              <w:spacing w:after="0"/>
              <w:rPr>
                <w:sz w:val="1"/>
                <w:szCs w:val="1"/>
                <w:color w:val="auto"/>
              </w:rPr>
            </w:pPr>
          </w:p>
        </w:tc>
      </w:tr>
      <w:tr>
        <w:trPr>
          <w:trHeight w:val="162"/>
        </w:trPr>
        <w:tc>
          <w:tcPr>
            <w:tcW w:w="2760" w:type="dxa"/>
            <w:vAlign w:val="bottom"/>
            <w:tcBorders>
              <w:left w:val="single" w:sz="8" w:color="134A9C"/>
              <w:right w:val="single" w:sz="8" w:color="134A9C"/>
            </w:tcBorders>
            <w:shd w:val="clear" w:color="auto" w:fill="134A9C"/>
          </w:tcPr>
          <w:p>
            <w:pPr>
              <w:spacing w:after="0"/>
              <w:rPr>
                <w:sz w:val="14"/>
                <w:szCs w:val="14"/>
                <w:color w:val="auto"/>
              </w:rPr>
            </w:pPr>
          </w:p>
        </w:tc>
        <w:tc>
          <w:tcPr>
            <w:tcW w:w="2200" w:type="dxa"/>
            <w:vAlign w:val="bottom"/>
            <w:tcBorders>
              <w:right w:val="single" w:sz="8" w:color="134A9C"/>
            </w:tcBorders>
            <w:shd w:val="clear" w:color="auto" w:fill="134A9C"/>
          </w:tcPr>
          <w:p>
            <w:pPr>
              <w:spacing w:after="0"/>
              <w:rPr>
                <w:sz w:val="14"/>
                <w:szCs w:val="14"/>
                <w:color w:val="auto"/>
              </w:rPr>
            </w:pPr>
          </w:p>
        </w:tc>
        <w:tc>
          <w:tcPr>
            <w:tcW w:w="2160" w:type="dxa"/>
            <w:vAlign w:val="bottom"/>
            <w:tcBorders>
              <w:right w:val="single" w:sz="8" w:color="134A9C"/>
            </w:tcBorders>
            <w:shd w:val="clear" w:color="auto" w:fill="134A9C"/>
          </w:tcPr>
          <w:p>
            <w:pPr>
              <w:spacing w:after="0"/>
              <w:rPr>
                <w:sz w:val="14"/>
                <w:szCs w:val="14"/>
                <w:color w:val="auto"/>
              </w:rPr>
            </w:pPr>
          </w:p>
        </w:tc>
        <w:tc>
          <w:tcPr>
            <w:tcW w:w="4320" w:type="dxa"/>
            <w:vAlign w:val="bottom"/>
            <w:tcBorders>
              <w:right w:val="single" w:sz="8" w:color="134A9C"/>
            </w:tcBorders>
            <w:gridSpan w:val="3"/>
            <w:shd w:val="clear" w:color="auto" w:fill="134A9C"/>
          </w:tcPr>
          <w:p>
            <w:pPr>
              <w:jc w:val="center"/>
              <w:spacing w:after="0"/>
              <w:rPr>
                <w:sz w:val="20"/>
                <w:szCs w:val="20"/>
                <w:color w:val="auto"/>
              </w:rPr>
            </w:pPr>
            <w:r>
              <w:rPr>
                <w:rFonts w:ascii="Arial" w:cs="Arial" w:eastAsia="Arial" w:hAnsi="Arial"/>
                <w:sz w:val="14"/>
                <w:szCs w:val="14"/>
                <w:b w:val="1"/>
                <w:bCs w:val="1"/>
                <w:color w:val="FFFFFF"/>
              </w:rPr>
              <w:t>Director Compensation Plan</w:t>
            </w:r>
          </w:p>
        </w:tc>
        <w:tc>
          <w:tcPr>
            <w:tcW w:w="0" w:type="dxa"/>
            <w:vAlign w:val="bottom"/>
          </w:tcPr>
          <w:p>
            <w:pPr>
              <w:spacing w:after="0"/>
              <w:rPr>
                <w:sz w:val="1"/>
                <w:szCs w:val="1"/>
                <w:color w:val="auto"/>
              </w:rPr>
            </w:pPr>
          </w:p>
        </w:tc>
      </w:tr>
      <w:tr>
        <w:trPr>
          <w:trHeight w:val="196"/>
        </w:trPr>
        <w:tc>
          <w:tcPr>
            <w:tcW w:w="2760" w:type="dxa"/>
            <w:vAlign w:val="bottom"/>
            <w:tcBorders>
              <w:left w:val="single" w:sz="8" w:color="134A9C"/>
              <w:bottom w:val="single" w:sz="8" w:color="134A9C"/>
              <w:right w:val="single" w:sz="8" w:color="134A9C"/>
            </w:tcBorders>
            <w:shd w:val="clear" w:color="auto" w:fill="134A9C"/>
          </w:tcPr>
          <w:p>
            <w:pPr>
              <w:ind w:left="40"/>
              <w:spacing w:after="0"/>
              <w:rPr>
                <w:sz w:val="20"/>
                <w:szCs w:val="20"/>
                <w:color w:val="auto"/>
              </w:rPr>
            </w:pPr>
            <w:r>
              <w:rPr>
                <w:rFonts w:ascii="Arial" w:cs="Arial" w:eastAsia="Arial" w:hAnsi="Arial"/>
                <w:sz w:val="14"/>
                <w:szCs w:val="14"/>
                <w:b w:val="1"/>
                <w:bCs w:val="1"/>
                <w:color w:val="FFFFFF"/>
              </w:rPr>
              <w:t>Director</w:t>
            </w:r>
          </w:p>
        </w:tc>
        <w:tc>
          <w:tcPr>
            <w:tcW w:w="2200" w:type="dxa"/>
            <w:vAlign w:val="bottom"/>
            <w:tcBorders>
              <w:bottom w:val="single" w:sz="8" w:color="134A9C"/>
              <w:right w:val="single" w:sz="8" w:color="134A9C"/>
            </w:tcBorders>
            <w:shd w:val="clear" w:color="auto" w:fill="134A9C"/>
          </w:tcPr>
          <w:p>
            <w:pPr>
              <w:spacing w:after="0"/>
              <w:rPr>
                <w:sz w:val="17"/>
                <w:szCs w:val="17"/>
                <w:color w:val="auto"/>
              </w:rPr>
            </w:pPr>
          </w:p>
        </w:tc>
        <w:tc>
          <w:tcPr>
            <w:tcW w:w="2160" w:type="dxa"/>
            <w:vAlign w:val="bottom"/>
            <w:tcBorders>
              <w:bottom w:val="single" w:sz="8" w:color="134A9C"/>
              <w:right w:val="single" w:sz="8" w:color="134A9C"/>
            </w:tcBorders>
            <w:shd w:val="clear" w:color="auto" w:fill="134A9C"/>
          </w:tcPr>
          <w:p>
            <w:pPr>
              <w:spacing w:after="0"/>
              <w:rPr>
                <w:sz w:val="17"/>
                <w:szCs w:val="17"/>
                <w:color w:val="auto"/>
              </w:rPr>
            </w:pPr>
          </w:p>
        </w:tc>
        <w:tc>
          <w:tcPr>
            <w:tcW w:w="2040" w:type="dxa"/>
            <w:vAlign w:val="bottom"/>
            <w:tcBorders>
              <w:bottom w:val="single" w:sz="8" w:color="134A9C"/>
            </w:tcBorders>
            <w:shd w:val="clear" w:color="auto" w:fill="134A9C"/>
          </w:tcPr>
          <w:p>
            <w:pPr>
              <w:spacing w:after="0"/>
              <w:rPr>
                <w:sz w:val="17"/>
                <w:szCs w:val="17"/>
                <w:color w:val="auto"/>
              </w:rPr>
            </w:pPr>
          </w:p>
        </w:tc>
        <w:tc>
          <w:tcPr>
            <w:tcW w:w="2280" w:type="dxa"/>
            <w:vAlign w:val="bottom"/>
            <w:tcBorders>
              <w:bottom w:val="single" w:sz="8" w:color="134A9C"/>
              <w:right w:val="single" w:sz="8" w:color="134A9C"/>
            </w:tcBorders>
            <w:gridSpan w:val="2"/>
            <w:shd w:val="clear" w:color="auto" w:fill="134A9C"/>
          </w:tcPr>
          <w:p>
            <w:pPr>
              <w:jc w:val="center"/>
              <w:ind w:right="202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Joseph J. Ashton</w:t>
            </w:r>
          </w:p>
        </w:tc>
        <w:tc>
          <w:tcPr>
            <w:tcW w:w="2200" w:type="dxa"/>
            <w:vAlign w:val="bottom"/>
            <w:tcBorders>
              <w:bottom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spacing w:after="0"/>
              <w:rPr>
                <w:sz w:val="18"/>
                <w:szCs w:val="18"/>
                <w:color w:val="auto"/>
              </w:rPr>
            </w:pPr>
          </w:p>
        </w:tc>
        <w:tc>
          <w:tcPr>
            <w:tcW w:w="2040" w:type="dxa"/>
            <w:vAlign w:val="bottom"/>
            <w:tcBorders>
              <w:bottom w:val="single" w:sz="8" w:color="134A9C"/>
            </w:tcBorders>
          </w:tcPr>
          <w:p>
            <w:pPr>
              <w:spacing w:after="0"/>
              <w:rPr>
                <w:sz w:val="18"/>
                <w:szCs w:val="18"/>
                <w:color w:val="auto"/>
              </w:rPr>
            </w:pPr>
          </w:p>
        </w:tc>
        <w:tc>
          <w:tcPr>
            <w:tcW w:w="2280" w:type="dxa"/>
            <w:vAlign w:val="bottom"/>
            <w:tcBorders>
              <w:bottom w:val="single" w:sz="8" w:color="134A9C"/>
              <w:right w:val="single" w:sz="8" w:color="134A9C"/>
            </w:tcBorders>
            <w:gridSpan w:val="2"/>
          </w:tcPr>
          <w:p>
            <w:pPr>
              <w:jc w:val="right"/>
              <w:ind w:right="48"/>
              <w:spacing w:after="0"/>
              <w:rPr>
                <w:sz w:val="20"/>
                <w:szCs w:val="20"/>
                <w:color w:val="auto"/>
              </w:rPr>
            </w:pPr>
            <w:r>
              <w:rPr>
                <w:rFonts w:ascii="Arial" w:cs="Arial" w:eastAsia="Arial" w:hAnsi="Arial"/>
                <w:sz w:val="14"/>
                <w:szCs w:val="14"/>
                <w:color w:val="auto"/>
              </w:rPr>
              <w:t>83,333</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David Bonderman</w:t>
            </w:r>
          </w:p>
        </w:tc>
        <w:tc>
          <w:tcPr>
            <w:tcW w:w="2200" w:type="dxa"/>
            <w:vAlign w:val="bottom"/>
            <w:tcBorders>
              <w:bottom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spacing w:after="0"/>
              <w:rPr>
                <w:sz w:val="18"/>
                <w:szCs w:val="18"/>
                <w:color w:val="auto"/>
              </w:rPr>
            </w:pPr>
          </w:p>
        </w:tc>
        <w:tc>
          <w:tcPr>
            <w:tcW w:w="2040" w:type="dxa"/>
            <w:vAlign w:val="bottom"/>
            <w:tcBorders>
              <w:bottom w:val="single" w:sz="8" w:color="134A9C"/>
            </w:tcBorders>
          </w:tcPr>
          <w:p>
            <w:pPr>
              <w:spacing w:after="0"/>
              <w:rPr>
                <w:sz w:val="18"/>
                <w:szCs w:val="18"/>
                <w:color w:val="auto"/>
              </w:rPr>
            </w:pPr>
          </w:p>
        </w:tc>
        <w:tc>
          <w:tcPr>
            <w:tcW w:w="2280" w:type="dxa"/>
            <w:vAlign w:val="bottom"/>
            <w:tcBorders>
              <w:bottom w:val="single" w:sz="8" w:color="134A9C"/>
              <w:right w:val="single" w:sz="8" w:color="134A9C"/>
            </w:tcBorders>
            <w:gridSpan w:val="2"/>
          </w:tcPr>
          <w:p>
            <w:pPr>
              <w:jc w:val="right"/>
              <w:ind w:right="48"/>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Erroll B. Davis, Jr.</w:t>
            </w:r>
          </w:p>
        </w:tc>
        <w:tc>
          <w:tcPr>
            <w:tcW w:w="2200" w:type="dxa"/>
            <w:vAlign w:val="bottom"/>
            <w:tcBorders>
              <w:bottom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spacing w:after="0"/>
              <w:rPr>
                <w:sz w:val="18"/>
                <w:szCs w:val="18"/>
                <w:color w:val="auto"/>
              </w:rPr>
            </w:pPr>
          </w:p>
        </w:tc>
        <w:tc>
          <w:tcPr>
            <w:tcW w:w="2040" w:type="dxa"/>
            <w:vAlign w:val="bottom"/>
            <w:tcBorders>
              <w:bottom w:val="single" w:sz="8" w:color="134A9C"/>
            </w:tcBorders>
          </w:tcPr>
          <w:p>
            <w:pPr>
              <w:spacing w:after="0"/>
              <w:rPr>
                <w:sz w:val="18"/>
                <w:szCs w:val="18"/>
                <w:color w:val="auto"/>
              </w:rPr>
            </w:pPr>
          </w:p>
        </w:tc>
        <w:tc>
          <w:tcPr>
            <w:tcW w:w="2280" w:type="dxa"/>
            <w:vAlign w:val="bottom"/>
            <w:tcBorders>
              <w:bottom w:val="single" w:sz="8" w:color="134A9C"/>
              <w:right w:val="single" w:sz="8" w:color="134A9C"/>
            </w:tcBorders>
            <w:gridSpan w:val="2"/>
          </w:tcPr>
          <w:p>
            <w:pPr>
              <w:jc w:val="right"/>
              <w:ind w:right="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Stephen J. Girsky</w:t>
            </w:r>
          </w:p>
        </w:tc>
        <w:tc>
          <w:tcPr>
            <w:tcW w:w="2200" w:type="dxa"/>
            <w:vAlign w:val="bottom"/>
            <w:tcBorders>
              <w:bottom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spacing w:after="0"/>
              <w:rPr>
                <w:sz w:val="18"/>
                <w:szCs w:val="18"/>
                <w:color w:val="auto"/>
              </w:rPr>
            </w:pPr>
          </w:p>
        </w:tc>
        <w:tc>
          <w:tcPr>
            <w:tcW w:w="2040" w:type="dxa"/>
            <w:vAlign w:val="bottom"/>
            <w:tcBorders>
              <w:bottom w:val="single" w:sz="8" w:color="134A9C"/>
            </w:tcBorders>
          </w:tcPr>
          <w:p>
            <w:pPr>
              <w:spacing w:after="0"/>
              <w:rPr>
                <w:sz w:val="18"/>
                <w:szCs w:val="18"/>
                <w:color w:val="auto"/>
              </w:rPr>
            </w:pPr>
          </w:p>
        </w:tc>
        <w:tc>
          <w:tcPr>
            <w:tcW w:w="2280" w:type="dxa"/>
            <w:vAlign w:val="bottom"/>
            <w:tcBorders>
              <w:bottom w:val="single" w:sz="8" w:color="134A9C"/>
              <w:right w:val="single" w:sz="8" w:color="134A9C"/>
            </w:tcBorders>
            <w:gridSpan w:val="2"/>
          </w:tcPr>
          <w:p>
            <w:pPr>
              <w:jc w:val="right"/>
              <w:ind w:right="48"/>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E. Neville Isdell</w:t>
            </w:r>
          </w:p>
        </w:tc>
        <w:tc>
          <w:tcPr>
            <w:tcW w:w="2200" w:type="dxa"/>
            <w:vAlign w:val="bottom"/>
            <w:tcBorders>
              <w:bottom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spacing w:after="0"/>
              <w:rPr>
                <w:sz w:val="18"/>
                <w:szCs w:val="18"/>
                <w:color w:val="auto"/>
              </w:rPr>
            </w:pPr>
          </w:p>
        </w:tc>
        <w:tc>
          <w:tcPr>
            <w:tcW w:w="2040" w:type="dxa"/>
            <w:vAlign w:val="bottom"/>
            <w:tcBorders>
              <w:bottom w:val="single" w:sz="8" w:color="134A9C"/>
            </w:tcBorders>
          </w:tcPr>
          <w:p>
            <w:pPr>
              <w:spacing w:after="0"/>
              <w:rPr>
                <w:sz w:val="18"/>
                <w:szCs w:val="18"/>
                <w:color w:val="auto"/>
              </w:rPr>
            </w:pPr>
          </w:p>
        </w:tc>
        <w:tc>
          <w:tcPr>
            <w:tcW w:w="2280" w:type="dxa"/>
            <w:vAlign w:val="bottom"/>
            <w:tcBorders>
              <w:bottom w:val="single" w:sz="8" w:color="134A9C"/>
              <w:right w:val="single" w:sz="8" w:color="134A9C"/>
            </w:tcBorders>
            <w:gridSpan w:val="2"/>
          </w:tcPr>
          <w:p>
            <w:pPr>
              <w:jc w:val="right"/>
              <w:ind w:right="48"/>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Robert D. Krebs</w:t>
            </w:r>
          </w:p>
        </w:tc>
        <w:tc>
          <w:tcPr>
            <w:tcW w:w="2200" w:type="dxa"/>
            <w:vAlign w:val="bottom"/>
            <w:tcBorders>
              <w:bottom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spacing w:after="0"/>
              <w:rPr>
                <w:sz w:val="18"/>
                <w:szCs w:val="18"/>
                <w:color w:val="auto"/>
              </w:rPr>
            </w:pPr>
          </w:p>
        </w:tc>
        <w:tc>
          <w:tcPr>
            <w:tcW w:w="2040" w:type="dxa"/>
            <w:vAlign w:val="bottom"/>
            <w:tcBorders>
              <w:bottom w:val="single" w:sz="8" w:color="134A9C"/>
            </w:tcBorders>
          </w:tcPr>
          <w:p>
            <w:pPr>
              <w:spacing w:after="0"/>
              <w:rPr>
                <w:sz w:val="18"/>
                <w:szCs w:val="18"/>
                <w:color w:val="auto"/>
              </w:rPr>
            </w:pPr>
          </w:p>
        </w:tc>
        <w:tc>
          <w:tcPr>
            <w:tcW w:w="2280" w:type="dxa"/>
            <w:vAlign w:val="bottom"/>
            <w:tcBorders>
              <w:bottom w:val="single" w:sz="8" w:color="134A9C"/>
              <w:right w:val="single" w:sz="8" w:color="134A9C"/>
            </w:tcBorders>
            <w:gridSpan w:val="2"/>
          </w:tcPr>
          <w:p>
            <w:pPr>
              <w:jc w:val="right"/>
              <w:ind w:right="48"/>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Kathryn V. Marinello</w:t>
            </w:r>
          </w:p>
        </w:tc>
        <w:tc>
          <w:tcPr>
            <w:tcW w:w="2200" w:type="dxa"/>
            <w:vAlign w:val="bottom"/>
            <w:tcBorders>
              <w:bottom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spacing w:after="0"/>
              <w:rPr>
                <w:sz w:val="18"/>
                <w:szCs w:val="18"/>
                <w:color w:val="auto"/>
              </w:rPr>
            </w:pPr>
          </w:p>
        </w:tc>
        <w:tc>
          <w:tcPr>
            <w:tcW w:w="2040" w:type="dxa"/>
            <w:vAlign w:val="bottom"/>
            <w:tcBorders>
              <w:bottom w:val="single" w:sz="8" w:color="134A9C"/>
            </w:tcBorders>
          </w:tcPr>
          <w:p>
            <w:pPr>
              <w:spacing w:after="0"/>
              <w:rPr>
                <w:sz w:val="18"/>
                <w:szCs w:val="18"/>
                <w:color w:val="auto"/>
              </w:rPr>
            </w:pPr>
          </w:p>
        </w:tc>
        <w:tc>
          <w:tcPr>
            <w:tcW w:w="2280" w:type="dxa"/>
            <w:vAlign w:val="bottom"/>
            <w:tcBorders>
              <w:bottom w:val="single" w:sz="8" w:color="134A9C"/>
              <w:right w:val="single" w:sz="8" w:color="134A9C"/>
            </w:tcBorders>
            <w:gridSpan w:val="2"/>
          </w:tcPr>
          <w:p>
            <w:pPr>
              <w:jc w:val="right"/>
              <w:ind w:right="48"/>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Michael G. Mullen</w:t>
            </w:r>
          </w:p>
        </w:tc>
        <w:tc>
          <w:tcPr>
            <w:tcW w:w="2200" w:type="dxa"/>
            <w:vAlign w:val="bottom"/>
            <w:tcBorders>
              <w:bottom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spacing w:after="0"/>
              <w:rPr>
                <w:sz w:val="18"/>
                <w:szCs w:val="18"/>
                <w:color w:val="auto"/>
              </w:rPr>
            </w:pPr>
          </w:p>
        </w:tc>
        <w:tc>
          <w:tcPr>
            <w:tcW w:w="2040" w:type="dxa"/>
            <w:vAlign w:val="bottom"/>
            <w:tcBorders>
              <w:bottom w:val="single" w:sz="8" w:color="134A9C"/>
            </w:tcBorders>
          </w:tcPr>
          <w:p>
            <w:pPr>
              <w:spacing w:after="0"/>
              <w:rPr>
                <w:sz w:val="18"/>
                <w:szCs w:val="18"/>
                <w:color w:val="auto"/>
              </w:rPr>
            </w:pPr>
          </w:p>
        </w:tc>
        <w:tc>
          <w:tcPr>
            <w:tcW w:w="2280" w:type="dxa"/>
            <w:vAlign w:val="bottom"/>
            <w:tcBorders>
              <w:bottom w:val="single" w:sz="8" w:color="134A9C"/>
              <w:right w:val="single" w:sz="8" w:color="134A9C"/>
            </w:tcBorders>
            <w:gridSpan w:val="2"/>
          </w:tcPr>
          <w:p>
            <w:pPr>
              <w:jc w:val="right"/>
              <w:ind w:right="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James J. Mulva</w:t>
            </w:r>
          </w:p>
        </w:tc>
        <w:tc>
          <w:tcPr>
            <w:tcW w:w="2200" w:type="dxa"/>
            <w:vAlign w:val="bottom"/>
            <w:tcBorders>
              <w:bottom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spacing w:after="0"/>
              <w:rPr>
                <w:sz w:val="18"/>
                <w:szCs w:val="18"/>
                <w:color w:val="auto"/>
              </w:rPr>
            </w:pPr>
          </w:p>
        </w:tc>
        <w:tc>
          <w:tcPr>
            <w:tcW w:w="2040" w:type="dxa"/>
            <w:vAlign w:val="bottom"/>
            <w:tcBorders>
              <w:bottom w:val="single" w:sz="8" w:color="134A9C"/>
            </w:tcBorders>
          </w:tcPr>
          <w:p>
            <w:pPr>
              <w:spacing w:after="0"/>
              <w:rPr>
                <w:sz w:val="18"/>
                <w:szCs w:val="18"/>
                <w:color w:val="auto"/>
              </w:rPr>
            </w:pPr>
          </w:p>
        </w:tc>
        <w:tc>
          <w:tcPr>
            <w:tcW w:w="2280" w:type="dxa"/>
            <w:vAlign w:val="bottom"/>
            <w:tcBorders>
              <w:bottom w:val="single" w:sz="8" w:color="134A9C"/>
              <w:right w:val="single" w:sz="8" w:color="134A9C"/>
            </w:tcBorders>
            <w:gridSpan w:val="2"/>
          </w:tcPr>
          <w:p>
            <w:pPr>
              <w:jc w:val="right"/>
              <w:ind w:right="48"/>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Patricia F. Russo</w:t>
            </w:r>
          </w:p>
        </w:tc>
        <w:tc>
          <w:tcPr>
            <w:tcW w:w="2200" w:type="dxa"/>
            <w:vAlign w:val="bottom"/>
            <w:tcBorders>
              <w:bottom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spacing w:after="0"/>
              <w:rPr>
                <w:sz w:val="18"/>
                <w:szCs w:val="18"/>
                <w:color w:val="auto"/>
              </w:rPr>
            </w:pPr>
          </w:p>
        </w:tc>
        <w:tc>
          <w:tcPr>
            <w:tcW w:w="2040" w:type="dxa"/>
            <w:vAlign w:val="bottom"/>
            <w:tcBorders>
              <w:bottom w:val="single" w:sz="8" w:color="134A9C"/>
            </w:tcBorders>
          </w:tcPr>
          <w:p>
            <w:pPr>
              <w:spacing w:after="0"/>
              <w:rPr>
                <w:sz w:val="18"/>
                <w:szCs w:val="18"/>
                <w:color w:val="auto"/>
              </w:rPr>
            </w:pPr>
          </w:p>
        </w:tc>
        <w:tc>
          <w:tcPr>
            <w:tcW w:w="2280" w:type="dxa"/>
            <w:vAlign w:val="bottom"/>
            <w:tcBorders>
              <w:bottom w:val="single" w:sz="8" w:color="134A9C"/>
              <w:right w:val="single" w:sz="8" w:color="134A9C"/>
            </w:tcBorders>
            <w:gridSpan w:val="2"/>
          </w:tcPr>
          <w:p>
            <w:pPr>
              <w:jc w:val="right"/>
              <w:ind w:right="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Thomas M. Schoewe</w:t>
            </w:r>
          </w:p>
        </w:tc>
        <w:tc>
          <w:tcPr>
            <w:tcW w:w="2200" w:type="dxa"/>
            <w:vAlign w:val="bottom"/>
            <w:tcBorders>
              <w:bottom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spacing w:after="0"/>
              <w:rPr>
                <w:sz w:val="18"/>
                <w:szCs w:val="18"/>
                <w:color w:val="auto"/>
              </w:rPr>
            </w:pPr>
          </w:p>
        </w:tc>
        <w:tc>
          <w:tcPr>
            <w:tcW w:w="2040" w:type="dxa"/>
            <w:vAlign w:val="bottom"/>
            <w:tcBorders>
              <w:bottom w:val="single" w:sz="8" w:color="134A9C"/>
            </w:tcBorders>
          </w:tcPr>
          <w:p>
            <w:pPr>
              <w:spacing w:after="0"/>
              <w:rPr>
                <w:sz w:val="18"/>
                <w:szCs w:val="18"/>
                <w:color w:val="auto"/>
              </w:rPr>
            </w:pPr>
          </w:p>
        </w:tc>
        <w:tc>
          <w:tcPr>
            <w:tcW w:w="2280" w:type="dxa"/>
            <w:vAlign w:val="bottom"/>
            <w:tcBorders>
              <w:bottom w:val="single" w:sz="8" w:color="134A9C"/>
              <w:right w:val="single" w:sz="8" w:color="134A9C"/>
            </w:tcBorders>
            <w:gridSpan w:val="2"/>
          </w:tcPr>
          <w:p>
            <w:pPr>
              <w:jc w:val="right"/>
              <w:ind w:right="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Theodore M. Solso</w:t>
            </w:r>
          </w:p>
        </w:tc>
        <w:tc>
          <w:tcPr>
            <w:tcW w:w="2200" w:type="dxa"/>
            <w:vAlign w:val="bottom"/>
            <w:tcBorders>
              <w:bottom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spacing w:after="0"/>
              <w:rPr>
                <w:sz w:val="18"/>
                <w:szCs w:val="18"/>
                <w:color w:val="auto"/>
              </w:rPr>
            </w:pPr>
          </w:p>
        </w:tc>
        <w:tc>
          <w:tcPr>
            <w:tcW w:w="2040" w:type="dxa"/>
            <w:vAlign w:val="bottom"/>
            <w:tcBorders>
              <w:bottom w:val="single" w:sz="8" w:color="134A9C"/>
            </w:tcBorders>
          </w:tcPr>
          <w:p>
            <w:pPr>
              <w:spacing w:after="0"/>
              <w:rPr>
                <w:sz w:val="18"/>
                <w:szCs w:val="18"/>
                <w:color w:val="auto"/>
              </w:rPr>
            </w:pPr>
          </w:p>
        </w:tc>
        <w:tc>
          <w:tcPr>
            <w:tcW w:w="2280" w:type="dxa"/>
            <w:vAlign w:val="bottom"/>
            <w:tcBorders>
              <w:bottom w:val="single" w:sz="8" w:color="134A9C"/>
              <w:right w:val="single" w:sz="8" w:color="134A9C"/>
            </w:tcBorders>
            <w:gridSpan w:val="2"/>
          </w:tcPr>
          <w:p>
            <w:pPr>
              <w:jc w:val="right"/>
              <w:ind w:right="48"/>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Carol M. Stephenson</w:t>
            </w:r>
          </w:p>
        </w:tc>
        <w:tc>
          <w:tcPr>
            <w:tcW w:w="2200" w:type="dxa"/>
            <w:vAlign w:val="bottom"/>
            <w:tcBorders>
              <w:bottom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spacing w:after="0"/>
              <w:rPr>
                <w:sz w:val="18"/>
                <w:szCs w:val="18"/>
                <w:color w:val="auto"/>
              </w:rPr>
            </w:pPr>
          </w:p>
        </w:tc>
        <w:tc>
          <w:tcPr>
            <w:tcW w:w="2040" w:type="dxa"/>
            <w:vAlign w:val="bottom"/>
            <w:tcBorders>
              <w:bottom w:val="single" w:sz="8" w:color="134A9C"/>
            </w:tcBorders>
          </w:tcPr>
          <w:p>
            <w:pPr>
              <w:spacing w:after="0"/>
              <w:rPr>
                <w:sz w:val="18"/>
                <w:szCs w:val="18"/>
                <w:color w:val="auto"/>
              </w:rPr>
            </w:pPr>
          </w:p>
        </w:tc>
        <w:tc>
          <w:tcPr>
            <w:tcW w:w="2280" w:type="dxa"/>
            <w:vAlign w:val="bottom"/>
            <w:tcBorders>
              <w:bottom w:val="single" w:sz="8" w:color="134A9C"/>
              <w:right w:val="single" w:sz="8" w:color="134A9C"/>
            </w:tcBorders>
            <w:gridSpan w:val="2"/>
          </w:tcPr>
          <w:p>
            <w:pPr>
              <w:jc w:val="right"/>
              <w:ind w:right="48"/>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Cynthia A. Telles</w:t>
            </w:r>
          </w:p>
        </w:tc>
        <w:tc>
          <w:tcPr>
            <w:tcW w:w="2200" w:type="dxa"/>
            <w:vAlign w:val="bottom"/>
            <w:tcBorders>
              <w:bottom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spacing w:after="0"/>
              <w:rPr>
                <w:sz w:val="18"/>
                <w:szCs w:val="18"/>
                <w:color w:val="auto"/>
              </w:rPr>
            </w:pPr>
          </w:p>
        </w:tc>
        <w:tc>
          <w:tcPr>
            <w:tcW w:w="2040" w:type="dxa"/>
            <w:vAlign w:val="bottom"/>
            <w:tcBorders>
              <w:bottom w:val="single" w:sz="8" w:color="134A9C"/>
            </w:tcBorders>
          </w:tcPr>
          <w:p>
            <w:pPr>
              <w:spacing w:after="0"/>
              <w:rPr>
                <w:sz w:val="18"/>
                <w:szCs w:val="18"/>
                <w:color w:val="auto"/>
              </w:rPr>
            </w:pPr>
          </w:p>
        </w:tc>
        <w:tc>
          <w:tcPr>
            <w:tcW w:w="2280" w:type="dxa"/>
            <w:vAlign w:val="bottom"/>
            <w:tcBorders>
              <w:bottom w:val="single" w:sz="8" w:color="134A9C"/>
              <w:right w:val="single" w:sz="8" w:color="134A9C"/>
            </w:tcBorders>
            <w:gridSpan w:val="2"/>
          </w:tcPr>
          <w:p>
            <w:pPr>
              <w:jc w:val="right"/>
              <w:ind w:right="48"/>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482"/>
        </w:trPr>
        <w:tc>
          <w:tcPr>
            <w:tcW w:w="4960" w:type="dxa"/>
            <w:vAlign w:val="bottom"/>
            <w:gridSpan w:val="2"/>
          </w:tcPr>
          <w:p>
            <w:pPr>
              <w:spacing w:after="0"/>
              <w:rPr>
                <w:sz w:val="20"/>
                <w:szCs w:val="20"/>
                <w:color w:val="auto"/>
              </w:rPr>
            </w:pPr>
            <w:r>
              <w:rPr>
                <w:rFonts w:ascii="Arial" w:cs="Arial" w:eastAsia="Arial" w:hAnsi="Arial"/>
                <w:sz w:val="22"/>
                <w:szCs w:val="22"/>
                <w:b w:val="1"/>
                <w:bCs w:val="1"/>
                <w:color w:val="134A9C"/>
              </w:rPr>
              <w:t>Table 3 — All Other Compensation</w:t>
            </w:r>
          </w:p>
        </w:tc>
        <w:tc>
          <w:tcPr>
            <w:tcW w:w="2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7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760" w:type="dxa"/>
            <w:vAlign w:val="bottom"/>
            <w:tcBorders>
              <w:left w:val="single" w:sz="8" w:color="134A9C"/>
              <w:right w:val="single" w:sz="8" w:color="134A9C"/>
            </w:tcBorders>
            <w:shd w:val="clear" w:color="auto" w:fill="134A9C"/>
          </w:tcPr>
          <w:p>
            <w:pPr>
              <w:spacing w:after="0"/>
              <w:rPr>
                <w:sz w:val="16"/>
                <w:szCs w:val="16"/>
                <w:color w:val="auto"/>
              </w:rPr>
            </w:pPr>
          </w:p>
        </w:tc>
        <w:tc>
          <w:tcPr>
            <w:tcW w:w="220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Aggregate</w:t>
            </w:r>
          </w:p>
        </w:tc>
        <w:tc>
          <w:tcPr>
            <w:tcW w:w="2160" w:type="dxa"/>
            <w:vAlign w:val="bottom"/>
            <w:tcBorders>
              <w:right w:val="single" w:sz="8" w:color="134A9C"/>
            </w:tcBorders>
            <w:shd w:val="clear" w:color="auto" w:fill="134A9C"/>
          </w:tcPr>
          <w:p>
            <w:pPr>
              <w:spacing w:after="0"/>
              <w:rPr>
                <w:sz w:val="16"/>
                <w:szCs w:val="16"/>
                <w:color w:val="auto"/>
              </w:rPr>
            </w:pPr>
          </w:p>
        </w:tc>
        <w:tc>
          <w:tcPr>
            <w:tcW w:w="2040" w:type="dxa"/>
            <w:vAlign w:val="bottom"/>
            <w:shd w:val="clear" w:color="auto" w:fill="134A9C"/>
          </w:tcPr>
          <w:p>
            <w:pPr>
              <w:spacing w:after="0"/>
              <w:rPr>
                <w:sz w:val="16"/>
                <w:szCs w:val="16"/>
                <w:color w:val="auto"/>
              </w:rPr>
            </w:pPr>
          </w:p>
        </w:tc>
        <w:tc>
          <w:tcPr>
            <w:tcW w:w="120" w:type="dxa"/>
            <w:vAlign w:val="bottom"/>
            <w:tcBorders>
              <w:right w:val="single" w:sz="8" w:color="134A9C"/>
            </w:tcBorders>
            <w:shd w:val="clear" w:color="auto" w:fill="134A9C"/>
          </w:tcPr>
          <w:p>
            <w:pPr>
              <w:spacing w:after="0"/>
              <w:rPr>
                <w:sz w:val="16"/>
                <w:szCs w:val="16"/>
                <w:color w:val="auto"/>
              </w:rPr>
            </w:pPr>
          </w:p>
        </w:tc>
        <w:tc>
          <w:tcPr>
            <w:tcW w:w="2160" w:type="dxa"/>
            <w:vAlign w:val="bottom"/>
            <w:tcBorders>
              <w:right w:val="single" w:sz="8" w:color="134A9C"/>
            </w:tcBorders>
            <w:shd w:val="clear" w:color="auto" w:fill="134A9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60" w:type="dxa"/>
            <w:vAlign w:val="bottom"/>
            <w:tcBorders>
              <w:left w:val="single" w:sz="8" w:color="134A9C"/>
              <w:right w:val="single" w:sz="8" w:color="134A9C"/>
            </w:tcBorders>
            <w:shd w:val="clear" w:color="auto" w:fill="134A9C"/>
          </w:tcPr>
          <w:p>
            <w:pPr>
              <w:spacing w:after="0"/>
              <w:rPr>
                <w:sz w:val="14"/>
                <w:szCs w:val="14"/>
                <w:color w:val="auto"/>
              </w:rPr>
            </w:pPr>
          </w:p>
        </w:tc>
        <w:tc>
          <w:tcPr>
            <w:tcW w:w="220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Earnings on</w:t>
            </w:r>
          </w:p>
        </w:tc>
        <w:tc>
          <w:tcPr>
            <w:tcW w:w="2160" w:type="dxa"/>
            <w:vAlign w:val="bottom"/>
            <w:tcBorders>
              <w:right w:val="single" w:sz="8" w:color="134A9C"/>
            </w:tcBorders>
            <w:vMerge w:val="restart"/>
            <w:shd w:val="clear" w:color="auto" w:fill="134A9C"/>
          </w:tcPr>
          <w:p>
            <w:pPr>
              <w:jc w:val="center"/>
              <w:spacing w:after="0"/>
              <w:rPr>
                <w:sz w:val="20"/>
                <w:szCs w:val="20"/>
                <w:color w:val="auto"/>
              </w:rPr>
            </w:pPr>
            <w:r>
              <w:rPr>
                <w:rFonts w:ascii="Arial" w:cs="Arial" w:eastAsia="Arial" w:hAnsi="Arial"/>
                <w:sz w:val="14"/>
                <w:szCs w:val="14"/>
                <w:b w:val="1"/>
                <w:bCs w:val="1"/>
                <w:color w:val="FFFFFF"/>
              </w:rPr>
              <w:t>Company</w:t>
            </w:r>
          </w:p>
        </w:tc>
        <w:tc>
          <w:tcPr>
            <w:tcW w:w="2040" w:type="dxa"/>
            <w:vAlign w:val="bottom"/>
            <w:shd w:val="clear" w:color="auto" w:fill="134A9C"/>
          </w:tcPr>
          <w:p>
            <w:pPr>
              <w:spacing w:after="0"/>
              <w:rPr>
                <w:sz w:val="14"/>
                <w:szCs w:val="14"/>
                <w:color w:val="auto"/>
              </w:rPr>
            </w:pPr>
          </w:p>
        </w:tc>
        <w:tc>
          <w:tcPr>
            <w:tcW w:w="120" w:type="dxa"/>
            <w:vAlign w:val="bottom"/>
            <w:tcBorders>
              <w:right w:val="single" w:sz="8" w:color="134A9C"/>
            </w:tcBorders>
            <w:shd w:val="clear" w:color="auto" w:fill="134A9C"/>
          </w:tcPr>
          <w:p>
            <w:pPr>
              <w:spacing w:after="0"/>
              <w:rPr>
                <w:sz w:val="14"/>
                <w:szCs w:val="14"/>
                <w:color w:val="auto"/>
              </w:rPr>
            </w:pPr>
          </w:p>
        </w:tc>
        <w:tc>
          <w:tcPr>
            <w:tcW w:w="2160" w:type="dxa"/>
            <w:vAlign w:val="bottom"/>
            <w:tcBorders>
              <w:right w:val="single" w:sz="8" w:color="134A9C"/>
            </w:tcBorders>
            <w:shd w:val="clear" w:color="auto" w:fill="134A9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60" w:type="dxa"/>
            <w:vAlign w:val="bottom"/>
            <w:tcBorders>
              <w:left w:val="single" w:sz="8" w:color="134A9C"/>
              <w:right w:val="single" w:sz="8" w:color="134A9C"/>
            </w:tcBorders>
            <w:shd w:val="clear" w:color="auto" w:fill="134A9C"/>
          </w:tcPr>
          <w:p>
            <w:pPr>
              <w:spacing w:after="0"/>
              <w:rPr>
                <w:sz w:val="11"/>
                <w:szCs w:val="11"/>
                <w:color w:val="auto"/>
              </w:rPr>
            </w:pPr>
          </w:p>
        </w:tc>
        <w:tc>
          <w:tcPr>
            <w:tcW w:w="2200" w:type="dxa"/>
            <w:vAlign w:val="bottom"/>
            <w:tcBorders>
              <w:right w:val="single" w:sz="8" w:color="134A9C"/>
            </w:tcBorders>
            <w:vMerge w:val="restart"/>
            <w:shd w:val="clear" w:color="auto" w:fill="134A9C"/>
          </w:tcPr>
          <w:p>
            <w:pPr>
              <w:jc w:val="center"/>
              <w:spacing w:after="0"/>
              <w:rPr>
                <w:sz w:val="20"/>
                <w:szCs w:val="20"/>
                <w:color w:val="auto"/>
              </w:rPr>
            </w:pPr>
            <w:r>
              <w:rPr>
                <w:rFonts w:ascii="Arial" w:cs="Arial" w:eastAsia="Arial" w:hAnsi="Arial"/>
                <w:sz w:val="14"/>
                <w:szCs w:val="14"/>
                <w:b w:val="1"/>
                <w:bCs w:val="1"/>
                <w:color w:val="FFFFFF"/>
              </w:rPr>
              <w:t>Deferred</w:t>
            </w:r>
          </w:p>
        </w:tc>
        <w:tc>
          <w:tcPr>
            <w:tcW w:w="2160" w:type="dxa"/>
            <w:vAlign w:val="bottom"/>
            <w:tcBorders>
              <w:right w:val="single" w:sz="8" w:color="134A9C"/>
            </w:tcBorders>
            <w:vMerge w:val="continue"/>
            <w:shd w:val="clear" w:color="auto" w:fill="134A9C"/>
          </w:tcPr>
          <w:p>
            <w:pPr>
              <w:spacing w:after="0"/>
              <w:rPr>
                <w:sz w:val="11"/>
                <w:szCs w:val="11"/>
                <w:color w:val="auto"/>
              </w:rPr>
            </w:pPr>
          </w:p>
        </w:tc>
        <w:tc>
          <w:tcPr>
            <w:tcW w:w="2040" w:type="dxa"/>
            <w:vAlign w:val="bottom"/>
            <w:shd w:val="clear" w:color="auto" w:fill="134A9C"/>
          </w:tcPr>
          <w:p>
            <w:pPr>
              <w:spacing w:after="0"/>
              <w:rPr>
                <w:sz w:val="11"/>
                <w:szCs w:val="11"/>
                <w:color w:val="auto"/>
              </w:rPr>
            </w:pPr>
          </w:p>
        </w:tc>
        <w:tc>
          <w:tcPr>
            <w:tcW w:w="120" w:type="dxa"/>
            <w:vAlign w:val="bottom"/>
            <w:tcBorders>
              <w:right w:val="single" w:sz="8" w:color="134A9C"/>
            </w:tcBorders>
            <w:shd w:val="clear" w:color="auto" w:fill="134A9C"/>
          </w:tcPr>
          <w:p>
            <w:pPr>
              <w:spacing w:after="0"/>
              <w:rPr>
                <w:sz w:val="11"/>
                <w:szCs w:val="11"/>
                <w:color w:val="auto"/>
              </w:rPr>
            </w:pPr>
          </w:p>
        </w:tc>
        <w:tc>
          <w:tcPr>
            <w:tcW w:w="2160" w:type="dxa"/>
            <w:vAlign w:val="bottom"/>
            <w:tcBorders>
              <w:right w:val="single" w:sz="8" w:color="134A9C"/>
            </w:tcBorders>
            <w:shd w:val="clear" w:color="auto" w:fill="134A9C"/>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760" w:type="dxa"/>
            <w:vAlign w:val="bottom"/>
            <w:tcBorders>
              <w:left w:val="single" w:sz="8" w:color="134A9C"/>
              <w:right w:val="single" w:sz="8" w:color="134A9C"/>
            </w:tcBorders>
            <w:shd w:val="clear" w:color="auto" w:fill="134A9C"/>
          </w:tcPr>
          <w:p>
            <w:pPr>
              <w:spacing w:after="0"/>
              <w:rPr>
                <w:sz w:val="2"/>
                <w:szCs w:val="2"/>
                <w:color w:val="auto"/>
              </w:rPr>
            </w:pPr>
          </w:p>
        </w:tc>
        <w:tc>
          <w:tcPr>
            <w:tcW w:w="2200" w:type="dxa"/>
            <w:vAlign w:val="bottom"/>
            <w:tcBorders>
              <w:right w:val="single" w:sz="8" w:color="134A9C"/>
            </w:tcBorders>
            <w:vMerge w:val="continue"/>
            <w:shd w:val="clear" w:color="auto" w:fill="134A9C"/>
          </w:tcPr>
          <w:p>
            <w:pPr>
              <w:spacing w:after="0"/>
              <w:rPr>
                <w:sz w:val="2"/>
                <w:szCs w:val="2"/>
                <w:color w:val="auto"/>
              </w:rPr>
            </w:pPr>
          </w:p>
        </w:tc>
        <w:tc>
          <w:tcPr>
            <w:tcW w:w="2160" w:type="dxa"/>
            <w:vAlign w:val="bottom"/>
            <w:tcBorders>
              <w:right w:val="single" w:sz="8" w:color="134A9C"/>
            </w:tcBorders>
            <w:shd w:val="clear" w:color="auto" w:fill="134A9C"/>
          </w:tcPr>
          <w:p>
            <w:pPr>
              <w:spacing w:after="0"/>
              <w:rPr>
                <w:sz w:val="2"/>
                <w:szCs w:val="2"/>
                <w:color w:val="auto"/>
              </w:rPr>
            </w:pPr>
          </w:p>
        </w:tc>
        <w:tc>
          <w:tcPr>
            <w:tcW w:w="2040" w:type="dxa"/>
            <w:vAlign w:val="bottom"/>
            <w:shd w:val="clear" w:color="auto" w:fill="134A9C"/>
          </w:tcPr>
          <w:p>
            <w:pPr>
              <w:spacing w:after="0"/>
              <w:rPr>
                <w:sz w:val="2"/>
                <w:szCs w:val="2"/>
                <w:color w:val="auto"/>
              </w:rPr>
            </w:pPr>
          </w:p>
        </w:tc>
        <w:tc>
          <w:tcPr>
            <w:tcW w:w="120" w:type="dxa"/>
            <w:vAlign w:val="bottom"/>
            <w:tcBorders>
              <w:right w:val="single" w:sz="8" w:color="134A9C"/>
            </w:tcBorders>
            <w:shd w:val="clear" w:color="auto" w:fill="134A9C"/>
          </w:tcPr>
          <w:p>
            <w:pPr>
              <w:spacing w:after="0"/>
              <w:rPr>
                <w:sz w:val="2"/>
                <w:szCs w:val="2"/>
                <w:color w:val="auto"/>
              </w:rPr>
            </w:pPr>
          </w:p>
        </w:tc>
        <w:tc>
          <w:tcPr>
            <w:tcW w:w="2160" w:type="dxa"/>
            <w:vAlign w:val="bottom"/>
            <w:tcBorders>
              <w:right w:val="single" w:sz="8" w:color="134A9C"/>
            </w:tcBorders>
            <w:shd w:val="clear" w:color="auto" w:fill="134A9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760" w:type="dxa"/>
            <w:vAlign w:val="bottom"/>
            <w:tcBorders>
              <w:left w:val="single" w:sz="8" w:color="134A9C"/>
              <w:right w:val="single" w:sz="8" w:color="134A9C"/>
            </w:tcBorders>
            <w:shd w:val="clear" w:color="auto" w:fill="134A9C"/>
          </w:tcPr>
          <w:p>
            <w:pPr>
              <w:spacing w:after="0"/>
              <w:rPr>
                <w:sz w:val="14"/>
                <w:szCs w:val="14"/>
                <w:color w:val="auto"/>
              </w:rPr>
            </w:pPr>
          </w:p>
        </w:tc>
        <w:tc>
          <w:tcPr>
            <w:tcW w:w="2200" w:type="dxa"/>
            <w:vAlign w:val="bottom"/>
            <w:tcBorders>
              <w:right w:val="single" w:sz="8" w:color="134A9C"/>
            </w:tcBorders>
            <w:shd w:val="clear" w:color="auto" w:fill="134A9C"/>
          </w:tcPr>
          <w:p>
            <w:pPr>
              <w:jc w:val="center"/>
              <w:spacing w:after="0" w:line="162"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17"/>
                <w:szCs w:val="17"/>
                <w:b w:val="1"/>
                <w:bCs w:val="1"/>
                <w:color w:val="FFFFFF"/>
                <w:vertAlign w:val="superscript"/>
              </w:rPr>
              <w:t>(1)</w:t>
            </w:r>
          </w:p>
        </w:tc>
        <w:tc>
          <w:tcPr>
            <w:tcW w:w="2160" w:type="dxa"/>
            <w:vAlign w:val="bottom"/>
            <w:tcBorders>
              <w:right w:val="single" w:sz="8" w:color="134A9C"/>
            </w:tcBorders>
            <w:shd w:val="clear" w:color="auto" w:fill="134A9C"/>
          </w:tcPr>
          <w:p>
            <w:pPr>
              <w:jc w:val="center"/>
              <w:spacing w:after="0" w:line="162" w:lineRule="exact"/>
              <w:rPr>
                <w:sz w:val="20"/>
                <w:szCs w:val="20"/>
                <w:color w:val="auto"/>
              </w:rPr>
            </w:pPr>
            <w:r>
              <w:rPr>
                <w:rFonts w:ascii="Arial" w:cs="Arial" w:eastAsia="Arial" w:hAnsi="Arial"/>
                <w:sz w:val="14"/>
                <w:szCs w:val="14"/>
                <w:b w:val="1"/>
                <w:bCs w:val="1"/>
                <w:color w:val="FFFFFF"/>
                <w:w w:val="96"/>
              </w:rPr>
              <w:t>Vehicles</w:t>
            </w:r>
            <w:r>
              <w:rPr>
                <w:rFonts w:ascii="Arial" w:cs="Arial" w:eastAsia="Arial" w:hAnsi="Arial"/>
                <w:sz w:val="17"/>
                <w:szCs w:val="17"/>
                <w:b w:val="1"/>
                <w:bCs w:val="1"/>
                <w:color w:val="FFFFFF"/>
                <w:w w:val="96"/>
                <w:vertAlign w:val="superscript"/>
              </w:rPr>
              <w:t>(2)</w:t>
            </w:r>
          </w:p>
        </w:tc>
        <w:tc>
          <w:tcPr>
            <w:tcW w:w="2040" w:type="dxa"/>
            <w:vAlign w:val="bottom"/>
            <w:shd w:val="clear" w:color="auto" w:fill="134A9C"/>
          </w:tcPr>
          <w:p>
            <w:pPr>
              <w:jc w:val="right"/>
              <w:ind w:right="667"/>
              <w:spacing w:after="0" w:line="162" w:lineRule="exact"/>
              <w:rPr>
                <w:sz w:val="20"/>
                <w:szCs w:val="20"/>
                <w:color w:val="auto"/>
              </w:rPr>
            </w:pPr>
            <w:r>
              <w:rPr>
                <w:rFonts w:ascii="Arial" w:cs="Arial" w:eastAsia="Arial" w:hAnsi="Arial"/>
                <w:sz w:val="14"/>
                <w:szCs w:val="14"/>
                <w:b w:val="1"/>
                <w:bCs w:val="1"/>
                <w:color w:val="FFFFFF"/>
              </w:rPr>
              <w:t>Other</w:t>
            </w:r>
            <w:r>
              <w:rPr>
                <w:rFonts w:ascii="Arial" w:cs="Arial" w:eastAsia="Arial" w:hAnsi="Arial"/>
                <w:sz w:val="17"/>
                <w:szCs w:val="17"/>
                <w:b w:val="1"/>
                <w:bCs w:val="1"/>
                <w:color w:val="FFFFFF"/>
                <w:vertAlign w:val="superscript"/>
              </w:rPr>
              <w:t>(3)</w:t>
            </w:r>
          </w:p>
        </w:tc>
        <w:tc>
          <w:tcPr>
            <w:tcW w:w="120" w:type="dxa"/>
            <w:vAlign w:val="bottom"/>
            <w:tcBorders>
              <w:right w:val="single" w:sz="8" w:color="134A9C"/>
            </w:tcBorders>
            <w:shd w:val="clear" w:color="auto" w:fill="134A9C"/>
          </w:tcPr>
          <w:p>
            <w:pPr>
              <w:spacing w:after="0"/>
              <w:rPr>
                <w:sz w:val="14"/>
                <w:szCs w:val="14"/>
                <w:color w:val="auto"/>
              </w:rPr>
            </w:pPr>
          </w:p>
        </w:tc>
        <w:tc>
          <w:tcPr>
            <w:tcW w:w="2160" w:type="dxa"/>
            <w:vAlign w:val="bottom"/>
            <w:tcBorders>
              <w:right w:val="single" w:sz="8" w:color="134A9C"/>
            </w:tcBorders>
            <w:shd w:val="clear" w:color="auto" w:fill="134A9C"/>
          </w:tcPr>
          <w:p>
            <w:pPr>
              <w:jc w:val="right"/>
              <w:ind w:right="86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96"/>
        </w:trPr>
        <w:tc>
          <w:tcPr>
            <w:tcW w:w="2760" w:type="dxa"/>
            <w:vAlign w:val="bottom"/>
            <w:tcBorders>
              <w:left w:val="single" w:sz="8" w:color="134A9C"/>
              <w:bottom w:val="single" w:sz="8" w:color="134A9C"/>
              <w:right w:val="single" w:sz="8" w:color="134A9C"/>
            </w:tcBorders>
            <w:shd w:val="clear" w:color="auto" w:fill="134A9C"/>
          </w:tcPr>
          <w:p>
            <w:pPr>
              <w:ind w:left="40"/>
              <w:spacing w:after="0"/>
              <w:rPr>
                <w:sz w:val="20"/>
                <w:szCs w:val="20"/>
                <w:color w:val="auto"/>
              </w:rPr>
            </w:pPr>
            <w:r>
              <w:rPr>
                <w:rFonts w:ascii="Arial" w:cs="Arial" w:eastAsia="Arial" w:hAnsi="Arial"/>
                <w:sz w:val="14"/>
                <w:szCs w:val="14"/>
                <w:b w:val="1"/>
                <w:bCs w:val="1"/>
                <w:color w:val="FFFFFF"/>
              </w:rPr>
              <w:t>Director</w:t>
            </w:r>
          </w:p>
        </w:tc>
        <w:tc>
          <w:tcPr>
            <w:tcW w:w="220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w:t>
            </w:r>
          </w:p>
        </w:tc>
        <w:tc>
          <w:tcPr>
            <w:tcW w:w="216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w:t>
            </w:r>
          </w:p>
        </w:tc>
        <w:tc>
          <w:tcPr>
            <w:tcW w:w="2040" w:type="dxa"/>
            <w:vAlign w:val="bottom"/>
            <w:tcBorders>
              <w:bottom w:val="single" w:sz="8" w:color="134A9C"/>
            </w:tcBorders>
            <w:shd w:val="clear" w:color="auto" w:fill="134A9C"/>
          </w:tcPr>
          <w:p>
            <w:pPr>
              <w:jc w:val="right"/>
              <w:ind w:right="827"/>
              <w:spacing w:after="0"/>
              <w:rPr>
                <w:sz w:val="20"/>
                <w:szCs w:val="20"/>
                <w:color w:val="auto"/>
              </w:rPr>
            </w:pPr>
            <w:r>
              <w:rPr>
                <w:rFonts w:ascii="Arial" w:cs="Arial" w:eastAsia="Arial" w:hAnsi="Arial"/>
                <w:sz w:val="14"/>
                <w:szCs w:val="14"/>
                <w:b w:val="1"/>
                <w:bCs w:val="1"/>
                <w:color w:val="FFFFFF"/>
              </w:rPr>
              <w:t>($)</w:t>
            </w:r>
          </w:p>
        </w:tc>
        <w:tc>
          <w:tcPr>
            <w:tcW w:w="2280" w:type="dxa"/>
            <w:vAlign w:val="bottom"/>
            <w:tcBorders>
              <w:bottom w:val="single" w:sz="8" w:color="134A9C"/>
              <w:right w:val="single" w:sz="8" w:color="134A9C"/>
            </w:tcBorders>
            <w:gridSpan w:val="2"/>
            <w:shd w:val="clear" w:color="auto" w:fill="134A9C"/>
          </w:tcPr>
          <w:p>
            <w:pPr>
              <w:jc w:val="right"/>
              <w:ind w:right="9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Joseph J. Ashton</w:t>
            </w:r>
          </w:p>
        </w:tc>
        <w:tc>
          <w:tcPr>
            <w:tcW w:w="2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1,103</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2,535</w:t>
            </w:r>
          </w:p>
        </w:tc>
        <w:tc>
          <w:tcPr>
            <w:tcW w:w="2040" w:type="dxa"/>
            <w:vAlign w:val="bottom"/>
            <w:tcBorders>
              <w:bottom w:val="single" w:sz="8" w:color="134A9C"/>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134A9C"/>
              <w:right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3,678</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David Bonderman</w:t>
            </w:r>
          </w:p>
        </w:tc>
        <w:tc>
          <w:tcPr>
            <w:tcW w:w="2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24,131</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6,085</w:t>
            </w:r>
          </w:p>
        </w:tc>
        <w:tc>
          <w:tcPr>
            <w:tcW w:w="2040" w:type="dxa"/>
            <w:vAlign w:val="bottom"/>
            <w:tcBorders>
              <w:bottom w:val="single" w:sz="8" w:color="134A9C"/>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134A9C"/>
              <w:right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30,276</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Erroll B. Davis, Jr.</w:t>
            </w:r>
          </w:p>
        </w:tc>
        <w:tc>
          <w:tcPr>
            <w:tcW w:w="2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18,483</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6,085</w:t>
            </w:r>
          </w:p>
        </w:tc>
        <w:tc>
          <w:tcPr>
            <w:tcW w:w="2040" w:type="dxa"/>
            <w:vAlign w:val="bottom"/>
            <w:tcBorders>
              <w:bottom w:val="single" w:sz="8" w:color="134A9C"/>
            </w:tcBorders>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134A9C"/>
              <w:right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24,688</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Stephen J. Girsky</w:t>
            </w:r>
          </w:p>
        </w:tc>
        <w:tc>
          <w:tcPr>
            <w:tcW w:w="2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701</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6,085</w:t>
            </w:r>
          </w:p>
        </w:tc>
        <w:tc>
          <w:tcPr>
            <w:tcW w:w="2040" w:type="dxa"/>
            <w:vAlign w:val="bottom"/>
            <w:tcBorders>
              <w:bottom w:val="single" w:sz="8" w:color="134A9C"/>
            </w:tcBorders>
          </w:tcPr>
          <w:p>
            <w:pPr>
              <w:jc w:val="right"/>
              <w:spacing w:after="0"/>
              <w:rPr>
                <w:sz w:val="20"/>
                <w:szCs w:val="20"/>
                <w:color w:val="auto"/>
              </w:rPr>
            </w:pPr>
            <w:r>
              <w:rPr>
                <w:rFonts w:ascii="Arial" w:cs="Arial" w:eastAsia="Arial" w:hAnsi="Arial"/>
                <w:sz w:val="14"/>
                <w:szCs w:val="14"/>
                <w:color w:val="auto"/>
              </w:rPr>
              <w:t>808,989</w:t>
            </w:r>
          </w:p>
        </w:tc>
        <w:tc>
          <w:tcPr>
            <w:tcW w:w="120" w:type="dxa"/>
            <w:vAlign w:val="bottom"/>
            <w:tcBorders>
              <w:bottom w:val="single" w:sz="8" w:color="134A9C"/>
              <w:right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815,775</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E. Neville Isdell</w:t>
            </w:r>
          </w:p>
        </w:tc>
        <w:tc>
          <w:tcPr>
            <w:tcW w:w="2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16,478</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5,071</w:t>
            </w:r>
          </w:p>
        </w:tc>
        <w:tc>
          <w:tcPr>
            <w:tcW w:w="2040" w:type="dxa"/>
            <w:vAlign w:val="bottom"/>
            <w:tcBorders>
              <w:bottom w:val="single" w:sz="8" w:color="134A9C"/>
            </w:tcBorders>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134A9C"/>
              <w:right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21,669</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Robert D. Krebs</w:t>
            </w:r>
          </w:p>
        </w:tc>
        <w:tc>
          <w:tcPr>
            <w:tcW w:w="2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14,685</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6,085</w:t>
            </w:r>
          </w:p>
        </w:tc>
        <w:tc>
          <w:tcPr>
            <w:tcW w:w="2040" w:type="dxa"/>
            <w:vAlign w:val="bottom"/>
            <w:tcBorders>
              <w:bottom w:val="single" w:sz="8" w:color="134A9C"/>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134A9C"/>
              <w:right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20,830</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Kathryn V. Marinello</w:t>
            </w:r>
          </w:p>
        </w:tc>
        <w:tc>
          <w:tcPr>
            <w:tcW w:w="2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30,671</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6,085</w:t>
            </w:r>
          </w:p>
        </w:tc>
        <w:tc>
          <w:tcPr>
            <w:tcW w:w="2040" w:type="dxa"/>
            <w:vAlign w:val="bottom"/>
            <w:tcBorders>
              <w:bottom w:val="single" w:sz="8" w:color="134A9C"/>
            </w:tcBorders>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134A9C"/>
              <w:right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36,876</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Michael G. Mullen</w:t>
            </w:r>
          </w:p>
        </w:tc>
        <w:tc>
          <w:tcPr>
            <w:tcW w:w="2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5,563</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6,085</w:t>
            </w:r>
          </w:p>
        </w:tc>
        <w:tc>
          <w:tcPr>
            <w:tcW w:w="2040" w:type="dxa"/>
            <w:vAlign w:val="bottom"/>
            <w:tcBorders>
              <w:bottom w:val="single" w:sz="8" w:color="134A9C"/>
            </w:tcBorders>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134A9C"/>
              <w:right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11,768</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James J. Mulva</w:t>
            </w:r>
          </w:p>
        </w:tc>
        <w:tc>
          <w:tcPr>
            <w:tcW w:w="2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17,846</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3,296</w:t>
            </w:r>
          </w:p>
        </w:tc>
        <w:tc>
          <w:tcPr>
            <w:tcW w:w="2040" w:type="dxa"/>
            <w:vAlign w:val="bottom"/>
            <w:tcBorders>
              <w:bottom w:val="single" w:sz="8" w:color="134A9C"/>
            </w:tcBorders>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134A9C"/>
              <w:right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21,262</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Patricia F. Russo</w:t>
            </w:r>
          </w:p>
        </w:tc>
        <w:tc>
          <w:tcPr>
            <w:tcW w:w="2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15,386</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6,085</w:t>
            </w:r>
          </w:p>
        </w:tc>
        <w:tc>
          <w:tcPr>
            <w:tcW w:w="2040" w:type="dxa"/>
            <w:vAlign w:val="bottom"/>
            <w:tcBorders>
              <w:bottom w:val="single" w:sz="8" w:color="134A9C"/>
            </w:tcBorders>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134A9C"/>
              <w:right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21,591</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Thomas M. Schoewe</w:t>
            </w:r>
          </w:p>
        </w:tc>
        <w:tc>
          <w:tcPr>
            <w:tcW w:w="2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12,044</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6,085</w:t>
            </w:r>
          </w:p>
        </w:tc>
        <w:tc>
          <w:tcPr>
            <w:tcW w:w="2040" w:type="dxa"/>
            <w:vAlign w:val="bottom"/>
            <w:tcBorders>
              <w:bottom w:val="single" w:sz="8" w:color="134A9C"/>
            </w:tcBorders>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134A9C"/>
              <w:right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18,249</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Theodore M. Solso</w:t>
            </w:r>
          </w:p>
        </w:tc>
        <w:tc>
          <w:tcPr>
            <w:tcW w:w="2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17,846</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6,085</w:t>
            </w:r>
          </w:p>
        </w:tc>
        <w:tc>
          <w:tcPr>
            <w:tcW w:w="2040" w:type="dxa"/>
            <w:vAlign w:val="bottom"/>
            <w:tcBorders>
              <w:bottom w:val="single" w:sz="8" w:color="134A9C"/>
            </w:tcBorders>
          </w:tcPr>
          <w:p>
            <w:pPr>
              <w:jc w:val="right"/>
              <w:spacing w:after="0"/>
              <w:rPr>
                <w:sz w:val="20"/>
                <w:szCs w:val="20"/>
                <w:color w:val="auto"/>
              </w:rPr>
            </w:pPr>
            <w:r>
              <w:rPr>
                <w:rFonts w:ascii="Arial" w:cs="Arial" w:eastAsia="Arial" w:hAnsi="Arial"/>
                <w:sz w:val="14"/>
                <w:szCs w:val="14"/>
                <w:color w:val="auto"/>
              </w:rPr>
              <w:t>3,625</w:t>
            </w:r>
          </w:p>
        </w:tc>
        <w:tc>
          <w:tcPr>
            <w:tcW w:w="120" w:type="dxa"/>
            <w:vAlign w:val="bottom"/>
            <w:tcBorders>
              <w:bottom w:val="single" w:sz="8" w:color="134A9C"/>
              <w:right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27,556</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Carol M. Stephenson</w:t>
            </w:r>
          </w:p>
        </w:tc>
        <w:tc>
          <w:tcPr>
            <w:tcW w:w="2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30,671</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6,085</w:t>
            </w:r>
          </w:p>
        </w:tc>
        <w:tc>
          <w:tcPr>
            <w:tcW w:w="2040" w:type="dxa"/>
            <w:vAlign w:val="bottom"/>
            <w:tcBorders>
              <w:bottom w:val="single" w:sz="8" w:color="134A9C"/>
            </w:tcBorders>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134A9C"/>
              <w:right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36,876</w:t>
            </w:r>
          </w:p>
        </w:tc>
        <w:tc>
          <w:tcPr>
            <w:tcW w:w="0" w:type="dxa"/>
            <w:vAlign w:val="bottom"/>
          </w:tcPr>
          <w:p>
            <w:pPr>
              <w:spacing w:after="0"/>
              <w:rPr>
                <w:sz w:val="1"/>
                <w:szCs w:val="1"/>
                <w:color w:val="auto"/>
              </w:rPr>
            </w:pPr>
          </w:p>
        </w:tc>
      </w:tr>
      <w:tr>
        <w:trPr>
          <w:trHeight w:val="210"/>
        </w:trPr>
        <w:tc>
          <w:tcPr>
            <w:tcW w:w="27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Cynthia A. Telles</w:t>
            </w:r>
          </w:p>
        </w:tc>
        <w:tc>
          <w:tcPr>
            <w:tcW w:w="2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14,685</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6,085</w:t>
            </w:r>
          </w:p>
        </w:tc>
        <w:tc>
          <w:tcPr>
            <w:tcW w:w="2040" w:type="dxa"/>
            <w:vAlign w:val="bottom"/>
            <w:tcBorders>
              <w:bottom w:val="single" w:sz="8" w:color="134A9C"/>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134A9C"/>
              <w:right w:val="single" w:sz="8" w:color="134A9C"/>
            </w:tcBorders>
          </w:tcPr>
          <w:p>
            <w:pPr>
              <w:spacing w:after="0"/>
              <w:rPr>
                <w:sz w:val="18"/>
                <w:szCs w:val="18"/>
                <w:color w:val="auto"/>
              </w:rPr>
            </w:pP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20,830</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amounts in this column represent: (a) dividend equivalents that are reinvested in additional Deferred Share Units based on the market price of our Common Stock on the</w:t>
      </w:r>
    </w:p>
    <w:p>
      <w:pPr>
        <w:spacing w:after="0" w:line="1" w:lineRule="exact"/>
        <w:rPr>
          <w:rFonts w:ascii="Arial" w:cs="Arial" w:eastAsia="Arial" w:hAnsi="Arial"/>
          <w:sz w:val="14"/>
          <w:szCs w:val="14"/>
          <w:color w:val="auto"/>
        </w:rPr>
      </w:pPr>
    </w:p>
    <w:p>
      <w:pPr>
        <w:jc w:val="both"/>
        <w:ind w:left="340" w:right="20"/>
        <w:spacing w:after="0" w:line="241" w:lineRule="auto"/>
        <w:rPr>
          <w:rFonts w:ascii="Arial" w:cs="Arial" w:eastAsia="Arial" w:hAnsi="Arial"/>
          <w:sz w:val="14"/>
          <w:szCs w:val="14"/>
          <w:color w:val="auto"/>
        </w:rPr>
      </w:pPr>
      <w:r>
        <w:rPr>
          <w:rFonts w:ascii="Arial" w:cs="Arial" w:eastAsia="Arial" w:hAnsi="Arial"/>
          <w:sz w:val="14"/>
          <w:szCs w:val="14"/>
          <w:color w:val="auto"/>
        </w:rPr>
        <w:t>date the dividends are paid: and (b) for Mr. Davis, interest of $958 on fees for service on the board of directors of General Motors Corporation deferred in cash-based alternatives. We assumed the General Motors Corporation Compensation Plan for Non-Employee Directors, and it remains in place with respect to past deferrals of compensation to former directors of General Motors Corporation who are members of our Board. General Motors Corporation did not credit interest at above-market rates. In general, General Motors Corporation did not pay deferred amounts until January following the director’s retirement or separation from its board of directors. General Motors Corporation then paid those amounts, either in lump sum or in annual installments for up to ten years based on the director’s deferral election.</w:t>
      </w:r>
    </w:p>
    <w:p>
      <w:pPr>
        <w:spacing w:after="0" w:line="1" w:lineRule="exact"/>
        <w:rPr>
          <w:rFonts w:ascii="Arial" w:cs="Arial" w:eastAsia="Arial" w:hAnsi="Arial"/>
          <w:sz w:val="14"/>
          <w:szCs w:val="14"/>
          <w:color w:val="auto"/>
        </w:rPr>
      </w:pPr>
    </w:p>
    <w:p>
      <w:pPr>
        <w:jc w:val="both"/>
        <w:ind w:left="340" w:right="20" w:hanging="332"/>
        <w:spacing w:after="0" w:line="243"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incremental costs for Company vehicles, which are calculated based on the average monthly cost of providing vehicles to all directors, including lost sales opportunity and incentive costs, if any; insurance claims, if any; licensing and registration fees; and use taxes. Taxes related to imputed income are the responsibility of the director.</w:t>
      </w:r>
    </w:p>
    <w:p>
      <w:pPr>
        <w:spacing w:after="0" w:line="160" w:lineRule="exact"/>
        <w:rPr>
          <w:rFonts w:ascii="Arial" w:cs="Arial" w:eastAsia="Arial" w:hAnsi="Arial"/>
          <w:sz w:val="14"/>
          <w:szCs w:val="14"/>
          <w:color w:val="auto"/>
        </w:rPr>
      </w:pPr>
    </w:p>
    <w:p>
      <w:pPr>
        <w:jc w:val="both"/>
        <w:ind w:left="340" w:right="20" w:hanging="332"/>
        <w:spacing w:after="0" w:line="244"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amounts in this column represent: (a) the cost of premiums for providing personal accident insurance (annual premium cost of $120 is prorated, as applicable, for period of service); (b) for Mr. Girsky, total compensation earned as an employee of the Company through June 30, 2014 in the amount of $808,869. His compensation includes $300,000 in prorated base salary; severance payments of $475,000; employer contributions to tax-qualified savings and retirement benefit plans in the amount of $24,000; the aggregate incremental cost of drivers provided by the Company to various events in the amount of $7,262; premiums paid by the Company for Group Variable Universal Life (“GVUL”) insurance in the amount of $1,579; and the actuarial change in the present value of Mr. Girsky's pension in the amount of $1,028; and (c) for Mr. Solso, the aggregate incremental cost to the Company for personal use of charter aircraft en route to a Company meeting in the amount of $3,505. The aggregate incremental cost of charter aircraft usage is based</w:t>
      </w:r>
    </w:p>
    <w:p>
      <w:pPr>
        <w:spacing w:after="0" w:line="200" w:lineRule="exact"/>
        <w:rPr>
          <w:sz w:val="20"/>
          <w:szCs w:val="20"/>
          <w:color w:val="auto"/>
        </w:rPr>
      </w:pPr>
    </w:p>
    <w:p>
      <w:pPr>
        <w:spacing w:after="0" w:line="353"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30</w:t>
      </w:r>
      <w:r>
        <w:rPr>
          <w:sz w:val="20"/>
          <w:szCs w:val="20"/>
          <w:color w:val="auto"/>
        </w:rPr>
        <w:tab/>
      </w:r>
      <w:r>
        <w:rPr>
          <w:sz w:val="1"/>
          <w:szCs w:val="1"/>
          <w:color w:val="auto"/>
        </w:rPr>
        <w:drawing>
          <wp:inline distT="0" distB="0" distL="0" distR="0">
            <wp:extent cx="120015" cy="12001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sectPr>
      </w:pPr>
    </w:p>
    <w:bookmarkStart w:id="34" w:name="page35"/>
    <w:bookmarkEnd w:id="34"/>
    <w:p>
      <w:pPr>
        <w:ind w:left="8700"/>
        <w:spacing w:after="0"/>
        <w:rPr>
          <w:sz w:val="20"/>
          <w:szCs w:val="20"/>
          <w:color w:val="auto"/>
        </w:rPr>
      </w:pPr>
      <w:r>
        <w:rPr>
          <w:rFonts w:ascii="Arial" w:cs="Arial" w:eastAsia="Arial" w:hAnsi="Arial"/>
          <w:sz w:val="18"/>
          <w:szCs w:val="18"/>
          <w:b w:val="1"/>
          <w:bCs w:val="1"/>
          <w:color w:val="134A9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on the actual cost incurred by the Company to provide the benefit. Taxes assessed on imputed income, where applicable, are the responsibility of the director.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Compensation Committee Interlocks and Insider Participation</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 executive officer of GM served on any board of directors or compensation committee of any other company for which any of our directors served as an executive officer at any time during the year ended December 31, 2014.</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Director Stock Ownership and Holding Requirements</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Board’s Corporate Governance Guidelines establish a stock ownership requirement for non-employee directors intended to enhance the link between the interests of GM’s directors and stockholders. Under this policy, non-employee directors are prohibited from selling any GM securities or derivatives of GM securities such as Deferred Share Units while they are members of the Board. (This prohibition does not apply to any GM securities or derivatives acquired by a director in compensation for previous service as an employee of the Company.) In December 2014, the Board approved an increase in the stock ownership requirement by $100,000, so that each non-employee director is required to own our Common Stock or Deferred Share Units with a market value of at least $400,000. Each director has up to five years from the later of the original effective date of the requirement, January 1, 2011, or the date he or she is first elected to the Board to meet this ownership requirement. Ownership guidelines are reviewed each year to ensure they continue to be effective in aligning the interests of the Board and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Certain Relationships and Related Party Transactions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has adopted the Related Party Transactions Policy, a written policy regarding the review and approval or ratification of "related party transactions." Related party transactions are transactions in which our Company is a participant, the amount involved exceeds $120,000, and a “related party” has or will have a direct or indirect material interest. Related parties of our Company consist of directors (including nominees for election as directors), executive officers, stockholders beneficially owning more than 5 percent of the Company’s voting securities (“Significant Stockholders”), and the immediate family members of these individuals.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Each director and executive officer is responsible for providing written notice to the General Counsel of any potential related party transaction involving him or her or his or her immediate family member, including any additional information about the transaction that the General Counsel may reasonably request. In addition, each director and executive officer is required to complete an annual questionnaire that requests information about their immediate family members and any current, past, and proposed related party transactions, and that includes a reminder of his or her obligations under the Related Party Transactions Policy. The General Counsel in consultation with other members of management and with outside counsel, as appropriate, will determine whether the transaction does, in fact, constitute a related party transaction requiring compliance with this policy.</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Related party transactions involving a Significant Stockholder, director, the CEO, or the General Counsel, and/or their immediate family members will be referred to the Governance Committee for review and approval or ratification. (The Governance Committee in its discretion may refer any transaction to the Board for review and approval or ratification.) Any member of the Governance Committee who has a potential interest in any related party transaction will recuse himself or herself and abstain from voting on the approval or ratification of the related party transaction, but may participate in all or a portion of the Governance Committee’s discussions of the related party transaction, if requested by the Chair of the Governance Committee. Related party transactions involving executive officers other than the CEO, or the General Counsel, and/or their immediate family members will be referred to the General Counsel for review and approval or ratification. All determinations by the General Counsel will be reported to the Governance Committee at its next regularly scheduled meeting.</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determining whether to approve or ratify a related party transaction, the Governance Committee or the General Counsel will consider the following factors, among others, to the extent relevant to the related party transaction:</w:t>
      </w:r>
    </w:p>
    <w:p>
      <w:pPr>
        <w:spacing w:after="0" w:line="102" w:lineRule="exact"/>
        <w:rPr>
          <w:sz w:val="20"/>
          <w:szCs w:val="20"/>
          <w:color w:val="auto"/>
        </w:rPr>
      </w:pPr>
    </w:p>
    <w:p>
      <w:pPr>
        <w:ind w:left="340" w:hanging="332"/>
        <w:spacing w:after="0" w:line="262" w:lineRule="auto"/>
        <w:tabs>
          <w:tab w:leader="none" w:pos="340" w:val="left"/>
        </w:tabs>
        <w:numPr>
          <w:ilvl w:val="0"/>
          <w:numId w:val="34"/>
        </w:numPr>
        <w:rPr>
          <w:rFonts w:ascii="Arial" w:cs="Arial" w:eastAsia="Arial" w:hAnsi="Arial"/>
          <w:sz w:val="18"/>
          <w:szCs w:val="18"/>
          <w:color w:val="134A9C"/>
        </w:rPr>
      </w:pPr>
      <w:r>
        <w:rPr>
          <w:rFonts w:ascii="Arial" w:cs="Arial" w:eastAsia="Arial" w:hAnsi="Arial"/>
          <w:sz w:val="18"/>
          <w:szCs w:val="18"/>
          <w:color w:val="auto"/>
        </w:rPr>
        <w:t>Whether the terms of the related party transaction are fair to the Company and would apply on the same basis if the transaction did not involve a related party;</w:t>
      </w:r>
    </w:p>
    <w:p>
      <w:pPr>
        <w:spacing w:after="0" w:line="34" w:lineRule="exact"/>
        <w:rPr>
          <w:rFonts w:ascii="Arial" w:cs="Arial" w:eastAsia="Arial" w:hAnsi="Arial"/>
          <w:sz w:val="18"/>
          <w:szCs w:val="18"/>
          <w:color w:val="134A9C"/>
        </w:rPr>
      </w:pPr>
    </w:p>
    <w:p>
      <w:pPr>
        <w:ind w:left="340" w:right="20" w:hanging="332"/>
        <w:spacing w:after="0" w:line="262" w:lineRule="auto"/>
        <w:tabs>
          <w:tab w:leader="none" w:pos="340" w:val="left"/>
        </w:tabs>
        <w:numPr>
          <w:ilvl w:val="0"/>
          <w:numId w:val="34"/>
        </w:numPr>
        <w:rPr>
          <w:rFonts w:ascii="Arial" w:cs="Arial" w:eastAsia="Arial" w:hAnsi="Arial"/>
          <w:sz w:val="18"/>
          <w:szCs w:val="18"/>
          <w:color w:val="134A9C"/>
        </w:rPr>
      </w:pPr>
      <w:r>
        <w:rPr>
          <w:rFonts w:ascii="Arial" w:cs="Arial" w:eastAsia="Arial" w:hAnsi="Arial"/>
          <w:sz w:val="18"/>
          <w:szCs w:val="18"/>
          <w:color w:val="auto"/>
        </w:rPr>
        <w:t>Whether there are any compelling business reasons for the Company to enter into the related party transaction and the nature of alternative transactions, if any;</w:t>
      </w:r>
    </w:p>
    <w:p>
      <w:pPr>
        <w:spacing w:after="0" w:line="386"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31</w:t>
      </w:r>
      <w:r>
        <w:rPr>
          <w:sz w:val="20"/>
          <w:szCs w:val="20"/>
          <w:color w:val="auto"/>
        </w:rPr>
        <w:tab/>
      </w:r>
      <w:r>
        <w:rPr>
          <w:sz w:val="1"/>
          <w:szCs w:val="1"/>
          <w:color w:val="auto"/>
        </w:rPr>
        <w:drawing>
          <wp:inline distT="0" distB="0" distL="0" distR="0">
            <wp:extent cx="120015" cy="12001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35" w:name="page36"/>
    <w:bookmarkEnd w:id="35"/>
    <w:p>
      <w:pPr>
        <w:ind w:left="8700"/>
        <w:spacing w:after="0"/>
        <w:rPr>
          <w:sz w:val="20"/>
          <w:szCs w:val="20"/>
          <w:color w:val="auto"/>
        </w:rPr>
      </w:pPr>
      <w:r>
        <w:rPr>
          <w:rFonts w:ascii="Arial" w:cs="Arial" w:eastAsia="Arial" w:hAnsi="Arial"/>
          <w:sz w:val="18"/>
          <w:szCs w:val="18"/>
          <w:b w:val="1"/>
          <w:bCs w:val="1"/>
          <w:color w:val="134A9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134A9C"/>
        </w:rPr>
      </w:pPr>
      <w:r>
        <w:rPr>
          <w:rFonts w:ascii="Arial" w:cs="Arial" w:eastAsia="Arial" w:hAnsi="Arial"/>
          <w:sz w:val="18"/>
          <w:szCs w:val="18"/>
          <w:color w:val="auto"/>
        </w:rPr>
        <w:t>Whether the related party transaction would impair the independence of an otherwise independent director;</w:t>
      </w:r>
    </w:p>
    <w:p>
      <w:pPr>
        <w:spacing w:after="0" w:line="63" w:lineRule="exact"/>
        <w:rPr>
          <w:rFonts w:ascii="Arial" w:cs="Arial" w:eastAsia="Arial" w:hAnsi="Arial"/>
          <w:sz w:val="18"/>
          <w:szCs w:val="18"/>
          <w:color w:val="134A9C"/>
        </w:rPr>
      </w:pPr>
    </w:p>
    <w:p>
      <w:pPr>
        <w:ind w:left="340" w:hanging="332"/>
        <w:spacing w:after="0" w:line="262" w:lineRule="auto"/>
        <w:tabs>
          <w:tab w:leader="none" w:pos="340" w:val="left"/>
        </w:tabs>
        <w:numPr>
          <w:ilvl w:val="0"/>
          <w:numId w:val="35"/>
        </w:numPr>
        <w:rPr>
          <w:rFonts w:ascii="Arial" w:cs="Arial" w:eastAsia="Arial" w:hAnsi="Arial"/>
          <w:sz w:val="18"/>
          <w:szCs w:val="18"/>
          <w:color w:val="134A9C"/>
        </w:rPr>
      </w:pPr>
      <w:r>
        <w:rPr>
          <w:rFonts w:ascii="Arial" w:cs="Arial" w:eastAsia="Arial" w:hAnsi="Arial"/>
          <w:sz w:val="18"/>
          <w:szCs w:val="18"/>
          <w:color w:val="auto"/>
        </w:rPr>
        <w:t>Whether the Company was notified about the related party transaction before its commencement, and if not, why pre-approval was not sought and whether subsequent ratification would be detrimental to the Company; and</w:t>
      </w:r>
    </w:p>
    <w:p>
      <w:pPr>
        <w:spacing w:after="0" w:line="34" w:lineRule="exact"/>
        <w:rPr>
          <w:rFonts w:ascii="Arial" w:cs="Arial" w:eastAsia="Arial" w:hAnsi="Arial"/>
          <w:sz w:val="18"/>
          <w:szCs w:val="18"/>
          <w:color w:val="134A9C"/>
        </w:rPr>
      </w:pPr>
    </w:p>
    <w:p>
      <w:pPr>
        <w:jc w:val="both"/>
        <w:ind w:left="340" w:hanging="332"/>
        <w:spacing w:after="0" w:line="254" w:lineRule="auto"/>
        <w:tabs>
          <w:tab w:leader="none" w:pos="340" w:val="left"/>
        </w:tabs>
        <w:numPr>
          <w:ilvl w:val="0"/>
          <w:numId w:val="35"/>
        </w:numPr>
        <w:rPr>
          <w:rFonts w:ascii="Arial" w:cs="Arial" w:eastAsia="Arial" w:hAnsi="Arial"/>
          <w:sz w:val="18"/>
          <w:szCs w:val="18"/>
          <w:color w:val="134A9C"/>
        </w:rPr>
      </w:pPr>
      <w:r>
        <w:rPr>
          <w:rFonts w:ascii="Arial" w:cs="Arial" w:eastAsia="Arial" w:hAnsi="Arial"/>
          <w:sz w:val="18"/>
          <w:szCs w:val="18"/>
          <w:color w:val="auto"/>
        </w:rPr>
        <w:t>Whether the related party transaction would present an improper conflict of interest for any director or executive officer of the Company, taking into account the size of the transaction, the overall financial position of the director, executive officer, or other related party, the direct or indirect nature of the director’s, executive officer’s, or other related party’s interest in the transaction, and the ongoing nature of any proposed relationship and any other factors the Governance Committee deems relevant.</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any case where the Governance Committee or the General Counsel determines not to ratify a related party transaction that has been commenced without approval, the Governance Committee or the General Counsel, as appropriate, may direct additional actions including, but not limited to, immediate discontinuation or rescission of the transaction, or modification of the transaction to make it acceptable for ratification. The Governance Committee has authority to oversee our Related Party Transactions Policy and to amend it from time to time. In addition, the Governance Committee is responsible for annually reviewing the independence of each director and the appropriateness of any potential related party transaction and related issues. Our Related Party Transactions Policy is available on our website at </w:t>
      </w:r>
      <w:r>
        <w:rPr>
          <w:rFonts w:ascii="Arial" w:cs="Arial" w:eastAsia="Arial" w:hAnsi="Arial"/>
          <w:sz w:val="18"/>
          <w:szCs w:val="18"/>
          <w:i w:val="1"/>
          <w:iCs w:val="1"/>
          <w:color w:val="auto"/>
        </w:rPr>
        <w:t>www.gm.com/investor</w:t>
      </w:r>
      <w:r>
        <w:rPr>
          <w:rFonts w:ascii="Arial" w:cs="Arial" w:eastAsia="Arial" w:hAnsi="Arial"/>
          <w:sz w:val="18"/>
          <w:szCs w:val="18"/>
          <w:color w:val="auto"/>
        </w:rPr>
        <w:t>, under “Corporate Governance.”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2014, we redeemed all 156.1 million outstanding shares of our Series A Preferred Stock from the VEBA Trust (140 million shares) and Canada Holdings (16.1 million shares) for an aggregate liquidation amount of $3.9 billion, including accumulated dividends. We recorded a loss for the difference between the carrying amount of the Series A Preferred Stock redeemed and the consideration paid, which reduced the Company's 2014 net income attributable to common stockholders by approximately $ 809 million. The redemption from the VEBA Trust and Canada Holdings was approved by the Board pursuant to the Company’s Related Party Transaction Policy.</w:t>
      </w:r>
    </w:p>
    <w:p>
      <w:pPr>
        <w:spacing w:after="0" w:line="395"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32</w:t>
      </w:r>
      <w:r>
        <w:rPr>
          <w:sz w:val="20"/>
          <w:szCs w:val="20"/>
          <w:color w:val="auto"/>
        </w:rPr>
        <w:tab/>
      </w:r>
      <w:r>
        <w:rPr>
          <w:sz w:val="1"/>
          <w:szCs w:val="1"/>
          <w:color w:val="auto"/>
        </w:rPr>
        <w:drawing>
          <wp:inline distT="0" distB="0" distL="0" distR="0">
            <wp:extent cx="120015" cy="12001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36" w:name="page37"/>
    <w:bookmarkEnd w:id="36"/>
    <w:p>
      <w:pPr>
        <w:spacing w:after="0"/>
        <w:rPr>
          <w:sz w:val="20"/>
          <w:szCs w:val="20"/>
          <w:color w:val="auto"/>
        </w:rPr>
      </w:pPr>
      <w:r>
        <w:rPr>
          <w:rFonts w:ascii="Arial" w:cs="Arial" w:eastAsia="Arial" w:hAnsi="Arial"/>
          <w:sz w:val="29"/>
          <w:szCs w:val="29"/>
          <w:b w:val="1"/>
          <w:bCs w:val="1"/>
          <w:color w:val="134A9C"/>
        </w:rPr>
        <w:t>SECURITY OWNERSHIP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Security Ownership of Directors, Named Executive Officers, and Certain Others</w:t>
      </w:r>
    </w:p>
    <w:p>
      <w:pPr>
        <w:spacing w:after="0" w:line="14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beneficial ownership as of April 1, 2015, of our Common Stock by each director, each nominee for election to the Board, each NEO, and all directors and executive officers as a group is shown in the following tables, as well as ownership of Deferred Share Units and Deferred Salary Stock Units. Each of the individuals listed in the following tables owns less than one percent of the outstanding shares of our Common Stock; all directors and officers as a group own less than one percent of the outstanding shares. The persons named have furnished this information to us. None of the shares shown in the following tables as beneficially owned by directors and executive officers was hedged or pledged as security for any obligation.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134A9C"/>
        </w:rPr>
        <w:t>Non-Employee Directors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100" w:type="dxa"/>
            <w:vAlign w:val="bottom"/>
            <w:tcBorders>
              <w:left w:val="single" w:sz="8" w:color="134A9C"/>
              <w:right w:val="single" w:sz="8" w:color="134A9C"/>
            </w:tcBorders>
            <w:shd w:val="clear" w:color="auto" w:fill="134A9C"/>
          </w:tcPr>
          <w:p>
            <w:pPr>
              <w:spacing w:after="0"/>
              <w:rPr>
                <w:sz w:val="16"/>
                <w:szCs w:val="16"/>
                <w:color w:val="auto"/>
              </w:rPr>
            </w:pPr>
          </w:p>
        </w:tc>
        <w:tc>
          <w:tcPr>
            <w:tcW w:w="1600" w:type="dxa"/>
            <w:vAlign w:val="bottom"/>
            <w:shd w:val="clear" w:color="auto" w:fill="134A9C"/>
          </w:tcPr>
          <w:p>
            <w:pPr>
              <w:jc w:val="center"/>
              <w:ind w:left="468"/>
              <w:spacing w:after="0"/>
              <w:rPr>
                <w:sz w:val="20"/>
                <w:szCs w:val="20"/>
                <w:color w:val="auto"/>
              </w:rPr>
            </w:pPr>
            <w:r>
              <w:rPr>
                <w:rFonts w:ascii="Arial" w:cs="Arial" w:eastAsia="Arial" w:hAnsi="Arial"/>
                <w:sz w:val="14"/>
                <w:szCs w:val="14"/>
                <w:b w:val="1"/>
                <w:bCs w:val="1"/>
                <w:color w:val="FFFFFF"/>
              </w:rPr>
              <w:t>Shares of</w:t>
            </w:r>
          </w:p>
        </w:tc>
        <w:tc>
          <w:tcPr>
            <w:tcW w:w="580" w:type="dxa"/>
            <w:vAlign w:val="bottom"/>
            <w:tcBorders>
              <w:right w:val="single" w:sz="8" w:color="134A9C"/>
            </w:tcBorders>
            <w:shd w:val="clear" w:color="auto" w:fill="134A9C"/>
          </w:tcPr>
          <w:p>
            <w:pPr>
              <w:spacing w:after="0"/>
              <w:rPr>
                <w:sz w:val="16"/>
                <w:szCs w:val="16"/>
                <w:color w:val="auto"/>
              </w:rPr>
            </w:pPr>
          </w:p>
        </w:tc>
        <w:tc>
          <w:tcPr>
            <w:tcW w:w="2160" w:type="dxa"/>
            <w:vAlign w:val="bottom"/>
            <w:tcBorders>
              <w:right w:val="single" w:sz="8" w:color="134A9C"/>
            </w:tcBorders>
            <w:shd w:val="clear" w:color="auto" w:fill="134A9C"/>
          </w:tcPr>
          <w:p>
            <w:pPr>
              <w:spacing w:after="0"/>
              <w:rPr>
                <w:sz w:val="16"/>
                <w:szCs w:val="16"/>
                <w:color w:val="auto"/>
              </w:rPr>
            </w:pPr>
          </w:p>
        </w:tc>
      </w:tr>
      <w:tr>
        <w:trPr>
          <w:trHeight w:val="162"/>
        </w:trPr>
        <w:tc>
          <w:tcPr>
            <w:tcW w:w="7100" w:type="dxa"/>
            <w:vAlign w:val="bottom"/>
            <w:tcBorders>
              <w:left w:val="single" w:sz="8" w:color="134A9C"/>
              <w:right w:val="single" w:sz="8" w:color="134A9C"/>
            </w:tcBorders>
            <w:shd w:val="clear" w:color="auto" w:fill="134A9C"/>
          </w:tcPr>
          <w:p>
            <w:pPr>
              <w:spacing w:after="0"/>
              <w:rPr>
                <w:sz w:val="14"/>
                <w:szCs w:val="14"/>
                <w:color w:val="auto"/>
              </w:rPr>
            </w:pPr>
          </w:p>
        </w:tc>
        <w:tc>
          <w:tcPr>
            <w:tcW w:w="1600" w:type="dxa"/>
            <w:vAlign w:val="bottom"/>
            <w:shd w:val="clear" w:color="auto" w:fill="134A9C"/>
          </w:tcPr>
          <w:p>
            <w:pPr>
              <w:jc w:val="center"/>
              <w:ind w:left="468"/>
              <w:spacing w:after="0"/>
              <w:rPr>
                <w:sz w:val="20"/>
                <w:szCs w:val="20"/>
                <w:color w:val="auto"/>
              </w:rPr>
            </w:pPr>
            <w:r>
              <w:rPr>
                <w:rFonts w:ascii="Arial" w:cs="Arial" w:eastAsia="Arial" w:hAnsi="Arial"/>
                <w:sz w:val="14"/>
                <w:szCs w:val="14"/>
                <w:b w:val="1"/>
                <w:bCs w:val="1"/>
                <w:color w:val="FFFFFF"/>
              </w:rPr>
              <w:t>Common Stock</w:t>
            </w:r>
          </w:p>
        </w:tc>
        <w:tc>
          <w:tcPr>
            <w:tcW w:w="580" w:type="dxa"/>
            <w:vAlign w:val="bottom"/>
            <w:tcBorders>
              <w:right w:val="single" w:sz="8" w:color="134A9C"/>
            </w:tcBorders>
            <w:shd w:val="clear" w:color="auto" w:fill="134A9C"/>
          </w:tcPr>
          <w:p>
            <w:pPr>
              <w:spacing w:after="0"/>
              <w:rPr>
                <w:sz w:val="14"/>
                <w:szCs w:val="14"/>
                <w:color w:val="auto"/>
              </w:rPr>
            </w:pPr>
          </w:p>
        </w:tc>
        <w:tc>
          <w:tcPr>
            <w:tcW w:w="216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Deferred</w:t>
            </w:r>
          </w:p>
        </w:tc>
      </w:tr>
      <w:tr>
        <w:trPr>
          <w:trHeight w:val="162"/>
        </w:trPr>
        <w:tc>
          <w:tcPr>
            <w:tcW w:w="7100" w:type="dxa"/>
            <w:vAlign w:val="bottom"/>
            <w:tcBorders>
              <w:left w:val="single" w:sz="8" w:color="134A9C"/>
              <w:right w:val="single" w:sz="8" w:color="134A9C"/>
            </w:tcBorders>
            <w:shd w:val="clear" w:color="auto" w:fill="134A9C"/>
          </w:tcPr>
          <w:p>
            <w:pPr>
              <w:spacing w:after="0"/>
              <w:rPr>
                <w:sz w:val="14"/>
                <w:szCs w:val="14"/>
                <w:color w:val="auto"/>
              </w:rPr>
            </w:pPr>
          </w:p>
        </w:tc>
        <w:tc>
          <w:tcPr>
            <w:tcW w:w="1600" w:type="dxa"/>
            <w:vAlign w:val="bottom"/>
            <w:shd w:val="clear" w:color="auto" w:fill="134A9C"/>
          </w:tcPr>
          <w:p>
            <w:pPr>
              <w:jc w:val="center"/>
              <w:ind w:left="488"/>
              <w:spacing w:after="0"/>
              <w:rPr>
                <w:sz w:val="20"/>
                <w:szCs w:val="20"/>
                <w:color w:val="auto"/>
              </w:rPr>
            </w:pPr>
            <w:r>
              <w:rPr>
                <w:rFonts w:ascii="Arial" w:cs="Arial" w:eastAsia="Arial" w:hAnsi="Arial"/>
                <w:sz w:val="14"/>
                <w:szCs w:val="14"/>
                <w:b w:val="1"/>
                <w:bCs w:val="1"/>
                <w:color w:val="FFFFFF"/>
              </w:rPr>
              <w:t>Beneficially</w:t>
            </w:r>
          </w:p>
        </w:tc>
        <w:tc>
          <w:tcPr>
            <w:tcW w:w="580" w:type="dxa"/>
            <w:vAlign w:val="bottom"/>
            <w:tcBorders>
              <w:right w:val="single" w:sz="8" w:color="134A9C"/>
            </w:tcBorders>
            <w:shd w:val="clear" w:color="auto" w:fill="134A9C"/>
          </w:tcPr>
          <w:p>
            <w:pPr>
              <w:spacing w:after="0"/>
              <w:rPr>
                <w:sz w:val="14"/>
                <w:szCs w:val="14"/>
                <w:color w:val="auto"/>
              </w:rPr>
            </w:pPr>
          </w:p>
        </w:tc>
        <w:tc>
          <w:tcPr>
            <w:tcW w:w="216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Share</w:t>
            </w:r>
          </w:p>
        </w:tc>
      </w:tr>
      <w:tr>
        <w:trPr>
          <w:trHeight w:val="216"/>
        </w:trPr>
        <w:tc>
          <w:tcPr>
            <w:tcW w:w="7100" w:type="dxa"/>
            <w:vAlign w:val="bottom"/>
            <w:tcBorders>
              <w:left w:val="single" w:sz="8" w:color="134A9C"/>
              <w:right w:val="single" w:sz="8" w:color="134A9C"/>
            </w:tcBorders>
            <w:shd w:val="clear" w:color="auto" w:fill="134A9C"/>
          </w:tcPr>
          <w:p>
            <w:pPr>
              <w:ind w:left="40"/>
              <w:spacing w:after="0"/>
              <w:rPr>
                <w:sz w:val="20"/>
                <w:szCs w:val="20"/>
                <w:color w:val="auto"/>
              </w:rPr>
            </w:pPr>
            <w:r>
              <w:rPr>
                <w:rFonts w:ascii="Arial" w:cs="Arial" w:eastAsia="Arial" w:hAnsi="Arial"/>
                <w:sz w:val="14"/>
                <w:szCs w:val="14"/>
                <w:b w:val="1"/>
                <w:bCs w:val="1"/>
                <w:color w:val="FFFFFF"/>
              </w:rPr>
              <w:t>Director</w:t>
            </w:r>
          </w:p>
        </w:tc>
        <w:tc>
          <w:tcPr>
            <w:tcW w:w="1600" w:type="dxa"/>
            <w:vAlign w:val="bottom"/>
            <w:shd w:val="clear" w:color="auto" w:fill="134A9C"/>
          </w:tcPr>
          <w:p>
            <w:pPr>
              <w:jc w:val="center"/>
              <w:ind w:left="488"/>
              <w:spacing w:after="0"/>
              <w:rPr>
                <w:sz w:val="20"/>
                <w:szCs w:val="20"/>
                <w:color w:val="auto"/>
              </w:rPr>
            </w:pPr>
            <w:r>
              <w:rPr>
                <w:rFonts w:ascii="Arial" w:cs="Arial" w:eastAsia="Arial" w:hAnsi="Arial"/>
                <w:sz w:val="14"/>
                <w:szCs w:val="14"/>
                <w:b w:val="1"/>
                <w:bCs w:val="1"/>
                <w:color w:val="FFFFFF"/>
              </w:rPr>
              <w:t>Owned</w:t>
            </w:r>
          </w:p>
        </w:tc>
        <w:tc>
          <w:tcPr>
            <w:tcW w:w="580" w:type="dxa"/>
            <w:vAlign w:val="bottom"/>
            <w:tcBorders>
              <w:right w:val="single" w:sz="8" w:color="134A9C"/>
            </w:tcBorders>
            <w:shd w:val="clear" w:color="auto" w:fill="134A9C"/>
          </w:tcPr>
          <w:p>
            <w:pPr>
              <w:spacing w:after="0"/>
              <w:rPr>
                <w:sz w:val="18"/>
                <w:szCs w:val="18"/>
                <w:color w:val="auto"/>
              </w:rPr>
            </w:pPr>
          </w:p>
        </w:tc>
        <w:tc>
          <w:tcPr>
            <w:tcW w:w="216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w w:val="94"/>
              </w:rPr>
              <w:t xml:space="preserve">Units </w:t>
            </w:r>
            <w:r>
              <w:rPr>
                <w:rFonts w:ascii="Arial" w:cs="Arial" w:eastAsia="Arial" w:hAnsi="Arial"/>
                <w:sz w:val="17"/>
                <w:szCs w:val="17"/>
                <w:b w:val="1"/>
                <w:bCs w:val="1"/>
                <w:color w:val="FFFFFF"/>
                <w:w w:val="94"/>
                <w:vertAlign w:val="superscript"/>
              </w:rPr>
              <w:t>(1)</w:t>
            </w:r>
          </w:p>
        </w:tc>
      </w:tr>
      <w:tr>
        <w:trPr>
          <w:trHeight w:val="210"/>
        </w:trPr>
        <w:tc>
          <w:tcPr>
            <w:tcW w:w="7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Joseph J. Ashton</w:t>
            </w:r>
          </w:p>
        </w:tc>
        <w:tc>
          <w:tcPr>
            <w:tcW w:w="1600" w:type="dxa"/>
            <w:vAlign w:val="bottom"/>
            <w:tcBorders>
              <w:bottom w:val="single" w:sz="8" w:color="134A9C"/>
            </w:tcBorders>
          </w:tcPr>
          <w:p>
            <w:pPr>
              <w:spacing w:after="0"/>
              <w:rPr>
                <w:sz w:val="18"/>
                <w:szCs w:val="18"/>
                <w:color w:val="auto"/>
              </w:rPr>
            </w:pPr>
          </w:p>
        </w:tc>
        <w:tc>
          <w:tcPr>
            <w:tcW w:w="5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2,587</w:t>
            </w:r>
          </w:p>
        </w:tc>
      </w:tr>
      <w:tr>
        <w:trPr>
          <w:trHeight w:val="210"/>
        </w:trPr>
        <w:tc>
          <w:tcPr>
            <w:tcW w:w="7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Erroll B. Davis, Jr.</w:t>
            </w:r>
          </w:p>
        </w:tc>
        <w:tc>
          <w:tcPr>
            <w:tcW w:w="1600" w:type="dxa"/>
            <w:vAlign w:val="bottom"/>
            <w:tcBorders>
              <w:bottom w:val="single" w:sz="8" w:color="134A9C"/>
            </w:tcBorders>
          </w:tcPr>
          <w:p>
            <w:pPr>
              <w:spacing w:after="0"/>
              <w:rPr>
                <w:sz w:val="18"/>
                <w:szCs w:val="18"/>
                <w:color w:val="auto"/>
              </w:rPr>
            </w:pPr>
          </w:p>
        </w:tc>
        <w:tc>
          <w:tcPr>
            <w:tcW w:w="5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800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15,955</w:t>
            </w:r>
          </w:p>
        </w:tc>
      </w:tr>
      <w:tr>
        <w:trPr>
          <w:trHeight w:val="216"/>
        </w:trPr>
        <w:tc>
          <w:tcPr>
            <w:tcW w:w="7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 xml:space="preserve">Stephen J. Girsky </w:t>
            </w:r>
            <w:r>
              <w:rPr>
                <w:rFonts w:ascii="Arial" w:cs="Arial" w:eastAsia="Arial" w:hAnsi="Arial"/>
                <w:sz w:val="17"/>
                <w:szCs w:val="17"/>
                <w:color w:val="auto"/>
                <w:vertAlign w:val="superscript"/>
              </w:rPr>
              <w:t>(2)</w:t>
            </w:r>
          </w:p>
        </w:tc>
        <w:tc>
          <w:tcPr>
            <w:tcW w:w="1600" w:type="dxa"/>
            <w:vAlign w:val="bottom"/>
            <w:tcBorders>
              <w:bottom w:val="single" w:sz="8" w:color="134A9C"/>
            </w:tcBorders>
          </w:tcPr>
          <w:p>
            <w:pPr>
              <w:spacing w:after="0"/>
              <w:rPr>
                <w:sz w:val="18"/>
                <w:szCs w:val="18"/>
                <w:color w:val="auto"/>
              </w:rPr>
            </w:pPr>
          </w:p>
        </w:tc>
        <w:tc>
          <w:tcPr>
            <w:tcW w:w="5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10,300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1,519</w:t>
            </w:r>
          </w:p>
        </w:tc>
      </w:tr>
      <w:tr>
        <w:trPr>
          <w:trHeight w:val="204"/>
        </w:trPr>
        <w:tc>
          <w:tcPr>
            <w:tcW w:w="7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Linda R. Gooden</w:t>
            </w:r>
          </w:p>
        </w:tc>
        <w:tc>
          <w:tcPr>
            <w:tcW w:w="1600" w:type="dxa"/>
            <w:vAlign w:val="bottom"/>
            <w:tcBorders>
              <w:bottom w:val="single" w:sz="8" w:color="134A9C"/>
            </w:tcBorders>
          </w:tcPr>
          <w:p>
            <w:pPr>
              <w:spacing w:after="0"/>
              <w:rPr>
                <w:sz w:val="17"/>
                <w:szCs w:val="17"/>
                <w:color w:val="auto"/>
              </w:rPr>
            </w:pPr>
          </w:p>
        </w:tc>
        <w:tc>
          <w:tcPr>
            <w:tcW w:w="5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r>
      <w:tr>
        <w:trPr>
          <w:trHeight w:val="210"/>
        </w:trPr>
        <w:tc>
          <w:tcPr>
            <w:tcW w:w="7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E. Neville Isdell</w:t>
            </w:r>
          </w:p>
        </w:tc>
        <w:tc>
          <w:tcPr>
            <w:tcW w:w="1600" w:type="dxa"/>
            <w:vAlign w:val="bottom"/>
            <w:tcBorders>
              <w:bottom w:val="single" w:sz="8" w:color="134A9C"/>
            </w:tcBorders>
          </w:tcPr>
          <w:p>
            <w:pPr>
              <w:spacing w:after="0"/>
              <w:rPr>
                <w:sz w:val="18"/>
                <w:szCs w:val="18"/>
                <w:color w:val="auto"/>
              </w:rPr>
            </w:pPr>
          </w:p>
        </w:tc>
        <w:tc>
          <w:tcPr>
            <w:tcW w:w="5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16,300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15,602</w:t>
            </w:r>
          </w:p>
        </w:tc>
      </w:tr>
      <w:tr>
        <w:trPr>
          <w:trHeight w:val="210"/>
        </w:trPr>
        <w:tc>
          <w:tcPr>
            <w:tcW w:w="7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Joseph Jimenez, Jr.</w:t>
            </w:r>
          </w:p>
        </w:tc>
        <w:tc>
          <w:tcPr>
            <w:tcW w:w="1600" w:type="dxa"/>
            <w:vAlign w:val="bottom"/>
            <w:tcBorders>
              <w:bottom w:val="single" w:sz="8" w:color="134A9C"/>
            </w:tcBorders>
          </w:tcPr>
          <w:p>
            <w:pPr>
              <w:spacing w:after="0"/>
              <w:rPr>
                <w:sz w:val="18"/>
                <w:szCs w:val="18"/>
                <w:color w:val="auto"/>
              </w:rPr>
            </w:pPr>
          </w:p>
        </w:tc>
        <w:tc>
          <w:tcPr>
            <w:tcW w:w="5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330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r>
      <w:tr>
        <w:trPr>
          <w:trHeight w:val="210"/>
        </w:trPr>
        <w:tc>
          <w:tcPr>
            <w:tcW w:w="7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Kathryn V. Marinello</w:t>
            </w:r>
          </w:p>
        </w:tc>
        <w:tc>
          <w:tcPr>
            <w:tcW w:w="1600" w:type="dxa"/>
            <w:vAlign w:val="bottom"/>
            <w:tcBorders>
              <w:bottom w:val="single" w:sz="8" w:color="134A9C"/>
            </w:tcBorders>
          </w:tcPr>
          <w:p>
            <w:pPr>
              <w:spacing w:after="0"/>
              <w:rPr>
                <w:sz w:val="18"/>
                <w:szCs w:val="18"/>
                <w:color w:val="auto"/>
              </w:rPr>
            </w:pPr>
          </w:p>
        </w:tc>
        <w:tc>
          <w:tcPr>
            <w:tcW w:w="5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800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28,241</w:t>
            </w:r>
          </w:p>
        </w:tc>
      </w:tr>
      <w:tr>
        <w:trPr>
          <w:trHeight w:val="210"/>
        </w:trPr>
        <w:tc>
          <w:tcPr>
            <w:tcW w:w="7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Michael G. Mullen</w:t>
            </w:r>
          </w:p>
        </w:tc>
        <w:tc>
          <w:tcPr>
            <w:tcW w:w="1600" w:type="dxa"/>
            <w:vAlign w:val="bottom"/>
            <w:tcBorders>
              <w:bottom w:val="single" w:sz="8" w:color="134A9C"/>
            </w:tcBorders>
          </w:tcPr>
          <w:p>
            <w:pPr>
              <w:spacing w:after="0"/>
              <w:rPr>
                <w:sz w:val="18"/>
                <w:szCs w:val="18"/>
                <w:color w:val="auto"/>
              </w:rPr>
            </w:pPr>
          </w:p>
        </w:tc>
        <w:tc>
          <w:tcPr>
            <w:tcW w:w="5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5,760</w:t>
            </w:r>
          </w:p>
        </w:tc>
      </w:tr>
      <w:tr>
        <w:trPr>
          <w:trHeight w:val="210"/>
        </w:trPr>
        <w:tc>
          <w:tcPr>
            <w:tcW w:w="7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James J. Mulva</w:t>
            </w:r>
          </w:p>
        </w:tc>
        <w:tc>
          <w:tcPr>
            <w:tcW w:w="1600" w:type="dxa"/>
            <w:vAlign w:val="bottom"/>
            <w:tcBorders>
              <w:bottom w:val="single" w:sz="8" w:color="134A9C"/>
            </w:tcBorders>
          </w:tcPr>
          <w:p>
            <w:pPr>
              <w:spacing w:after="0"/>
              <w:rPr>
                <w:sz w:val="18"/>
                <w:szCs w:val="18"/>
                <w:color w:val="auto"/>
              </w:rPr>
            </w:pPr>
          </w:p>
        </w:tc>
        <w:tc>
          <w:tcPr>
            <w:tcW w:w="5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17,356</w:t>
            </w:r>
          </w:p>
        </w:tc>
      </w:tr>
      <w:tr>
        <w:trPr>
          <w:trHeight w:val="210"/>
        </w:trPr>
        <w:tc>
          <w:tcPr>
            <w:tcW w:w="7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Patricia F. Russo</w:t>
            </w:r>
          </w:p>
        </w:tc>
        <w:tc>
          <w:tcPr>
            <w:tcW w:w="1600" w:type="dxa"/>
            <w:vAlign w:val="bottom"/>
            <w:tcBorders>
              <w:bottom w:val="single" w:sz="8" w:color="134A9C"/>
            </w:tcBorders>
          </w:tcPr>
          <w:p>
            <w:pPr>
              <w:spacing w:after="0"/>
              <w:rPr>
                <w:sz w:val="18"/>
                <w:szCs w:val="18"/>
                <w:color w:val="auto"/>
              </w:rPr>
            </w:pPr>
          </w:p>
        </w:tc>
        <w:tc>
          <w:tcPr>
            <w:tcW w:w="5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800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14,123</w:t>
            </w:r>
          </w:p>
        </w:tc>
      </w:tr>
      <w:tr>
        <w:trPr>
          <w:trHeight w:val="210"/>
        </w:trPr>
        <w:tc>
          <w:tcPr>
            <w:tcW w:w="7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Thomas M. Schoewe</w:t>
            </w:r>
          </w:p>
        </w:tc>
        <w:tc>
          <w:tcPr>
            <w:tcW w:w="1600" w:type="dxa"/>
            <w:vAlign w:val="bottom"/>
            <w:tcBorders>
              <w:bottom w:val="single" w:sz="8" w:color="134A9C"/>
            </w:tcBorders>
          </w:tcPr>
          <w:p>
            <w:pPr>
              <w:spacing w:after="0"/>
              <w:rPr>
                <w:sz w:val="18"/>
                <w:szCs w:val="18"/>
                <w:color w:val="auto"/>
              </w:rPr>
            </w:pPr>
          </w:p>
        </w:tc>
        <w:tc>
          <w:tcPr>
            <w:tcW w:w="5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7,645</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11,286</w:t>
            </w:r>
          </w:p>
        </w:tc>
      </w:tr>
      <w:tr>
        <w:trPr>
          <w:trHeight w:val="210"/>
        </w:trPr>
        <w:tc>
          <w:tcPr>
            <w:tcW w:w="7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Theodore M. Solso</w:t>
            </w:r>
          </w:p>
        </w:tc>
        <w:tc>
          <w:tcPr>
            <w:tcW w:w="1600" w:type="dxa"/>
            <w:vAlign w:val="bottom"/>
            <w:tcBorders>
              <w:bottom w:val="single" w:sz="8" w:color="134A9C"/>
            </w:tcBorders>
          </w:tcPr>
          <w:p>
            <w:pPr>
              <w:spacing w:after="0"/>
              <w:rPr>
                <w:sz w:val="18"/>
                <w:szCs w:val="18"/>
                <w:color w:val="auto"/>
              </w:rPr>
            </w:pPr>
          </w:p>
        </w:tc>
        <w:tc>
          <w:tcPr>
            <w:tcW w:w="5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5,000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17,356</w:t>
            </w:r>
          </w:p>
        </w:tc>
      </w:tr>
      <w:tr>
        <w:trPr>
          <w:trHeight w:val="210"/>
        </w:trPr>
        <w:tc>
          <w:tcPr>
            <w:tcW w:w="7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Carol M. Stephenson</w:t>
            </w:r>
          </w:p>
        </w:tc>
        <w:tc>
          <w:tcPr>
            <w:tcW w:w="1600" w:type="dxa"/>
            <w:vAlign w:val="bottom"/>
            <w:tcBorders>
              <w:bottom w:val="single" w:sz="8" w:color="134A9C"/>
            </w:tcBorders>
          </w:tcPr>
          <w:p>
            <w:pPr>
              <w:spacing w:after="0"/>
              <w:rPr>
                <w:sz w:val="18"/>
                <w:szCs w:val="18"/>
                <w:color w:val="auto"/>
              </w:rPr>
            </w:pPr>
          </w:p>
        </w:tc>
        <w:tc>
          <w:tcPr>
            <w:tcW w:w="5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800</w:t>
            </w:r>
          </w:p>
        </w:tc>
        <w:tc>
          <w:tcPr>
            <w:tcW w:w="21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28,241</w:t>
            </w:r>
          </w:p>
        </w:tc>
      </w:tr>
    </w:tbl>
    <w:p>
      <w:pPr>
        <w:spacing w:after="0" w:line="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Deferred Share Units - Represents the unit equivalents of our Common Stock under the Director Compensation Plan described on page 27.</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addition, Mr. Girsky owns 106,343 vested and undelivered salary stock units acquired as part of his compensation during the period he was an employee of the Company. Salary stock units are denominated in stock units and will be delivered in cash or stock at his election pursuant to his delivery schedule.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Named Executive Officers and All Directors and Executive Officers as a Group</w:t>
      </w: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560" w:type="dxa"/>
            <w:vAlign w:val="bottom"/>
            <w:tcBorders>
              <w:left w:val="single" w:sz="8" w:color="134A9C"/>
              <w:right w:val="single" w:sz="8" w:color="134A9C"/>
            </w:tcBorders>
            <w:shd w:val="clear" w:color="auto" w:fill="134A9C"/>
          </w:tcPr>
          <w:p>
            <w:pPr>
              <w:spacing w:after="0"/>
              <w:rPr>
                <w:sz w:val="16"/>
                <w:szCs w:val="16"/>
                <w:color w:val="auto"/>
              </w:rPr>
            </w:pPr>
          </w:p>
        </w:tc>
        <w:tc>
          <w:tcPr>
            <w:tcW w:w="19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Shares of</w:t>
            </w:r>
          </w:p>
        </w:tc>
        <w:tc>
          <w:tcPr>
            <w:tcW w:w="1940" w:type="dxa"/>
            <w:vAlign w:val="bottom"/>
            <w:tcBorders>
              <w:right w:val="single" w:sz="8" w:color="134A9C"/>
            </w:tcBorders>
            <w:shd w:val="clear" w:color="auto" w:fill="134A9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560" w:type="dxa"/>
            <w:vAlign w:val="bottom"/>
            <w:tcBorders>
              <w:left w:val="single" w:sz="8" w:color="134A9C"/>
              <w:right w:val="single" w:sz="8" w:color="134A9C"/>
            </w:tcBorders>
            <w:shd w:val="clear" w:color="auto" w:fill="134A9C"/>
          </w:tcPr>
          <w:p>
            <w:pPr>
              <w:spacing w:after="0"/>
              <w:rPr>
                <w:sz w:val="14"/>
                <w:szCs w:val="14"/>
                <w:color w:val="auto"/>
              </w:rPr>
            </w:pPr>
          </w:p>
        </w:tc>
        <w:tc>
          <w:tcPr>
            <w:tcW w:w="19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Common Stock</w:t>
            </w:r>
          </w:p>
        </w:tc>
        <w:tc>
          <w:tcPr>
            <w:tcW w:w="19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Deferred Salary</w:t>
            </w:r>
          </w:p>
        </w:tc>
        <w:tc>
          <w:tcPr>
            <w:tcW w:w="0" w:type="dxa"/>
            <w:vAlign w:val="bottom"/>
          </w:tcPr>
          <w:p>
            <w:pPr>
              <w:spacing w:after="0"/>
              <w:rPr>
                <w:sz w:val="1"/>
                <w:szCs w:val="1"/>
                <w:color w:val="auto"/>
              </w:rPr>
            </w:pPr>
          </w:p>
        </w:tc>
      </w:tr>
      <w:tr>
        <w:trPr>
          <w:trHeight w:val="190"/>
        </w:trPr>
        <w:tc>
          <w:tcPr>
            <w:tcW w:w="7560" w:type="dxa"/>
            <w:vAlign w:val="bottom"/>
            <w:tcBorders>
              <w:left w:val="single" w:sz="8" w:color="134A9C"/>
              <w:right w:val="single" w:sz="8" w:color="134A9C"/>
            </w:tcBorders>
            <w:shd w:val="clear" w:color="auto" w:fill="134A9C"/>
          </w:tcPr>
          <w:p>
            <w:pPr>
              <w:spacing w:after="0"/>
              <w:rPr>
                <w:sz w:val="16"/>
                <w:szCs w:val="16"/>
                <w:color w:val="auto"/>
              </w:rPr>
            </w:pPr>
          </w:p>
        </w:tc>
        <w:tc>
          <w:tcPr>
            <w:tcW w:w="19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Beneficially</w:t>
            </w:r>
          </w:p>
        </w:tc>
        <w:tc>
          <w:tcPr>
            <w:tcW w:w="19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Stock</w:t>
            </w:r>
          </w:p>
        </w:tc>
        <w:tc>
          <w:tcPr>
            <w:tcW w:w="0" w:type="dxa"/>
            <w:vAlign w:val="bottom"/>
          </w:tcPr>
          <w:p>
            <w:pPr>
              <w:spacing w:after="0"/>
              <w:rPr>
                <w:sz w:val="1"/>
                <w:szCs w:val="1"/>
                <w:color w:val="auto"/>
              </w:rPr>
            </w:pPr>
          </w:p>
        </w:tc>
      </w:tr>
      <w:tr>
        <w:trPr>
          <w:trHeight w:val="242"/>
        </w:trPr>
        <w:tc>
          <w:tcPr>
            <w:tcW w:w="7560" w:type="dxa"/>
            <w:vAlign w:val="bottom"/>
            <w:tcBorders>
              <w:left w:val="single" w:sz="8" w:color="134A9C"/>
              <w:right w:val="single" w:sz="8" w:color="134A9C"/>
            </w:tcBorders>
            <w:shd w:val="clear" w:color="auto" w:fill="134A9C"/>
          </w:tcPr>
          <w:p>
            <w:pPr>
              <w:ind w:left="40"/>
              <w:spacing w:after="0"/>
              <w:rPr>
                <w:sz w:val="20"/>
                <w:szCs w:val="20"/>
                <w:color w:val="auto"/>
              </w:rPr>
            </w:pPr>
            <w:r>
              <w:rPr>
                <w:rFonts w:ascii="Arial" w:cs="Arial" w:eastAsia="Arial" w:hAnsi="Arial"/>
                <w:sz w:val="14"/>
                <w:szCs w:val="14"/>
                <w:b w:val="1"/>
                <w:bCs w:val="1"/>
                <w:color w:val="FFFFFF"/>
              </w:rPr>
              <w:t>Name</w:t>
            </w:r>
          </w:p>
        </w:tc>
        <w:tc>
          <w:tcPr>
            <w:tcW w:w="19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w w:val="99"/>
              </w:rPr>
              <w:t xml:space="preserve">Owned </w:t>
            </w:r>
            <w:r>
              <w:rPr>
                <w:rFonts w:ascii="Arial" w:cs="Arial" w:eastAsia="Arial" w:hAnsi="Arial"/>
                <w:sz w:val="17"/>
                <w:szCs w:val="17"/>
                <w:b w:val="1"/>
                <w:bCs w:val="1"/>
                <w:color w:val="FFFFFF"/>
                <w:w w:val="99"/>
                <w:vertAlign w:val="superscript"/>
              </w:rPr>
              <w:t>(1)</w:t>
            </w:r>
          </w:p>
        </w:tc>
        <w:tc>
          <w:tcPr>
            <w:tcW w:w="19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w w:val="94"/>
              </w:rPr>
              <w:t xml:space="preserve">Units </w:t>
            </w:r>
            <w:r>
              <w:rPr>
                <w:rFonts w:ascii="Arial" w:cs="Arial" w:eastAsia="Arial" w:hAnsi="Arial"/>
                <w:sz w:val="17"/>
                <w:szCs w:val="17"/>
                <w:b w:val="1"/>
                <w:bCs w:val="1"/>
                <w:color w:val="FFFFFF"/>
                <w:w w:val="94"/>
                <w:vertAlign w:val="superscript"/>
              </w:rPr>
              <w:t>(2)</w:t>
            </w:r>
          </w:p>
        </w:tc>
        <w:tc>
          <w:tcPr>
            <w:tcW w:w="0" w:type="dxa"/>
            <w:vAlign w:val="bottom"/>
          </w:tcPr>
          <w:p>
            <w:pPr>
              <w:spacing w:after="0"/>
              <w:rPr>
                <w:sz w:val="1"/>
                <w:szCs w:val="1"/>
                <w:color w:val="auto"/>
              </w:rPr>
            </w:pPr>
          </w:p>
        </w:tc>
      </w:tr>
      <w:tr>
        <w:trPr>
          <w:trHeight w:val="210"/>
        </w:trPr>
        <w:tc>
          <w:tcPr>
            <w:tcW w:w="75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Mary T. Barra</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67,655</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74,398</w:t>
            </w:r>
          </w:p>
        </w:tc>
        <w:tc>
          <w:tcPr>
            <w:tcW w:w="0" w:type="dxa"/>
            <w:vAlign w:val="bottom"/>
          </w:tcPr>
          <w:p>
            <w:pPr>
              <w:spacing w:after="0"/>
              <w:rPr>
                <w:sz w:val="1"/>
                <w:szCs w:val="1"/>
                <w:color w:val="auto"/>
              </w:rPr>
            </w:pPr>
          </w:p>
        </w:tc>
      </w:tr>
      <w:tr>
        <w:trPr>
          <w:trHeight w:val="210"/>
        </w:trPr>
        <w:tc>
          <w:tcPr>
            <w:tcW w:w="75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Charles K. Stevens, III</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27,128</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210"/>
        </w:trPr>
        <w:tc>
          <w:tcPr>
            <w:tcW w:w="75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Ammann</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158,938</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75,287</w:t>
            </w:r>
          </w:p>
        </w:tc>
        <w:tc>
          <w:tcPr>
            <w:tcW w:w="0" w:type="dxa"/>
            <w:vAlign w:val="bottom"/>
          </w:tcPr>
          <w:p>
            <w:pPr>
              <w:spacing w:after="0"/>
              <w:rPr>
                <w:sz w:val="1"/>
                <w:szCs w:val="1"/>
                <w:color w:val="auto"/>
              </w:rPr>
            </w:pPr>
          </w:p>
        </w:tc>
      </w:tr>
      <w:tr>
        <w:trPr>
          <w:trHeight w:val="210"/>
        </w:trPr>
        <w:tc>
          <w:tcPr>
            <w:tcW w:w="75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Mark L. Reuss</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36,924</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63,456</w:t>
            </w:r>
          </w:p>
        </w:tc>
        <w:tc>
          <w:tcPr>
            <w:tcW w:w="0" w:type="dxa"/>
            <w:vAlign w:val="bottom"/>
          </w:tcPr>
          <w:p>
            <w:pPr>
              <w:spacing w:after="0"/>
              <w:rPr>
                <w:sz w:val="1"/>
                <w:szCs w:val="1"/>
                <w:color w:val="auto"/>
              </w:rPr>
            </w:pPr>
          </w:p>
        </w:tc>
      </w:tr>
      <w:tr>
        <w:trPr>
          <w:trHeight w:val="210"/>
        </w:trPr>
        <w:tc>
          <w:tcPr>
            <w:tcW w:w="75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Michael P. Millikin</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51,255</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71,821</w:t>
            </w:r>
          </w:p>
        </w:tc>
        <w:tc>
          <w:tcPr>
            <w:tcW w:w="0" w:type="dxa"/>
            <w:vAlign w:val="bottom"/>
          </w:tcPr>
          <w:p>
            <w:pPr>
              <w:spacing w:after="0"/>
              <w:rPr>
                <w:sz w:val="1"/>
                <w:szCs w:val="1"/>
                <w:color w:val="auto"/>
              </w:rPr>
            </w:pPr>
          </w:p>
        </w:tc>
      </w:tr>
      <w:tr>
        <w:trPr>
          <w:trHeight w:val="210"/>
        </w:trPr>
        <w:tc>
          <w:tcPr>
            <w:tcW w:w="75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Karl-Thomas Neumann</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36,141</w:t>
            </w:r>
          </w:p>
        </w:tc>
        <w:tc>
          <w:tcPr>
            <w:tcW w:w="0" w:type="dxa"/>
            <w:vAlign w:val="bottom"/>
          </w:tcPr>
          <w:p>
            <w:pPr>
              <w:spacing w:after="0"/>
              <w:rPr>
                <w:sz w:val="1"/>
                <w:szCs w:val="1"/>
                <w:color w:val="auto"/>
              </w:rPr>
            </w:pPr>
          </w:p>
        </w:tc>
      </w:tr>
      <w:tr>
        <w:trPr>
          <w:trHeight w:val="210"/>
        </w:trPr>
        <w:tc>
          <w:tcPr>
            <w:tcW w:w="75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F. Akerson</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145,449</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201,129</w:t>
            </w:r>
          </w:p>
        </w:tc>
        <w:tc>
          <w:tcPr>
            <w:tcW w:w="0" w:type="dxa"/>
            <w:vAlign w:val="bottom"/>
          </w:tcPr>
          <w:p>
            <w:pPr>
              <w:spacing w:after="0"/>
              <w:rPr>
                <w:sz w:val="1"/>
                <w:szCs w:val="1"/>
                <w:color w:val="auto"/>
              </w:rPr>
            </w:pPr>
          </w:p>
        </w:tc>
      </w:tr>
      <w:tr>
        <w:trPr>
          <w:trHeight w:val="193"/>
        </w:trPr>
        <w:tc>
          <w:tcPr>
            <w:tcW w:w="75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All Directors and Executive Officers as a Group</w:t>
            </w:r>
          </w:p>
        </w:tc>
        <w:tc>
          <w:tcPr>
            <w:tcW w:w="1940" w:type="dxa"/>
            <w:vAlign w:val="bottom"/>
            <w:tcBorders>
              <w:right w:val="single" w:sz="8" w:color="134A9C"/>
            </w:tcBorders>
            <w:vMerge w:val="restart"/>
          </w:tcPr>
          <w:p>
            <w:pPr>
              <w:jc w:val="right"/>
              <w:ind w:right="48"/>
              <w:spacing w:after="0"/>
              <w:rPr>
                <w:sz w:val="20"/>
                <w:szCs w:val="20"/>
                <w:color w:val="auto"/>
              </w:rPr>
            </w:pPr>
            <w:r>
              <w:rPr>
                <w:rFonts w:ascii="Arial" w:cs="Arial" w:eastAsia="Arial" w:hAnsi="Arial"/>
                <w:sz w:val="14"/>
                <w:szCs w:val="14"/>
                <w:color w:val="auto"/>
              </w:rPr>
              <w:t>563,042</w:t>
            </w:r>
          </w:p>
        </w:tc>
        <w:tc>
          <w:tcPr>
            <w:tcW w:w="1940" w:type="dxa"/>
            <w:vAlign w:val="bottom"/>
            <w:tcBorders>
              <w:right w:val="single" w:sz="8" w:color="134A9C"/>
            </w:tcBorders>
            <w:vMerge w:val="restart"/>
          </w:tcPr>
          <w:p>
            <w:pPr>
              <w:jc w:val="right"/>
              <w:ind w:right="48"/>
              <w:spacing w:after="0"/>
              <w:rPr>
                <w:sz w:val="20"/>
                <w:szCs w:val="20"/>
                <w:color w:val="auto"/>
              </w:rPr>
            </w:pPr>
            <w:r>
              <w:rPr>
                <w:rFonts w:ascii="Arial" w:cs="Arial" w:eastAsia="Arial" w:hAnsi="Arial"/>
                <w:sz w:val="14"/>
                <w:szCs w:val="14"/>
                <w:color w:val="auto"/>
              </w:rPr>
              <w:t>852,877</w:t>
            </w:r>
          </w:p>
        </w:tc>
        <w:tc>
          <w:tcPr>
            <w:tcW w:w="0" w:type="dxa"/>
            <w:vAlign w:val="bottom"/>
          </w:tcPr>
          <w:p>
            <w:pPr>
              <w:spacing w:after="0"/>
              <w:rPr>
                <w:sz w:val="1"/>
                <w:szCs w:val="1"/>
                <w:color w:val="auto"/>
              </w:rPr>
            </w:pPr>
          </w:p>
        </w:tc>
      </w:tr>
      <w:tr>
        <w:trPr>
          <w:trHeight w:val="91"/>
        </w:trPr>
        <w:tc>
          <w:tcPr>
            <w:tcW w:w="7560" w:type="dxa"/>
            <w:vAlign w:val="bottom"/>
            <w:tcBorders>
              <w:left w:val="single" w:sz="8" w:color="134A9C"/>
              <w:right w:val="single" w:sz="8" w:color="134A9C"/>
            </w:tcBorders>
            <w:vMerge w:val="restart"/>
          </w:tcPr>
          <w:p>
            <w:pPr>
              <w:ind w:left="40"/>
              <w:spacing w:after="0"/>
              <w:rPr>
                <w:sz w:val="20"/>
                <w:szCs w:val="20"/>
                <w:color w:val="auto"/>
              </w:rPr>
            </w:pPr>
            <w:r>
              <w:rPr>
                <w:rFonts w:ascii="Arial" w:cs="Arial" w:eastAsia="Arial" w:hAnsi="Arial"/>
                <w:sz w:val="14"/>
                <w:szCs w:val="14"/>
                <w:color w:val="auto"/>
              </w:rPr>
              <w:t>(27 persons, including the foregoing)</w:t>
            </w:r>
          </w:p>
        </w:tc>
        <w:tc>
          <w:tcPr>
            <w:tcW w:w="1940" w:type="dxa"/>
            <w:vAlign w:val="bottom"/>
            <w:tcBorders>
              <w:right w:val="single" w:sz="8" w:color="134A9C"/>
            </w:tcBorders>
            <w:vMerge w:val="continue"/>
          </w:tcPr>
          <w:p>
            <w:pPr>
              <w:spacing w:after="0"/>
              <w:rPr>
                <w:sz w:val="7"/>
                <w:szCs w:val="7"/>
                <w:color w:val="auto"/>
              </w:rPr>
            </w:pPr>
          </w:p>
        </w:tc>
        <w:tc>
          <w:tcPr>
            <w:tcW w:w="1940" w:type="dxa"/>
            <w:vAlign w:val="bottom"/>
            <w:tcBorders>
              <w:right w:val="single" w:sz="8" w:color="134A9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7560" w:type="dxa"/>
            <w:vAlign w:val="bottom"/>
            <w:tcBorders>
              <w:left w:val="single" w:sz="8" w:color="134A9C"/>
              <w:bottom w:val="single" w:sz="8" w:color="134A9C"/>
              <w:right w:val="single" w:sz="8" w:color="134A9C"/>
            </w:tcBorders>
            <w:vMerge w:val="continue"/>
          </w:tcPr>
          <w:p>
            <w:pPr>
              <w:spacing w:after="0"/>
              <w:rPr>
                <w:sz w:val="7"/>
                <w:szCs w:val="7"/>
                <w:color w:val="auto"/>
              </w:rPr>
            </w:pPr>
          </w:p>
        </w:tc>
        <w:tc>
          <w:tcPr>
            <w:tcW w:w="1940" w:type="dxa"/>
            <w:vAlign w:val="bottom"/>
            <w:tcBorders>
              <w:bottom w:val="single" w:sz="8" w:color="134A9C"/>
              <w:right w:val="single" w:sz="8" w:color="134A9C"/>
            </w:tcBorders>
          </w:tcPr>
          <w:p>
            <w:pPr>
              <w:spacing w:after="0"/>
              <w:rPr>
                <w:sz w:val="7"/>
                <w:szCs w:val="7"/>
                <w:color w:val="auto"/>
              </w:rPr>
            </w:pPr>
          </w:p>
        </w:tc>
        <w:tc>
          <w:tcPr>
            <w:tcW w:w="1940" w:type="dxa"/>
            <w:vAlign w:val="bottom"/>
            <w:tcBorders>
              <w:bottom w:val="single" w:sz="8" w:color="134A9C"/>
              <w:right w:val="single" w:sz="8" w:color="134A9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shares held directly by the executive officer as well as vested restricted stock, and excludes shares shown in the "Deferred Salary Stock Units" column.</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vested and undelivered salary stock units, which are denominated in stock units and will be delivered in cash or stock at the executive's election pursuant to their respective delivery schedules. The total includes Mr. Girsky's deferred salary stock units as described in footnote (2) of the above "Non-Employee Directors" table.</w:t>
      </w:r>
    </w:p>
    <w:p>
      <w:pPr>
        <w:spacing w:after="0" w:line="378"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33</w:t>
      </w:r>
      <w:r>
        <w:rPr>
          <w:sz w:val="20"/>
          <w:szCs w:val="20"/>
          <w:color w:val="auto"/>
        </w:rPr>
        <w:tab/>
      </w:r>
      <w:r>
        <w:rPr>
          <w:sz w:val="1"/>
          <w:szCs w:val="1"/>
          <w:color w:val="auto"/>
        </w:rPr>
        <w:drawing>
          <wp:inline distT="0" distB="0" distL="0" distR="0">
            <wp:extent cx="120015" cy="12001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532" w:right="219" w:bottom="1440" w:gutter="0" w:footer="0" w:header="0"/>
        </w:sectPr>
      </w:pPr>
    </w:p>
    <w:bookmarkStart w:id="37" w:name="page38"/>
    <w:bookmarkEnd w:id="37"/>
    <w:p>
      <w:pPr>
        <w:ind w:left="8500"/>
        <w:spacing w:after="0"/>
        <w:rPr>
          <w:sz w:val="20"/>
          <w:szCs w:val="20"/>
          <w:color w:val="auto"/>
        </w:rPr>
      </w:pPr>
      <w:r>
        <w:rPr>
          <w:rFonts w:ascii="Arial" w:cs="Arial" w:eastAsia="Arial" w:hAnsi="Arial"/>
          <w:sz w:val="18"/>
          <w:szCs w:val="18"/>
          <w:b w:val="1"/>
          <w:bCs w:val="1"/>
          <w:color w:val="134A9C"/>
        </w:rPr>
        <w:t>Stock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Certain Beneficial Owners</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beneficial ownership as of April 1, 2015 of our Common Stock by each person or group of persons who is known to be the beneficial owner of more than five percent of our outstanding shares of Common Stock on a fully diluted basis is shown in the following table.</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960" w:type="dxa"/>
            <w:vAlign w:val="bottom"/>
            <w:tcBorders>
              <w:left w:val="single" w:sz="8" w:color="134A9C"/>
              <w:right w:val="single" w:sz="8" w:color="134A9C"/>
            </w:tcBorders>
            <w:shd w:val="clear" w:color="auto" w:fill="134A9C"/>
          </w:tcPr>
          <w:p>
            <w:pPr>
              <w:spacing w:after="0"/>
              <w:rPr>
                <w:sz w:val="16"/>
                <w:szCs w:val="16"/>
                <w:color w:val="auto"/>
              </w:rPr>
            </w:pPr>
          </w:p>
        </w:tc>
        <w:tc>
          <w:tcPr>
            <w:tcW w:w="1380" w:type="dxa"/>
            <w:vAlign w:val="bottom"/>
            <w:tcBorders>
              <w:right w:val="single" w:sz="8" w:color="134A9C"/>
            </w:tcBorders>
            <w:shd w:val="clear" w:color="auto" w:fill="134A9C"/>
          </w:tcPr>
          <w:p>
            <w:pPr>
              <w:spacing w:after="0"/>
              <w:rPr>
                <w:sz w:val="16"/>
                <w:szCs w:val="16"/>
                <w:color w:val="auto"/>
              </w:rPr>
            </w:pPr>
          </w:p>
        </w:tc>
        <w:tc>
          <w:tcPr>
            <w:tcW w:w="180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162"/>
        </w:trPr>
        <w:tc>
          <w:tcPr>
            <w:tcW w:w="4960" w:type="dxa"/>
            <w:vAlign w:val="bottom"/>
            <w:tcBorders>
              <w:left w:val="single" w:sz="8" w:color="134A9C"/>
              <w:right w:val="single" w:sz="8" w:color="134A9C"/>
            </w:tcBorders>
            <w:shd w:val="clear" w:color="auto" w:fill="134A9C"/>
          </w:tcPr>
          <w:p>
            <w:pPr>
              <w:spacing w:after="0"/>
              <w:rPr>
                <w:sz w:val="14"/>
                <w:szCs w:val="14"/>
                <w:color w:val="auto"/>
              </w:rPr>
            </w:pPr>
          </w:p>
        </w:tc>
        <w:tc>
          <w:tcPr>
            <w:tcW w:w="138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Number of</w:t>
            </w:r>
          </w:p>
        </w:tc>
        <w:tc>
          <w:tcPr>
            <w:tcW w:w="1800" w:type="dxa"/>
            <w:vAlign w:val="bottom"/>
            <w:tcBorders>
              <w:right w:val="single" w:sz="8" w:color="134A9C"/>
            </w:tcBorders>
            <w:shd w:val="clear" w:color="auto" w:fill="134A9C"/>
          </w:tcPr>
          <w:p>
            <w:pPr>
              <w:jc w:val="center"/>
              <w:ind w:right="8"/>
              <w:spacing w:after="0"/>
              <w:rPr>
                <w:sz w:val="20"/>
                <w:szCs w:val="20"/>
                <w:color w:val="auto"/>
              </w:rPr>
            </w:pPr>
            <w:r>
              <w:rPr>
                <w:rFonts w:ascii="Arial" w:cs="Arial" w:eastAsia="Arial" w:hAnsi="Arial"/>
                <w:sz w:val="14"/>
                <w:szCs w:val="14"/>
                <w:b w:val="1"/>
                <w:bCs w:val="1"/>
                <w:color w:val="FFFFFF"/>
              </w:rPr>
              <w:t>Outstanding</w:t>
            </w:r>
          </w:p>
        </w:tc>
        <w:tc>
          <w:tcPr>
            <w:tcW w:w="0" w:type="dxa"/>
            <w:vAlign w:val="bottom"/>
          </w:tcPr>
          <w:p>
            <w:pPr>
              <w:spacing w:after="0"/>
              <w:rPr>
                <w:sz w:val="1"/>
                <w:szCs w:val="1"/>
                <w:color w:val="auto"/>
              </w:rPr>
            </w:pPr>
          </w:p>
        </w:tc>
      </w:tr>
      <w:tr>
        <w:trPr>
          <w:trHeight w:val="196"/>
        </w:trPr>
        <w:tc>
          <w:tcPr>
            <w:tcW w:w="4960" w:type="dxa"/>
            <w:vAlign w:val="bottom"/>
            <w:tcBorders>
              <w:left w:val="single" w:sz="8" w:color="134A9C"/>
              <w:bottom w:val="single" w:sz="8" w:color="134A9C"/>
              <w:right w:val="single" w:sz="8" w:color="134A9C"/>
            </w:tcBorders>
            <w:shd w:val="clear" w:color="auto" w:fill="134A9C"/>
          </w:tcPr>
          <w:p>
            <w:pPr>
              <w:ind w:left="500"/>
              <w:spacing w:after="0"/>
              <w:rPr>
                <w:sz w:val="20"/>
                <w:szCs w:val="20"/>
                <w:color w:val="auto"/>
              </w:rPr>
            </w:pPr>
            <w:r>
              <w:rPr>
                <w:rFonts w:ascii="Arial" w:cs="Arial" w:eastAsia="Arial" w:hAnsi="Arial"/>
                <w:sz w:val="14"/>
                <w:szCs w:val="14"/>
                <w:b w:val="1"/>
                <w:bCs w:val="1"/>
                <w:color w:val="FFFFFF"/>
              </w:rPr>
              <w:t>Name and Address of Beneficial Owner of Common Stock</w:t>
            </w:r>
          </w:p>
        </w:tc>
        <w:tc>
          <w:tcPr>
            <w:tcW w:w="138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Shares</w:t>
            </w:r>
          </w:p>
        </w:tc>
        <w:tc>
          <w:tcPr>
            <w:tcW w:w="180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202"/>
        </w:trPr>
        <w:tc>
          <w:tcPr>
            <w:tcW w:w="49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UAW Retiree Medical Benefits Trust, as advised by its fiduciary and</w:t>
            </w:r>
          </w:p>
        </w:tc>
        <w:tc>
          <w:tcPr>
            <w:tcW w:w="1380" w:type="dxa"/>
            <w:vAlign w:val="bottom"/>
            <w:tcBorders>
              <w:right w:val="single" w:sz="8" w:color="134A9C"/>
            </w:tcBorders>
          </w:tcPr>
          <w:p>
            <w:pPr>
              <w:spacing w:after="0"/>
              <w:rPr>
                <w:sz w:val="17"/>
                <w:szCs w:val="17"/>
                <w:color w:val="auto"/>
              </w:rPr>
            </w:pPr>
          </w:p>
        </w:tc>
        <w:tc>
          <w:tcPr>
            <w:tcW w:w="1800" w:type="dxa"/>
            <w:vAlign w:val="bottom"/>
            <w:tcBorders>
              <w:right w:val="single" w:sz="8" w:color="134A9C"/>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960" w:type="dxa"/>
            <w:vAlign w:val="bottom"/>
            <w:tcBorders>
              <w:left w:val="single" w:sz="8" w:color="134A9C"/>
              <w:right w:val="single" w:sz="8" w:color="134A9C"/>
            </w:tcBorders>
          </w:tcPr>
          <w:p>
            <w:pPr>
              <w:ind w:left="40"/>
              <w:spacing w:after="0" w:line="167" w:lineRule="exact"/>
              <w:rPr>
                <w:sz w:val="20"/>
                <w:szCs w:val="20"/>
                <w:color w:val="auto"/>
              </w:rPr>
            </w:pPr>
            <w:r>
              <w:rPr>
                <w:rFonts w:ascii="Arial" w:cs="Arial" w:eastAsia="Arial" w:hAnsi="Arial"/>
                <w:sz w:val="14"/>
                <w:szCs w:val="14"/>
                <w:color w:val="auto"/>
              </w:rPr>
              <w:t xml:space="preserve">investment advisor Brock Fiduciary Services LLC </w:t>
            </w:r>
            <w:r>
              <w:rPr>
                <w:rFonts w:ascii="Arial" w:cs="Arial" w:eastAsia="Arial" w:hAnsi="Arial"/>
                <w:sz w:val="17"/>
                <w:szCs w:val="17"/>
                <w:color w:val="auto"/>
                <w:vertAlign w:val="superscript"/>
              </w:rPr>
              <w:t>(1)</w:t>
            </w:r>
          </w:p>
        </w:tc>
        <w:tc>
          <w:tcPr>
            <w:tcW w:w="1380" w:type="dxa"/>
            <w:vAlign w:val="bottom"/>
            <w:tcBorders>
              <w:right w:val="single" w:sz="8" w:color="134A9C"/>
            </w:tcBorders>
            <w:vMerge w:val="restart"/>
          </w:tcPr>
          <w:p>
            <w:pPr>
              <w:jc w:val="right"/>
              <w:spacing w:after="0"/>
              <w:rPr>
                <w:sz w:val="20"/>
                <w:szCs w:val="20"/>
                <w:color w:val="auto"/>
              </w:rPr>
            </w:pPr>
            <w:r>
              <w:rPr>
                <w:rFonts w:ascii="Arial" w:cs="Arial" w:eastAsia="Arial" w:hAnsi="Arial"/>
                <w:sz w:val="14"/>
                <w:szCs w:val="14"/>
                <w:color w:val="auto"/>
              </w:rPr>
              <w:t>140,150,000</w:t>
            </w:r>
          </w:p>
        </w:tc>
        <w:tc>
          <w:tcPr>
            <w:tcW w:w="1800" w:type="dxa"/>
            <w:vAlign w:val="bottom"/>
            <w:tcBorders>
              <w:right w:val="single" w:sz="8" w:color="134A9C"/>
            </w:tcBorders>
            <w:vMerge w:val="restart"/>
          </w:tcPr>
          <w:p>
            <w:pPr>
              <w:jc w:val="right"/>
              <w:ind w:right="34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78"/>
        </w:trPr>
        <w:tc>
          <w:tcPr>
            <w:tcW w:w="4960" w:type="dxa"/>
            <w:vAlign w:val="bottom"/>
            <w:tcBorders>
              <w:left w:val="single" w:sz="8" w:color="134A9C"/>
              <w:right w:val="single" w:sz="8" w:color="134A9C"/>
            </w:tcBorders>
            <w:vMerge w:val="restart"/>
          </w:tcPr>
          <w:p>
            <w:pPr>
              <w:ind w:left="40"/>
              <w:spacing w:after="0"/>
              <w:rPr>
                <w:sz w:val="20"/>
                <w:szCs w:val="20"/>
                <w:color w:val="auto"/>
              </w:rPr>
            </w:pPr>
            <w:r>
              <w:rPr>
                <w:rFonts w:ascii="Arial" w:cs="Arial" w:eastAsia="Arial" w:hAnsi="Arial"/>
                <w:sz w:val="14"/>
                <w:szCs w:val="14"/>
                <w:color w:val="auto"/>
              </w:rPr>
              <w:t>200 Walker Street</w:t>
            </w:r>
          </w:p>
        </w:tc>
        <w:tc>
          <w:tcPr>
            <w:tcW w:w="1380" w:type="dxa"/>
            <w:vAlign w:val="bottom"/>
            <w:tcBorders>
              <w:right w:val="single" w:sz="8" w:color="134A9C"/>
            </w:tcBorders>
            <w:vMerge w:val="continue"/>
          </w:tcPr>
          <w:p>
            <w:pPr>
              <w:spacing w:after="0"/>
              <w:rPr>
                <w:sz w:val="6"/>
                <w:szCs w:val="6"/>
                <w:color w:val="auto"/>
              </w:rPr>
            </w:pPr>
          </w:p>
        </w:tc>
        <w:tc>
          <w:tcPr>
            <w:tcW w:w="1800" w:type="dxa"/>
            <w:vAlign w:val="bottom"/>
            <w:tcBorders>
              <w:right w:val="single" w:sz="8" w:color="134A9C"/>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4960" w:type="dxa"/>
            <w:vAlign w:val="bottom"/>
            <w:tcBorders>
              <w:left w:val="single" w:sz="8" w:color="134A9C"/>
              <w:right w:val="single" w:sz="8" w:color="134A9C"/>
            </w:tcBorders>
            <w:vMerge w:val="continue"/>
          </w:tcPr>
          <w:p>
            <w:pPr>
              <w:spacing w:after="0"/>
              <w:rPr>
                <w:sz w:val="7"/>
                <w:szCs w:val="7"/>
                <w:color w:val="auto"/>
              </w:rPr>
            </w:pPr>
          </w:p>
        </w:tc>
        <w:tc>
          <w:tcPr>
            <w:tcW w:w="1380" w:type="dxa"/>
            <w:vAlign w:val="bottom"/>
            <w:tcBorders>
              <w:right w:val="single" w:sz="8" w:color="134A9C"/>
            </w:tcBorders>
          </w:tcPr>
          <w:p>
            <w:pPr>
              <w:spacing w:after="0"/>
              <w:rPr>
                <w:sz w:val="7"/>
                <w:szCs w:val="7"/>
                <w:color w:val="auto"/>
              </w:rPr>
            </w:pPr>
          </w:p>
        </w:tc>
        <w:tc>
          <w:tcPr>
            <w:tcW w:w="1800" w:type="dxa"/>
            <w:vAlign w:val="bottom"/>
            <w:tcBorders>
              <w:right w:val="single" w:sz="8" w:color="134A9C"/>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49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Detroit, MI 48207</w:t>
            </w:r>
          </w:p>
        </w:tc>
        <w:tc>
          <w:tcPr>
            <w:tcW w:w="1380" w:type="dxa"/>
            <w:vAlign w:val="bottom"/>
            <w:tcBorders>
              <w:bottom w:val="single" w:sz="8" w:color="134A9C"/>
              <w:right w:val="single" w:sz="8" w:color="134A9C"/>
            </w:tcBorders>
          </w:tcPr>
          <w:p>
            <w:pPr>
              <w:spacing w:after="0"/>
              <w:rPr>
                <w:sz w:val="15"/>
                <w:szCs w:val="15"/>
                <w:color w:val="auto"/>
              </w:rPr>
            </w:pPr>
          </w:p>
        </w:tc>
        <w:tc>
          <w:tcPr>
            <w:tcW w:w="1800" w:type="dxa"/>
            <w:vAlign w:val="bottom"/>
            <w:tcBorders>
              <w:bottom w:val="single" w:sz="8" w:color="134A9C"/>
              <w:right w:val="single" w:sz="8" w:color="134A9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-471170</wp:posOffset>
            </wp:positionV>
            <wp:extent cx="342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jc w:val="both"/>
        <w:ind w:left="340" w:hanging="332"/>
        <w:spacing w:after="0" w:line="250"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Brock Fiduciary Services LLC (“Brock Fiduciary”) is an independent fiduciary and investment adviser to the VEBA Trust and pursuant to an Independent Fiduciary Agreement, dated August 8, 2011, between Brock Fiduciary and the VEBA Trust, Brock Fiduciary has been given the power to vote and dispose of any GM securities held by the VEBA Trust, including any of our Common Stock. The address of Brock Fiduciary is 622 Third Avenue, Floor 12, New York, NY 10017.</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134A9C"/>
        </w:rPr>
        <w:t>Stockholders Agreement</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Three of our stockholders-the UST, Canada Holdings, and the VEBA Trust-entered into a Stockholders Agreement with us (the “Stockholders Agreement”) under which at least two-thirds of the directors are required to be determined by our Board of Directors to be independent within the meaning of NYSE rules. The UST and Canada Holdings sold their remaining holdings of our Common Stock in December 2013 and April 2015, respectively, and are no longer subject to the terms of the Stockholders Agreement.</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long as the VEBA Trust holds at least 50 percent of the shares of our Common Stock it held on July 10, 2009, it has the right under the Stockholders Agreement to designate one nominee to our Board of Directors, subject to the consent of the UAW. Under this provision, the VEBA Trust designated Mr. Ashton, who was nominated by the Board as part of the slate of candidates it recommends for election at the annual meeting.</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Stockholders Agreement provides that the VEBA Trust will vote its shares of our Common Stock on each matter presented to the stockholders at the annual meeting in the same proportionate manner as the holders of our Common Stock, other than our directors and executive officers.</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VEBA Trust will be subject to the terms of the Stockholders Agreement until it beneficially owns less than two percent of the shares of our Common Stock then issued and outstanding.</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134A9C"/>
        </w:rPr>
        <w:t>Section 16(a) Beneficial Ownership Reporting Compliance</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Federal securities laws require that our directors and executive officers and stockholders that own more than ten percent of our Common Stock report to the SEC and the Company certain changes in ownership and ownership information within specified periods. Based upon information furnished by these persons, we believe that all required filings for 2014 were made in a timely manner.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34</w:t>
      </w:r>
      <w:r>
        <w:rPr>
          <w:sz w:val="20"/>
          <w:szCs w:val="20"/>
          <w:color w:val="auto"/>
        </w:rPr>
        <w:tab/>
      </w:r>
      <w:r>
        <w:rPr>
          <w:sz w:val="1"/>
          <w:szCs w:val="1"/>
          <w:color w:val="auto"/>
        </w:rPr>
        <w:drawing>
          <wp:inline distT="0" distB="0" distL="0" distR="0">
            <wp:extent cx="120015" cy="12001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38" w:name="page39"/>
    <w:bookmarkEnd w:id="38"/>
    <w:p>
      <w:pPr>
        <w:spacing w:after="0"/>
        <w:rPr>
          <w:sz w:val="20"/>
          <w:szCs w:val="20"/>
          <w:color w:val="auto"/>
        </w:rPr>
      </w:pPr>
      <w:r>
        <w:rPr>
          <w:rFonts w:ascii="Arial" w:cs="Arial" w:eastAsia="Arial" w:hAnsi="Arial"/>
          <w:sz w:val="29"/>
          <w:szCs w:val="29"/>
          <w:b w:val="1"/>
          <w:bCs w:val="1"/>
          <w:color w:val="134A9C"/>
        </w:rPr>
        <w:t>EXECUTIVE COMPENSATION</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0033A0"/>
        </w:rPr>
        <w:t>Compensation Discussion and Analysis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33A0"/>
        </w:rPr>
        <w:t>Executive Summary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Business Overview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At General Motors, our goal is to build the world’s most valued automotive company for our stockholders. We strive to do this by:</w:t>
      </w:r>
    </w:p>
    <w:p>
      <w:pPr>
        <w:spacing w:after="0" w:line="13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134A9C"/>
        </w:rPr>
      </w:pPr>
      <w:r>
        <w:rPr>
          <w:rFonts w:ascii="Arial" w:cs="Arial" w:eastAsia="Arial" w:hAnsi="Arial"/>
          <w:sz w:val="18"/>
          <w:szCs w:val="18"/>
          <w:color w:val="auto"/>
        </w:rPr>
        <w:t>Earning customers for life;</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39"/>
        </w:numPr>
        <w:rPr>
          <w:rFonts w:ascii="Arial" w:cs="Arial" w:eastAsia="Arial" w:hAnsi="Arial"/>
          <w:sz w:val="18"/>
          <w:szCs w:val="18"/>
          <w:color w:val="134A9C"/>
        </w:rPr>
      </w:pPr>
      <w:r>
        <w:rPr>
          <w:rFonts w:ascii="Arial" w:cs="Arial" w:eastAsia="Arial" w:hAnsi="Arial"/>
          <w:sz w:val="18"/>
          <w:szCs w:val="18"/>
          <w:color w:val="auto"/>
        </w:rPr>
        <w:t>Growing our brands to inspire passion and loyalty;</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39"/>
        </w:numPr>
        <w:rPr>
          <w:rFonts w:ascii="Arial" w:cs="Arial" w:eastAsia="Arial" w:hAnsi="Arial"/>
          <w:sz w:val="18"/>
          <w:szCs w:val="18"/>
          <w:color w:val="134A9C"/>
        </w:rPr>
      </w:pPr>
      <w:r>
        <w:rPr>
          <w:rFonts w:ascii="Arial" w:cs="Arial" w:eastAsia="Arial" w:hAnsi="Arial"/>
          <w:sz w:val="18"/>
          <w:szCs w:val="18"/>
          <w:color w:val="auto"/>
        </w:rPr>
        <w:t>Translating breakthrough technologies into vehicles and experiences that people love; and</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39"/>
        </w:numPr>
        <w:rPr>
          <w:rFonts w:ascii="Arial" w:cs="Arial" w:eastAsia="Arial" w:hAnsi="Arial"/>
          <w:sz w:val="18"/>
          <w:szCs w:val="18"/>
          <w:color w:val="134A9C"/>
        </w:rPr>
      </w:pPr>
      <w:r>
        <w:rPr>
          <w:rFonts w:ascii="Arial" w:cs="Arial" w:eastAsia="Arial" w:hAnsi="Arial"/>
          <w:sz w:val="18"/>
          <w:szCs w:val="18"/>
          <w:color w:val="auto"/>
        </w:rPr>
        <w:t>Serving and improving the communities in which we live and work around the world.</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design our executive compensation program to drive the creation of long-term stockholder value by aligning the financial interests of our executives with those of our stockholders. We do this by designing compensation programs that attract, retain, and reward critical talent in a competitive market while tying compensation to the achievement of financial and operational goals that drive industry-leading returns.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Company Performance</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2014, we continued to work towards our goal of building the world’s most valued automotive company for our stockholders. We demonstrated this through a number of accomplishments that align with our strategic priorities of earning customers for life, growing our brands, leading in technology and innovation, driving core efficiencies, and building a culture to 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54875" cy="2332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3323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20" w:hanging="171"/>
        <w:spacing w:after="0"/>
        <w:tabs>
          <w:tab w:leader="none" w:pos="220" w:val="left"/>
        </w:tabs>
        <w:numPr>
          <w:ilvl w:val="0"/>
          <w:numId w:val="40"/>
        </w:numPr>
        <w:rPr>
          <w:rFonts w:ascii="Arial" w:cs="Arial" w:eastAsia="Arial" w:hAnsi="Arial"/>
          <w:sz w:val="18"/>
          <w:szCs w:val="18"/>
          <w:color w:val="134A9C"/>
        </w:rPr>
      </w:pPr>
      <w:r>
        <w:rPr>
          <w:rFonts w:ascii="Arial" w:cs="Arial" w:eastAsia="Arial" w:hAnsi="Arial"/>
          <w:sz w:val="18"/>
          <w:szCs w:val="18"/>
          <w:color w:val="auto"/>
        </w:rPr>
        <w:t>Continued strong vehicle sales in the U.S. and China, with deliveries of 9.9 million units globally;</w:t>
      </w:r>
    </w:p>
    <w:p>
      <w:pPr>
        <w:spacing w:after="0" w:line="63" w:lineRule="exact"/>
        <w:rPr>
          <w:rFonts w:ascii="Arial" w:cs="Arial" w:eastAsia="Arial" w:hAnsi="Arial"/>
          <w:sz w:val="18"/>
          <w:szCs w:val="18"/>
          <w:color w:val="134A9C"/>
        </w:rPr>
      </w:pPr>
    </w:p>
    <w:p>
      <w:pPr>
        <w:ind w:left="220" w:hanging="171"/>
        <w:spacing w:after="0"/>
        <w:tabs>
          <w:tab w:leader="none" w:pos="220" w:val="left"/>
        </w:tabs>
        <w:numPr>
          <w:ilvl w:val="0"/>
          <w:numId w:val="40"/>
        </w:numPr>
        <w:rPr>
          <w:rFonts w:ascii="Arial" w:cs="Arial" w:eastAsia="Arial" w:hAnsi="Arial"/>
          <w:sz w:val="18"/>
          <w:szCs w:val="18"/>
          <w:color w:val="134A9C"/>
        </w:rPr>
      </w:pPr>
      <w:r>
        <w:rPr>
          <w:rFonts w:ascii="Arial" w:cs="Arial" w:eastAsia="Arial" w:hAnsi="Arial"/>
          <w:sz w:val="18"/>
          <w:szCs w:val="18"/>
          <w:color w:val="auto"/>
        </w:rPr>
        <w:t>Increased Opel/Vauxhall market share and sales growth in Europe for the second year in a row;</w:t>
      </w:r>
    </w:p>
    <w:p>
      <w:pPr>
        <w:spacing w:after="0" w:line="63" w:lineRule="exact"/>
        <w:rPr>
          <w:rFonts w:ascii="Arial" w:cs="Arial" w:eastAsia="Arial" w:hAnsi="Arial"/>
          <w:sz w:val="18"/>
          <w:szCs w:val="18"/>
          <w:color w:val="134A9C"/>
        </w:rPr>
      </w:pPr>
    </w:p>
    <w:p>
      <w:pPr>
        <w:ind w:left="220" w:hanging="171"/>
        <w:spacing w:after="0"/>
        <w:tabs>
          <w:tab w:leader="none" w:pos="220" w:val="left"/>
        </w:tabs>
        <w:numPr>
          <w:ilvl w:val="0"/>
          <w:numId w:val="40"/>
        </w:numPr>
        <w:rPr>
          <w:rFonts w:ascii="Arial" w:cs="Arial" w:eastAsia="Arial" w:hAnsi="Arial"/>
          <w:sz w:val="18"/>
          <w:szCs w:val="18"/>
          <w:color w:val="134A9C"/>
        </w:rPr>
      </w:pPr>
      <w:r>
        <w:rPr>
          <w:rFonts w:ascii="Arial" w:cs="Arial" w:eastAsia="Arial" w:hAnsi="Arial"/>
          <w:sz w:val="18"/>
          <w:szCs w:val="18"/>
          <w:color w:val="auto"/>
        </w:rPr>
        <w:t>Retained Chevrolet’s market leadership in South America;</w:t>
      </w:r>
    </w:p>
    <w:p>
      <w:pPr>
        <w:spacing w:after="0" w:line="63" w:lineRule="exact"/>
        <w:rPr>
          <w:rFonts w:ascii="Arial" w:cs="Arial" w:eastAsia="Arial" w:hAnsi="Arial"/>
          <w:sz w:val="18"/>
          <w:szCs w:val="18"/>
          <w:color w:val="134A9C"/>
        </w:rPr>
      </w:pPr>
    </w:p>
    <w:p>
      <w:pPr>
        <w:ind w:left="300" w:right="40" w:hanging="251"/>
        <w:spacing w:after="0" w:line="262" w:lineRule="auto"/>
        <w:tabs>
          <w:tab w:leader="none" w:pos="232" w:val="left"/>
        </w:tabs>
        <w:numPr>
          <w:ilvl w:val="0"/>
          <w:numId w:val="40"/>
        </w:numPr>
        <w:rPr>
          <w:rFonts w:ascii="Arial" w:cs="Arial" w:eastAsia="Arial" w:hAnsi="Arial"/>
          <w:sz w:val="18"/>
          <w:szCs w:val="18"/>
          <w:color w:val="134A9C"/>
        </w:rPr>
      </w:pPr>
      <w:r>
        <w:rPr>
          <w:rFonts w:ascii="Arial" w:cs="Arial" w:eastAsia="Arial" w:hAnsi="Arial"/>
          <w:sz w:val="18"/>
          <w:szCs w:val="18"/>
          <w:color w:val="auto"/>
        </w:rPr>
        <w:t>Increased Cadillac global sales by 5% with a 47% increase in China and announced plans to grow the Cadillac portfolio by the end of the decade;</w:t>
      </w:r>
    </w:p>
    <w:p>
      <w:pPr>
        <w:spacing w:after="0" w:line="20" w:lineRule="exact"/>
        <w:rPr>
          <w:rFonts w:ascii="Arial" w:cs="Arial" w:eastAsia="Arial" w:hAnsi="Arial"/>
          <w:sz w:val="18"/>
          <w:szCs w:val="18"/>
          <w:color w:val="134A9C"/>
        </w:rPr>
      </w:pPr>
    </w:p>
    <w:p>
      <w:pPr>
        <w:ind w:left="220" w:hanging="171"/>
        <w:spacing w:after="0"/>
        <w:tabs>
          <w:tab w:leader="none" w:pos="220" w:val="left"/>
        </w:tabs>
        <w:numPr>
          <w:ilvl w:val="0"/>
          <w:numId w:val="40"/>
        </w:numPr>
        <w:rPr>
          <w:rFonts w:ascii="Arial" w:cs="Arial" w:eastAsia="Arial" w:hAnsi="Arial"/>
          <w:sz w:val="18"/>
          <w:szCs w:val="18"/>
          <w:color w:val="134A9C"/>
        </w:rPr>
      </w:pPr>
      <w:r>
        <w:rPr>
          <w:rFonts w:ascii="Arial" w:cs="Arial" w:eastAsia="Arial" w:hAnsi="Arial"/>
          <w:sz w:val="18"/>
          <w:szCs w:val="18"/>
          <w:color w:val="auto"/>
        </w:rPr>
        <w:t>Launched the all-new Chevrolet Colorado, which was awarded 2015 Motor Trend Truck of the Year;</w:t>
      </w:r>
    </w:p>
    <w:p>
      <w:pPr>
        <w:spacing w:after="0" w:line="63" w:lineRule="exact"/>
        <w:rPr>
          <w:rFonts w:ascii="Arial" w:cs="Arial" w:eastAsia="Arial" w:hAnsi="Arial"/>
          <w:sz w:val="18"/>
          <w:szCs w:val="18"/>
          <w:color w:val="134A9C"/>
        </w:rPr>
      </w:pPr>
    </w:p>
    <w:p>
      <w:pPr>
        <w:ind w:left="220" w:hanging="171"/>
        <w:spacing w:after="0"/>
        <w:tabs>
          <w:tab w:leader="none" w:pos="220" w:val="left"/>
        </w:tabs>
        <w:numPr>
          <w:ilvl w:val="0"/>
          <w:numId w:val="40"/>
        </w:numPr>
        <w:rPr>
          <w:rFonts w:ascii="Arial" w:cs="Arial" w:eastAsia="Arial" w:hAnsi="Arial"/>
          <w:sz w:val="18"/>
          <w:szCs w:val="18"/>
          <w:color w:val="134A9C"/>
        </w:rPr>
      </w:pPr>
      <w:r>
        <w:rPr>
          <w:rFonts w:ascii="Arial" w:cs="Arial" w:eastAsia="Arial" w:hAnsi="Arial"/>
          <w:sz w:val="18"/>
          <w:szCs w:val="18"/>
          <w:color w:val="auto"/>
        </w:rPr>
        <w:t>Experienced record global Buick sales of 1.2 million units representing an increase of 13%;</w:t>
      </w:r>
    </w:p>
    <w:p>
      <w:pPr>
        <w:spacing w:after="0" w:line="63" w:lineRule="exact"/>
        <w:rPr>
          <w:rFonts w:ascii="Arial" w:cs="Arial" w:eastAsia="Arial" w:hAnsi="Arial"/>
          <w:sz w:val="18"/>
          <w:szCs w:val="18"/>
          <w:color w:val="134A9C"/>
        </w:rPr>
      </w:pPr>
    </w:p>
    <w:p>
      <w:pPr>
        <w:ind w:left="220" w:hanging="171"/>
        <w:spacing w:after="0"/>
        <w:tabs>
          <w:tab w:leader="none" w:pos="220" w:val="left"/>
        </w:tabs>
        <w:numPr>
          <w:ilvl w:val="0"/>
          <w:numId w:val="40"/>
        </w:numPr>
        <w:rPr>
          <w:rFonts w:ascii="Arial" w:cs="Arial" w:eastAsia="Arial" w:hAnsi="Arial"/>
          <w:sz w:val="18"/>
          <w:szCs w:val="18"/>
          <w:color w:val="134A9C"/>
        </w:rPr>
      </w:pPr>
      <w:r>
        <w:rPr>
          <w:rFonts w:ascii="Arial" w:cs="Arial" w:eastAsia="Arial" w:hAnsi="Arial"/>
          <w:sz w:val="18"/>
          <w:szCs w:val="18"/>
          <w:color w:val="auto"/>
        </w:rPr>
        <w:t>Introduced 4G LTE high-speed mobile broadband in North America;</w:t>
      </w:r>
    </w:p>
    <w:p>
      <w:pPr>
        <w:spacing w:after="0" w:line="63" w:lineRule="exact"/>
        <w:rPr>
          <w:rFonts w:ascii="Arial" w:cs="Arial" w:eastAsia="Arial" w:hAnsi="Arial"/>
          <w:sz w:val="18"/>
          <w:szCs w:val="18"/>
          <w:color w:val="134A9C"/>
        </w:rPr>
      </w:pPr>
    </w:p>
    <w:p>
      <w:pPr>
        <w:ind w:left="220" w:hanging="171"/>
        <w:spacing w:after="0"/>
        <w:tabs>
          <w:tab w:leader="none" w:pos="220" w:val="left"/>
        </w:tabs>
        <w:numPr>
          <w:ilvl w:val="0"/>
          <w:numId w:val="40"/>
        </w:numPr>
        <w:rPr>
          <w:rFonts w:ascii="Arial" w:cs="Arial" w:eastAsia="Arial" w:hAnsi="Arial"/>
          <w:sz w:val="18"/>
          <w:szCs w:val="18"/>
          <w:color w:val="134A9C"/>
        </w:rPr>
      </w:pPr>
      <w:r>
        <w:rPr>
          <w:rFonts w:ascii="Arial" w:cs="Arial" w:eastAsia="Arial" w:hAnsi="Arial"/>
          <w:sz w:val="18"/>
          <w:szCs w:val="18"/>
          <w:color w:val="auto"/>
        </w:rPr>
        <w:t>Secured over 800,000 OnStar subscribers in China;</w:t>
      </w:r>
    </w:p>
    <w:p>
      <w:pPr>
        <w:spacing w:after="0" w:line="63" w:lineRule="exact"/>
        <w:rPr>
          <w:rFonts w:ascii="Arial" w:cs="Arial" w:eastAsia="Arial" w:hAnsi="Arial"/>
          <w:sz w:val="18"/>
          <w:szCs w:val="18"/>
          <w:color w:val="134A9C"/>
        </w:rPr>
      </w:pPr>
    </w:p>
    <w:p>
      <w:pPr>
        <w:ind w:left="220" w:hanging="171"/>
        <w:spacing w:after="0"/>
        <w:tabs>
          <w:tab w:leader="none" w:pos="220" w:val="left"/>
        </w:tabs>
        <w:numPr>
          <w:ilvl w:val="0"/>
          <w:numId w:val="40"/>
        </w:numPr>
        <w:rPr>
          <w:rFonts w:ascii="Arial" w:cs="Arial" w:eastAsia="Arial" w:hAnsi="Arial"/>
          <w:sz w:val="18"/>
          <w:szCs w:val="18"/>
          <w:color w:val="134A9C"/>
        </w:rPr>
      </w:pPr>
      <w:r>
        <w:rPr>
          <w:rFonts w:ascii="Arial" w:cs="Arial" w:eastAsia="Arial" w:hAnsi="Arial"/>
          <w:sz w:val="18"/>
          <w:szCs w:val="18"/>
          <w:color w:val="auto"/>
        </w:rPr>
        <w:t>Realized savings in material costs and logistics in excess of $1 billion;</w:t>
      </w:r>
    </w:p>
    <w:p>
      <w:pPr>
        <w:spacing w:after="0" w:line="63" w:lineRule="exact"/>
        <w:rPr>
          <w:rFonts w:ascii="Arial" w:cs="Arial" w:eastAsia="Arial" w:hAnsi="Arial"/>
          <w:sz w:val="18"/>
          <w:szCs w:val="18"/>
          <w:color w:val="134A9C"/>
        </w:rPr>
      </w:pPr>
    </w:p>
    <w:p>
      <w:pPr>
        <w:ind w:left="220" w:hanging="171"/>
        <w:spacing w:after="0"/>
        <w:tabs>
          <w:tab w:leader="none" w:pos="220" w:val="left"/>
        </w:tabs>
        <w:numPr>
          <w:ilvl w:val="0"/>
          <w:numId w:val="40"/>
        </w:numPr>
        <w:rPr>
          <w:rFonts w:ascii="Arial" w:cs="Arial" w:eastAsia="Arial" w:hAnsi="Arial"/>
          <w:sz w:val="18"/>
          <w:szCs w:val="18"/>
          <w:color w:val="134A9C"/>
        </w:rPr>
      </w:pPr>
      <w:r>
        <w:rPr>
          <w:rFonts w:ascii="Arial" w:cs="Arial" w:eastAsia="Arial" w:hAnsi="Arial"/>
          <w:sz w:val="18"/>
          <w:szCs w:val="18"/>
          <w:color w:val="auto"/>
        </w:rPr>
        <w:t>Increased capacity utilization in Europe;</w:t>
      </w:r>
    </w:p>
    <w:p>
      <w:pPr>
        <w:spacing w:after="0" w:line="63" w:lineRule="exact"/>
        <w:rPr>
          <w:rFonts w:ascii="Arial" w:cs="Arial" w:eastAsia="Arial" w:hAnsi="Arial"/>
          <w:sz w:val="18"/>
          <w:szCs w:val="18"/>
          <w:color w:val="134A9C"/>
        </w:rPr>
      </w:pPr>
    </w:p>
    <w:p>
      <w:pPr>
        <w:ind w:left="300" w:right="20" w:hanging="251"/>
        <w:spacing w:after="0" w:line="262" w:lineRule="auto"/>
        <w:tabs>
          <w:tab w:leader="none" w:pos="245" w:val="left"/>
        </w:tabs>
        <w:numPr>
          <w:ilvl w:val="0"/>
          <w:numId w:val="40"/>
        </w:numPr>
        <w:rPr>
          <w:rFonts w:ascii="Arial" w:cs="Arial" w:eastAsia="Arial" w:hAnsi="Arial"/>
          <w:sz w:val="18"/>
          <w:szCs w:val="18"/>
          <w:color w:val="134A9C"/>
        </w:rPr>
      </w:pPr>
      <w:r>
        <w:rPr>
          <w:rFonts w:ascii="Arial" w:cs="Arial" w:eastAsia="Arial" w:hAnsi="Arial"/>
          <w:sz w:val="18"/>
          <w:szCs w:val="18"/>
          <w:color w:val="auto"/>
        </w:rPr>
        <w:t>Renewed our focus on vehicle safety and putting the customer at the center of everything we do following significant and irregular recall activity in 2014; and</w:t>
      </w:r>
    </w:p>
    <w:p>
      <w:pPr>
        <w:spacing w:after="0" w:line="20" w:lineRule="exact"/>
        <w:rPr>
          <w:rFonts w:ascii="Arial" w:cs="Arial" w:eastAsia="Arial" w:hAnsi="Arial"/>
          <w:sz w:val="18"/>
          <w:szCs w:val="18"/>
          <w:color w:val="134A9C"/>
        </w:rPr>
      </w:pPr>
    </w:p>
    <w:p>
      <w:pPr>
        <w:ind w:left="220" w:hanging="171"/>
        <w:spacing w:after="0"/>
        <w:tabs>
          <w:tab w:leader="none" w:pos="220" w:val="left"/>
        </w:tabs>
        <w:numPr>
          <w:ilvl w:val="0"/>
          <w:numId w:val="40"/>
        </w:numPr>
        <w:rPr>
          <w:rFonts w:ascii="Arial" w:cs="Arial" w:eastAsia="Arial" w:hAnsi="Arial"/>
          <w:sz w:val="18"/>
          <w:szCs w:val="18"/>
          <w:color w:val="134A9C"/>
        </w:rPr>
      </w:pPr>
      <w:r>
        <w:rPr>
          <w:rFonts w:ascii="Arial" w:cs="Arial" w:eastAsia="Arial" w:hAnsi="Arial"/>
          <w:sz w:val="18"/>
          <w:szCs w:val="18"/>
          <w:color w:val="auto"/>
        </w:rPr>
        <w:t>Continued contribution to solid earnings by GM Financial.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34A9C"/>
        </w:rPr>
        <w:t>We ended the year with the following key financial results:</w:t>
      </w:r>
    </w:p>
    <w:p>
      <w:pPr>
        <w:spacing w:after="0" w:line="15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134A9C"/>
        </w:rPr>
      </w:pPr>
      <w:r>
        <w:rPr>
          <w:rFonts w:ascii="Arial" w:cs="Arial" w:eastAsia="Arial" w:hAnsi="Arial"/>
          <w:sz w:val="18"/>
          <w:szCs w:val="18"/>
          <w:color w:val="auto"/>
        </w:rPr>
        <w:t>Achieved year-over-year revenue growth, with 2014 revenue of $155.9 billion;</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41"/>
        </w:numPr>
        <w:rPr>
          <w:rFonts w:ascii="Arial" w:cs="Arial" w:eastAsia="Arial" w:hAnsi="Arial"/>
          <w:sz w:val="18"/>
          <w:szCs w:val="18"/>
          <w:color w:val="134A9C"/>
        </w:rPr>
      </w:pPr>
      <w:r>
        <w:rPr>
          <w:rFonts w:ascii="Arial" w:cs="Arial" w:eastAsia="Arial" w:hAnsi="Arial"/>
          <w:sz w:val="18"/>
          <w:szCs w:val="18"/>
          <w:color w:val="auto"/>
        </w:rPr>
        <w:t>Achieved EBIT-Adjusted of $6.5 billion including recall-related expenses and $9.3 billion excluding recall-related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35</w:t>
      </w:r>
      <w:r>
        <w:rPr>
          <w:sz w:val="20"/>
          <w:szCs w:val="20"/>
          <w:color w:val="auto"/>
        </w:rPr>
        <w:tab/>
      </w:r>
      <w:r>
        <w:rPr>
          <w:sz w:val="1"/>
          <w:szCs w:val="1"/>
          <w:color w:val="auto"/>
        </w:rPr>
        <w:drawing>
          <wp:inline distT="0" distB="0" distL="0" distR="0">
            <wp:extent cx="120015" cy="12001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342" w:right="239" w:bottom="1440" w:gutter="0" w:footer="0" w:header="0"/>
        </w:sectPr>
      </w:pPr>
    </w:p>
    <w:bookmarkStart w:id="39" w:name="page40"/>
    <w:bookmarkEnd w:id="39"/>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328930</wp:posOffset>
            </wp:positionV>
            <wp:extent cx="5145405" cy="1560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5405"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0" w:right="40" w:hanging="412"/>
        <w:spacing w:after="0" w:line="241" w:lineRule="auto"/>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Refer to Item 7. Management's Discussion and Analysis of Financial Condition and Results of Operations in the Company’s Annual Reports on Form 10-K filed with the SEC for a reconciliation of these non-GAAP measures to their most directly comparable GAAP measures.</w:t>
      </w: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Excludes $2.8 billion of recall-related expenses.</w:t>
      </w:r>
    </w:p>
    <w:p>
      <w:pPr>
        <w:spacing w:after="0" w:line="11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134A9C"/>
        </w:rPr>
      </w:pPr>
      <w:r>
        <w:rPr>
          <w:rFonts w:ascii="Arial" w:cs="Arial" w:eastAsia="Arial" w:hAnsi="Arial"/>
          <w:sz w:val="18"/>
          <w:szCs w:val="18"/>
          <w:color w:val="auto"/>
        </w:rPr>
        <w:t>Achieved Adjusted AFCF of $3.1 billion;</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43"/>
        </w:numPr>
        <w:rPr>
          <w:rFonts w:ascii="Arial" w:cs="Arial" w:eastAsia="Arial" w:hAnsi="Arial"/>
          <w:sz w:val="18"/>
          <w:szCs w:val="18"/>
          <w:color w:val="134A9C"/>
        </w:rPr>
      </w:pPr>
      <w:r>
        <w:rPr>
          <w:rFonts w:ascii="Arial" w:cs="Arial" w:eastAsia="Arial" w:hAnsi="Arial"/>
          <w:sz w:val="18"/>
          <w:szCs w:val="18"/>
          <w:color w:val="auto"/>
        </w:rPr>
        <w:t>Earned a 15.4% ROIC including recall-related expenses and a 20.8% ROIC excluding recall-related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145405" cy="16205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540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20" w:right="20" w:hanging="412"/>
        <w:spacing w:after="0" w:line="241" w:lineRule="auto"/>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Refer to Item 7. Management's Discussion and Analysis of Financial Condition and Results of Operations in the Company’s Annual Reports on Form 10-K filed with the SEC for a reconciliation of these non-GAAP measures to their most directly comparable GAAP measures.</w:t>
      </w:r>
    </w:p>
    <w:p>
      <w:pPr>
        <w:ind w:left="420" w:hanging="412"/>
        <w:spacing w:after="0"/>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Refer to Appendix A for a reconciliation of this non-GAAP measure to its most directly comparable GAAP measure.</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exclusion of recall-related expenses increased ROIC by 5.4 percentage points.</w:t>
      </w:r>
    </w:p>
    <w:p>
      <w:pPr>
        <w:spacing w:after="0" w:line="117" w:lineRule="exact"/>
        <w:rPr>
          <w:sz w:val="20"/>
          <w:szCs w:val="20"/>
          <w:color w:val="auto"/>
        </w:rPr>
      </w:pPr>
    </w:p>
    <w:p>
      <w:pPr>
        <w:ind w:left="340" w:right="20" w:hanging="332"/>
        <w:spacing w:after="0" w:line="262" w:lineRule="auto"/>
        <w:tabs>
          <w:tab w:leader="none" w:pos="340" w:val="left"/>
        </w:tabs>
        <w:numPr>
          <w:ilvl w:val="0"/>
          <w:numId w:val="45"/>
        </w:numPr>
        <w:rPr>
          <w:rFonts w:ascii="Arial" w:cs="Arial" w:eastAsia="Arial" w:hAnsi="Arial"/>
          <w:sz w:val="18"/>
          <w:szCs w:val="18"/>
          <w:color w:val="134A9C"/>
        </w:rPr>
      </w:pPr>
      <w:r>
        <w:rPr>
          <w:rFonts w:ascii="Arial" w:cs="Arial" w:eastAsia="Arial" w:hAnsi="Arial"/>
          <w:sz w:val="18"/>
          <w:szCs w:val="18"/>
          <w:color w:val="auto"/>
        </w:rPr>
        <w:t>Returned $1.9 billion to stockholders by instituting and declaring quarterly dividends of $0.30 per share in 2014, and on April 13, 2015, the GM Board of Directors declared a 20 percent increase to our quarterly dividend to 36 cents per share; and</w:t>
      </w:r>
    </w:p>
    <w:p>
      <w:pPr>
        <w:spacing w:after="0" w:line="34" w:lineRule="exact"/>
        <w:rPr>
          <w:rFonts w:ascii="Arial" w:cs="Arial" w:eastAsia="Arial" w:hAnsi="Arial"/>
          <w:sz w:val="18"/>
          <w:szCs w:val="18"/>
          <w:color w:val="134A9C"/>
        </w:rPr>
      </w:pPr>
    </w:p>
    <w:p>
      <w:pPr>
        <w:ind w:left="340" w:hanging="332"/>
        <w:spacing w:after="0"/>
        <w:tabs>
          <w:tab w:leader="none" w:pos="340" w:val="left"/>
        </w:tabs>
        <w:numPr>
          <w:ilvl w:val="0"/>
          <w:numId w:val="45"/>
        </w:numPr>
        <w:rPr>
          <w:rFonts w:ascii="Arial" w:cs="Arial" w:eastAsia="Arial" w:hAnsi="Arial"/>
          <w:sz w:val="18"/>
          <w:szCs w:val="18"/>
          <w:color w:val="134A9C"/>
        </w:rPr>
      </w:pPr>
      <w:r>
        <w:rPr>
          <w:rFonts w:ascii="Arial" w:cs="Arial" w:eastAsia="Arial" w:hAnsi="Arial"/>
          <w:sz w:val="18"/>
          <w:szCs w:val="18"/>
          <w:color w:val="auto"/>
        </w:rPr>
        <w:t>Ended the year with a negative 12%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145405" cy="15690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540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Assumes dividends are reinvested in Common Stock</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our TSR results did not meet our expectations, we believe we are on track to achieve the Company’s objectives, including creating long-term stockholder value by delivering on our medium- and long-term business objectives and commitments. These include maintaining a strong and flexible capital structure</w:t>
      </w:r>
    </w:p>
    <w:p>
      <w:pPr>
        <w:spacing w:after="0" w:line="392"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36</w:t>
      </w:r>
      <w:r>
        <w:rPr>
          <w:sz w:val="20"/>
          <w:szCs w:val="20"/>
          <w:color w:val="auto"/>
        </w:rPr>
        <w:tab/>
      </w:r>
      <w:r>
        <w:rPr>
          <w:sz w:val="1"/>
          <w:szCs w:val="1"/>
          <w:color w:val="auto"/>
        </w:rPr>
        <w:drawing>
          <wp:inline distT="0" distB="0" distL="0" distR="0">
            <wp:extent cx="120015" cy="12001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40" w:name="page41"/>
    <w:bookmarkEnd w:id="40"/>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that is important for future product development and market expansion initiatives, while also maintaining protection from unexpected events and industry cycle trends.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Key Leadership Changes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15, 2014, Mary T. Barra was elected CEO of General Motors by the Board of Directors to replace Daniel F. Akerson who stepped down as Chairman &amp; CEO and then served as a Senior Advisor until he left the Company in July 2014. Ms. Barra had previously served as Executive Vice President, Global Product Development, Purchasing &amp; Supply Chain and has extensive experience in manufacturing, product development, and various staff functions.</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Effective January 15, 2014, Theodore M. Solso was elected to succeed Mr. Akerson as non-executive Chairman of our Board of Directors. The Board chose at this time to separate the roles of chairman and CEO.</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Also effective January 15, 2014, Daniel Ammann was named President of the Company with responsibility for managing regional operations around the world, the global Cadillac and Chevrolet brand organizations, Corporate Development &amp; Global Mergers and Acquisitions, and GM Financial. Charles K. Stevens, III was named Executive Vice President &amp; Chief Financial Officer effective January 15, 2014, replacing Mr. Ammann. At the same time, Mr. Reuss was named Executive Vice President, Global Product Development, Purchasing &amp; Supply Chain, replacing Ms. Barra.</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effective March 1, 2015, Craig B. Glidden was named Executive Vice President &amp; General Counsel, succeeding Michael P. Millikin, who previously announced his plans to retire after 37 years of service. Mr. Millikin is serving as a Senior Advisor until his retirement date in July 2015 and will continue to provide consulting services to the Company through 2015.</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Compensation Governance and Best Practices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plans are founded on the governance features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54875" cy="2058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58035"/>
                    </a:xfrm>
                    <a:prstGeom prst="rect">
                      <a:avLst/>
                    </a:prstGeom>
                    <a:noFill/>
                  </pic:spPr>
                </pic:pic>
              </a:graphicData>
            </a:graphic>
          </wp:anchor>
        </w:drawing>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WHAT WE DO</w:t>
      </w:r>
    </w:p>
    <w:p>
      <w:pPr>
        <w:spacing w:after="0" w:line="67" w:lineRule="exact"/>
        <w:rPr>
          <w:sz w:val="20"/>
          <w:szCs w:val="20"/>
          <w:color w:val="auto"/>
        </w:rPr>
      </w:pPr>
    </w:p>
    <w:p>
      <w:pPr>
        <w:ind w:left="500" w:hanging="451"/>
        <w:spacing w:after="0"/>
        <w:tabs>
          <w:tab w:leader="none" w:pos="500" w:val="left"/>
        </w:tabs>
        <w:numPr>
          <w:ilvl w:val="0"/>
          <w:numId w:val="47"/>
        </w:numPr>
        <w:rPr>
          <w:rFonts w:ascii="Arial" w:cs="Arial" w:eastAsia="Arial" w:hAnsi="Arial"/>
          <w:sz w:val="18"/>
          <w:szCs w:val="18"/>
          <w:color w:val="134A9C"/>
        </w:rPr>
      </w:pPr>
      <w:r>
        <w:rPr>
          <w:rFonts w:ascii="Arial" w:cs="Arial" w:eastAsia="Arial" w:hAnsi="Arial"/>
          <w:sz w:val="18"/>
          <w:szCs w:val="18"/>
          <w:color w:val="auto"/>
        </w:rPr>
        <w:t>Provide short- and long-term incentive plans for executives that align with the interests of our stockholders</w:t>
      </w:r>
    </w:p>
    <w:p>
      <w:pPr>
        <w:spacing w:after="0" w:line="63" w:lineRule="exact"/>
        <w:rPr>
          <w:rFonts w:ascii="Arial" w:cs="Arial" w:eastAsia="Arial" w:hAnsi="Arial"/>
          <w:sz w:val="18"/>
          <w:szCs w:val="18"/>
          <w:color w:val="134A9C"/>
        </w:rPr>
      </w:pPr>
    </w:p>
    <w:p>
      <w:pPr>
        <w:ind w:left="500" w:hanging="451"/>
        <w:spacing w:after="0"/>
        <w:tabs>
          <w:tab w:leader="none" w:pos="500" w:val="left"/>
        </w:tabs>
        <w:numPr>
          <w:ilvl w:val="0"/>
          <w:numId w:val="47"/>
        </w:numPr>
        <w:rPr>
          <w:rFonts w:ascii="Arial" w:cs="Arial" w:eastAsia="Arial" w:hAnsi="Arial"/>
          <w:sz w:val="18"/>
          <w:szCs w:val="18"/>
          <w:color w:val="134A9C"/>
        </w:rPr>
      </w:pPr>
      <w:r>
        <w:rPr>
          <w:rFonts w:ascii="Arial" w:cs="Arial" w:eastAsia="Arial" w:hAnsi="Arial"/>
          <w:sz w:val="18"/>
          <w:szCs w:val="18"/>
          <w:color w:val="auto"/>
        </w:rPr>
        <w:t>Hold an annual stockholder advisory vote on executive compensation</w:t>
      </w:r>
    </w:p>
    <w:p>
      <w:pPr>
        <w:spacing w:after="0" w:line="63" w:lineRule="exact"/>
        <w:rPr>
          <w:rFonts w:ascii="Arial" w:cs="Arial" w:eastAsia="Arial" w:hAnsi="Arial"/>
          <w:sz w:val="18"/>
          <w:szCs w:val="18"/>
          <w:color w:val="134A9C"/>
        </w:rPr>
      </w:pPr>
    </w:p>
    <w:p>
      <w:pPr>
        <w:ind w:left="500" w:right="620" w:hanging="451"/>
        <w:spacing w:after="0" w:line="246" w:lineRule="auto"/>
        <w:tabs>
          <w:tab w:leader="none" w:pos="500" w:val="left"/>
        </w:tabs>
        <w:numPr>
          <w:ilvl w:val="0"/>
          <w:numId w:val="47"/>
        </w:numPr>
        <w:rPr>
          <w:rFonts w:ascii="Arial" w:cs="Arial" w:eastAsia="Arial" w:hAnsi="Arial"/>
          <w:sz w:val="18"/>
          <w:szCs w:val="18"/>
          <w:color w:val="134A9C"/>
        </w:rPr>
      </w:pPr>
      <w:r>
        <w:rPr>
          <w:rFonts w:ascii="Arial" w:cs="Arial" w:eastAsia="Arial" w:hAnsi="Arial"/>
          <w:sz w:val="18"/>
          <w:szCs w:val="18"/>
          <w:color w:val="auto"/>
        </w:rPr>
        <w:t>Maintain a Compensation Committee composed entirely of independent directors who regularly meet in executive session without management</w:t>
      </w:r>
    </w:p>
    <w:p>
      <w:pPr>
        <w:spacing w:after="0" w:line="34" w:lineRule="exact"/>
        <w:rPr>
          <w:rFonts w:ascii="Arial" w:cs="Arial" w:eastAsia="Arial" w:hAnsi="Arial"/>
          <w:sz w:val="18"/>
          <w:szCs w:val="18"/>
          <w:color w:val="134A9C"/>
        </w:rPr>
      </w:pPr>
    </w:p>
    <w:p>
      <w:pPr>
        <w:ind w:left="500" w:hanging="451"/>
        <w:spacing w:after="0"/>
        <w:tabs>
          <w:tab w:leader="none" w:pos="500" w:val="left"/>
        </w:tabs>
        <w:numPr>
          <w:ilvl w:val="0"/>
          <w:numId w:val="47"/>
        </w:numPr>
        <w:rPr>
          <w:rFonts w:ascii="Arial" w:cs="Arial" w:eastAsia="Arial" w:hAnsi="Arial"/>
          <w:sz w:val="18"/>
          <w:szCs w:val="18"/>
          <w:color w:val="134A9C"/>
        </w:rPr>
      </w:pPr>
      <w:r>
        <w:rPr>
          <w:rFonts w:ascii="Arial" w:cs="Arial" w:eastAsia="Arial" w:hAnsi="Arial"/>
          <w:sz w:val="18"/>
          <w:szCs w:val="18"/>
          <w:color w:val="auto"/>
        </w:rPr>
        <w:t>Impose stock ownership requirements for approximately 300 top senior executives</w:t>
      </w:r>
    </w:p>
    <w:p>
      <w:pPr>
        <w:spacing w:after="0" w:line="63" w:lineRule="exact"/>
        <w:rPr>
          <w:rFonts w:ascii="Arial" w:cs="Arial" w:eastAsia="Arial" w:hAnsi="Arial"/>
          <w:sz w:val="18"/>
          <w:szCs w:val="18"/>
          <w:color w:val="134A9C"/>
        </w:rPr>
      </w:pPr>
    </w:p>
    <w:p>
      <w:pPr>
        <w:ind w:left="500" w:hanging="451"/>
        <w:spacing w:after="0"/>
        <w:tabs>
          <w:tab w:leader="none" w:pos="500" w:val="left"/>
        </w:tabs>
        <w:numPr>
          <w:ilvl w:val="0"/>
          <w:numId w:val="47"/>
        </w:numPr>
        <w:rPr>
          <w:rFonts w:ascii="Arial" w:cs="Arial" w:eastAsia="Arial" w:hAnsi="Arial"/>
          <w:sz w:val="18"/>
          <w:szCs w:val="18"/>
          <w:color w:val="134A9C"/>
        </w:rPr>
      </w:pPr>
      <w:r>
        <w:rPr>
          <w:rFonts w:ascii="Arial" w:cs="Arial" w:eastAsia="Arial" w:hAnsi="Arial"/>
          <w:sz w:val="18"/>
          <w:szCs w:val="18"/>
          <w:color w:val="auto"/>
        </w:rPr>
        <w:t>Retain independent executive compensation consultants to the Compensation Committee</w:t>
      </w:r>
    </w:p>
    <w:p>
      <w:pPr>
        <w:spacing w:after="0" w:line="63" w:lineRule="exact"/>
        <w:rPr>
          <w:rFonts w:ascii="Arial" w:cs="Arial" w:eastAsia="Arial" w:hAnsi="Arial"/>
          <w:sz w:val="18"/>
          <w:szCs w:val="18"/>
          <w:color w:val="134A9C"/>
        </w:rPr>
      </w:pPr>
    </w:p>
    <w:p>
      <w:pPr>
        <w:ind w:left="500" w:right="480" w:hanging="451"/>
        <w:spacing w:after="0" w:line="246" w:lineRule="auto"/>
        <w:tabs>
          <w:tab w:leader="none" w:pos="500" w:val="left"/>
        </w:tabs>
        <w:numPr>
          <w:ilvl w:val="0"/>
          <w:numId w:val="47"/>
        </w:numPr>
        <w:rPr>
          <w:rFonts w:ascii="Arial" w:cs="Arial" w:eastAsia="Arial" w:hAnsi="Arial"/>
          <w:sz w:val="18"/>
          <w:szCs w:val="18"/>
          <w:color w:val="134A9C"/>
        </w:rPr>
      </w:pPr>
      <w:r>
        <w:rPr>
          <w:rFonts w:ascii="Arial" w:cs="Arial" w:eastAsia="Arial" w:hAnsi="Arial"/>
          <w:sz w:val="18"/>
          <w:szCs w:val="18"/>
          <w:color w:val="auto"/>
        </w:rPr>
        <w:t>Maintain a Securities Trading Policy that requires directors and executive officers to contact the GM Legal Staff prior to any sales or purchases of Common Stock</w:t>
      </w:r>
    </w:p>
    <w:p>
      <w:pPr>
        <w:spacing w:after="0" w:line="34" w:lineRule="exact"/>
        <w:rPr>
          <w:rFonts w:ascii="Arial" w:cs="Arial" w:eastAsia="Arial" w:hAnsi="Arial"/>
          <w:sz w:val="18"/>
          <w:szCs w:val="18"/>
          <w:color w:val="134A9C"/>
        </w:rPr>
      </w:pPr>
    </w:p>
    <w:p>
      <w:pPr>
        <w:ind w:left="500" w:hanging="451"/>
        <w:spacing w:after="0"/>
        <w:tabs>
          <w:tab w:leader="none" w:pos="500" w:val="left"/>
        </w:tabs>
        <w:numPr>
          <w:ilvl w:val="0"/>
          <w:numId w:val="47"/>
        </w:numPr>
        <w:rPr>
          <w:rFonts w:ascii="Arial" w:cs="Arial" w:eastAsia="Arial" w:hAnsi="Arial"/>
          <w:sz w:val="18"/>
          <w:szCs w:val="18"/>
          <w:color w:val="134A9C"/>
        </w:rPr>
      </w:pPr>
      <w:r>
        <w:rPr>
          <w:rFonts w:ascii="Arial" w:cs="Arial" w:eastAsia="Arial" w:hAnsi="Arial"/>
          <w:sz w:val="18"/>
          <w:szCs w:val="18"/>
          <w:color w:val="auto"/>
        </w:rPr>
        <w:t>Engage in investor outreach to obtain feedback regarding the Company’s compensation programs</w:t>
      </w:r>
    </w:p>
    <w:p>
      <w:pPr>
        <w:spacing w:after="0" w:line="63" w:lineRule="exact"/>
        <w:rPr>
          <w:rFonts w:ascii="Arial" w:cs="Arial" w:eastAsia="Arial" w:hAnsi="Arial"/>
          <w:sz w:val="18"/>
          <w:szCs w:val="18"/>
          <w:color w:val="134A9C"/>
        </w:rPr>
      </w:pPr>
    </w:p>
    <w:p>
      <w:pPr>
        <w:ind w:left="500" w:right="180" w:hanging="451"/>
        <w:spacing w:after="0" w:line="246" w:lineRule="auto"/>
        <w:tabs>
          <w:tab w:leader="none" w:pos="500" w:val="left"/>
        </w:tabs>
        <w:numPr>
          <w:ilvl w:val="0"/>
          <w:numId w:val="47"/>
        </w:numPr>
        <w:rPr>
          <w:rFonts w:ascii="Arial" w:cs="Arial" w:eastAsia="Arial" w:hAnsi="Arial"/>
          <w:sz w:val="18"/>
          <w:szCs w:val="18"/>
          <w:color w:val="134A9C"/>
        </w:rPr>
      </w:pPr>
      <w:r>
        <w:rPr>
          <w:rFonts w:ascii="Arial" w:cs="Arial" w:eastAsia="Arial" w:hAnsi="Arial"/>
          <w:sz w:val="18"/>
          <w:szCs w:val="18"/>
          <w:color w:val="auto"/>
        </w:rPr>
        <w:t>Require equity awards to have a double-trigger (requiring termination of employment following a change-in-control) to initiate protection provisions of outstanding awards in change-in-control situations</w:t>
      </w:r>
    </w:p>
    <w:p>
      <w:pPr>
        <w:spacing w:after="0" w:line="34" w:lineRule="exact"/>
        <w:rPr>
          <w:rFonts w:ascii="Arial" w:cs="Arial" w:eastAsia="Arial" w:hAnsi="Arial"/>
          <w:sz w:val="18"/>
          <w:szCs w:val="18"/>
          <w:color w:val="134A9C"/>
        </w:rPr>
      </w:pPr>
    </w:p>
    <w:p>
      <w:pPr>
        <w:ind w:left="500" w:hanging="451"/>
        <w:spacing w:after="0"/>
        <w:tabs>
          <w:tab w:leader="none" w:pos="500" w:val="left"/>
        </w:tabs>
        <w:numPr>
          <w:ilvl w:val="0"/>
          <w:numId w:val="47"/>
        </w:numPr>
        <w:rPr>
          <w:rFonts w:ascii="Arial" w:cs="Arial" w:eastAsia="Arial" w:hAnsi="Arial"/>
          <w:sz w:val="18"/>
          <w:szCs w:val="18"/>
          <w:color w:val="134A9C"/>
        </w:rPr>
      </w:pPr>
      <w:r>
        <w:rPr>
          <w:rFonts w:ascii="Arial" w:cs="Arial" w:eastAsia="Arial" w:hAnsi="Arial"/>
          <w:sz w:val="18"/>
          <w:szCs w:val="18"/>
          <w:color w:val="auto"/>
        </w:rPr>
        <w:t>Assess compensation risk annually when the Compensation Committee meets with the risk management organization</w:t>
      </w:r>
    </w:p>
    <w:p>
      <w:pPr>
        <w:spacing w:after="0" w:line="200" w:lineRule="exact"/>
        <w:rPr>
          <w:sz w:val="20"/>
          <w:szCs w:val="20"/>
          <w:color w:val="auto"/>
        </w:rPr>
      </w:pPr>
    </w:p>
    <w:p>
      <w:pPr>
        <w:spacing w:after="0" w:line="256"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37</w:t>
      </w:r>
      <w:r>
        <w:rPr>
          <w:sz w:val="20"/>
          <w:szCs w:val="20"/>
          <w:color w:val="auto"/>
        </w:rPr>
        <w:tab/>
      </w:r>
      <w:r>
        <w:rPr>
          <w:sz w:val="1"/>
          <w:szCs w:val="1"/>
          <w:color w:val="auto"/>
        </w:rPr>
        <w:drawing>
          <wp:inline distT="0" distB="0" distL="0" distR="0">
            <wp:extent cx="120015" cy="12001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41" w:name="page42"/>
    <w:bookmarkEnd w:id="41"/>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254875" cy="1431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WHAT WE DON’T DO</w:t>
      </w:r>
    </w:p>
    <w:p>
      <w:pPr>
        <w:spacing w:after="0" w:line="58" w:lineRule="exact"/>
        <w:rPr>
          <w:sz w:val="20"/>
          <w:szCs w:val="20"/>
          <w:color w:val="auto"/>
        </w:rPr>
      </w:pPr>
    </w:p>
    <w:p>
      <w:pPr>
        <w:ind w:left="380" w:hanging="331"/>
        <w:spacing w:after="0"/>
        <w:tabs>
          <w:tab w:leader="none" w:pos="380" w:val="left"/>
        </w:tabs>
        <w:numPr>
          <w:ilvl w:val="0"/>
          <w:numId w:val="48"/>
        </w:numPr>
        <w:rPr>
          <w:rFonts w:ascii="Arial" w:cs="Arial" w:eastAsia="Arial" w:hAnsi="Arial"/>
          <w:sz w:val="22"/>
          <w:szCs w:val="22"/>
          <w:color w:val="0033A0"/>
        </w:rPr>
      </w:pPr>
      <w:r>
        <w:rPr>
          <w:rFonts w:ascii="Arial" w:cs="Arial" w:eastAsia="Arial" w:hAnsi="Arial"/>
          <w:sz w:val="18"/>
          <w:szCs w:val="18"/>
          <w:color w:val="auto"/>
        </w:rPr>
        <w:t>Grant awards to executive officers that are not subject to clawback</w:t>
      </w:r>
    </w:p>
    <w:p>
      <w:pPr>
        <w:spacing w:after="0" w:line="23" w:lineRule="exact"/>
        <w:rPr>
          <w:rFonts w:ascii="Arial" w:cs="Arial" w:eastAsia="Arial" w:hAnsi="Arial"/>
          <w:sz w:val="22"/>
          <w:szCs w:val="22"/>
          <w:color w:val="0033A0"/>
        </w:rPr>
      </w:pPr>
    </w:p>
    <w:p>
      <w:pPr>
        <w:ind w:left="380" w:hanging="331"/>
        <w:spacing w:after="0" w:line="185" w:lineRule="auto"/>
        <w:tabs>
          <w:tab w:leader="none" w:pos="380" w:val="left"/>
        </w:tabs>
        <w:numPr>
          <w:ilvl w:val="0"/>
          <w:numId w:val="48"/>
        </w:numPr>
        <w:rPr>
          <w:rFonts w:ascii="Arial" w:cs="Arial" w:eastAsia="Arial" w:hAnsi="Arial"/>
          <w:sz w:val="43"/>
          <w:szCs w:val="43"/>
          <w:color w:val="0033A0"/>
          <w:vertAlign w:val="superscript"/>
        </w:rPr>
      </w:pPr>
      <w:r>
        <w:rPr>
          <w:rFonts w:ascii="Arial" w:cs="Arial" w:eastAsia="Arial" w:hAnsi="Arial"/>
          <w:sz w:val="18"/>
          <w:szCs w:val="18"/>
          <w:color w:val="auto"/>
        </w:rPr>
        <w:t>Provide gross-up payments to cover personal income taxes for executive benefits or excise taxes for severance benefits</w:t>
      </w:r>
    </w:p>
    <w:p>
      <w:pPr>
        <w:spacing w:after="0" w:line="188" w:lineRule="exact"/>
        <w:rPr>
          <w:rFonts w:ascii="Arial" w:cs="Arial" w:eastAsia="Arial" w:hAnsi="Arial"/>
          <w:sz w:val="43"/>
          <w:szCs w:val="43"/>
          <w:color w:val="0033A0"/>
          <w:vertAlign w:val="superscript"/>
        </w:rPr>
      </w:pPr>
    </w:p>
    <w:p>
      <w:pPr>
        <w:ind w:left="380" w:hanging="331"/>
        <w:spacing w:after="0" w:line="205" w:lineRule="auto"/>
        <w:tabs>
          <w:tab w:leader="none" w:pos="380" w:val="left"/>
        </w:tabs>
        <w:numPr>
          <w:ilvl w:val="0"/>
          <w:numId w:val="48"/>
        </w:numPr>
        <w:rPr>
          <w:rFonts w:ascii="Arial" w:cs="Arial" w:eastAsia="Arial" w:hAnsi="Arial"/>
          <w:sz w:val="22"/>
          <w:szCs w:val="22"/>
          <w:color w:val="0033A0"/>
        </w:rPr>
      </w:pPr>
      <w:r>
        <w:rPr>
          <w:rFonts w:ascii="Arial" w:cs="Arial" w:eastAsia="Arial" w:hAnsi="Arial"/>
          <w:sz w:val="18"/>
          <w:szCs w:val="18"/>
          <w:color w:val="auto"/>
        </w:rPr>
        <w:t>Allow directors or executives to engage in hedging or pledging of GM securities</w:t>
      </w:r>
    </w:p>
    <w:p>
      <w:pPr>
        <w:spacing w:after="0" w:line="44" w:lineRule="exact"/>
        <w:rPr>
          <w:rFonts w:ascii="Arial" w:cs="Arial" w:eastAsia="Arial" w:hAnsi="Arial"/>
          <w:sz w:val="22"/>
          <w:szCs w:val="22"/>
          <w:color w:val="0033A0"/>
        </w:rPr>
      </w:pPr>
    </w:p>
    <w:p>
      <w:pPr>
        <w:ind w:left="380" w:hanging="331"/>
        <w:spacing w:after="0"/>
        <w:tabs>
          <w:tab w:leader="none" w:pos="380" w:val="left"/>
        </w:tabs>
        <w:numPr>
          <w:ilvl w:val="0"/>
          <w:numId w:val="48"/>
        </w:numPr>
        <w:rPr>
          <w:rFonts w:ascii="Arial" w:cs="Arial" w:eastAsia="Arial" w:hAnsi="Arial"/>
          <w:sz w:val="22"/>
          <w:szCs w:val="22"/>
          <w:color w:val="0033A0"/>
        </w:rPr>
      </w:pPr>
      <w:r>
        <w:rPr>
          <w:rFonts w:ascii="Arial" w:cs="Arial" w:eastAsia="Arial" w:hAnsi="Arial"/>
          <w:sz w:val="18"/>
          <w:szCs w:val="18"/>
          <w:color w:val="auto"/>
        </w:rPr>
        <w:t>Reward executives for excessive, inappropriate, or unnecessary risk taking</w:t>
      </w:r>
    </w:p>
    <w:p>
      <w:pPr>
        <w:spacing w:after="0" w:line="44" w:lineRule="exact"/>
        <w:rPr>
          <w:rFonts w:ascii="Arial" w:cs="Arial" w:eastAsia="Arial" w:hAnsi="Arial"/>
          <w:sz w:val="22"/>
          <w:szCs w:val="22"/>
          <w:color w:val="0033A0"/>
        </w:rPr>
      </w:pPr>
    </w:p>
    <w:p>
      <w:pPr>
        <w:ind w:left="380" w:hanging="331"/>
        <w:spacing w:after="0"/>
        <w:tabs>
          <w:tab w:leader="none" w:pos="380" w:val="left"/>
        </w:tabs>
        <w:numPr>
          <w:ilvl w:val="0"/>
          <w:numId w:val="48"/>
        </w:numPr>
        <w:rPr>
          <w:rFonts w:ascii="Arial" w:cs="Arial" w:eastAsia="Arial" w:hAnsi="Arial"/>
          <w:sz w:val="22"/>
          <w:szCs w:val="22"/>
          <w:color w:val="0033A0"/>
        </w:rPr>
      </w:pPr>
      <w:r>
        <w:rPr>
          <w:rFonts w:ascii="Arial" w:cs="Arial" w:eastAsia="Arial" w:hAnsi="Arial"/>
          <w:sz w:val="18"/>
          <w:szCs w:val="18"/>
          <w:color w:val="auto"/>
        </w:rPr>
        <w:t>Provide golden parachutes</w:t>
      </w:r>
    </w:p>
    <w:p>
      <w:pPr>
        <w:spacing w:after="0" w:line="44" w:lineRule="exact"/>
        <w:rPr>
          <w:rFonts w:ascii="Arial" w:cs="Arial" w:eastAsia="Arial" w:hAnsi="Arial"/>
          <w:sz w:val="22"/>
          <w:szCs w:val="22"/>
          <w:color w:val="0033A0"/>
        </w:rPr>
      </w:pPr>
    </w:p>
    <w:p>
      <w:pPr>
        <w:ind w:left="380" w:hanging="331"/>
        <w:spacing w:after="0"/>
        <w:tabs>
          <w:tab w:leader="none" w:pos="380" w:val="left"/>
        </w:tabs>
        <w:numPr>
          <w:ilvl w:val="0"/>
          <w:numId w:val="48"/>
        </w:numPr>
        <w:rPr>
          <w:rFonts w:ascii="Arial" w:cs="Arial" w:eastAsia="Arial" w:hAnsi="Arial"/>
          <w:sz w:val="22"/>
          <w:szCs w:val="22"/>
          <w:color w:val="0033A0"/>
        </w:rPr>
      </w:pPr>
      <w:r>
        <w:rPr>
          <w:rFonts w:ascii="Arial" w:cs="Arial" w:eastAsia="Arial" w:hAnsi="Arial"/>
          <w:sz w:val="18"/>
          <w:szCs w:val="18"/>
          <w:color w:val="auto"/>
        </w:rPr>
        <w:t>Allow the repricing or backdating of equity awards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Investor Outreach Initiatives</w:t>
      </w:r>
    </w:p>
    <w:p>
      <w:pPr>
        <w:spacing w:after="0" w:line="14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Over the past 15 months, representatives of the Company held discussions with some of our largest investors. During discussions with investors, we received feedback on Company performance and compensation programs. The Company will continue to evaluate executive compensation programs to ensure a strong alignment with stockholders.</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820" w:type="dxa"/>
            <w:vAlign w:val="bottom"/>
            <w:tcBorders>
              <w:top w:val="single" w:sz="8" w:color="0033A0"/>
              <w:left w:val="single" w:sz="8" w:color="0033A0"/>
              <w:right w:val="single" w:sz="8" w:color="134A9C"/>
            </w:tcBorders>
            <w:shd w:val="clear" w:color="auto" w:fill="134A9C"/>
          </w:tcPr>
          <w:p>
            <w:pPr>
              <w:ind w:left="1540"/>
              <w:spacing w:after="0"/>
              <w:rPr>
                <w:sz w:val="20"/>
                <w:szCs w:val="20"/>
                <w:color w:val="auto"/>
              </w:rPr>
            </w:pPr>
            <w:r>
              <w:rPr>
                <w:rFonts w:ascii="Arial" w:cs="Arial" w:eastAsia="Arial" w:hAnsi="Arial"/>
                <w:sz w:val="14"/>
                <w:szCs w:val="14"/>
                <w:b w:val="1"/>
                <w:bCs w:val="1"/>
                <w:color w:val="FFFFFF"/>
              </w:rPr>
              <w:t>WHAT WE ARE HEARING</w:t>
            </w:r>
          </w:p>
        </w:tc>
        <w:tc>
          <w:tcPr>
            <w:tcW w:w="6620" w:type="dxa"/>
            <w:vAlign w:val="bottom"/>
            <w:tcBorders>
              <w:top w:val="single" w:sz="8" w:color="0033A0"/>
              <w:right w:val="single" w:sz="8" w:color="0033A0"/>
            </w:tcBorders>
            <w:shd w:val="clear" w:color="auto" w:fill="134A9C"/>
          </w:tcPr>
          <w:p>
            <w:pPr>
              <w:ind w:left="2520"/>
              <w:spacing w:after="0"/>
              <w:rPr>
                <w:sz w:val="20"/>
                <w:szCs w:val="20"/>
                <w:color w:val="auto"/>
              </w:rPr>
            </w:pPr>
            <w:r>
              <w:rPr>
                <w:rFonts w:ascii="Arial" w:cs="Arial" w:eastAsia="Arial" w:hAnsi="Arial"/>
                <w:sz w:val="14"/>
                <w:szCs w:val="14"/>
                <w:b w:val="1"/>
                <w:bCs w:val="1"/>
                <w:color w:val="FFFFFF"/>
              </w:rPr>
              <w:t>WHAT WE ARE DOING</w:t>
            </w:r>
          </w:p>
        </w:tc>
      </w:tr>
      <w:tr>
        <w:trPr>
          <w:trHeight w:val="220"/>
        </w:trPr>
        <w:tc>
          <w:tcPr>
            <w:tcW w:w="4820" w:type="dxa"/>
            <w:vAlign w:val="bottom"/>
            <w:tcBorders>
              <w:left w:val="single" w:sz="8" w:color="0033A0"/>
              <w:right w:val="single" w:sz="8" w:color="134A9C"/>
            </w:tcBorders>
          </w:tcPr>
          <w:p>
            <w:pPr>
              <w:ind w:left="4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Aligned with interests of stockholders</w:t>
            </w:r>
          </w:p>
        </w:tc>
        <w:tc>
          <w:tcPr>
            <w:tcW w:w="6620" w:type="dxa"/>
            <w:vAlign w:val="bottom"/>
            <w:tcBorders>
              <w:right w:val="single" w:sz="8" w:color="0033A0"/>
            </w:tcBorders>
          </w:tcPr>
          <w:p>
            <w:pPr>
              <w:ind w:left="2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Majority of total compensation is equity based</w:t>
            </w:r>
          </w:p>
        </w:tc>
      </w:tr>
      <w:tr>
        <w:trPr>
          <w:trHeight w:val="206"/>
        </w:trPr>
        <w:tc>
          <w:tcPr>
            <w:tcW w:w="4820" w:type="dxa"/>
            <w:vAlign w:val="bottom"/>
            <w:tcBorders>
              <w:left w:val="single" w:sz="8" w:color="0033A0"/>
              <w:right w:val="single" w:sz="8" w:color="134A9C"/>
            </w:tcBorders>
          </w:tcPr>
          <w:p>
            <w:pPr>
              <w:spacing w:after="0"/>
              <w:rPr>
                <w:sz w:val="17"/>
                <w:szCs w:val="17"/>
                <w:color w:val="auto"/>
              </w:rPr>
            </w:pPr>
          </w:p>
        </w:tc>
        <w:tc>
          <w:tcPr>
            <w:tcW w:w="6620" w:type="dxa"/>
            <w:vAlign w:val="bottom"/>
            <w:tcBorders>
              <w:right w:val="single" w:sz="8" w:color="0033A0"/>
            </w:tcBorders>
          </w:tcPr>
          <w:p>
            <w:pPr>
              <w:ind w:left="2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Stock ownership guidelines for all senior executives</w:t>
            </w:r>
          </w:p>
        </w:tc>
      </w:tr>
      <w:tr>
        <w:trPr>
          <w:trHeight w:val="33"/>
        </w:trPr>
        <w:tc>
          <w:tcPr>
            <w:tcW w:w="4820" w:type="dxa"/>
            <w:vAlign w:val="bottom"/>
            <w:tcBorders>
              <w:left w:val="single" w:sz="8" w:color="0033A0"/>
              <w:bottom w:val="single" w:sz="8" w:color="134A9C"/>
              <w:right w:val="single" w:sz="8" w:color="134A9C"/>
            </w:tcBorders>
          </w:tcPr>
          <w:p>
            <w:pPr>
              <w:spacing w:after="0"/>
              <w:rPr>
                <w:sz w:val="2"/>
                <w:szCs w:val="2"/>
                <w:color w:val="auto"/>
              </w:rPr>
            </w:pPr>
          </w:p>
        </w:tc>
        <w:tc>
          <w:tcPr>
            <w:tcW w:w="6620" w:type="dxa"/>
            <w:vAlign w:val="bottom"/>
            <w:tcBorders>
              <w:bottom w:val="single" w:sz="8" w:color="134A9C"/>
              <w:right w:val="single" w:sz="8" w:color="0033A0"/>
            </w:tcBorders>
          </w:tcPr>
          <w:p>
            <w:pPr>
              <w:spacing w:after="0"/>
              <w:rPr>
                <w:sz w:val="2"/>
                <w:szCs w:val="2"/>
                <w:color w:val="auto"/>
              </w:rPr>
            </w:pPr>
          </w:p>
        </w:tc>
      </w:tr>
      <w:tr>
        <w:trPr>
          <w:trHeight w:val="217"/>
        </w:trPr>
        <w:tc>
          <w:tcPr>
            <w:tcW w:w="4820" w:type="dxa"/>
            <w:vAlign w:val="bottom"/>
            <w:tcBorders>
              <w:left w:val="single" w:sz="8" w:color="0033A0"/>
              <w:right w:val="single" w:sz="8" w:color="134A9C"/>
            </w:tcBorders>
          </w:tcPr>
          <w:p>
            <w:pPr>
              <w:ind w:left="4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Pay for Performance</w:t>
            </w:r>
          </w:p>
        </w:tc>
        <w:tc>
          <w:tcPr>
            <w:tcW w:w="6620" w:type="dxa"/>
            <w:vAlign w:val="bottom"/>
            <w:tcBorders>
              <w:right w:val="single" w:sz="8" w:color="0033A0"/>
            </w:tcBorders>
          </w:tcPr>
          <w:p>
            <w:pPr>
              <w:ind w:left="2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2014 pay-for-performance structure includes:</w:t>
            </w:r>
          </w:p>
        </w:tc>
      </w:tr>
      <w:tr>
        <w:trPr>
          <w:trHeight w:val="197"/>
        </w:trPr>
        <w:tc>
          <w:tcPr>
            <w:tcW w:w="4820" w:type="dxa"/>
            <w:vAlign w:val="bottom"/>
            <w:tcBorders>
              <w:left w:val="single" w:sz="8" w:color="0033A0"/>
              <w:right w:val="single" w:sz="8" w:color="134A9C"/>
            </w:tcBorders>
          </w:tcPr>
          <w:p>
            <w:pPr>
              <w:spacing w:after="0"/>
              <w:rPr>
                <w:sz w:val="17"/>
                <w:szCs w:val="17"/>
                <w:color w:val="auto"/>
              </w:rPr>
            </w:pPr>
          </w:p>
        </w:tc>
        <w:tc>
          <w:tcPr>
            <w:tcW w:w="6620" w:type="dxa"/>
            <w:vAlign w:val="bottom"/>
            <w:tcBorders>
              <w:right w:val="single" w:sz="8" w:color="0033A0"/>
            </w:tcBorders>
          </w:tcPr>
          <w:p>
            <w:pPr>
              <w:ind w:left="240"/>
              <w:spacing w:after="0"/>
              <w:rPr>
                <w:sz w:val="20"/>
                <w:szCs w:val="20"/>
                <w:color w:val="auto"/>
              </w:rPr>
            </w:pPr>
            <w:r>
              <w:rPr>
                <w:rFonts w:ascii="Arial" w:cs="Arial" w:eastAsia="Arial" w:hAnsi="Arial"/>
                <w:sz w:val="16"/>
                <w:szCs w:val="16"/>
                <w:color w:val="auto"/>
              </w:rPr>
              <w:t>- Short-term, performance-driven incentive plan</w:t>
            </w:r>
          </w:p>
        </w:tc>
      </w:tr>
      <w:tr>
        <w:trPr>
          <w:trHeight w:val="189"/>
        </w:trPr>
        <w:tc>
          <w:tcPr>
            <w:tcW w:w="4820" w:type="dxa"/>
            <w:vAlign w:val="bottom"/>
            <w:tcBorders>
              <w:left w:val="single" w:sz="8" w:color="0033A0"/>
              <w:right w:val="single" w:sz="8" w:color="134A9C"/>
            </w:tcBorders>
          </w:tcPr>
          <w:p>
            <w:pPr>
              <w:spacing w:after="0"/>
              <w:rPr>
                <w:sz w:val="16"/>
                <w:szCs w:val="16"/>
                <w:color w:val="auto"/>
              </w:rPr>
            </w:pPr>
          </w:p>
        </w:tc>
        <w:tc>
          <w:tcPr>
            <w:tcW w:w="6620" w:type="dxa"/>
            <w:vAlign w:val="bottom"/>
            <w:tcBorders>
              <w:right w:val="single" w:sz="8" w:color="0033A0"/>
            </w:tcBorders>
          </w:tcPr>
          <w:p>
            <w:pPr>
              <w:ind w:left="240"/>
              <w:spacing w:after="0"/>
              <w:rPr>
                <w:sz w:val="20"/>
                <w:szCs w:val="20"/>
                <w:color w:val="auto"/>
              </w:rPr>
            </w:pPr>
            <w:r>
              <w:rPr>
                <w:rFonts w:ascii="Arial" w:cs="Arial" w:eastAsia="Arial" w:hAnsi="Arial"/>
                <w:sz w:val="16"/>
                <w:szCs w:val="16"/>
                <w:color w:val="auto"/>
              </w:rPr>
              <w:t>- PSUs</w:t>
            </w:r>
          </w:p>
        </w:tc>
      </w:tr>
      <w:tr>
        <w:trPr>
          <w:trHeight w:val="208"/>
        </w:trPr>
        <w:tc>
          <w:tcPr>
            <w:tcW w:w="4820" w:type="dxa"/>
            <w:vAlign w:val="bottom"/>
            <w:tcBorders>
              <w:left w:val="single" w:sz="8" w:color="0033A0"/>
              <w:bottom w:val="single" w:sz="8" w:color="134A9C"/>
              <w:right w:val="single" w:sz="8" w:color="134A9C"/>
            </w:tcBorders>
          </w:tcPr>
          <w:p>
            <w:pPr>
              <w:spacing w:after="0"/>
              <w:rPr>
                <w:sz w:val="18"/>
                <w:szCs w:val="18"/>
                <w:color w:val="auto"/>
              </w:rPr>
            </w:pPr>
          </w:p>
        </w:tc>
        <w:tc>
          <w:tcPr>
            <w:tcW w:w="6620" w:type="dxa"/>
            <w:vAlign w:val="bottom"/>
            <w:tcBorders>
              <w:bottom w:val="single" w:sz="8" w:color="134A9C"/>
              <w:right w:val="single" w:sz="8" w:color="0033A0"/>
            </w:tcBorders>
          </w:tcPr>
          <w:p>
            <w:pPr>
              <w:ind w:left="240"/>
              <w:spacing w:after="0"/>
              <w:rPr>
                <w:sz w:val="20"/>
                <w:szCs w:val="20"/>
                <w:color w:val="auto"/>
              </w:rPr>
            </w:pPr>
            <w:r>
              <w:rPr>
                <w:rFonts w:ascii="Arial" w:cs="Arial" w:eastAsia="Arial" w:hAnsi="Arial"/>
                <w:sz w:val="16"/>
                <w:szCs w:val="16"/>
                <w:color w:val="auto"/>
              </w:rPr>
              <w:t>- RSUs</w:t>
            </w:r>
          </w:p>
        </w:tc>
      </w:tr>
      <w:tr>
        <w:trPr>
          <w:trHeight w:val="224"/>
        </w:trPr>
        <w:tc>
          <w:tcPr>
            <w:tcW w:w="4820" w:type="dxa"/>
            <w:vAlign w:val="bottom"/>
            <w:tcBorders>
              <w:left w:val="single" w:sz="8" w:color="0033A0"/>
              <w:right w:val="single" w:sz="8" w:color="134A9C"/>
            </w:tcBorders>
          </w:tcPr>
          <w:p>
            <w:pPr>
              <w:ind w:left="4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Long-term performance measures that create stockholder value</w:t>
            </w:r>
          </w:p>
        </w:tc>
        <w:tc>
          <w:tcPr>
            <w:tcW w:w="6620" w:type="dxa"/>
            <w:vAlign w:val="bottom"/>
            <w:tcBorders>
              <w:right w:val="single" w:sz="8" w:color="0033A0"/>
            </w:tcBorders>
          </w:tcPr>
          <w:p>
            <w:pPr>
              <w:ind w:left="2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2014 PSUs measures are ROIC and a Global Market Share modifier</w:t>
            </w:r>
          </w:p>
        </w:tc>
      </w:tr>
      <w:tr>
        <w:trPr>
          <w:trHeight w:val="33"/>
        </w:trPr>
        <w:tc>
          <w:tcPr>
            <w:tcW w:w="4820" w:type="dxa"/>
            <w:vAlign w:val="bottom"/>
            <w:tcBorders>
              <w:left w:val="single" w:sz="8" w:color="0033A0"/>
              <w:bottom w:val="single" w:sz="8" w:color="134A9C"/>
              <w:right w:val="single" w:sz="8" w:color="134A9C"/>
            </w:tcBorders>
          </w:tcPr>
          <w:p>
            <w:pPr>
              <w:spacing w:after="0"/>
              <w:rPr>
                <w:sz w:val="2"/>
                <w:szCs w:val="2"/>
                <w:color w:val="auto"/>
              </w:rPr>
            </w:pPr>
          </w:p>
        </w:tc>
        <w:tc>
          <w:tcPr>
            <w:tcW w:w="6620" w:type="dxa"/>
            <w:vAlign w:val="bottom"/>
            <w:tcBorders>
              <w:bottom w:val="single" w:sz="8" w:color="134A9C"/>
              <w:right w:val="single" w:sz="8" w:color="0033A0"/>
            </w:tcBorders>
          </w:tcPr>
          <w:p>
            <w:pPr>
              <w:spacing w:after="0"/>
              <w:rPr>
                <w:sz w:val="2"/>
                <w:szCs w:val="2"/>
                <w:color w:val="auto"/>
              </w:rPr>
            </w:pPr>
          </w:p>
        </w:tc>
      </w:tr>
      <w:tr>
        <w:trPr>
          <w:trHeight w:val="217"/>
        </w:trPr>
        <w:tc>
          <w:tcPr>
            <w:tcW w:w="4820" w:type="dxa"/>
            <w:vAlign w:val="bottom"/>
            <w:tcBorders>
              <w:left w:val="single" w:sz="8" w:color="0033A0"/>
              <w:right w:val="single" w:sz="8" w:color="134A9C"/>
            </w:tcBorders>
          </w:tcPr>
          <w:p>
            <w:pPr>
              <w:ind w:left="4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Performance metrics aligned with the</w:t>
            </w:r>
          </w:p>
        </w:tc>
        <w:tc>
          <w:tcPr>
            <w:tcW w:w="6620" w:type="dxa"/>
            <w:vAlign w:val="bottom"/>
            <w:tcBorders>
              <w:right w:val="single" w:sz="8" w:color="0033A0"/>
            </w:tcBorders>
          </w:tcPr>
          <w:p>
            <w:pPr>
              <w:ind w:left="2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Incentive plans have metrics which executives can directly impact: ROIC, EBIT,</w:t>
            </w:r>
          </w:p>
        </w:tc>
      </w:tr>
      <w:tr>
        <w:trPr>
          <w:trHeight w:val="216"/>
        </w:trPr>
        <w:tc>
          <w:tcPr>
            <w:tcW w:w="4820" w:type="dxa"/>
            <w:vAlign w:val="bottom"/>
            <w:tcBorders>
              <w:left w:val="single" w:sz="8" w:color="0033A0"/>
              <w:bottom w:val="single" w:sz="8" w:color="134A9C"/>
              <w:right w:val="single" w:sz="8" w:color="134A9C"/>
            </w:tcBorders>
          </w:tcPr>
          <w:p>
            <w:pPr>
              <w:ind w:left="300"/>
              <w:spacing w:after="0"/>
              <w:rPr>
                <w:sz w:val="20"/>
                <w:szCs w:val="20"/>
                <w:color w:val="auto"/>
              </w:rPr>
            </w:pPr>
            <w:r>
              <w:rPr>
                <w:rFonts w:ascii="Arial" w:cs="Arial" w:eastAsia="Arial" w:hAnsi="Arial"/>
                <w:sz w:val="16"/>
                <w:szCs w:val="16"/>
                <w:color w:val="auto"/>
              </w:rPr>
              <w:t>executive's sphere of influence</w:t>
            </w:r>
          </w:p>
        </w:tc>
        <w:tc>
          <w:tcPr>
            <w:tcW w:w="6620" w:type="dxa"/>
            <w:vAlign w:val="bottom"/>
            <w:tcBorders>
              <w:bottom w:val="single" w:sz="8" w:color="134A9C"/>
              <w:right w:val="single" w:sz="8" w:color="0033A0"/>
            </w:tcBorders>
          </w:tcPr>
          <w:p>
            <w:pPr>
              <w:ind w:left="260"/>
              <w:spacing w:after="0"/>
              <w:rPr>
                <w:sz w:val="20"/>
                <w:szCs w:val="20"/>
                <w:color w:val="auto"/>
              </w:rPr>
            </w:pPr>
            <w:r>
              <w:rPr>
                <w:rFonts w:ascii="Arial" w:cs="Arial" w:eastAsia="Arial" w:hAnsi="Arial"/>
                <w:sz w:val="16"/>
                <w:szCs w:val="16"/>
                <w:color w:val="auto"/>
              </w:rPr>
              <w:t>Automotive Free Cash Flow, Global Market Share and Quality</w:t>
            </w:r>
          </w:p>
        </w:tc>
      </w:tr>
      <w:tr>
        <w:trPr>
          <w:trHeight w:val="224"/>
        </w:trPr>
        <w:tc>
          <w:tcPr>
            <w:tcW w:w="4820" w:type="dxa"/>
            <w:vAlign w:val="bottom"/>
            <w:tcBorders>
              <w:left w:val="single" w:sz="8" w:color="0033A0"/>
              <w:right w:val="single" w:sz="8" w:color="134A9C"/>
            </w:tcBorders>
          </w:tcPr>
          <w:p>
            <w:pPr>
              <w:ind w:left="4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Performance-based awards with a performance period greater</w:t>
            </w:r>
          </w:p>
        </w:tc>
        <w:tc>
          <w:tcPr>
            <w:tcW w:w="6620" w:type="dxa"/>
            <w:vAlign w:val="bottom"/>
            <w:tcBorders>
              <w:right w:val="single" w:sz="8" w:color="0033A0"/>
            </w:tcBorders>
          </w:tcPr>
          <w:p>
            <w:pPr>
              <w:ind w:left="2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PSUs are measured over a three-year period beginning</w:t>
            </w:r>
          </w:p>
        </w:tc>
      </w:tr>
      <w:tr>
        <w:trPr>
          <w:trHeight w:val="216"/>
        </w:trPr>
        <w:tc>
          <w:tcPr>
            <w:tcW w:w="4820" w:type="dxa"/>
            <w:vAlign w:val="bottom"/>
            <w:tcBorders>
              <w:left w:val="single" w:sz="8" w:color="0033A0"/>
              <w:bottom w:val="single" w:sz="8" w:color="134A9C"/>
              <w:right w:val="single" w:sz="8" w:color="134A9C"/>
            </w:tcBorders>
          </w:tcPr>
          <w:p>
            <w:pPr>
              <w:ind w:left="300"/>
              <w:spacing w:after="0"/>
              <w:rPr>
                <w:sz w:val="20"/>
                <w:szCs w:val="20"/>
                <w:color w:val="auto"/>
              </w:rPr>
            </w:pPr>
            <w:r>
              <w:rPr>
                <w:rFonts w:ascii="Arial" w:cs="Arial" w:eastAsia="Arial" w:hAnsi="Arial"/>
                <w:sz w:val="16"/>
                <w:szCs w:val="16"/>
                <w:color w:val="auto"/>
              </w:rPr>
              <w:t>than one year</w:t>
            </w:r>
          </w:p>
        </w:tc>
        <w:tc>
          <w:tcPr>
            <w:tcW w:w="6620" w:type="dxa"/>
            <w:vAlign w:val="bottom"/>
            <w:tcBorders>
              <w:bottom w:val="single" w:sz="8" w:color="134A9C"/>
              <w:right w:val="single" w:sz="8" w:color="0033A0"/>
            </w:tcBorders>
          </w:tcPr>
          <w:p>
            <w:pPr>
              <w:ind w:left="260"/>
              <w:spacing w:after="0"/>
              <w:rPr>
                <w:sz w:val="20"/>
                <w:szCs w:val="20"/>
                <w:color w:val="auto"/>
              </w:rPr>
            </w:pPr>
            <w:r>
              <w:rPr>
                <w:rFonts w:ascii="Arial" w:cs="Arial" w:eastAsia="Arial" w:hAnsi="Arial"/>
                <w:sz w:val="16"/>
                <w:szCs w:val="16"/>
                <w:color w:val="auto"/>
              </w:rPr>
              <w:t>January 1, 2014</w:t>
            </w:r>
          </w:p>
        </w:tc>
      </w:tr>
      <w:tr>
        <w:trPr>
          <w:trHeight w:val="224"/>
        </w:trPr>
        <w:tc>
          <w:tcPr>
            <w:tcW w:w="4820" w:type="dxa"/>
            <w:vAlign w:val="bottom"/>
            <w:tcBorders>
              <w:left w:val="single" w:sz="8" w:color="0033A0"/>
              <w:right w:val="single" w:sz="8" w:color="134A9C"/>
            </w:tcBorders>
          </w:tcPr>
          <w:p>
            <w:pPr>
              <w:ind w:left="4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Consider stock options</w:t>
            </w:r>
          </w:p>
        </w:tc>
        <w:tc>
          <w:tcPr>
            <w:tcW w:w="6620" w:type="dxa"/>
            <w:vAlign w:val="bottom"/>
            <w:tcBorders>
              <w:right w:val="single" w:sz="8" w:color="0033A0"/>
            </w:tcBorders>
          </w:tcPr>
          <w:p>
            <w:pPr>
              <w:ind w:left="2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Continue to evaluate equity vehicles to ensure desired</w:t>
            </w:r>
          </w:p>
        </w:tc>
      </w:tr>
      <w:tr>
        <w:trPr>
          <w:trHeight w:val="216"/>
        </w:trPr>
        <w:tc>
          <w:tcPr>
            <w:tcW w:w="4820" w:type="dxa"/>
            <w:vAlign w:val="bottom"/>
            <w:tcBorders>
              <w:left w:val="single" w:sz="8" w:color="0033A0"/>
              <w:bottom w:val="single" w:sz="8" w:color="134A9C"/>
              <w:right w:val="single" w:sz="8" w:color="134A9C"/>
            </w:tcBorders>
          </w:tcPr>
          <w:p>
            <w:pPr>
              <w:spacing w:after="0"/>
              <w:rPr>
                <w:sz w:val="18"/>
                <w:szCs w:val="18"/>
                <w:color w:val="auto"/>
              </w:rPr>
            </w:pPr>
          </w:p>
        </w:tc>
        <w:tc>
          <w:tcPr>
            <w:tcW w:w="6620" w:type="dxa"/>
            <w:vAlign w:val="bottom"/>
            <w:tcBorders>
              <w:bottom w:val="single" w:sz="8" w:color="134A9C"/>
              <w:right w:val="single" w:sz="8" w:color="0033A0"/>
            </w:tcBorders>
          </w:tcPr>
          <w:p>
            <w:pPr>
              <w:ind w:left="300"/>
              <w:spacing w:after="0"/>
              <w:rPr>
                <w:sz w:val="20"/>
                <w:szCs w:val="20"/>
                <w:color w:val="auto"/>
              </w:rPr>
            </w:pPr>
            <w:r>
              <w:rPr>
                <w:rFonts w:ascii="Arial" w:cs="Arial" w:eastAsia="Arial" w:hAnsi="Arial"/>
                <w:sz w:val="16"/>
                <w:szCs w:val="16"/>
                <w:color w:val="auto"/>
              </w:rPr>
              <w:t>performance results and alignment with stockholders</w:t>
            </w:r>
          </w:p>
        </w:tc>
      </w:tr>
      <w:tr>
        <w:trPr>
          <w:trHeight w:val="224"/>
        </w:trPr>
        <w:tc>
          <w:tcPr>
            <w:tcW w:w="4820" w:type="dxa"/>
            <w:vAlign w:val="bottom"/>
            <w:tcBorders>
              <w:left w:val="single" w:sz="8" w:color="0033A0"/>
              <w:right w:val="single" w:sz="8" w:color="134A9C"/>
            </w:tcBorders>
          </w:tcPr>
          <w:p>
            <w:pPr>
              <w:ind w:left="4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Appropriate balance of time-based vesting awards</w:t>
            </w:r>
          </w:p>
        </w:tc>
        <w:tc>
          <w:tcPr>
            <w:tcW w:w="6620" w:type="dxa"/>
            <w:vAlign w:val="bottom"/>
            <w:tcBorders>
              <w:right w:val="single" w:sz="8" w:color="0033A0"/>
            </w:tcBorders>
          </w:tcPr>
          <w:p>
            <w:pPr>
              <w:ind w:left="2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Annual equity grants for NEOs and senior executives include only 25% time-based</w:t>
            </w:r>
          </w:p>
        </w:tc>
      </w:tr>
      <w:tr>
        <w:trPr>
          <w:trHeight w:val="216"/>
        </w:trPr>
        <w:tc>
          <w:tcPr>
            <w:tcW w:w="4820" w:type="dxa"/>
            <w:vAlign w:val="bottom"/>
            <w:tcBorders>
              <w:left w:val="single" w:sz="8" w:color="0033A0"/>
              <w:bottom w:val="single" w:sz="8" w:color="134A9C"/>
              <w:right w:val="single" w:sz="8" w:color="134A9C"/>
            </w:tcBorders>
          </w:tcPr>
          <w:p>
            <w:pPr>
              <w:spacing w:after="0"/>
              <w:rPr>
                <w:sz w:val="18"/>
                <w:szCs w:val="18"/>
                <w:color w:val="auto"/>
              </w:rPr>
            </w:pPr>
          </w:p>
        </w:tc>
        <w:tc>
          <w:tcPr>
            <w:tcW w:w="6620" w:type="dxa"/>
            <w:vAlign w:val="bottom"/>
            <w:tcBorders>
              <w:bottom w:val="single" w:sz="8" w:color="134A9C"/>
              <w:right w:val="single" w:sz="8" w:color="0033A0"/>
            </w:tcBorders>
          </w:tcPr>
          <w:p>
            <w:pPr>
              <w:ind w:left="260"/>
              <w:spacing w:after="0"/>
              <w:rPr>
                <w:sz w:val="20"/>
                <w:szCs w:val="20"/>
                <w:color w:val="auto"/>
              </w:rPr>
            </w:pPr>
            <w:r>
              <w:rPr>
                <w:rFonts w:ascii="Arial" w:cs="Arial" w:eastAsia="Arial" w:hAnsi="Arial"/>
                <w:sz w:val="16"/>
                <w:szCs w:val="16"/>
                <w:color w:val="auto"/>
              </w:rPr>
              <w:t>vesting awards</w:t>
            </w:r>
          </w:p>
        </w:tc>
      </w:tr>
      <w:tr>
        <w:trPr>
          <w:trHeight w:val="257"/>
        </w:trPr>
        <w:tc>
          <w:tcPr>
            <w:tcW w:w="4820" w:type="dxa"/>
            <w:vAlign w:val="bottom"/>
            <w:tcBorders>
              <w:left w:val="single" w:sz="8" w:color="0033A0"/>
              <w:right w:val="single" w:sz="8" w:color="134A9C"/>
            </w:tcBorders>
          </w:tcPr>
          <w:p>
            <w:pPr>
              <w:ind w:left="4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Do not guarantee incentive payments</w:t>
            </w:r>
          </w:p>
        </w:tc>
        <w:tc>
          <w:tcPr>
            <w:tcW w:w="6620" w:type="dxa"/>
            <w:vAlign w:val="bottom"/>
            <w:tcBorders>
              <w:right w:val="single" w:sz="8" w:color="0033A0"/>
            </w:tcBorders>
          </w:tcPr>
          <w:p>
            <w:pPr>
              <w:ind w:left="20"/>
              <w:spacing w:after="0"/>
              <w:rPr>
                <w:sz w:val="20"/>
                <w:szCs w:val="20"/>
                <w:color w:val="auto"/>
              </w:rPr>
            </w:pPr>
            <w:r>
              <w:rPr>
                <w:rFonts w:ascii="Arial" w:cs="Arial" w:eastAsia="Arial" w:hAnsi="Arial"/>
                <w:sz w:val="16"/>
                <w:szCs w:val="16"/>
                <w:color w:val="134A9C"/>
              </w:rPr>
              <w:t xml:space="preserve">Ÿ </w:t>
            </w:r>
            <w:r>
              <w:rPr>
                <w:rFonts w:ascii="Arial" w:cs="Arial" w:eastAsia="Arial" w:hAnsi="Arial"/>
                <w:sz w:val="16"/>
                <w:szCs w:val="16"/>
                <w:color w:val="000000"/>
              </w:rPr>
              <w:t>Performance-based payouts are metric driven with no guarantees</w:t>
            </w:r>
          </w:p>
        </w:tc>
      </w:tr>
      <w:tr>
        <w:trPr>
          <w:trHeight w:val="27"/>
        </w:trPr>
        <w:tc>
          <w:tcPr>
            <w:tcW w:w="4820" w:type="dxa"/>
            <w:vAlign w:val="bottom"/>
            <w:tcBorders>
              <w:left w:val="single" w:sz="8" w:color="0033A0"/>
              <w:right w:val="single" w:sz="8" w:color="0033A0"/>
            </w:tcBorders>
            <w:shd w:val="clear" w:color="auto" w:fill="0033A0"/>
          </w:tcPr>
          <w:p>
            <w:pPr>
              <w:spacing w:after="0"/>
              <w:rPr>
                <w:sz w:val="2"/>
                <w:szCs w:val="2"/>
                <w:color w:val="auto"/>
              </w:rPr>
            </w:pPr>
          </w:p>
        </w:tc>
        <w:tc>
          <w:tcPr>
            <w:tcW w:w="6620" w:type="dxa"/>
            <w:vAlign w:val="bottom"/>
            <w:tcBorders>
              <w:right w:val="single" w:sz="8" w:color="0033A0"/>
            </w:tcBorders>
            <w:shd w:val="clear" w:color="auto" w:fill="0033A0"/>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2014 Compensation Programs</w:t>
      </w:r>
    </w:p>
    <w:p>
      <w:pPr>
        <w:spacing w:after="0" w:line="14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 xml:space="preserve">The focus on executing our strategic plans and performance towards achieving key business metrics is based on the efforts of our employees, particularly the members of our senior management team, many of whom either assumed new roles as discussed in the </w:t>
      </w:r>
      <w:r>
        <w:rPr>
          <w:rFonts w:ascii="Arial" w:cs="Arial" w:eastAsia="Arial" w:hAnsi="Arial"/>
          <w:sz w:val="18"/>
          <w:szCs w:val="18"/>
          <w:i w:val="1"/>
          <w:iCs w:val="1"/>
          <w:color w:val="auto"/>
        </w:rPr>
        <w:t>"Key Leadership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Changes" </w:t>
      </w:r>
      <w:r>
        <w:rPr>
          <w:rFonts w:ascii="Arial" w:cs="Arial" w:eastAsia="Arial" w:hAnsi="Arial"/>
          <w:sz w:val="18"/>
          <w:szCs w:val="18"/>
          <w:color w:val="auto"/>
        </w:rPr>
        <w:t>section above or joined the Company in recent years.</w:t>
      </w: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240" w:type="dxa"/>
            <w:vAlign w:val="bottom"/>
            <w:tcBorders>
              <w:left w:val="single" w:sz="8" w:color="134A9C"/>
              <w:right w:val="single" w:sz="8" w:color="134A9C"/>
            </w:tcBorders>
            <w:shd w:val="clear" w:color="auto" w:fill="134A9C"/>
          </w:tcPr>
          <w:p>
            <w:pPr>
              <w:ind w:left="40"/>
              <w:spacing w:after="0"/>
              <w:rPr>
                <w:sz w:val="20"/>
                <w:szCs w:val="20"/>
                <w:color w:val="auto"/>
              </w:rPr>
            </w:pPr>
            <w:r>
              <w:rPr>
                <w:rFonts w:ascii="Arial" w:cs="Arial" w:eastAsia="Arial" w:hAnsi="Arial"/>
                <w:sz w:val="18"/>
                <w:szCs w:val="18"/>
                <w:b w:val="1"/>
                <w:bCs w:val="1"/>
                <w:color w:val="FFFFFF"/>
              </w:rPr>
              <w:t>2014 Fiscal Year NEOs</w:t>
            </w:r>
          </w:p>
        </w:tc>
        <w:tc>
          <w:tcPr>
            <w:tcW w:w="8200" w:type="dxa"/>
            <w:vAlign w:val="bottom"/>
            <w:tcBorders>
              <w:right w:val="single" w:sz="8" w:color="134A9C"/>
            </w:tcBorders>
            <w:shd w:val="clear" w:color="auto" w:fill="134A9C"/>
          </w:tcPr>
          <w:p>
            <w:pPr>
              <w:spacing w:after="0"/>
              <w:rPr>
                <w:sz w:val="23"/>
                <w:szCs w:val="23"/>
                <w:color w:val="auto"/>
              </w:rPr>
            </w:pPr>
          </w:p>
        </w:tc>
      </w:tr>
      <w:tr>
        <w:trPr>
          <w:trHeight w:val="250"/>
        </w:trPr>
        <w:tc>
          <w:tcPr>
            <w:tcW w:w="32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Mary T. Barra</w:t>
            </w:r>
          </w:p>
        </w:tc>
        <w:tc>
          <w:tcPr>
            <w:tcW w:w="820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Chief Executive Officer</w:t>
            </w:r>
          </w:p>
        </w:tc>
      </w:tr>
      <w:tr>
        <w:trPr>
          <w:trHeight w:val="250"/>
        </w:trPr>
        <w:tc>
          <w:tcPr>
            <w:tcW w:w="32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Charles K. Stevens, III</w:t>
            </w:r>
          </w:p>
        </w:tc>
        <w:tc>
          <w:tcPr>
            <w:tcW w:w="820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Executive Vice President &amp; Chief Financial Officer</w:t>
            </w:r>
          </w:p>
        </w:tc>
      </w:tr>
      <w:tr>
        <w:trPr>
          <w:trHeight w:val="229"/>
        </w:trPr>
        <w:tc>
          <w:tcPr>
            <w:tcW w:w="32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Daniel Ammann</w:t>
            </w:r>
          </w:p>
        </w:tc>
        <w:tc>
          <w:tcPr>
            <w:tcW w:w="820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President and Former Executive Vice President &amp;</w:t>
            </w:r>
          </w:p>
        </w:tc>
      </w:tr>
      <w:tr>
        <w:trPr>
          <w:trHeight w:val="224"/>
        </w:trPr>
        <w:tc>
          <w:tcPr>
            <w:tcW w:w="3240" w:type="dxa"/>
            <w:vAlign w:val="bottom"/>
            <w:tcBorders>
              <w:left w:val="single" w:sz="8" w:color="134A9C"/>
              <w:bottom w:val="single" w:sz="8" w:color="134A9C"/>
              <w:right w:val="single" w:sz="8" w:color="134A9C"/>
            </w:tcBorders>
          </w:tcPr>
          <w:p>
            <w:pPr>
              <w:spacing w:after="0"/>
              <w:rPr>
                <w:sz w:val="19"/>
                <w:szCs w:val="19"/>
                <w:color w:val="auto"/>
              </w:rPr>
            </w:pPr>
          </w:p>
        </w:tc>
        <w:tc>
          <w:tcPr>
            <w:tcW w:w="820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2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Mark L. Reuss</w:t>
            </w:r>
          </w:p>
        </w:tc>
        <w:tc>
          <w:tcPr>
            <w:tcW w:w="820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Executive Vice President, Global Product Development,</w:t>
            </w:r>
          </w:p>
        </w:tc>
      </w:tr>
      <w:tr>
        <w:trPr>
          <w:trHeight w:val="224"/>
        </w:trPr>
        <w:tc>
          <w:tcPr>
            <w:tcW w:w="3240" w:type="dxa"/>
            <w:vAlign w:val="bottom"/>
            <w:tcBorders>
              <w:left w:val="single" w:sz="8" w:color="134A9C"/>
              <w:bottom w:val="single" w:sz="8" w:color="134A9C"/>
              <w:right w:val="single" w:sz="8" w:color="134A9C"/>
            </w:tcBorders>
          </w:tcPr>
          <w:p>
            <w:pPr>
              <w:spacing w:after="0"/>
              <w:rPr>
                <w:sz w:val="19"/>
                <w:szCs w:val="19"/>
                <w:color w:val="auto"/>
              </w:rPr>
            </w:pPr>
          </w:p>
        </w:tc>
        <w:tc>
          <w:tcPr>
            <w:tcW w:w="820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Purchasing &amp; Supply Chain</w:t>
            </w:r>
          </w:p>
        </w:tc>
      </w:tr>
      <w:tr>
        <w:trPr>
          <w:trHeight w:val="283"/>
        </w:trPr>
        <w:tc>
          <w:tcPr>
            <w:tcW w:w="32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Michael P. Millikin</w:t>
            </w:r>
            <w:r>
              <w:rPr>
                <w:rFonts w:ascii="Arial" w:cs="Arial" w:eastAsia="Arial" w:hAnsi="Arial"/>
                <w:sz w:val="18"/>
                <w:szCs w:val="18"/>
                <w:color w:val="auto"/>
                <w:vertAlign w:val="superscript"/>
              </w:rPr>
              <w:t>(1)</w:t>
            </w:r>
          </w:p>
        </w:tc>
        <w:tc>
          <w:tcPr>
            <w:tcW w:w="820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Executive Vice President &amp; General Counsel</w:t>
            </w:r>
          </w:p>
        </w:tc>
      </w:tr>
      <w:tr>
        <w:trPr>
          <w:trHeight w:val="222"/>
        </w:trPr>
        <w:tc>
          <w:tcPr>
            <w:tcW w:w="32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Karl-Thomas Neumann</w:t>
            </w:r>
          </w:p>
        </w:tc>
        <w:tc>
          <w:tcPr>
            <w:tcW w:w="8200" w:type="dxa"/>
            <w:vAlign w:val="bottom"/>
            <w:tcBorders>
              <w:right w:val="single" w:sz="8" w:color="134A9C"/>
            </w:tcBorders>
          </w:tcPr>
          <w:p>
            <w:pPr>
              <w:ind w:left="20"/>
              <w:spacing w:after="0"/>
              <w:rPr>
                <w:sz w:val="20"/>
                <w:szCs w:val="20"/>
                <w:color w:val="auto"/>
              </w:rPr>
            </w:pPr>
            <w:r>
              <w:rPr>
                <w:rFonts w:ascii="Arial" w:cs="Arial" w:eastAsia="Arial" w:hAnsi="Arial"/>
                <w:sz w:val="18"/>
                <w:szCs w:val="18"/>
                <w:color w:val="auto"/>
              </w:rPr>
              <w:t>Executive Vice President &amp; President, Europe</w:t>
            </w:r>
          </w:p>
        </w:tc>
      </w:tr>
      <w:tr>
        <w:trPr>
          <w:trHeight w:val="224"/>
        </w:trPr>
        <w:tc>
          <w:tcPr>
            <w:tcW w:w="3240" w:type="dxa"/>
            <w:vAlign w:val="bottom"/>
            <w:tcBorders>
              <w:left w:val="single" w:sz="8" w:color="134A9C"/>
              <w:bottom w:val="single" w:sz="8" w:color="134A9C"/>
              <w:right w:val="single" w:sz="8" w:color="134A9C"/>
            </w:tcBorders>
          </w:tcPr>
          <w:p>
            <w:pPr>
              <w:spacing w:after="0"/>
              <w:rPr>
                <w:sz w:val="19"/>
                <w:szCs w:val="19"/>
                <w:color w:val="auto"/>
              </w:rPr>
            </w:pPr>
          </w:p>
        </w:tc>
        <w:tc>
          <w:tcPr>
            <w:tcW w:w="820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Chairman of the Management Board of Opel Group GmbH</w:t>
            </w:r>
          </w:p>
        </w:tc>
      </w:tr>
      <w:tr>
        <w:trPr>
          <w:trHeight w:val="256"/>
        </w:trPr>
        <w:tc>
          <w:tcPr>
            <w:tcW w:w="32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Daniel F. Akerson</w:t>
            </w:r>
            <w:r>
              <w:rPr>
                <w:rFonts w:ascii="Arial" w:cs="Arial" w:eastAsia="Arial" w:hAnsi="Arial"/>
                <w:sz w:val="18"/>
                <w:szCs w:val="18"/>
                <w:color w:val="auto"/>
                <w:vertAlign w:val="superscript"/>
              </w:rPr>
              <w:t>(1)</w:t>
            </w:r>
          </w:p>
        </w:tc>
        <w:tc>
          <w:tcPr>
            <w:tcW w:w="820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8"/>
                <w:szCs w:val="18"/>
                <w:color w:val="auto"/>
              </w:rPr>
              <w:t>Former Chairman &amp; Chief Executive Officer</w:t>
            </w:r>
          </w:p>
        </w:tc>
      </w:tr>
    </w:tbl>
    <w:p>
      <w:pPr>
        <w:spacing w:after="0" w:line="200" w:lineRule="exact"/>
        <w:rPr>
          <w:sz w:val="20"/>
          <w:szCs w:val="20"/>
          <w:color w:val="auto"/>
        </w:rPr>
      </w:pPr>
    </w:p>
    <w:p>
      <w:pPr>
        <w:sectPr>
          <w:pgSz w:w="11900" w:h="16838" w:orient="portrait"/>
          <w:cols w:equalWidth="0" w:num="1">
            <w:col w:w="11440"/>
          </w:cols>
          <w:pgMar w:left="240" w:top="292" w:right="219" w:bottom="1440" w:gutter="0" w:footer="0" w:header="0"/>
        </w:sectPr>
      </w:pPr>
    </w:p>
    <w:p>
      <w:pPr>
        <w:spacing w:after="0" w:line="205"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38</w:t>
      </w:r>
      <w:r>
        <w:rPr>
          <w:sz w:val="20"/>
          <w:szCs w:val="20"/>
          <w:color w:val="auto"/>
        </w:rPr>
        <w:tab/>
      </w:r>
      <w:r>
        <w:rPr>
          <w:sz w:val="1"/>
          <w:szCs w:val="1"/>
          <w:color w:val="auto"/>
        </w:rPr>
        <w:drawing>
          <wp:inline distT="0" distB="0" distL="0" distR="0">
            <wp:extent cx="120015" cy="12001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type w:val="continuous"/>
        </w:sectPr>
      </w:pPr>
    </w:p>
    <w:bookmarkStart w:id="42" w:name="page43"/>
    <w:bookmarkEnd w:id="42"/>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40" w:right="120" w:hanging="332"/>
        <w:spacing w:after="0" w:line="247"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Effective March 1, 2015, Michael P. Millikin stepped down from his position of Executive Vice President &amp; General Counsel having previously announced his plans to retire from General Motors after 37 years of service. Mr. Millikin is serving as a Senior Advisor until his retirement date in July 2015 and will continue to provide consulting services to the Company through 2015. On January 15, 2014, Daniel F. Akerson stepped down as Chairman &amp; CEO of General Motors and then served as a Senior Advisor until he left the Company in July 2014.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During 2014, the compensation structure for our NEOs included the following core elements:</w:t>
      </w:r>
    </w:p>
    <w:p>
      <w:pPr>
        <w:spacing w:after="0" w:line="13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01349C"/>
        </w:rPr>
      </w:pPr>
      <w:r>
        <w:rPr>
          <w:rFonts w:ascii="Arial" w:cs="Arial" w:eastAsia="Arial" w:hAnsi="Arial"/>
          <w:sz w:val="18"/>
          <w:szCs w:val="18"/>
          <w:color w:val="auto"/>
        </w:rPr>
        <w:t>Base salary;</w:t>
      </w:r>
    </w:p>
    <w:p>
      <w:pPr>
        <w:spacing w:after="0" w:line="63" w:lineRule="exact"/>
        <w:rPr>
          <w:rFonts w:ascii="Arial" w:cs="Arial" w:eastAsia="Arial" w:hAnsi="Arial"/>
          <w:sz w:val="18"/>
          <w:szCs w:val="18"/>
          <w:color w:val="01349C"/>
        </w:rPr>
      </w:pPr>
    </w:p>
    <w:p>
      <w:pPr>
        <w:ind w:left="340" w:hanging="332"/>
        <w:spacing w:after="0"/>
        <w:tabs>
          <w:tab w:leader="none" w:pos="340" w:val="left"/>
        </w:tabs>
        <w:numPr>
          <w:ilvl w:val="0"/>
          <w:numId w:val="50"/>
        </w:numPr>
        <w:rPr>
          <w:rFonts w:ascii="Arial" w:cs="Arial" w:eastAsia="Arial" w:hAnsi="Arial"/>
          <w:sz w:val="18"/>
          <w:szCs w:val="18"/>
          <w:color w:val="134A9C"/>
        </w:rPr>
      </w:pPr>
      <w:r>
        <w:rPr>
          <w:rFonts w:ascii="Arial" w:cs="Arial" w:eastAsia="Arial" w:hAnsi="Arial"/>
          <w:sz w:val="18"/>
          <w:szCs w:val="18"/>
          <w:color w:val="auto"/>
        </w:rPr>
        <w:t>Short-term incentive plan;</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50"/>
        </w:numPr>
        <w:rPr>
          <w:rFonts w:ascii="Arial" w:cs="Arial" w:eastAsia="Arial" w:hAnsi="Arial"/>
          <w:sz w:val="18"/>
          <w:szCs w:val="18"/>
          <w:color w:val="134A9C"/>
        </w:rPr>
      </w:pPr>
      <w:r>
        <w:rPr>
          <w:rFonts w:ascii="Arial" w:cs="Arial" w:eastAsia="Arial" w:hAnsi="Arial"/>
          <w:sz w:val="18"/>
          <w:szCs w:val="18"/>
          <w:color w:val="auto"/>
        </w:rPr>
        <w:t>Long-term performance stock units; and</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50"/>
        </w:numPr>
        <w:rPr>
          <w:rFonts w:ascii="Arial" w:cs="Arial" w:eastAsia="Arial" w:hAnsi="Arial"/>
          <w:sz w:val="18"/>
          <w:szCs w:val="18"/>
          <w:color w:val="134A9C"/>
        </w:rPr>
      </w:pPr>
      <w:r>
        <w:rPr>
          <w:rFonts w:ascii="Arial" w:cs="Arial" w:eastAsia="Arial" w:hAnsi="Arial"/>
          <w:sz w:val="18"/>
          <w:szCs w:val="18"/>
          <w:color w:val="auto"/>
        </w:rPr>
        <w:t>Long-term restricted stock units.</w:t>
      </w:r>
    </w:p>
    <w:p>
      <w:pPr>
        <w:spacing w:after="0" w:line="13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that linking pay to the achievement of both short- and long-term goals is an important cornerstone of executive engagement and supports the following objectives that foster the long-term success of the Company and create long-term value for stockholders:</w:t>
      </w:r>
    </w:p>
    <w:p>
      <w:pPr>
        <w:spacing w:after="0" w:line="102"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134A9C"/>
        </w:rPr>
      </w:pPr>
      <w:r>
        <w:rPr>
          <w:rFonts w:ascii="Arial" w:cs="Arial" w:eastAsia="Arial" w:hAnsi="Arial"/>
          <w:sz w:val="18"/>
          <w:szCs w:val="18"/>
          <w:color w:val="auto"/>
        </w:rPr>
        <w:t>Link individual and business performance to the long-term interests of our stockholders;</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51"/>
        </w:numPr>
        <w:rPr>
          <w:rFonts w:ascii="Arial" w:cs="Arial" w:eastAsia="Arial" w:hAnsi="Arial"/>
          <w:sz w:val="18"/>
          <w:szCs w:val="18"/>
          <w:color w:val="134A9C"/>
        </w:rPr>
      </w:pPr>
      <w:r>
        <w:rPr>
          <w:rFonts w:ascii="Arial" w:cs="Arial" w:eastAsia="Arial" w:hAnsi="Arial"/>
          <w:sz w:val="18"/>
          <w:szCs w:val="18"/>
          <w:color w:val="auto"/>
        </w:rPr>
        <w:t>Maintain a critical line of sight between Company performance and individual rewards;</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51"/>
        </w:numPr>
        <w:rPr>
          <w:rFonts w:ascii="Arial" w:cs="Arial" w:eastAsia="Arial" w:hAnsi="Arial"/>
          <w:sz w:val="18"/>
          <w:szCs w:val="18"/>
          <w:color w:val="134A9C"/>
        </w:rPr>
      </w:pPr>
      <w:r>
        <w:rPr>
          <w:rFonts w:ascii="Arial" w:cs="Arial" w:eastAsia="Arial" w:hAnsi="Arial"/>
          <w:sz w:val="18"/>
          <w:szCs w:val="18"/>
          <w:color w:val="auto"/>
        </w:rPr>
        <w:t>Support sound compensation policies and governance practices;</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51"/>
        </w:numPr>
        <w:rPr>
          <w:rFonts w:ascii="Arial" w:cs="Arial" w:eastAsia="Arial" w:hAnsi="Arial"/>
          <w:sz w:val="18"/>
          <w:szCs w:val="18"/>
          <w:color w:val="134A9C"/>
        </w:rPr>
      </w:pPr>
      <w:r>
        <w:rPr>
          <w:rFonts w:ascii="Arial" w:cs="Arial" w:eastAsia="Arial" w:hAnsi="Arial"/>
          <w:sz w:val="18"/>
          <w:szCs w:val="18"/>
          <w:color w:val="auto"/>
        </w:rPr>
        <w:t>Mitigate business risk; and</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51"/>
        </w:numPr>
        <w:rPr>
          <w:rFonts w:ascii="Arial" w:cs="Arial" w:eastAsia="Arial" w:hAnsi="Arial"/>
          <w:sz w:val="18"/>
          <w:szCs w:val="18"/>
          <w:color w:val="134A9C"/>
        </w:rPr>
      </w:pPr>
      <w:r>
        <w:rPr>
          <w:rFonts w:ascii="Arial" w:cs="Arial" w:eastAsia="Arial" w:hAnsi="Arial"/>
          <w:sz w:val="18"/>
          <w:szCs w:val="18"/>
          <w:color w:val="auto"/>
        </w:rPr>
        <w:t>Enhance our ability to attract, retain, and reward critical talent.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Performance-Based Compensation Structure</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NEOs are focused on optimizing long-term financial returns for our stockholders through increasing profitability, putting the customer at the center of everything we do, growing the business, and driving innovation.</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such, following the UST’s sale of its remaining shares of Common Stock in December 2013 and after receiving stockholder approval at the 2014 annual meeting of stockholders of the STIP at 96 percent and the LTIP at 95 percent, we implemented a more appropriate performance-based compensation structure for our NEOs.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revised structure incorporates both short- and long-term incentives established using financial and operational metrics for fiscal year 2014 and beyond. In addition to base salary, this structure, shown graphically below, includes an annual STIP award and a LTIP award comprised of both PSUs and RSUs to focus our executives on long-term Company performance.</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our CEO, Ms. Barra, 89 percent of the target compensation is pay-at-risk and 69 percent is linked to the performance of Common Stock. For our other NEOs, excluding our former CEO, on average 84 percent of the target compensation is pay-at-risk and 63 percent is linked to the performance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68580</wp:posOffset>
            </wp:positionV>
            <wp:extent cx="3241675" cy="17665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4167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39</w:t>
      </w:r>
      <w:r>
        <w:rPr>
          <w:sz w:val="20"/>
          <w:szCs w:val="20"/>
          <w:color w:val="auto"/>
        </w:rPr>
        <w:tab/>
      </w:r>
      <w:r>
        <w:rPr>
          <w:sz w:val="1"/>
          <w:szCs w:val="1"/>
          <w:color w:val="auto"/>
        </w:rPr>
        <w:drawing>
          <wp:inline distT="0" distB="0" distL="0" distR="0">
            <wp:extent cx="120015" cy="12001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43" w:name="page44"/>
    <w:bookmarkEnd w:id="43"/>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Short-Term Incentive Compensation</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STIP is an annual cash incentive award that aligns to our goal of creating the world’s most valued automotive company and may be earned based upon the Company’s achievement of annual financial goals, operational performance goals, and individual performance. The STIP rewards the NEOs for performance achieved during the plan year. Potential payouts under the STIP for Company performance range from 0 to 200 percent of target.</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STIP awards are determined following completion of each plan year by adjusting each NEO's target incentive award opportunity to reflect Company achievement against the following equally-weighted performance measures: EBIT-Adjusted, Adjusted AFCF, Global Market Share, and Global Quality . Each NEO’s award is further adjusted based on the final assessment of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5145405" cy="9347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540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Long-Term Incentive Compensation</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NEO grants under the LTIP consist of PSUs and RSUs intended to align the financial interests of NEOs with the long-term interests of stockholders. Equity grants for 2014 were made to NEOs following stockholder approval of the LTIP at the 2014 annual meeting of stockholders. The structure for NEOs includes 75 percent PSUs and 25 percent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68580</wp:posOffset>
            </wp:positionV>
            <wp:extent cx="1715135" cy="1551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513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2014-2016 PSUs are awarded based on evaluation of the Company’s results against the following performance measures: ROIC and Global Market Share over the three-year performance period. The PSU performance measures were chosen to foster both long-term growth and efficient use of capital. The Compensation Committee, based on input from their independent compensation consultants, believes that excelling in both ROIC and Global Market Share will create long-term value for stockholders. PSUs vest and are awarded and delivered following completion of the three-year performance period and may be awarded at a level between 0 to 200 percent of target based on actual Company results. RSUs vest ratably over the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5145405" cy="11061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540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40</w:t>
      </w:r>
      <w:r>
        <w:rPr>
          <w:sz w:val="20"/>
          <w:szCs w:val="20"/>
          <w:color w:val="auto"/>
        </w:rPr>
        <w:tab/>
      </w:r>
      <w:r>
        <w:rPr>
          <w:sz w:val="1"/>
          <w:szCs w:val="1"/>
          <w:color w:val="auto"/>
        </w:rPr>
        <w:drawing>
          <wp:inline distT="0" distB="0" distL="0" distR="0">
            <wp:extent cx="120015" cy="12001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44" w:name="page45"/>
    <w:bookmarkEnd w:id="44"/>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2014 Target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After the key leadership changes discussed above, our target total direct compensation for each NEO (excluding Mr. Akerson) was as follows: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640" w:type="dxa"/>
            <w:vAlign w:val="bottom"/>
            <w:tcBorders>
              <w:left w:val="single" w:sz="8" w:color="134A9C"/>
            </w:tcBorders>
            <w:shd w:val="clear" w:color="auto" w:fill="134A9C"/>
          </w:tcPr>
          <w:p>
            <w:pPr>
              <w:spacing w:after="0"/>
              <w:rPr>
                <w:sz w:val="18"/>
                <w:szCs w:val="18"/>
                <w:color w:val="auto"/>
              </w:rPr>
            </w:pPr>
          </w:p>
        </w:tc>
        <w:tc>
          <w:tcPr>
            <w:tcW w:w="1580" w:type="dxa"/>
            <w:vAlign w:val="bottom"/>
            <w:shd w:val="clear" w:color="auto" w:fill="134A9C"/>
          </w:tcPr>
          <w:p>
            <w:pPr>
              <w:spacing w:after="0"/>
              <w:rPr>
                <w:sz w:val="18"/>
                <w:szCs w:val="18"/>
                <w:color w:val="auto"/>
              </w:rPr>
            </w:pPr>
          </w:p>
        </w:tc>
        <w:tc>
          <w:tcPr>
            <w:tcW w:w="1200" w:type="dxa"/>
            <w:vAlign w:val="bottom"/>
            <w:tcBorders>
              <w:right w:val="single" w:sz="8" w:color="134A9C"/>
            </w:tcBorders>
            <w:shd w:val="clear" w:color="auto" w:fill="134A9C"/>
          </w:tcPr>
          <w:p>
            <w:pPr>
              <w:spacing w:after="0"/>
              <w:rPr>
                <w:sz w:val="18"/>
                <w:szCs w:val="18"/>
                <w:color w:val="auto"/>
              </w:rPr>
            </w:pPr>
          </w:p>
        </w:tc>
        <w:tc>
          <w:tcPr>
            <w:tcW w:w="1600" w:type="dxa"/>
            <w:vAlign w:val="bottom"/>
            <w:tcBorders>
              <w:right w:val="single" w:sz="8" w:color="134A9C"/>
            </w:tcBorders>
            <w:shd w:val="clear" w:color="auto" w:fill="134A9C"/>
          </w:tcPr>
          <w:p>
            <w:pPr>
              <w:spacing w:after="0"/>
              <w:rPr>
                <w:sz w:val="18"/>
                <w:szCs w:val="18"/>
                <w:color w:val="auto"/>
              </w:rPr>
            </w:pPr>
          </w:p>
        </w:tc>
        <w:tc>
          <w:tcPr>
            <w:tcW w:w="1520" w:type="dxa"/>
            <w:vAlign w:val="bottom"/>
            <w:shd w:val="clear" w:color="auto" w:fill="134A9C"/>
          </w:tcPr>
          <w:p>
            <w:pPr>
              <w:jc w:val="right"/>
              <w:ind w:right="48"/>
              <w:spacing w:after="0"/>
              <w:rPr>
                <w:sz w:val="20"/>
                <w:szCs w:val="20"/>
                <w:color w:val="auto"/>
              </w:rPr>
            </w:pPr>
            <w:r>
              <w:rPr>
                <w:rFonts w:ascii="Arial" w:cs="Arial" w:eastAsia="Arial" w:hAnsi="Arial"/>
                <w:sz w:val="14"/>
                <w:szCs w:val="14"/>
                <w:b w:val="1"/>
                <w:bCs w:val="1"/>
                <w:color w:val="FFFFFF"/>
              </w:rPr>
              <w:t>LTIP</w:t>
            </w:r>
          </w:p>
        </w:tc>
        <w:tc>
          <w:tcPr>
            <w:tcW w:w="960" w:type="dxa"/>
            <w:vAlign w:val="bottom"/>
            <w:tcBorders>
              <w:right w:val="single" w:sz="8" w:color="134A9C"/>
            </w:tcBorders>
            <w:shd w:val="clear" w:color="auto" w:fill="134A9C"/>
          </w:tcPr>
          <w:p>
            <w:pPr>
              <w:spacing w:after="0"/>
              <w:rPr>
                <w:sz w:val="18"/>
                <w:szCs w:val="18"/>
                <w:color w:val="auto"/>
              </w:rPr>
            </w:pPr>
          </w:p>
        </w:tc>
        <w:tc>
          <w:tcPr>
            <w:tcW w:w="1940" w:type="dxa"/>
            <w:vAlign w:val="bottom"/>
            <w:tcBorders>
              <w:right w:val="single" w:sz="8" w:color="134A9C"/>
            </w:tcBorders>
            <w:shd w:val="clear" w:color="auto" w:fill="134A9C"/>
          </w:tcPr>
          <w:p>
            <w:pPr>
              <w:spacing w:after="0"/>
              <w:rPr>
                <w:sz w:val="18"/>
                <w:szCs w:val="18"/>
                <w:color w:val="auto"/>
              </w:rPr>
            </w:pPr>
          </w:p>
        </w:tc>
      </w:tr>
      <w:tr>
        <w:trPr>
          <w:trHeight w:val="188"/>
        </w:trPr>
        <w:tc>
          <w:tcPr>
            <w:tcW w:w="2640" w:type="dxa"/>
            <w:vAlign w:val="bottom"/>
            <w:tcBorders>
              <w:left w:val="single" w:sz="8" w:color="134A9C"/>
            </w:tcBorders>
            <w:shd w:val="clear" w:color="auto" w:fill="134A9C"/>
          </w:tcPr>
          <w:p>
            <w:pPr>
              <w:spacing w:after="0"/>
              <w:rPr>
                <w:sz w:val="16"/>
                <w:szCs w:val="16"/>
                <w:color w:val="auto"/>
              </w:rPr>
            </w:pPr>
          </w:p>
        </w:tc>
        <w:tc>
          <w:tcPr>
            <w:tcW w:w="1580" w:type="dxa"/>
            <w:vAlign w:val="bottom"/>
            <w:shd w:val="clear" w:color="auto" w:fill="134A9C"/>
          </w:tcPr>
          <w:p>
            <w:pPr>
              <w:jc w:val="right"/>
              <w:ind w:right="388"/>
              <w:spacing w:after="0"/>
              <w:rPr>
                <w:sz w:val="20"/>
                <w:szCs w:val="20"/>
                <w:color w:val="auto"/>
              </w:rPr>
            </w:pPr>
            <w:r>
              <w:rPr>
                <w:rFonts w:ascii="Arial" w:cs="Arial" w:eastAsia="Arial" w:hAnsi="Arial"/>
                <w:sz w:val="14"/>
                <w:szCs w:val="14"/>
                <w:b w:val="1"/>
                <w:bCs w:val="1"/>
                <w:color w:val="FFFFFF"/>
              </w:rPr>
              <w:t>Annual Base</w:t>
            </w:r>
          </w:p>
        </w:tc>
        <w:tc>
          <w:tcPr>
            <w:tcW w:w="1200" w:type="dxa"/>
            <w:vAlign w:val="bottom"/>
            <w:tcBorders>
              <w:right w:val="single" w:sz="8" w:color="134A9C"/>
            </w:tcBorders>
            <w:shd w:val="clear" w:color="auto" w:fill="134A9C"/>
          </w:tcPr>
          <w:p>
            <w:pPr>
              <w:jc w:val="right"/>
              <w:ind w:right="488"/>
              <w:spacing w:after="0"/>
              <w:rPr>
                <w:sz w:val="20"/>
                <w:szCs w:val="20"/>
                <w:color w:val="auto"/>
              </w:rPr>
            </w:pPr>
            <w:r>
              <w:rPr>
                <w:rFonts w:ascii="Arial" w:cs="Arial" w:eastAsia="Arial" w:hAnsi="Arial"/>
                <w:sz w:val="14"/>
                <w:szCs w:val="14"/>
                <w:b w:val="1"/>
                <w:bCs w:val="1"/>
                <w:color w:val="FFFFFF"/>
              </w:rPr>
              <w:t>STIP</w:t>
            </w:r>
          </w:p>
        </w:tc>
        <w:tc>
          <w:tcPr>
            <w:tcW w:w="1600" w:type="dxa"/>
            <w:vAlign w:val="bottom"/>
            <w:tcBorders>
              <w:right w:val="single" w:sz="8" w:color="134A9C"/>
            </w:tcBorders>
            <w:shd w:val="clear" w:color="auto" w:fill="134A9C"/>
          </w:tcPr>
          <w:p>
            <w:pPr>
              <w:jc w:val="right"/>
              <w:ind w:right="148"/>
              <w:spacing w:after="0"/>
              <w:rPr>
                <w:sz w:val="20"/>
                <w:szCs w:val="20"/>
                <w:color w:val="auto"/>
              </w:rPr>
            </w:pPr>
            <w:r>
              <w:rPr>
                <w:rFonts w:ascii="Arial" w:cs="Arial" w:eastAsia="Arial" w:hAnsi="Arial"/>
                <w:sz w:val="14"/>
                <w:szCs w:val="14"/>
                <w:b w:val="1"/>
                <w:bCs w:val="1"/>
                <w:color w:val="FFFFFF"/>
              </w:rPr>
              <w:t>Target Total Cash</w:t>
            </w:r>
          </w:p>
        </w:tc>
        <w:tc>
          <w:tcPr>
            <w:tcW w:w="1520" w:type="dxa"/>
            <w:vAlign w:val="bottom"/>
            <w:shd w:val="clear" w:color="auto" w:fill="134A9C"/>
          </w:tcPr>
          <w:p>
            <w:pPr>
              <w:jc w:val="right"/>
              <w:ind w:right="648"/>
              <w:spacing w:after="0"/>
              <w:rPr>
                <w:sz w:val="20"/>
                <w:szCs w:val="20"/>
                <w:color w:val="auto"/>
              </w:rPr>
            </w:pPr>
            <w:r>
              <w:rPr>
                <w:rFonts w:ascii="Arial" w:cs="Arial" w:eastAsia="Arial" w:hAnsi="Arial"/>
                <w:sz w:val="14"/>
                <w:szCs w:val="14"/>
                <w:b w:val="1"/>
                <w:bCs w:val="1"/>
                <w:color w:val="FFFFFF"/>
              </w:rPr>
              <w:t>PSUs</w:t>
            </w:r>
          </w:p>
        </w:tc>
        <w:tc>
          <w:tcPr>
            <w:tcW w:w="960" w:type="dxa"/>
            <w:vAlign w:val="bottom"/>
            <w:tcBorders>
              <w:right w:val="single" w:sz="8" w:color="134A9C"/>
            </w:tcBorders>
            <w:shd w:val="clear" w:color="auto" w:fill="134A9C"/>
          </w:tcPr>
          <w:p>
            <w:pPr>
              <w:jc w:val="right"/>
              <w:ind w:right="368"/>
              <w:spacing w:after="0"/>
              <w:rPr>
                <w:sz w:val="20"/>
                <w:szCs w:val="20"/>
                <w:color w:val="auto"/>
              </w:rPr>
            </w:pPr>
            <w:r>
              <w:rPr>
                <w:rFonts w:ascii="Arial" w:cs="Arial" w:eastAsia="Arial" w:hAnsi="Arial"/>
                <w:sz w:val="14"/>
                <w:szCs w:val="14"/>
                <w:b w:val="1"/>
                <w:bCs w:val="1"/>
                <w:color w:val="FFFFFF"/>
              </w:rPr>
              <w:t>RSUs</w:t>
            </w:r>
          </w:p>
        </w:tc>
        <w:tc>
          <w:tcPr>
            <w:tcW w:w="1940" w:type="dxa"/>
            <w:vAlign w:val="bottom"/>
            <w:tcBorders>
              <w:right w:val="single" w:sz="8" w:color="134A9C"/>
            </w:tcBorders>
            <w:shd w:val="clear" w:color="auto" w:fill="134A9C"/>
          </w:tcPr>
          <w:p>
            <w:pPr>
              <w:jc w:val="right"/>
              <w:ind w:right="288"/>
              <w:spacing w:after="0"/>
              <w:rPr>
                <w:sz w:val="20"/>
                <w:szCs w:val="20"/>
                <w:color w:val="auto"/>
              </w:rPr>
            </w:pPr>
            <w:r>
              <w:rPr>
                <w:rFonts w:ascii="Arial" w:cs="Arial" w:eastAsia="Arial" w:hAnsi="Arial"/>
                <w:sz w:val="14"/>
                <w:szCs w:val="14"/>
                <w:b w:val="1"/>
                <w:bCs w:val="1"/>
                <w:color w:val="FFFFFF"/>
              </w:rPr>
              <w:t>Target Total Direct</w:t>
            </w:r>
          </w:p>
        </w:tc>
      </w:tr>
      <w:tr>
        <w:trPr>
          <w:trHeight w:val="216"/>
        </w:trPr>
        <w:tc>
          <w:tcPr>
            <w:tcW w:w="2640" w:type="dxa"/>
            <w:vAlign w:val="bottom"/>
            <w:tcBorders>
              <w:left w:val="single" w:sz="8" w:color="134A9C"/>
            </w:tcBorders>
            <w:shd w:val="clear" w:color="auto" w:fill="134A9C"/>
          </w:tcPr>
          <w:p>
            <w:pPr>
              <w:ind w:left="1140"/>
              <w:spacing w:after="0"/>
              <w:rPr>
                <w:sz w:val="20"/>
                <w:szCs w:val="20"/>
                <w:color w:val="auto"/>
              </w:rPr>
            </w:pPr>
            <w:r>
              <w:rPr>
                <w:rFonts w:ascii="Arial" w:cs="Arial" w:eastAsia="Arial" w:hAnsi="Arial"/>
                <w:sz w:val="14"/>
                <w:szCs w:val="14"/>
                <w:b w:val="1"/>
                <w:bCs w:val="1"/>
                <w:color w:val="FFFFFF"/>
              </w:rPr>
              <w:t>Name</w:t>
            </w:r>
          </w:p>
        </w:tc>
        <w:tc>
          <w:tcPr>
            <w:tcW w:w="1580" w:type="dxa"/>
            <w:vAlign w:val="bottom"/>
            <w:shd w:val="clear" w:color="auto" w:fill="134A9C"/>
          </w:tcPr>
          <w:p>
            <w:pPr>
              <w:jc w:val="right"/>
              <w:ind w:right="488"/>
              <w:spacing w:after="0"/>
              <w:rPr>
                <w:sz w:val="20"/>
                <w:szCs w:val="20"/>
                <w:color w:val="auto"/>
              </w:rPr>
            </w:pPr>
            <w:r>
              <w:rPr>
                <w:rFonts w:ascii="Arial" w:cs="Arial" w:eastAsia="Arial" w:hAnsi="Arial"/>
                <w:sz w:val="14"/>
                <w:szCs w:val="14"/>
                <w:b w:val="1"/>
                <w:bCs w:val="1"/>
                <w:color w:val="FFFFFF"/>
              </w:rPr>
              <w:t>Salary ($)</w:t>
            </w:r>
          </w:p>
        </w:tc>
        <w:tc>
          <w:tcPr>
            <w:tcW w:w="1200" w:type="dxa"/>
            <w:vAlign w:val="bottom"/>
            <w:tcBorders>
              <w:right w:val="single" w:sz="8" w:color="134A9C"/>
            </w:tcBorders>
            <w:shd w:val="clear" w:color="auto" w:fill="134A9C"/>
          </w:tcPr>
          <w:p>
            <w:pPr>
              <w:jc w:val="right"/>
              <w:ind w:right="548"/>
              <w:spacing w:after="0"/>
              <w:rPr>
                <w:sz w:val="20"/>
                <w:szCs w:val="20"/>
                <w:color w:val="auto"/>
              </w:rPr>
            </w:pPr>
            <w:r>
              <w:rPr>
                <w:rFonts w:ascii="Arial" w:cs="Arial" w:eastAsia="Arial" w:hAnsi="Arial"/>
                <w:sz w:val="14"/>
                <w:szCs w:val="14"/>
                <w:b w:val="1"/>
                <w:bCs w:val="1"/>
                <w:color w:val="FFFFFF"/>
              </w:rPr>
              <w:t>($)</w:t>
            </w:r>
          </w:p>
        </w:tc>
        <w:tc>
          <w:tcPr>
            <w:tcW w:w="1600" w:type="dxa"/>
            <w:vAlign w:val="bottom"/>
            <w:tcBorders>
              <w:right w:val="single" w:sz="8" w:color="134A9C"/>
            </w:tcBorders>
            <w:shd w:val="clear" w:color="auto" w:fill="134A9C"/>
          </w:tcPr>
          <w:p>
            <w:pPr>
              <w:jc w:val="right"/>
              <w:ind w:right="148"/>
              <w:spacing w:after="0"/>
              <w:rPr>
                <w:sz w:val="20"/>
                <w:szCs w:val="20"/>
                <w:color w:val="auto"/>
              </w:rPr>
            </w:pPr>
            <w:r>
              <w:rPr>
                <w:rFonts w:ascii="Arial" w:cs="Arial" w:eastAsia="Arial" w:hAnsi="Arial"/>
                <w:sz w:val="14"/>
                <w:szCs w:val="14"/>
                <w:b w:val="1"/>
                <w:bCs w:val="1"/>
                <w:color w:val="FFFFFF"/>
              </w:rPr>
              <w:t>Compensation ($)</w:t>
            </w:r>
          </w:p>
        </w:tc>
        <w:tc>
          <w:tcPr>
            <w:tcW w:w="1520" w:type="dxa"/>
            <w:vAlign w:val="bottom"/>
            <w:shd w:val="clear" w:color="auto" w:fill="134A9C"/>
          </w:tcPr>
          <w:p>
            <w:pPr>
              <w:jc w:val="right"/>
              <w:ind w:right="748"/>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right w:val="single" w:sz="8" w:color="134A9C"/>
            </w:tcBorders>
            <w:shd w:val="clear" w:color="auto" w:fill="134A9C"/>
          </w:tcPr>
          <w:p>
            <w:pPr>
              <w:jc w:val="right"/>
              <w:ind w:right="468"/>
              <w:spacing w:after="0"/>
              <w:rPr>
                <w:sz w:val="20"/>
                <w:szCs w:val="20"/>
                <w:color w:val="auto"/>
              </w:rPr>
            </w:pPr>
            <w:r>
              <w:rPr>
                <w:rFonts w:ascii="Arial" w:cs="Arial" w:eastAsia="Arial" w:hAnsi="Arial"/>
                <w:sz w:val="14"/>
                <w:szCs w:val="14"/>
                <w:b w:val="1"/>
                <w:bCs w:val="1"/>
                <w:color w:val="FFFFFF"/>
              </w:rPr>
              <w:t>($)</w:t>
            </w:r>
          </w:p>
        </w:tc>
        <w:tc>
          <w:tcPr>
            <w:tcW w:w="1940" w:type="dxa"/>
            <w:vAlign w:val="bottom"/>
            <w:tcBorders>
              <w:right w:val="single" w:sz="8" w:color="134A9C"/>
            </w:tcBorders>
            <w:shd w:val="clear" w:color="auto" w:fill="134A9C"/>
          </w:tcPr>
          <w:p>
            <w:pPr>
              <w:jc w:val="right"/>
              <w:ind w:right="248"/>
              <w:spacing w:after="0"/>
              <w:rPr>
                <w:sz w:val="20"/>
                <w:szCs w:val="20"/>
                <w:color w:val="auto"/>
              </w:rPr>
            </w:pPr>
            <w:r>
              <w:rPr>
                <w:rFonts w:ascii="Arial" w:cs="Arial" w:eastAsia="Arial" w:hAnsi="Arial"/>
                <w:sz w:val="14"/>
                <w:szCs w:val="14"/>
                <w:b w:val="1"/>
                <w:bCs w:val="1"/>
                <w:color w:val="FFFFFF"/>
              </w:rPr>
              <w:t>Compensation</w:t>
            </w:r>
            <w:r>
              <w:rPr>
                <w:rFonts w:ascii="Arial" w:cs="Arial" w:eastAsia="Arial" w:hAnsi="Arial"/>
                <w:sz w:val="17"/>
                <w:szCs w:val="17"/>
                <w:b w:val="1"/>
                <w:bCs w:val="1"/>
                <w:color w:val="FFFFFF"/>
                <w:vertAlign w:val="superscript"/>
              </w:rPr>
              <w:t>(1)</w:t>
            </w:r>
            <w:r>
              <w:rPr>
                <w:rFonts w:ascii="Arial" w:cs="Arial" w:eastAsia="Arial" w:hAnsi="Arial"/>
                <w:sz w:val="14"/>
                <w:szCs w:val="14"/>
                <w:b w:val="1"/>
                <w:bCs w:val="1"/>
                <w:color w:val="FFFFFF"/>
              </w:rPr>
              <w:t xml:space="preserve"> ($)</w:t>
            </w:r>
          </w:p>
        </w:tc>
      </w:tr>
      <w:tr>
        <w:trPr>
          <w:trHeight w:val="204"/>
        </w:trPr>
        <w:tc>
          <w:tcPr>
            <w:tcW w:w="2640" w:type="dxa"/>
            <w:vAlign w:val="bottom"/>
            <w:tcBorders>
              <w:left w:val="single" w:sz="8" w:color="134A9C"/>
            </w:tcBorders>
          </w:tcPr>
          <w:p>
            <w:pPr>
              <w:ind w:left="40"/>
              <w:spacing w:after="0"/>
              <w:rPr>
                <w:sz w:val="20"/>
                <w:szCs w:val="20"/>
                <w:color w:val="auto"/>
              </w:rPr>
            </w:pPr>
            <w:r>
              <w:rPr>
                <w:rFonts w:ascii="Arial" w:cs="Arial" w:eastAsia="Arial" w:hAnsi="Arial"/>
                <w:sz w:val="14"/>
                <w:szCs w:val="14"/>
                <w:color w:val="auto"/>
              </w:rPr>
              <w:t>Mary T. Barra</w:t>
            </w:r>
          </w:p>
        </w:tc>
        <w:tc>
          <w:tcPr>
            <w:tcW w:w="1580" w:type="dxa"/>
            <w:vAlign w:val="bottom"/>
          </w:tcPr>
          <w:p>
            <w:pPr>
              <w:jc w:val="right"/>
              <w:ind w:right="248"/>
              <w:spacing w:after="0"/>
              <w:rPr>
                <w:sz w:val="20"/>
                <w:szCs w:val="20"/>
                <w:color w:val="auto"/>
              </w:rPr>
            </w:pPr>
            <w:r>
              <w:rPr>
                <w:rFonts w:ascii="Arial" w:cs="Arial" w:eastAsia="Arial" w:hAnsi="Arial"/>
                <w:sz w:val="14"/>
                <w:szCs w:val="14"/>
                <w:color w:val="auto"/>
              </w:rPr>
              <w:t>1,600,000</w:t>
            </w:r>
          </w:p>
        </w:tc>
        <w:tc>
          <w:tcPr>
            <w:tcW w:w="120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2,800,000</w:t>
            </w:r>
          </w:p>
        </w:tc>
        <w:tc>
          <w:tcPr>
            <w:tcW w:w="160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b w:val="1"/>
                <w:bCs w:val="1"/>
                <w:color w:val="auto"/>
              </w:rPr>
              <w:t>4,400,000</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7,500,000</w:t>
            </w:r>
          </w:p>
        </w:tc>
        <w:tc>
          <w:tcPr>
            <w:tcW w:w="96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2,500,000</w:t>
            </w:r>
          </w:p>
        </w:tc>
        <w:tc>
          <w:tcPr>
            <w:tcW w:w="19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b w:val="1"/>
                <w:bCs w:val="1"/>
                <w:color w:val="auto"/>
              </w:rPr>
              <w:t>14,400,000</w:t>
            </w:r>
          </w:p>
        </w:tc>
      </w:tr>
      <w:tr>
        <w:trPr>
          <w:trHeight w:val="216"/>
        </w:trPr>
        <w:tc>
          <w:tcPr>
            <w:tcW w:w="2640" w:type="dxa"/>
            <w:vAlign w:val="bottom"/>
            <w:tcBorders>
              <w:left w:val="single" w:sz="8" w:color="134A9C"/>
            </w:tcBorders>
          </w:tcPr>
          <w:p>
            <w:pPr>
              <w:ind w:left="40"/>
              <w:spacing w:after="0"/>
              <w:rPr>
                <w:sz w:val="20"/>
                <w:szCs w:val="20"/>
                <w:color w:val="auto"/>
              </w:rPr>
            </w:pPr>
            <w:r>
              <w:rPr>
                <w:rFonts w:ascii="Arial" w:cs="Arial" w:eastAsia="Arial" w:hAnsi="Arial"/>
                <w:sz w:val="14"/>
                <w:szCs w:val="14"/>
                <w:color w:val="auto"/>
              </w:rPr>
              <w:t>Charles K. Stevens, III</w:t>
            </w:r>
          </w:p>
        </w:tc>
        <w:tc>
          <w:tcPr>
            <w:tcW w:w="1580" w:type="dxa"/>
            <w:vAlign w:val="bottom"/>
          </w:tcPr>
          <w:p>
            <w:pPr>
              <w:jc w:val="right"/>
              <w:ind w:right="248"/>
              <w:spacing w:after="0"/>
              <w:rPr>
                <w:sz w:val="20"/>
                <w:szCs w:val="20"/>
                <w:color w:val="auto"/>
              </w:rPr>
            </w:pPr>
            <w:r>
              <w:rPr>
                <w:rFonts w:ascii="Arial" w:cs="Arial" w:eastAsia="Arial" w:hAnsi="Arial"/>
                <w:sz w:val="14"/>
                <w:szCs w:val="14"/>
                <w:color w:val="auto"/>
              </w:rPr>
              <w:t>700,000</w:t>
            </w:r>
          </w:p>
        </w:tc>
        <w:tc>
          <w:tcPr>
            <w:tcW w:w="120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875,000</w:t>
            </w:r>
          </w:p>
        </w:tc>
        <w:tc>
          <w:tcPr>
            <w:tcW w:w="160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b w:val="1"/>
                <w:bCs w:val="1"/>
                <w:color w:val="auto"/>
              </w:rPr>
              <w:t>1,575,000</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1,818,750</w:t>
            </w:r>
          </w:p>
        </w:tc>
        <w:tc>
          <w:tcPr>
            <w:tcW w:w="96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606,250</w:t>
            </w:r>
          </w:p>
        </w:tc>
        <w:tc>
          <w:tcPr>
            <w:tcW w:w="19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b w:val="1"/>
                <w:bCs w:val="1"/>
                <w:color w:val="auto"/>
              </w:rPr>
              <w:t>4,000,000</w:t>
            </w:r>
          </w:p>
        </w:tc>
      </w:tr>
      <w:tr>
        <w:trPr>
          <w:trHeight w:val="216"/>
        </w:trPr>
        <w:tc>
          <w:tcPr>
            <w:tcW w:w="2640" w:type="dxa"/>
            <w:vAlign w:val="bottom"/>
            <w:tcBorders>
              <w:left w:val="single" w:sz="8" w:color="134A9C"/>
            </w:tcBorders>
          </w:tcPr>
          <w:p>
            <w:pPr>
              <w:ind w:left="40"/>
              <w:spacing w:after="0"/>
              <w:rPr>
                <w:sz w:val="20"/>
                <w:szCs w:val="20"/>
                <w:color w:val="auto"/>
              </w:rPr>
            </w:pPr>
            <w:r>
              <w:rPr>
                <w:rFonts w:ascii="Arial" w:cs="Arial" w:eastAsia="Arial" w:hAnsi="Arial"/>
                <w:sz w:val="14"/>
                <w:szCs w:val="14"/>
                <w:color w:val="auto"/>
              </w:rPr>
              <w:t>Daniel Ammann</w:t>
            </w:r>
          </w:p>
        </w:tc>
        <w:tc>
          <w:tcPr>
            <w:tcW w:w="1580" w:type="dxa"/>
            <w:vAlign w:val="bottom"/>
          </w:tcPr>
          <w:p>
            <w:pPr>
              <w:jc w:val="right"/>
              <w:ind w:right="248"/>
              <w:spacing w:after="0"/>
              <w:rPr>
                <w:sz w:val="20"/>
                <w:szCs w:val="20"/>
                <w:color w:val="auto"/>
              </w:rPr>
            </w:pPr>
            <w:r>
              <w:rPr>
                <w:rFonts w:ascii="Arial" w:cs="Arial" w:eastAsia="Arial" w:hAnsi="Arial"/>
                <w:sz w:val="14"/>
                <w:szCs w:val="14"/>
                <w:color w:val="auto"/>
              </w:rPr>
              <w:t>1,000,000</w:t>
            </w:r>
          </w:p>
        </w:tc>
        <w:tc>
          <w:tcPr>
            <w:tcW w:w="120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1,250,000</w:t>
            </w:r>
          </w:p>
        </w:tc>
        <w:tc>
          <w:tcPr>
            <w:tcW w:w="160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b w:val="1"/>
                <w:bCs w:val="1"/>
                <w:color w:val="auto"/>
              </w:rPr>
              <w:t>2,250,000</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3,412,500</w:t>
            </w:r>
          </w:p>
        </w:tc>
        <w:tc>
          <w:tcPr>
            <w:tcW w:w="96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1,137,500</w:t>
            </w:r>
          </w:p>
        </w:tc>
        <w:tc>
          <w:tcPr>
            <w:tcW w:w="19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b w:val="1"/>
                <w:bCs w:val="1"/>
                <w:color w:val="auto"/>
              </w:rPr>
              <w:t>6,800,000</w:t>
            </w:r>
          </w:p>
        </w:tc>
      </w:tr>
      <w:tr>
        <w:trPr>
          <w:trHeight w:val="216"/>
        </w:trPr>
        <w:tc>
          <w:tcPr>
            <w:tcW w:w="2640" w:type="dxa"/>
            <w:vAlign w:val="bottom"/>
            <w:tcBorders>
              <w:left w:val="single" w:sz="8" w:color="134A9C"/>
            </w:tcBorders>
          </w:tcPr>
          <w:p>
            <w:pPr>
              <w:ind w:left="40"/>
              <w:spacing w:after="0"/>
              <w:rPr>
                <w:sz w:val="20"/>
                <w:szCs w:val="20"/>
                <w:color w:val="auto"/>
              </w:rPr>
            </w:pPr>
            <w:r>
              <w:rPr>
                <w:rFonts w:ascii="Arial" w:cs="Arial" w:eastAsia="Arial" w:hAnsi="Arial"/>
                <w:sz w:val="14"/>
                <w:szCs w:val="14"/>
                <w:color w:val="auto"/>
              </w:rPr>
              <w:t>Mark L. Reuss</w:t>
            </w:r>
          </w:p>
        </w:tc>
        <w:tc>
          <w:tcPr>
            <w:tcW w:w="1580" w:type="dxa"/>
            <w:vAlign w:val="bottom"/>
          </w:tcPr>
          <w:p>
            <w:pPr>
              <w:jc w:val="right"/>
              <w:ind w:right="248"/>
              <w:spacing w:after="0"/>
              <w:rPr>
                <w:sz w:val="20"/>
                <w:szCs w:val="20"/>
                <w:color w:val="auto"/>
              </w:rPr>
            </w:pPr>
            <w:r>
              <w:rPr>
                <w:rFonts w:ascii="Arial" w:cs="Arial" w:eastAsia="Arial" w:hAnsi="Arial"/>
                <w:sz w:val="14"/>
                <w:szCs w:val="14"/>
                <w:color w:val="auto"/>
              </w:rPr>
              <w:t>850,000</w:t>
            </w:r>
          </w:p>
        </w:tc>
        <w:tc>
          <w:tcPr>
            <w:tcW w:w="120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1,062,500</w:t>
            </w:r>
          </w:p>
        </w:tc>
        <w:tc>
          <w:tcPr>
            <w:tcW w:w="160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b w:val="1"/>
                <w:bCs w:val="1"/>
                <w:color w:val="auto"/>
              </w:rPr>
              <w:t>1,912,500</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2,915,625</w:t>
            </w:r>
          </w:p>
        </w:tc>
        <w:tc>
          <w:tcPr>
            <w:tcW w:w="96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971,875</w:t>
            </w:r>
          </w:p>
        </w:tc>
        <w:tc>
          <w:tcPr>
            <w:tcW w:w="19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b w:val="1"/>
                <w:bCs w:val="1"/>
                <w:color w:val="auto"/>
              </w:rPr>
              <w:t>5,800,000</w:t>
            </w:r>
          </w:p>
        </w:tc>
      </w:tr>
      <w:tr>
        <w:trPr>
          <w:trHeight w:val="216"/>
        </w:trPr>
        <w:tc>
          <w:tcPr>
            <w:tcW w:w="2640" w:type="dxa"/>
            <w:vAlign w:val="bottom"/>
            <w:tcBorders>
              <w:left w:val="single" w:sz="8" w:color="134A9C"/>
            </w:tcBorders>
          </w:tcPr>
          <w:p>
            <w:pPr>
              <w:ind w:left="40"/>
              <w:spacing w:after="0"/>
              <w:rPr>
                <w:sz w:val="20"/>
                <w:szCs w:val="20"/>
                <w:color w:val="auto"/>
              </w:rPr>
            </w:pPr>
            <w:r>
              <w:rPr>
                <w:rFonts w:ascii="Arial" w:cs="Arial" w:eastAsia="Arial" w:hAnsi="Arial"/>
                <w:sz w:val="14"/>
                <w:szCs w:val="14"/>
                <w:color w:val="auto"/>
              </w:rPr>
              <w:t>Michael P. Millikin</w:t>
            </w:r>
          </w:p>
        </w:tc>
        <w:tc>
          <w:tcPr>
            <w:tcW w:w="1580" w:type="dxa"/>
            <w:vAlign w:val="bottom"/>
          </w:tcPr>
          <w:p>
            <w:pPr>
              <w:jc w:val="right"/>
              <w:ind w:right="248"/>
              <w:spacing w:after="0"/>
              <w:rPr>
                <w:sz w:val="20"/>
                <w:szCs w:val="20"/>
                <w:color w:val="auto"/>
              </w:rPr>
            </w:pPr>
            <w:r>
              <w:rPr>
                <w:rFonts w:ascii="Arial" w:cs="Arial" w:eastAsia="Arial" w:hAnsi="Arial"/>
                <w:sz w:val="14"/>
                <w:szCs w:val="14"/>
                <w:color w:val="auto"/>
              </w:rPr>
              <w:t>700,000</w:t>
            </w:r>
          </w:p>
        </w:tc>
        <w:tc>
          <w:tcPr>
            <w:tcW w:w="120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875,000</w:t>
            </w:r>
          </w:p>
        </w:tc>
        <w:tc>
          <w:tcPr>
            <w:tcW w:w="160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b w:val="1"/>
                <w:bCs w:val="1"/>
                <w:color w:val="auto"/>
              </w:rPr>
              <w:t>1,575,000</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1,593,750</w:t>
            </w:r>
          </w:p>
        </w:tc>
        <w:tc>
          <w:tcPr>
            <w:tcW w:w="96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531,250</w:t>
            </w:r>
          </w:p>
        </w:tc>
        <w:tc>
          <w:tcPr>
            <w:tcW w:w="19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b w:val="1"/>
                <w:bCs w:val="1"/>
                <w:color w:val="auto"/>
              </w:rPr>
              <w:t>3,700,000</w:t>
            </w:r>
          </w:p>
        </w:tc>
      </w:tr>
      <w:tr>
        <w:trPr>
          <w:trHeight w:val="228"/>
        </w:trPr>
        <w:tc>
          <w:tcPr>
            <w:tcW w:w="264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Karl-Thomas Neumann</w:t>
            </w:r>
            <w:r>
              <w:rPr>
                <w:rFonts w:ascii="Arial" w:cs="Arial" w:eastAsia="Arial" w:hAnsi="Arial"/>
                <w:sz w:val="17"/>
                <w:szCs w:val="17"/>
                <w:color w:val="auto"/>
                <w:vertAlign w:val="superscript"/>
              </w:rPr>
              <w:t>(2)</w:t>
            </w:r>
          </w:p>
        </w:tc>
        <w:tc>
          <w:tcPr>
            <w:tcW w:w="1580" w:type="dxa"/>
            <w:vAlign w:val="bottom"/>
            <w:tcBorders>
              <w:bottom w:val="single" w:sz="8" w:color="134A9C"/>
            </w:tcBorders>
          </w:tcPr>
          <w:p>
            <w:pPr>
              <w:jc w:val="right"/>
              <w:ind w:right="248"/>
              <w:spacing w:after="0"/>
              <w:rPr>
                <w:sz w:val="20"/>
                <w:szCs w:val="20"/>
                <w:color w:val="auto"/>
              </w:rPr>
            </w:pPr>
            <w:r>
              <w:rPr>
                <w:rFonts w:ascii="Arial" w:cs="Arial" w:eastAsia="Arial" w:hAnsi="Arial"/>
                <w:sz w:val="14"/>
                <w:szCs w:val="14"/>
                <w:color w:val="auto"/>
              </w:rPr>
              <w:t>800,000</w:t>
            </w:r>
          </w:p>
        </w:tc>
        <w:tc>
          <w:tcPr>
            <w:tcW w:w="12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1,000,000</w:t>
            </w:r>
          </w:p>
        </w:tc>
        <w:tc>
          <w:tcPr>
            <w:tcW w:w="160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b w:val="1"/>
                <w:bCs w:val="1"/>
                <w:color w:val="auto"/>
              </w:rPr>
              <w:t>1,800,000</w:t>
            </w:r>
          </w:p>
        </w:tc>
        <w:tc>
          <w:tcPr>
            <w:tcW w:w="1520" w:type="dxa"/>
            <w:vAlign w:val="bottom"/>
            <w:tcBorders>
              <w:bottom w:val="single" w:sz="8" w:color="134A9C"/>
            </w:tcBorders>
          </w:tcPr>
          <w:p>
            <w:pPr>
              <w:jc w:val="right"/>
              <w:ind w:right="328"/>
              <w:spacing w:after="0"/>
              <w:rPr>
                <w:sz w:val="20"/>
                <w:szCs w:val="20"/>
                <w:color w:val="auto"/>
              </w:rPr>
            </w:pPr>
            <w:r>
              <w:rPr>
                <w:rFonts w:ascii="Arial" w:cs="Arial" w:eastAsia="Arial" w:hAnsi="Arial"/>
                <w:sz w:val="14"/>
                <w:szCs w:val="14"/>
                <w:color w:val="auto"/>
              </w:rPr>
              <w:t>2,025,000</w:t>
            </w:r>
          </w:p>
        </w:tc>
        <w:tc>
          <w:tcPr>
            <w:tcW w:w="9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675,000</w:t>
            </w:r>
          </w:p>
        </w:tc>
        <w:tc>
          <w:tcPr>
            <w:tcW w:w="1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b w:val="1"/>
                <w:bCs w:val="1"/>
                <w:color w:val="auto"/>
              </w:rPr>
              <w:t>4,500,000</w:t>
            </w:r>
          </w:p>
        </w:tc>
      </w:tr>
    </w:tbl>
    <w:p>
      <w:pPr>
        <w:spacing w:after="0" w:line="5" w:lineRule="exact"/>
        <w:rPr>
          <w:sz w:val="20"/>
          <w:szCs w:val="20"/>
          <w:color w:val="auto"/>
        </w:rPr>
      </w:pPr>
    </w:p>
    <w:p>
      <w:pPr>
        <w:ind w:left="340" w:right="20" w:hanging="332"/>
        <w:spacing w:after="0" w:line="24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When analyzing total direct compensation using benchmark data, Ms. Barra and Mr. Stevens were positioned below the median; Messrs. Ammann, Reuss, and Millikin were at the median; and Dr. Neumann was above the median, but in no case did the particular executive’s total direct compensation deviate significantly from the median.</w:t>
      </w:r>
    </w:p>
    <w:p>
      <w:pPr>
        <w:ind w:left="340" w:right="20" w:hanging="332"/>
        <w:spacing w:after="0" w:line="258"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targeted total direct compensation for Dr. Neumann reflects the base salary and STIP in U.S. dollars based on exchange rates at the time of hire. Dr. Neumann receives a salary of €618,564 and an annual STIP target of €773,200.</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CEO Realized Compensation</w:t>
      </w:r>
    </w:p>
    <w:p>
      <w:pPr>
        <w:spacing w:after="0" w:line="14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2014 as CEO, Ms. Barra’s realized compensation was $4,549,563. For year-end 2012, Ms. Barra was Senior Vice President, Global Product Development, and in 2013, she was Executive Vice President, Global Product Development, Purchasing &amp; Supply Chain. Realized compensation below for Ms. Barra includes actual salary earned in each year, actual STIP payments, and equity awards that vested in the respective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344805</wp:posOffset>
            </wp:positionV>
            <wp:extent cx="3198495" cy="1792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9849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5"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41</w:t>
      </w:r>
      <w:r>
        <w:rPr>
          <w:sz w:val="20"/>
          <w:szCs w:val="20"/>
          <w:color w:val="auto"/>
        </w:rPr>
        <w:tab/>
      </w:r>
      <w:r>
        <w:rPr>
          <w:sz w:val="1"/>
          <w:szCs w:val="1"/>
          <w:color w:val="auto"/>
        </w:rPr>
        <w:drawing>
          <wp:inline distT="0" distB="0" distL="0" distR="0">
            <wp:extent cx="120015" cy="12001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sectPr>
      </w:pPr>
    </w:p>
    <w:bookmarkStart w:id="45" w:name="page46"/>
    <w:bookmarkEnd w:id="45"/>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0033A0"/>
        </w:rPr>
        <w:t>Total Compensation Framework and Overview</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discussion of our executive compensation plans and compensation decisions affecting our NEOs during the year ended December 31, 2014 is intended to enhance and provide a basis for understanding the information appearing in the tables beginning on page 52.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2014, the compensation provided to our senior executives was guided by six general principles:</w:t>
      </w:r>
    </w:p>
    <w:p>
      <w:pPr>
        <w:spacing w:after="0" w:line="109" w:lineRule="exact"/>
        <w:rPr>
          <w:sz w:val="20"/>
          <w:szCs w:val="20"/>
          <w:color w:val="auto"/>
        </w:rPr>
      </w:pPr>
    </w:p>
    <w:p>
      <w:pPr>
        <w:ind w:left="340" w:hanging="332"/>
        <w:spacing w:after="0" w:line="281" w:lineRule="auto"/>
        <w:tabs>
          <w:tab w:leader="none" w:pos="340" w:val="left"/>
        </w:tabs>
        <w:numPr>
          <w:ilvl w:val="0"/>
          <w:numId w:val="53"/>
        </w:numPr>
        <w:rPr>
          <w:rFonts w:ascii="Arial" w:cs="Arial" w:eastAsia="Arial" w:hAnsi="Arial"/>
          <w:sz w:val="18"/>
          <w:szCs w:val="18"/>
          <w:color w:val="134A9C"/>
        </w:rPr>
      </w:pPr>
      <w:r>
        <w:rPr>
          <w:rFonts w:ascii="Arial" w:cs="Arial" w:eastAsia="Arial" w:hAnsi="Arial"/>
          <w:sz w:val="18"/>
          <w:szCs w:val="18"/>
          <w:b w:val="1"/>
          <w:bCs w:val="1"/>
          <w:color w:val="0033A0"/>
        </w:rPr>
        <w:t xml:space="preserve">Investor return </w:t>
      </w:r>
      <w:r>
        <w:rPr>
          <w:rFonts w:ascii="Arial" w:cs="Arial" w:eastAsia="Arial" w:hAnsi="Arial"/>
          <w:sz w:val="18"/>
          <w:szCs w:val="18"/>
          <w:color w:val="000000"/>
        </w:rPr>
        <w:t>- The compensation paid should align directly with the long-term interests of our stockholders and our executives should</w:t>
      </w:r>
      <w:r>
        <w:rPr>
          <w:rFonts w:ascii="Arial" w:cs="Arial" w:eastAsia="Arial" w:hAnsi="Arial"/>
          <w:sz w:val="18"/>
          <w:szCs w:val="18"/>
          <w:b w:val="1"/>
          <w:bCs w:val="1"/>
          <w:color w:val="0033A0"/>
        </w:rPr>
        <w:t xml:space="preserve"> </w:t>
      </w:r>
      <w:r>
        <w:rPr>
          <w:rFonts w:ascii="Arial" w:cs="Arial" w:eastAsia="Arial" w:hAnsi="Arial"/>
          <w:sz w:val="18"/>
          <w:szCs w:val="18"/>
          <w:color w:val="000000"/>
        </w:rPr>
        <w:t>share in the market performance of Common Stock with our investors;</w:t>
      </w:r>
    </w:p>
    <w:p>
      <w:pPr>
        <w:spacing w:after="0" w:line="1" w:lineRule="exact"/>
        <w:rPr>
          <w:rFonts w:ascii="Arial" w:cs="Arial" w:eastAsia="Arial" w:hAnsi="Arial"/>
          <w:sz w:val="18"/>
          <w:szCs w:val="18"/>
          <w:color w:val="134A9C"/>
        </w:rPr>
      </w:pPr>
    </w:p>
    <w:p>
      <w:pPr>
        <w:ind w:left="340" w:hanging="332"/>
        <w:spacing w:after="0" w:line="281" w:lineRule="auto"/>
        <w:tabs>
          <w:tab w:leader="none" w:pos="340" w:val="left"/>
        </w:tabs>
        <w:numPr>
          <w:ilvl w:val="0"/>
          <w:numId w:val="53"/>
        </w:numPr>
        <w:rPr>
          <w:rFonts w:ascii="Arial" w:cs="Arial" w:eastAsia="Arial" w:hAnsi="Arial"/>
          <w:sz w:val="18"/>
          <w:szCs w:val="18"/>
          <w:color w:val="134A9C"/>
        </w:rPr>
      </w:pPr>
      <w:r>
        <w:rPr>
          <w:rFonts w:ascii="Arial" w:cs="Arial" w:eastAsia="Arial" w:hAnsi="Arial"/>
          <w:sz w:val="18"/>
          <w:szCs w:val="18"/>
          <w:b w:val="1"/>
          <w:bCs w:val="1"/>
          <w:color w:val="0033A0"/>
        </w:rPr>
        <w:t xml:space="preserve">Performance-based compensation </w:t>
      </w:r>
      <w:r>
        <w:rPr>
          <w:rFonts w:ascii="Arial" w:cs="Arial" w:eastAsia="Arial" w:hAnsi="Arial"/>
          <w:sz w:val="18"/>
          <w:szCs w:val="18"/>
          <w:color w:val="000000"/>
        </w:rPr>
        <w:t>- A substantial portion of total compensation should be performance based over a relevant</w:t>
      </w:r>
      <w:r>
        <w:rPr>
          <w:rFonts w:ascii="Arial" w:cs="Arial" w:eastAsia="Arial" w:hAnsi="Arial"/>
          <w:sz w:val="18"/>
          <w:szCs w:val="18"/>
          <w:b w:val="1"/>
          <w:bCs w:val="1"/>
          <w:color w:val="0033A0"/>
        </w:rPr>
        <w:t xml:space="preserve"> </w:t>
      </w:r>
      <w:r>
        <w:rPr>
          <w:rFonts w:ascii="Arial" w:cs="Arial" w:eastAsia="Arial" w:hAnsi="Arial"/>
          <w:sz w:val="18"/>
          <w:szCs w:val="18"/>
          <w:color w:val="000000"/>
        </w:rPr>
        <w:t>performance period;</w:t>
      </w:r>
    </w:p>
    <w:p>
      <w:pPr>
        <w:spacing w:after="0" w:line="1" w:lineRule="exact"/>
        <w:rPr>
          <w:rFonts w:ascii="Arial" w:cs="Arial" w:eastAsia="Arial" w:hAnsi="Arial"/>
          <w:sz w:val="18"/>
          <w:szCs w:val="18"/>
          <w:color w:val="134A9C"/>
        </w:rPr>
      </w:pPr>
    </w:p>
    <w:p>
      <w:pPr>
        <w:ind w:left="340" w:hanging="332"/>
        <w:spacing w:after="0" w:line="281" w:lineRule="auto"/>
        <w:tabs>
          <w:tab w:leader="none" w:pos="340" w:val="left"/>
        </w:tabs>
        <w:numPr>
          <w:ilvl w:val="0"/>
          <w:numId w:val="53"/>
        </w:numPr>
        <w:rPr>
          <w:rFonts w:ascii="Arial" w:cs="Arial" w:eastAsia="Arial" w:hAnsi="Arial"/>
          <w:sz w:val="18"/>
          <w:szCs w:val="18"/>
          <w:color w:val="134A9C"/>
        </w:rPr>
      </w:pPr>
      <w:r>
        <w:rPr>
          <w:rFonts w:ascii="Arial" w:cs="Arial" w:eastAsia="Arial" w:hAnsi="Arial"/>
          <w:sz w:val="18"/>
          <w:szCs w:val="18"/>
          <w:b w:val="1"/>
          <w:bCs w:val="1"/>
          <w:color w:val="0033A0"/>
        </w:rPr>
        <w:t xml:space="preserve">Avoidance of incentives to take excessive risk </w:t>
      </w:r>
      <w:r>
        <w:rPr>
          <w:rFonts w:ascii="Arial" w:cs="Arial" w:eastAsia="Arial" w:hAnsi="Arial"/>
          <w:sz w:val="18"/>
          <w:szCs w:val="18"/>
          <w:color w:val="000000"/>
        </w:rPr>
        <w:t>- The compensation structure should avoid incentives to take unnecessary and</w:t>
      </w:r>
      <w:r>
        <w:rPr>
          <w:rFonts w:ascii="Arial" w:cs="Arial" w:eastAsia="Arial" w:hAnsi="Arial"/>
          <w:sz w:val="18"/>
          <w:szCs w:val="18"/>
          <w:b w:val="1"/>
          <w:bCs w:val="1"/>
          <w:color w:val="0033A0"/>
        </w:rPr>
        <w:t xml:space="preserve"> </w:t>
      </w:r>
      <w:r>
        <w:rPr>
          <w:rFonts w:ascii="Arial" w:cs="Arial" w:eastAsia="Arial" w:hAnsi="Arial"/>
          <w:sz w:val="18"/>
          <w:szCs w:val="18"/>
          <w:color w:val="000000"/>
        </w:rPr>
        <w:t>excessive risk (e.g., should be paid over a period of time that takes into account the potential risk over the same time period);</w:t>
      </w:r>
    </w:p>
    <w:p>
      <w:pPr>
        <w:spacing w:after="0" w:line="1" w:lineRule="exact"/>
        <w:rPr>
          <w:rFonts w:ascii="Arial" w:cs="Arial" w:eastAsia="Arial" w:hAnsi="Arial"/>
          <w:sz w:val="18"/>
          <w:szCs w:val="18"/>
          <w:color w:val="134A9C"/>
        </w:rPr>
      </w:pPr>
    </w:p>
    <w:p>
      <w:pPr>
        <w:ind w:left="340" w:hanging="332"/>
        <w:spacing w:after="0" w:line="281" w:lineRule="auto"/>
        <w:tabs>
          <w:tab w:leader="none" w:pos="340" w:val="left"/>
        </w:tabs>
        <w:numPr>
          <w:ilvl w:val="0"/>
          <w:numId w:val="53"/>
        </w:numPr>
        <w:rPr>
          <w:rFonts w:ascii="Arial" w:cs="Arial" w:eastAsia="Arial" w:hAnsi="Arial"/>
          <w:sz w:val="18"/>
          <w:szCs w:val="18"/>
          <w:color w:val="134A9C"/>
        </w:rPr>
      </w:pPr>
      <w:r>
        <w:rPr>
          <w:rFonts w:ascii="Arial" w:cs="Arial" w:eastAsia="Arial" w:hAnsi="Arial"/>
          <w:sz w:val="18"/>
          <w:szCs w:val="18"/>
          <w:b w:val="1"/>
          <w:bCs w:val="1"/>
          <w:color w:val="0033A0"/>
        </w:rPr>
        <w:t xml:space="preserve">Appropriate allocation of compensation components </w:t>
      </w:r>
      <w:r>
        <w:rPr>
          <w:rFonts w:ascii="Arial" w:cs="Arial" w:eastAsia="Arial" w:hAnsi="Arial"/>
          <w:sz w:val="18"/>
          <w:szCs w:val="18"/>
          <w:color w:val="000000"/>
        </w:rPr>
        <w:t>- The structure should appropriately allocate total compensation to fixed and</w:t>
      </w:r>
      <w:r>
        <w:rPr>
          <w:rFonts w:ascii="Arial" w:cs="Arial" w:eastAsia="Arial" w:hAnsi="Arial"/>
          <w:sz w:val="18"/>
          <w:szCs w:val="18"/>
          <w:b w:val="1"/>
          <w:bCs w:val="1"/>
          <w:color w:val="0033A0"/>
        </w:rPr>
        <w:t xml:space="preserve"> </w:t>
      </w:r>
      <w:r>
        <w:rPr>
          <w:rFonts w:ascii="Arial" w:cs="Arial" w:eastAsia="Arial" w:hAnsi="Arial"/>
          <w:sz w:val="18"/>
          <w:szCs w:val="18"/>
          <w:color w:val="000000"/>
        </w:rPr>
        <w:t>variable pay elements resulting in an appropriate mix of short- and long-term pay elements;</w:t>
      </w:r>
    </w:p>
    <w:p>
      <w:pPr>
        <w:spacing w:after="0" w:line="1" w:lineRule="exact"/>
        <w:rPr>
          <w:rFonts w:ascii="Arial" w:cs="Arial" w:eastAsia="Arial" w:hAnsi="Arial"/>
          <w:sz w:val="18"/>
          <w:szCs w:val="18"/>
          <w:color w:val="134A9C"/>
        </w:rPr>
      </w:pPr>
    </w:p>
    <w:p>
      <w:pPr>
        <w:ind w:left="340" w:right="20" w:hanging="332"/>
        <w:spacing w:after="0" w:line="281" w:lineRule="auto"/>
        <w:tabs>
          <w:tab w:leader="none" w:pos="340" w:val="left"/>
        </w:tabs>
        <w:numPr>
          <w:ilvl w:val="0"/>
          <w:numId w:val="53"/>
        </w:numPr>
        <w:rPr>
          <w:rFonts w:ascii="Arial" w:cs="Arial" w:eastAsia="Arial" w:hAnsi="Arial"/>
          <w:sz w:val="18"/>
          <w:szCs w:val="18"/>
          <w:color w:val="134A9C"/>
        </w:rPr>
      </w:pPr>
      <w:r>
        <w:rPr>
          <w:rFonts w:ascii="Arial" w:cs="Arial" w:eastAsia="Arial" w:hAnsi="Arial"/>
          <w:sz w:val="18"/>
          <w:szCs w:val="18"/>
          <w:b w:val="1"/>
          <w:bCs w:val="1"/>
          <w:color w:val="0033A0"/>
        </w:rPr>
        <w:t xml:space="preserve">Comparable structures and payments </w:t>
      </w:r>
      <w:r>
        <w:rPr>
          <w:rFonts w:ascii="Arial" w:cs="Arial" w:eastAsia="Arial" w:hAnsi="Arial"/>
          <w:sz w:val="18"/>
          <w:szCs w:val="18"/>
          <w:color w:val="000000"/>
        </w:rPr>
        <w:t>- Compensation structures and amounts should be competitive with those paid to persons in</w:t>
      </w:r>
      <w:r>
        <w:rPr>
          <w:rFonts w:ascii="Arial" w:cs="Arial" w:eastAsia="Arial" w:hAnsi="Arial"/>
          <w:sz w:val="18"/>
          <w:szCs w:val="18"/>
          <w:b w:val="1"/>
          <w:bCs w:val="1"/>
          <w:color w:val="0033A0"/>
        </w:rPr>
        <w:t xml:space="preserve"> </w:t>
      </w:r>
      <w:r>
        <w:rPr>
          <w:rFonts w:ascii="Arial" w:cs="Arial" w:eastAsia="Arial" w:hAnsi="Arial"/>
          <w:sz w:val="18"/>
          <w:szCs w:val="18"/>
          <w:color w:val="000000"/>
        </w:rPr>
        <w:t>similar positions at similarly situated companies; and</w:t>
      </w:r>
    </w:p>
    <w:p>
      <w:pPr>
        <w:spacing w:after="0" w:line="1" w:lineRule="exact"/>
        <w:rPr>
          <w:rFonts w:ascii="Arial" w:cs="Arial" w:eastAsia="Arial" w:hAnsi="Arial"/>
          <w:sz w:val="18"/>
          <w:szCs w:val="18"/>
          <w:color w:val="134A9C"/>
        </w:rPr>
      </w:pPr>
    </w:p>
    <w:p>
      <w:pPr>
        <w:ind w:left="340" w:hanging="332"/>
        <w:spacing w:after="0"/>
        <w:tabs>
          <w:tab w:leader="none" w:pos="340" w:val="left"/>
        </w:tabs>
        <w:numPr>
          <w:ilvl w:val="0"/>
          <w:numId w:val="53"/>
        </w:numPr>
        <w:rPr>
          <w:rFonts w:ascii="Arial" w:cs="Arial" w:eastAsia="Arial" w:hAnsi="Arial"/>
          <w:sz w:val="18"/>
          <w:szCs w:val="18"/>
          <w:color w:val="134A9C"/>
        </w:rPr>
      </w:pPr>
      <w:r>
        <w:rPr>
          <w:rFonts w:ascii="Arial" w:cs="Arial" w:eastAsia="Arial" w:hAnsi="Arial"/>
          <w:sz w:val="18"/>
          <w:szCs w:val="18"/>
          <w:b w:val="1"/>
          <w:bCs w:val="1"/>
          <w:color w:val="0033A0"/>
        </w:rPr>
        <w:t xml:space="preserve">Employee contribution </w:t>
      </w:r>
      <w:r>
        <w:rPr>
          <w:rFonts w:ascii="Arial" w:cs="Arial" w:eastAsia="Arial" w:hAnsi="Arial"/>
          <w:sz w:val="18"/>
          <w:szCs w:val="18"/>
          <w:color w:val="000000"/>
        </w:rPr>
        <w:t>- Compensation should reflect the individual employee’s contributions.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Transitioning to a Performance-Based Compensation Structure</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Upon the UST’s sale of its remaining shares of Common Stock on December 9, 2013, the Company was no longer subject to the executive compensation restrictions that were required while under the Troubled Asset Relief Program ("TARP"). While under TARP, the Company was limited to providing the following pay elements to NEOs, which we believe did not follow a pay-for-performance approach to compensation:</w:t>
      </w:r>
    </w:p>
    <w:p>
      <w:pPr>
        <w:spacing w:after="0" w:line="85" w:lineRule="exact"/>
        <w:rPr>
          <w:sz w:val="20"/>
          <w:szCs w:val="20"/>
          <w:color w:val="auto"/>
        </w:rPr>
      </w:pPr>
    </w:p>
    <w:p>
      <w:pPr>
        <w:ind w:left="340" w:hanging="332"/>
        <w:spacing w:after="0" w:line="281" w:lineRule="auto"/>
        <w:tabs>
          <w:tab w:leader="none" w:pos="340" w:val="left"/>
        </w:tabs>
        <w:numPr>
          <w:ilvl w:val="0"/>
          <w:numId w:val="54"/>
        </w:numPr>
        <w:rPr>
          <w:rFonts w:ascii="Arial" w:cs="Arial" w:eastAsia="Arial" w:hAnsi="Arial"/>
          <w:sz w:val="18"/>
          <w:szCs w:val="18"/>
          <w:color w:val="134A9C"/>
        </w:rPr>
      </w:pPr>
      <w:r>
        <w:rPr>
          <w:rFonts w:ascii="Arial" w:cs="Arial" w:eastAsia="Arial" w:hAnsi="Arial"/>
          <w:sz w:val="18"/>
          <w:szCs w:val="18"/>
          <w:b w:val="1"/>
          <w:bCs w:val="1"/>
          <w:color w:val="0033A0"/>
        </w:rPr>
        <w:t xml:space="preserve">Base Salary </w:t>
      </w:r>
      <w:r>
        <w:rPr>
          <w:rFonts w:ascii="Arial" w:cs="Arial" w:eastAsia="Arial" w:hAnsi="Arial"/>
          <w:sz w:val="18"/>
          <w:szCs w:val="18"/>
          <w:color w:val="000000"/>
        </w:rPr>
        <w:t>- NEOs received a base salary paid in cash that was permitted to exceed $500,000 per year only in limited and appropriate</w:t>
      </w:r>
      <w:r>
        <w:rPr>
          <w:rFonts w:ascii="Arial" w:cs="Arial" w:eastAsia="Arial" w:hAnsi="Arial"/>
          <w:sz w:val="18"/>
          <w:szCs w:val="18"/>
          <w:b w:val="1"/>
          <w:bCs w:val="1"/>
          <w:color w:val="0033A0"/>
        </w:rPr>
        <w:t xml:space="preserve"> </w:t>
      </w:r>
      <w:r>
        <w:rPr>
          <w:rFonts w:ascii="Arial" w:cs="Arial" w:eastAsia="Arial" w:hAnsi="Arial"/>
          <w:sz w:val="18"/>
          <w:szCs w:val="18"/>
          <w:color w:val="000000"/>
        </w:rPr>
        <w:t>cases for which good cause was shown and approved by the Office of the Special Master of the UST (the "Special Master");</w:t>
      </w:r>
    </w:p>
    <w:p>
      <w:pPr>
        <w:spacing w:after="0" w:line="1" w:lineRule="exact"/>
        <w:rPr>
          <w:rFonts w:ascii="Arial" w:cs="Arial" w:eastAsia="Arial" w:hAnsi="Arial"/>
          <w:sz w:val="18"/>
          <w:szCs w:val="18"/>
          <w:color w:val="134A9C"/>
        </w:rPr>
      </w:pPr>
    </w:p>
    <w:p>
      <w:pPr>
        <w:jc w:val="both"/>
        <w:ind w:left="340" w:hanging="332"/>
        <w:spacing w:after="0" w:line="262" w:lineRule="auto"/>
        <w:tabs>
          <w:tab w:leader="none" w:pos="340" w:val="left"/>
        </w:tabs>
        <w:numPr>
          <w:ilvl w:val="0"/>
          <w:numId w:val="54"/>
        </w:numPr>
        <w:rPr>
          <w:rFonts w:ascii="Arial" w:cs="Arial" w:eastAsia="Arial" w:hAnsi="Arial"/>
          <w:sz w:val="18"/>
          <w:szCs w:val="18"/>
          <w:color w:val="134A9C"/>
        </w:rPr>
      </w:pPr>
      <w:r>
        <w:rPr>
          <w:rFonts w:ascii="Arial" w:cs="Arial" w:eastAsia="Arial" w:hAnsi="Arial"/>
          <w:sz w:val="18"/>
          <w:szCs w:val="18"/>
          <w:b w:val="1"/>
          <w:bCs w:val="1"/>
          <w:color w:val="0033A0"/>
        </w:rPr>
        <w:t xml:space="preserve">Salary Stock Units ("SSUs") </w:t>
      </w:r>
      <w:r>
        <w:rPr>
          <w:rFonts w:ascii="Arial" w:cs="Arial" w:eastAsia="Arial" w:hAnsi="Arial"/>
          <w:sz w:val="18"/>
          <w:szCs w:val="18"/>
          <w:color w:val="000000"/>
        </w:rPr>
        <w:t>- The majority of each NEO’s total annual compensation was generally comprised of SSUs the value of</w:t>
      </w:r>
      <w:r>
        <w:rPr>
          <w:rFonts w:ascii="Arial" w:cs="Arial" w:eastAsia="Arial" w:hAnsi="Arial"/>
          <w:sz w:val="18"/>
          <w:szCs w:val="18"/>
          <w:b w:val="1"/>
          <w:bCs w:val="1"/>
          <w:color w:val="0033A0"/>
        </w:rPr>
        <w:t xml:space="preserve"> </w:t>
      </w:r>
      <w:r>
        <w:rPr>
          <w:rFonts w:ascii="Arial" w:cs="Arial" w:eastAsia="Arial" w:hAnsi="Arial"/>
          <w:sz w:val="18"/>
          <w:szCs w:val="18"/>
          <w:color w:val="000000"/>
        </w:rPr>
        <w:t>which was determined by the price of our Common Stock. The quarterly SSU grant was vested and non-forfeitable upon grant and began paying in equal installments over three years beginning on the first anniversary of the end of the quarter in which they were deemed to have been granted; and</w:t>
      </w:r>
    </w:p>
    <w:p>
      <w:pPr>
        <w:spacing w:after="0" w:line="14" w:lineRule="exact"/>
        <w:rPr>
          <w:rFonts w:ascii="Arial" w:cs="Arial" w:eastAsia="Arial" w:hAnsi="Arial"/>
          <w:sz w:val="18"/>
          <w:szCs w:val="18"/>
          <w:color w:val="134A9C"/>
        </w:rPr>
      </w:pPr>
    </w:p>
    <w:p>
      <w:pPr>
        <w:jc w:val="both"/>
        <w:ind w:left="340" w:hanging="332"/>
        <w:spacing w:after="0" w:line="256" w:lineRule="auto"/>
        <w:tabs>
          <w:tab w:leader="none" w:pos="340" w:val="left"/>
        </w:tabs>
        <w:numPr>
          <w:ilvl w:val="0"/>
          <w:numId w:val="54"/>
        </w:numPr>
        <w:rPr>
          <w:rFonts w:ascii="Arial" w:cs="Arial" w:eastAsia="Arial" w:hAnsi="Arial"/>
          <w:sz w:val="18"/>
          <w:szCs w:val="18"/>
          <w:color w:val="134A9C"/>
        </w:rPr>
      </w:pPr>
      <w:r>
        <w:rPr>
          <w:rFonts w:ascii="Arial" w:cs="Arial" w:eastAsia="Arial" w:hAnsi="Arial"/>
          <w:sz w:val="18"/>
          <w:szCs w:val="18"/>
          <w:b w:val="1"/>
          <w:bCs w:val="1"/>
          <w:color w:val="0033A0"/>
        </w:rPr>
        <w:t xml:space="preserve">TARP RSUs </w:t>
      </w:r>
      <w:r>
        <w:rPr>
          <w:rFonts w:ascii="Arial" w:cs="Arial" w:eastAsia="Arial" w:hAnsi="Arial"/>
          <w:sz w:val="18"/>
          <w:szCs w:val="18"/>
          <w:color w:val="000000"/>
        </w:rPr>
        <w:t>- Per TARP executive compensation restrictions, not more than one-third of the total annual compensation was comprised of</w:t>
      </w:r>
      <w:r>
        <w:rPr>
          <w:rFonts w:ascii="Arial" w:cs="Arial" w:eastAsia="Arial" w:hAnsi="Arial"/>
          <w:sz w:val="18"/>
          <w:szCs w:val="18"/>
          <w:b w:val="1"/>
          <w:bCs w:val="1"/>
          <w:color w:val="0033A0"/>
        </w:rPr>
        <w:t xml:space="preserve"> </w:t>
      </w:r>
      <w:r>
        <w:rPr>
          <w:rFonts w:ascii="Arial" w:cs="Arial" w:eastAsia="Arial" w:hAnsi="Arial"/>
          <w:sz w:val="18"/>
          <w:szCs w:val="18"/>
          <w:color w:val="000000"/>
        </w:rPr>
        <w:t>TARP RSUs, which were granted at the end of the performance period based on annual business and financial performance and capped at the predetermined target level set by the Special Master at the beginning of the annual performance period. The TARP RSUs featured time-based vesting and settled upon vesting with two-thirds vesting and settling after the second anniversary date of the grant, and one-third vesting and settling after the third anniversary date of the grant. Settlement was contingent upon TARP repayment. Except in the case of disability or death, the executive will forfeit any unvested TARP RSUs if he or she does not remain with the Company for the required period following the grant.</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2014, we implemented our pay-for-performance approach to compensation and put in place a compensation structure that is appropriate for a company no longer limited by TARP restrictions. We believe the new pay-for-performance compensation structure works better to align the short- and long-term interests of our executives with those of our stockholders, allows the Company to recognize performance, and fosters a culture of ownership and accountability. This competitive structure will drive long-term stockholder value and is necessary to ensure the Company attracts, rewards, and retains the critical leadership and technical talent required to be successful.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42</w:t>
      </w:r>
      <w:r>
        <w:rPr>
          <w:sz w:val="20"/>
          <w:szCs w:val="20"/>
          <w:color w:val="auto"/>
        </w:rPr>
        <w:tab/>
      </w:r>
      <w:r>
        <w:rPr>
          <w:sz w:val="1"/>
          <w:szCs w:val="1"/>
          <w:color w:val="auto"/>
        </w:rPr>
        <w:drawing>
          <wp:inline distT="0" distB="0" distL="0" distR="0">
            <wp:extent cx="120015" cy="12001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46" w:name="page47"/>
    <w:bookmarkEnd w:id="46"/>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Each executive’s 2014 compensation was composed of the following pay elements:</w:t>
      </w:r>
    </w:p>
    <w:p>
      <w:pPr>
        <w:spacing w:after="0" w:line="109" w:lineRule="exact"/>
        <w:rPr>
          <w:sz w:val="20"/>
          <w:szCs w:val="20"/>
          <w:color w:val="auto"/>
        </w:rPr>
      </w:pPr>
    </w:p>
    <w:p>
      <w:pPr>
        <w:ind w:left="340" w:hanging="332"/>
        <w:spacing w:after="0" w:line="281" w:lineRule="auto"/>
        <w:tabs>
          <w:tab w:leader="none" w:pos="340" w:val="left"/>
        </w:tabs>
        <w:numPr>
          <w:ilvl w:val="0"/>
          <w:numId w:val="55"/>
        </w:numPr>
        <w:rPr>
          <w:rFonts w:ascii="Arial" w:cs="Arial" w:eastAsia="Arial" w:hAnsi="Arial"/>
          <w:sz w:val="18"/>
          <w:szCs w:val="18"/>
          <w:color w:val="134A9C"/>
        </w:rPr>
      </w:pPr>
      <w:r>
        <w:rPr>
          <w:rFonts w:ascii="Arial" w:cs="Arial" w:eastAsia="Arial" w:hAnsi="Arial"/>
          <w:sz w:val="18"/>
          <w:szCs w:val="18"/>
          <w:b w:val="1"/>
          <w:bCs w:val="1"/>
          <w:color w:val="0033A0"/>
        </w:rPr>
        <w:t xml:space="preserve">Base Salary </w:t>
      </w:r>
      <w:r>
        <w:rPr>
          <w:rFonts w:ascii="Arial" w:cs="Arial" w:eastAsia="Arial" w:hAnsi="Arial"/>
          <w:sz w:val="18"/>
          <w:szCs w:val="18"/>
          <w:color w:val="000000"/>
        </w:rPr>
        <w:t>- NEOs are paid a market-competitive base salary that reflects each NEO's tenure, background, and contribution, as well as</w:t>
      </w:r>
      <w:r>
        <w:rPr>
          <w:rFonts w:ascii="Arial" w:cs="Arial" w:eastAsia="Arial" w:hAnsi="Arial"/>
          <w:sz w:val="18"/>
          <w:szCs w:val="18"/>
          <w:b w:val="1"/>
          <w:bCs w:val="1"/>
          <w:color w:val="0033A0"/>
        </w:rPr>
        <w:t xml:space="preserve"> </w:t>
      </w:r>
      <w:r>
        <w:rPr>
          <w:rFonts w:ascii="Arial" w:cs="Arial" w:eastAsia="Arial" w:hAnsi="Arial"/>
          <w:sz w:val="18"/>
          <w:szCs w:val="18"/>
          <w:color w:val="000000"/>
        </w:rPr>
        <w:t>the knowledge and skills he or she brings to the role;</w:t>
      </w:r>
    </w:p>
    <w:p>
      <w:pPr>
        <w:spacing w:after="0" w:line="1" w:lineRule="exact"/>
        <w:rPr>
          <w:rFonts w:ascii="Arial" w:cs="Arial" w:eastAsia="Arial" w:hAnsi="Arial"/>
          <w:sz w:val="18"/>
          <w:szCs w:val="18"/>
          <w:color w:val="134A9C"/>
        </w:rPr>
      </w:pPr>
    </w:p>
    <w:p>
      <w:pPr>
        <w:jc w:val="both"/>
        <w:ind w:left="340" w:hanging="332"/>
        <w:spacing w:after="0" w:line="259" w:lineRule="auto"/>
        <w:tabs>
          <w:tab w:leader="none" w:pos="340" w:val="left"/>
        </w:tabs>
        <w:numPr>
          <w:ilvl w:val="0"/>
          <w:numId w:val="55"/>
        </w:numPr>
        <w:rPr>
          <w:rFonts w:ascii="Arial" w:cs="Arial" w:eastAsia="Arial" w:hAnsi="Arial"/>
          <w:sz w:val="18"/>
          <w:szCs w:val="18"/>
          <w:color w:val="134A9C"/>
        </w:rPr>
      </w:pPr>
      <w:r>
        <w:rPr>
          <w:rFonts w:ascii="Arial" w:cs="Arial" w:eastAsia="Arial" w:hAnsi="Arial"/>
          <w:sz w:val="18"/>
          <w:szCs w:val="18"/>
          <w:b w:val="1"/>
          <w:bCs w:val="1"/>
          <w:color w:val="0033A0"/>
        </w:rPr>
        <w:t xml:space="preserve">STIP </w:t>
      </w:r>
      <w:r>
        <w:rPr>
          <w:rFonts w:ascii="Arial" w:cs="Arial" w:eastAsia="Arial" w:hAnsi="Arial"/>
          <w:sz w:val="18"/>
          <w:szCs w:val="18"/>
          <w:color w:val="000000"/>
        </w:rPr>
        <w:t>- The STIP is an annual cash incentive plan. The STIP rewards each NEO based on the achievement of annual Company financial</w:t>
      </w:r>
      <w:r>
        <w:rPr>
          <w:rFonts w:ascii="Arial" w:cs="Arial" w:eastAsia="Arial" w:hAnsi="Arial"/>
          <w:sz w:val="18"/>
          <w:szCs w:val="18"/>
          <w:b w:val="1"/>
          <w:bCs w:val="1"/>
          <w:color w:val="0033A0"/>
        </w:rPr>
        <w:t xml:space="preserve"> </w:t>
      </w:r>
      <w:r>
        <w:rPr>
          <w:rFonts w:ascii="Arial" w:cs="Arial" w:eastAsia="Arial" w:hAnsi="Arial"/>
          <w:sz w:val="18"/>
          <w:szCs w:val="18"/>
          <w:color w:val="000000"/>
        </w:rPr>
        <w:t>and operational performance goals and individual performance. Actual awards are determined based on the NEO’s target incentive award opportunity adjusted to reflect the Company’s achievement against performance measures (EBIT-Adjusted, Adjusted AFCF, Global Market Share, and Global Quality–all equally weighted) and further adjusted to reflect the final assessment of individual performance. The potential payout ranges from 0 to 200 percent of target, based on actual Company performance;</w:t>
      </w:r>
    </w:p>
    <w:p>
      <w:pPr>
        <w:spacing w:after="0" w:line="17" w:lineRule="exact"/>
        <w:rPr>
          <w:rFonts w:ascii="Arial" w:cs="Arial" w:eastAsia="Arial" w:hAnsi="Arial"/>
          <w:sz w:val="18"/>
          <w:szCs w:val="18"/>
          <w:color w:val="134A9C"/>
        </w:rPr>
      </w:pPr>
    </w:p>
    <w:p>
      <w:pPr>
        <w:jc w:val="both"/>
        <w:ind w:left="340" w:hanging="332"/>
        <w:spacing w:after="0" w:line="259" w:lineRule="auto"/>
        <w:tabs>
          <w:tab w:leader="none" w:pos="340" w:val="left"/>
        </w:tabs>
        <w:numPr>
          <w:ilvl w:val="0"/>
          <w:numId w:val="55"/>
        </w:numPr>
        <w:rPr>
          <w:rFonts w:ascii="Arial" w:cs="Arial" w:eastAsia="Arial" w:hAnsi="Arial"/>
          <w:sz w:val="18"/>
          <w:szCs w:val="18"/>
          <w:color w:val="134A9C"/>
        </w:rPr>
      </w:pPr>
      <w:r>
        <w:rPr>
          <w:rFonts w:ascii="Arial" w:cs="Arial" w:eastAsia="Arial" w:hAnsi="Arial"/>
          <w:sz w:val="18"/>
          <w:szCs w:val="18"/>
          <w:b w:val="1"/>
          <w:bCs w:val="1"/>
          <w:color w:val="0033A0"/>
        </w:rPr>
        <w:t xml:space="preserve">PSUs </w:t>
      </w:r>
      <w:r>
        <w:rPr>
          <w:rFonts w:ascii="Arial" w:cs="Arial" w:eastAsia="Arial" w:hAnsi="Arial"/>
          <w:sz w:val="18"/>
          <w:szCs w:val="18"/>
          <w:color w:val="000000"/>
        </w:rPr>
        <w:t>- PSUs are equity awards that are designed to align each NEO’s interests with the long-term interests of the Company and its</w:t>
      </w:r>
      <w:r>
        <w:rPr>
          <w:rFonts w:ascii="Arial" w:cs="Arial" w:eastAsia="Arial" w:hAnsi="Arial"/>
          <w:sz w:val="18"/>
          <w:szCs w:val="18"/>
          <w:b w:val="1"/>
          <w:bCs w:val="1"/>
          <w:color w:val="0033A0"/>
        </w:rPr>
        <w:t xml:space="preserve"> </w:t>
      </w:r>
      <w:r>
        <w:rPr>
          <w:rFonts w:ascii="Arial" w:cs="Arial" w:eastAsia="Arial" w:hAnsi="Arial"/>
          <w:sz w:val="18"/>
          <w:szCs w:val="18"/>
          <w:color w:val="000000"/>
        </w:rPr>
        <w:t>stockholders. PSUs make up 75 percent of the overall equity grant to each NEO. PSUs can be earned at a level between 0 to 200 percent of target, based on the achievement of Company performance conditions relating to ROIC and Global Market Share over the three-year performance period beginning January 1, 2014. PSUs are awarded and delivered to each NEO following completion of the performance period; and</w:t>
      </w:r>
    </w:p>
    <w:p>
      <w:pPr>
        <w:spacing w:after="0" w:line="17" w:lineRule="exact"/>
        <w:rPr>
          <w:rFonts w:ascii="Arial" w:cs="Arial" w:eastAsia="Arial" w:hAnsi="Arial"/>
          <w:sz w:val="18"/>
          <w:szCs w:val="18"/>
          <w:color w:val="134A9C"/>
        </w:rPr>
      </w:pPr>
    </w:p>
    <w:p>
      <w:pPr>
        <w:ind w:left="340" w:hanging="332"/>
        <w:spacing w:after="0" w:line="287" w:lineRule="auto"/>
        <w:tabs>
          <w:tab w:leader="none" w:pos="340" w:val="left"/>
        </w:tabs>
        <w:numPr>
          <w:ilvl w:val="0"/>
          <w:numId w:val="55"/>
        </w:numPr>
        <w:rPr>
          <w:rFonts w:ascii="Arial" w:cs="Arial" w:eastAsia="Arial" w:hAnsi="Arial"/>
          <w:sz w:val="18"/>
          <w:szCs w:val="18"/>
          <w:color w:val="134A9C"/>
        </w:rPr>
      </w:pPr>
      <w:r>
        <w:rPr>
          <w:rFonts w:ascii="Arial" w:cs="Arial" w:eastAsia="Arial" w:hAnsi="Arial"/>
          <w:sz w:val="18"/>
          <w:szCs w:val="18"/>
          <w:b w:val="1"/>
          <w:bCs w:val="1"/>
          <w:color w:val="0033A0"/>
        </w:rPr>
        <w:t xml:space="preserve">RSUs </w:t>
      </w:r>
      <w:r>
        <w:rPr>
          <w:rFonts w:ascii="Arial" w:cs="Arial" w:eastAsia="Arial" w:hAnsi="Arial"/>
          <w:sz w:val="18"/>
          <w:szCs w:val="18"/>
          <w:color w:val="000000"/>
        </w:rPr>
        <w:t>- RSUs are equity awards that make up 25 percent of the overall equity grant to each NEO. RSUs are time-based awards that vest</w:t>
      </w:r>
      <w:r>
        <w:rPr>
          <w:rFonts w:ascii="Arial" w:cs="Arial" w:eastAsia="Arial" w:hAnsi="Arial"/>
          <w:sz w:val="18"/>
          <w:szCs w:val="18"/>
          <w:b w:val="1"/>
          <w:bCs w:val="1"/>
          <w:color w:val="0033A0"/>
        </w:rPr>
        <w:t xml:space="preserve"> </w:t>
      </w:r>
      <w:r>
        <w:rPr>
          <w:rFonts w:ascii="Arial" w:cs="Arial" w:eastAsia="Arial" w:hAnsi="Arial"/>
          <w:sz w:val="18"/>
          <w:szCs w:val="18"/>
          <w:color w:val="000000"/>
        </w:rPr>
        <w:t>ratably over a three-year period. This equity vehicle aligns the interests of NEOs with stockholders and helps to retain top talent.</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charts below demonstrate the shift from non-performance based guaranteed compensation under TARP in 2013 to a more appropriate performance-based compensation structure in 2014 with base salary being the only guaranteed pay element. Mr. Akerson, who was CEO in 2013, did not receive any performance-based TARP RSUs, due to the possibility of his retirement in which case the award would not vest. Per TARP rules, the maximum TARP RSU any NEO would have been eligible to receive was 33 percent of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267335</wp:posOffset>
            </wp:positionV>
            <wp:extent cx="4022090" cy="22040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2209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43</w:t>
      </w:r>
      <w:r>
        <w:rPr>
          <w:sz w:val="20"/>
          <w:szCs w:val="20"/>
          <w:color w:val="auto"/>
        </w:rPr>
        <w:tab/>
      </w:r>
      <w:r>
        <w:rPr>
          <w:sz w:val="1"/>
          <w:szCs w:val="1"/>
          <w:color w:val="auto"/>
        </w:rPr>
        <w:drawing>
          <wp:inline distT="0" distB="0" distL="0" distR="0">
            <wp:extent cx="120015" cy="12001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47" w:name="page48"/>
    <w:bookmarkEnd w:id="47"/>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466090</wp:posOffset>
            </wp:positionV>
            <wp:extent cx="4098925" cy="22294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9892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Assessing Compensation Competitiveness</w:t>
      </w:r>
    </w:p>
    <w:p>
      <w:pPr>
        <w:spacing w:after="0" w:line="14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generally target our total direct compensation levels to be at or near the market median of the comparator group of companies for our top executives as a group, while recognizing that individual total direct compensation may be positioned above or below the market median based on the specific responsibilities and experience of the individual. We do not limit our comparator group to our industry alone, because we believe it is important to understand the compensation practices for NEOs at other large U.S.-based multinationals as they impact our ability to attract and retain diverse talent around the globe and in some cases we compete for key talent with these companies. In addition, we utilize executive salary surveys conducted by third party independent consulting firms.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2014 Comparator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2014, we used the same comparator group of 20 companies as used in 2012 and 2013. The selection was based on the following criteria:</w:t>
      </w:r>
    </w:p>
    <w:p>
      <w:pPr>
        <w:spacing w:after="0" w:line="131"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134A9C"/>
        </w:rPr>
      </w:pPr>
      <w:r>
        <w:rPr>
          <w:rFonts w:ascii="Arial" w:cs="Arial" w:eastAsia="Arial" w:hAnsi="Arial"/>
          <w:sz w:val="18"/>
          <w:szCs w:val="18"/>
          <w:color w:val="auto"/>
        </w:rPr>
        <w:t>Large Fortune 100 companies (2013 annual revenue from $30.9 billion to $211.7 billion, with median revenue of $59.9 billion);</w:t>
      </w:r>
    </w:p>
    <w:p>
      <w:pPr>
        <w:spacing w:after="0" w:line="63" w:lineRule="exact"/>
        <w:rPr>
          <w:rFonts w:ascii="Arial" w:cs="Arial" w:eastAsia="Arial" w:hAnsi="Arial"/>
          <w:sz w:val="18"/>
          <w:szCs w:val="18"/>
          <w:color w:val="134A9C"/>
        </w:rPr>
      </w:pPr>
    </w:p>
    <w:p>
      <w:pPr>
        <w:ind w:left="340" w:right="40" w:hanging="332"/>
        <w:spacing w:after="0" w:line="262" w:lineRule="auto"/>
        <w:tabs>
          <w:tab w:leader="none" w:pos="340" w:val="left"/>
        </w:tabs>
        <w:numPr>
          <w:ilvl w:val="0"/>
          <w:numId w:val="56"/>
        </w:numPr>
        <w:rPr>
          <w:rFonts w:ascii="Arial" w:cs="Arial" w:eastAsia="Arial" w:hAnsi="Arial"/>
          <w:sz w:val="18"/>
          <w:szCs w:val="18"/>
          <w:color w:val="134A9C"/>
        </w:rPr>
      </w:pPr>
      <w:r>
        <w:rPr>
          <w:rFonts w:ascii="Arial" w:cs="Arial" w:eastAsia="Arial" w:hAnsi="Arial"/>
          <w:sz w:val="18"/>
          <w:szCs w:val="18"/>
          <w:color w:val="auto"/>
        </w:rPr>
        <w:t>Complex, capital intensive business operations, including significant research and development, design, engineering, and manufacturing functions with large numbers of employees;</w:t>
      </w:r>
    </w:p>
    <w:p>
      <w:pPr>
        <w:spacing w:after="0" w:line="34" w:lineRule="exact"/>
        <w:rPr>
          <w:rFonts w:ascii="Arial" w:cs="Arial" w:eastAsia="Arial" w:hAnsi="Arial"/>
          <w:sz w:val="18"/>
          <w:szCs w:val="18"/>
          <w:color w:val="134A9C"/>
        </w:rPr>
      </w:pPr>
    </w:p>
    <w:p>
      <w:pPr>
        <w:ind w:left="340" w:hanging="332"/>
        <w:spacing w:after="0"/>
        <w:tabs>
          <w:tab w:leader="none" w:pos="340" w:val="left"/>
        </w:tabs>
        <w:numPr>
          <w:ilvl w:val="0"/>
          <w:numId w:val="56"/>
        </w:numPr>
        <w:rPr>
          <w:rFonts w:ascii="Arial" w:cs="Arial" w:eastAsia="Arial" w:hAnsi="Arial"/>
          <w:sz w:val="18"/>
          <w:szCs w:val="18"/>
          <w:color w:val="134A9C"/>
        </w:rPr>
      </w:pPr>
      <w:r>
        <w:rPr>
          <w:rFonts w:ascii="Arial" w:cs="Arial" w:eastAsia="Arial" w:hAnsi="Arial"/>
          <w:sz w:val="18"/>
          <w:szCs w:val="18"/>
          <w:color w:val="auto"/>
        </w:rPr>
        <w:t>Global enterprises; and</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56"/>
        </w:numPr>
        <w:rPr>
          <w:rFonts w:ascii="Arial" w:cs="Arial" w:eastAsia="Arial" w:hAnsi="Arial"/>
          <w:sz w:val="18"/>
          <w:szCs w:val="18"/>
          <w:color w:val="134A9C"/>
        </w:rPr>
      </w:pPr>
      <w:r>
        <w:rPr>
          <w:rFonts w:ascii="Arial" w:cs="Arial" w:eastAsia="Arial" w:hAnsi="Arial"/>
          <w:sz w:val="18"/>
          <w:szCs w:val="18"/>
          <w:color w:val="auto"/>
        </w:rPr>
        <w:t>Broad representation across several industries of companies that produce products rather than provide services.</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60" w:type="dxa"/>
            <w:vAlign w:val="bottom"/>
            <w:tcBorders>
              <w:left w:val="single" w:sz="8" w:color="134A9C"/>
            </w:tcBorders>
            <w:shd w:val="clear" w:color="auto" w:fill="134A9C"/>
          </w:tcPr>
          <w:p>
            <w:pPr>
              <w:spacing w:after="0"/>
              <w:rPr>
                <w:sz w:val="23"/>
                <w:szCs w:val="23"/>
                <w:color w:val="auto"/>
              </w:rPr>
            </w:pPr>
          </w:p>
        </w:tc>
        <w:tc>
          <w:tcPr>
            <w:tcW w:w="5660" w:type="dxa"/>
            <w:vAlign w:val="bottom"/>
            <w:shd w:val="clear" w:color="auto" w:fill="134A9C"/>
          </w:tcPr>
          <w:p>
            <w:pPr>
              <w:ind w:left="720"/>
              <w:spacing w:after="0"/>
              <w:rPr>
                <w:sz w:val="20"/>
                <w:szCs w:val="20"/>
                <w:color w:val="auto"/>
              </w:rPr>
            </w:pPr>
            <w:r>
              <w:rPr>
                <w:rFonts w:ascii="Arial" w:cs="Arial" w:eastAsia="Arial" w:hAnsi="Arial"/>
                <w:sz w:val="18"/>
                <w:szCs w:val="18"/>
                <w:b w:val="1"/>
                <w:bCs w:val="1"/>
                <w:color w:val="FFFFFF"/>
              </w:rPr>
              <w:t>2014 Comparator Companies</w:t>
            </w:r>
          </w:p>
        </w:tc>
        <w:tc>
          <w:tcPr>
            <w:tcW w:w="2020" w:type="dxa"/>
            <w:vAlign w:val="bottom"/>
            <w:tcBorders>
              <w:right w:val="single" w:sz="8" w:color="134A9C"/>
            </w:tcBorders>
            <w:shd w:val="clear" w:color="auto" w:fill="134A9C"/>
          </w:tcPr>
          <w:p>
            <w:pPr>
              <w:spacing w:after="0"/>
              <w:rPr>
                <w:sz w:val="23"/>
                <w:szCs w:val="23"/>
                <w:color w:val="auto"/>
              </w:rPr>
            </w:pPr>
          </w:p>
        </w:tc>
      </w:tr>
      <w:tr>
        <w:trPr>
          <w:trHeight w:val="243"/>
        </w:trPr>
        <w:tc>
          <w:tcPr>
            <w:tcW w:w="3760" w:type="dxa"/>
            <w:vAlign w:val="bottom"/>
            <w:tcBorders>
              <w:left w:val="single" w:sz="8" w:color="134A9C"/>
            </w:tcBorders>
          </w:tcPr>
          <w:p>
            <w:pPr>
              <w:ind w:left="40"/>
              <w:spacing w:after="0"/>
              <w:rPr>
                <w:sz w:val="20"/>
                <w:szCs w:val="20"/>
                <w:color w:val="auto"/>
              </w:rPr>
            </w:pPr>
            <w:r>
              <w:rPr>
                <w:rFonts w:ascii="Arial" w:cs="Arial" w:eastAsia="Arial" w:hAnsi="Arial"/>
                <w:sz w:val="18"/>
                <w:szCs w:val="18"/>
                <w:color w:val="auto"/>
              </w:rPr>
              <w:t>3M Company</w:t>
            </w:r>
          </w:p>
        </w:tc>
        <w:tc>
          <w:tcPr>
            <w:tcW w:w="5660" w:type="dxa"/>
            <w:vAlign w:val="bottom"/>
          </w:tcPr>
          <w:p>
            <w:pPr>
              <w:ind w:left="1980"/>
              <w:spacing w:after="0"/>
              <w:rPr>
                <w:sz w:val="20"/>
                <w:szCs w:val="20"/>
                <w:color w:val="auto"/>
              </w:rPr>
            </w:pPr>
            <w:r>
              <w:rPr>
                <w:rFonts w:ascii="Arial" w:cs="Arial" w:eastAsia="Arial" w:hAnsi="Arial"/>
                <w:sz w:val="18"/>
                <w:szCs w:val="18"/>
                <w:color w:val="auto"/>
              </w:rPr>
              <w:t>Hewlett-Packard Company</w:t>
            </w:r>
          </w:p>
        </w:tc>
        <w:tc>
          <w:tcPr>
            <w:tcW w:w="2020" w:type="dxa"/>
            <w:vAlign w:val="bottom"/>
            <w:tcBorders>
              <w:right w:val="single" w:sz="8" w:color="134A9C"/>
            </w:tcBorders>
          </w:tcPr>
          <w:p>
            <w:pPr>
              <w:spacing w:after="0"/>
              <w:rPr>
                <w:sz w:val="21"/>
                <w:szCs w:val="21"/>
                <w:color w:val="auto"/>
              </w:rPr>
            </w:pPr>
          </w:p>
        </w:tc>
      </w:tr>
      <w:tr>
        <w:trPr>
          <w:trHeight w:val="257"/>
        </w:trPr>
        <w:tc>
          <w:tcPr>
            <w:tcW w:w="3760" w:type="dxa"/>
            <w:vAlign w:val="bottom"/>
            <w:tcBorders>
              <w:left w:val="single" w:sz="8" w:color="134A9C"/>
            </w:tcBorders>
          </w:tcPr>
          <w:p>
            <w:pPr>
              <w:ind w:left="40"/>
              <w:spacing w:after="0"/>
              <w:rPr>
                <w:sz w:val="20"/>
                <w:szCs w:val="20"/>
                <w:color w:val="auto"/>
              </w:rPr>
            </w:pPr>
            <w:r>
              <w:rPr>
                <w:rFonts w:ascii="Arial" w:cs="Arial" w:eastAsia="Arial" w:hAnsi="Arial"/>
                <w:sz w:val="18"/>
                <w:szCs w:val="18"/>
                <w:color w:val="auto"/>
              </w:rPr>
              <w:t>The Boeing Company</w:t>
            </w:r>
          </w:p>
        </w:tc>
        <w:tc>
          <w:tcPr>
            <w:tcW w:w="5660" w:type="dxa"/>
            <w:vAlign w:val="bottom"/>
          </w:tcPr>
          <w:p>
            <w:pPr>
              <w:ind w:left="1980"/>
              <w:spacing w:after="0"/>
              <w:rPr>
                <w:sz w:val="20"/>
                <w:szCs w:val="20"/>
                <w:color w:val="auto"/>
              </w:rPr>
            </w:pPr>
            <w:r>
              <w:rPr>
                <w:rFonts w:ascii="Arial" w:cs="Arial" w:eastAsia="Arial" w:hAnsi="Arial"/>
                <w:sz w:val="18"/>
                <w:szCs w:val="18"/>
                <w:color w:val="auto"/>
              </w:rPr>
              <w:t>Honeywell International Inc.</w:t>
            </w:r>
          </w:p>
        </w:tc>
        <w:tc>
          <w:tcPr>
            <w:tcW w:w="2020" w:type="dxa"/>
            <w:vAlign w:val="bottom"/>
            <w:tcBorders>
              <w:right w:val="single" w:sz="8" w:color="134A9C"/>
            </w:tcBorders>
          </w:tcPr>
          <w:p>
            <w:pPr>
              <w:spacing w:after="0"/>
              <w:rPr>
                <w:sz w:val="22"/>
                <w:szCs w:val="22"/>
                <w:color w:val="auto"/>
              </w:rPr>
            </w:pPr>
          </w:p>
        </w:tc>
      </w:tr>
      <w:tr>
        <w:trPr>
          <w:trHeight w:val="257"/>
        </w:trPr>
        <w:tc>
          <w:tcPr>
            <w:tcW w:w="3760" w:type="dxa"/>
            <w:vAlign w:val="bottom"/>
            <w:tcBorders>
              <w:left w:val="single" w:sz="8" w:color="134A9C"/>
            </w:tcBorders>
          </w:tcPr>
          <w:p>
            <w:pPr>
              <w:ind w:left="40"/>
              <w:spacing w:after="0"/>
              <w:rPr>
                <w:sz w:val="20"/>
                <w:szCs w:val="20"/>
                <w:color w:val="auto"/>
              </w:rPr>
            </w:pPr>
            <w:r>
              <w:rPr>
                <w:rFonts w:ascii="Arial" w:cs="Arial" w:eastAsia="Arial" w:hAnsi="Arial"/>
                <w:sz w:val="18"/>
                <w:szCs w:val="18"/>
                <w:color w:val="auto"/>
              </w:rPr>
              <w:t>Caterpillar Inc.</w:t>
            </w:r>
          </w:p>
        </w:tc>
        <w:tc>
          <w:tcPr>
            <w:tcW w:w="5660" w:type="dxa"/>
            <w:vAlign w:val="bottom"/>
          </w:tcPr>
          <w:p>
            <w:pPr>
              <w:ind w:left="1980"/>
              <w:spacing w:after="0"/>
              <w:rPr>
                <w:sz w:val="20"/>
                <w:szCs w:val="20"/>
                <w:color w:val="auto"/>
              </w:rPr>
            </w:pPr>
            <w:r>
              <w:rPr>
                <w:rFonts w:ascii="Arial" w:cs="Arial" w:eastAsia="Arial" w:hAnsi="Arial"/>
                <w:sz w:val="18"/>
                <w:szCs w:val="18"/>
                <w:color w:val="auto"/>
              </w:rPr>
              <w:t>International Business Machines Corporation</w:t>
            </w:r>
          </w:p>
        </w:tc>
        <w:tc>
          <w:tcPr>
            <w:tcW w:w="2020" w:type="dxa"/>
            <w:vAlign w:val="bottom"/>
            <w:tcBorders>
              <w:right w:val="single" w:sz="8" w:color="134A9C"/>
            </w:tcBorders>
          </w:tcPr>
          <w:p>
            <w:pPr>
              <w:spacing w:after="0"/>
              <w:rPr>
                <w:sz w:val="22"/>
                <w:szCs w:val="22"/>
                <w:color w:val="auto"/>
              </w:rPr>
            </w:pPr>
          </w:p>
        </w:tc>
      </w:tr>
      <w:tr>
        <w:trPr>
          <w:trHeight w:val="257"/>
        </w:trPr>
        <w:tc>
          <w:tcPr>
            <w:tcW w:w="3760" w:type="dxa"/>
            <w:vAlign w:val="bottom"/>
            <w:tcBorders>
              <w:left w:val="single" w:sz="8" w:color="134A9C"/>
            </w:tcBorders>
          </w:tcPr>
          <w:p>
            <w:pPr>
              <w:ind w:left="40"/>
              <w:spacing w:after="0"/>
              <w:rPr>
                <w:sz w:val="20"/>
                <w:szCs w:val="20"/>
                <w:color w:val="auto"/>
              </w:rPr>
            </w:pPr>
            <w:r>
              <w:rPr>
                <w:rFonts w:ascii="Arial" w:cs="Arial" w:eastAsia="Arial" w:hAnsi="Arial"/>
                <w:sz w:val="18"/>
                <w:szCs w:val="18"/>
                <w:color w:val="auto"/>
              </w:rPr>
              <w:t>Chevron Corporation</w:t>
            </w:r>
          </w:p>
        </w:tc>
        <w:tc>
          <w:tcPr>
            <w:tcW w:w="5660" w:type="dxa"/>
            <w:vAlign w:val="bottom"/>
          </w:tcPr>
          <w:p>
            <w:pPr>
              <w:ind w:left="1980"/>
              <w:spacing w:after="0"/>
              <w:rPr>
                <w:sz w:val="20"/>
                <w:szCs w:val="20"/>
                <w:color w:val="auto"/>
              </w:rPr>
            </w:pPr>
            <w:r>
              <w:rPr>
                <w:rFonts w:ascii="Arial" w:cs="Arial" w:eastAsia="Arial" w:hAnsi="Arial"/>
                <w:sz w:val="18"/>
                <w:szCs w:val="18"/>
                <w:color w:val="auto"/>
              </w:rPr>
              <w:t>Johnson Controls Inc.</w:t>
            </w:r>
          </w:p>
        </w:tc>
        <w:tc>
          <w:tcPr>
            <w:tcW w:w="2020" w:type="dxa"/>
            <w:vAlign w:val="bottom"/>
            <w:tcBorders>
              <w:right w:val="single" w:sz="8" w:color="134A9C"/>
            </w:tcBorders>
          </w:tcPr>
          <w:p>
            <w:pPr>
              <w:spacing w:after="0"/>
              <w:rPr>
                <w:sz w:val="22"/>
                <w:szCs w:val="22"/>
                <w:color w:val="auto"/>
              </w:rPr>
            </w:pPr>
          </w:p>
        </w:tc>
      </w:tr>
      <w:tr>
        <w:trPr>
          <w:trHeight w:val="257"/>
        </w:trPr>
        <w:tc>
          <w:tcPr>
            <w:tcW w:w="3760" w:type="dxa"/>
            <w:vAlign w:val="bottom"/>
            <w:tcBorders>
              <w:left w:val="single" w:sz="8" w:color="134A9C"/>
            </w:tcBorders>
          </w:tcPr>
          <w:p>
            <w:pPr>
              <w:ind w:left="40"/>
              <w:spacing w:after="0"/>
              <w:rPr>
                <w:sz w:val="20"/>
                <w:szCs w:val="20"/>
                <w:color w:val="auto"/>
              </w:rPr>
            </w:pPr>
            <w:r>
              <w:rPr>
                <w:rFonts w:ascii="Arial" w:cs="Arial" w:eastAsia="Arial" w:hAnsi="Arial"/>
                <w:sz w:val="18"/>
                <w:szCs w:val="18"/>
                <w:color w:val="auto"/>
              </w:rPr>
              <w:t>ConocoPhillips</w:t>
            </w:r>
          </w:p>
        </w:tc>
        <w:tc>
          <w:tcPr>
            <w:tcW w:w="5660" w:type="dxa"/>
            <w:vAlign w:val="bottom"/>
          </w:tcPr>
          <w:p>
            <w:pPr>
              <w:ind w:left="1980"/>
              <w:spacing w:after="0"/>
              <w:rPr>
                <w:sz w:val="20"/>
                <w:szCs w:val="20"/>
                <w:color w:val="auto"/>
              </w:rPr>
            </w:pPr>
            <w:r>
              <w:rPr>
                <w:rFonts w:ascii="Arial" w:cs="Arial" w:eastAsia="Arial" w:hAnsi="Arial"/>
                <w:sz w:val="18"/>
                <w:szCs w:val="18"/>
                <w:color w:val="auto"/>
              </w:rPr>
              <w:t>Johnson &amp; Johnson</w:t>
            </w:r>
          </w:p>
        </w:tc>
        <w:tc>
          <w:tcPr>
            <w:tcW w:w="2020" w:type="dxa"/>
            <w:vAlign w:val="bottom"/>
            <w:tcBorders>
              <w:right w:val="single" w:sz="8" w:color="134A9C"/>
            </w:tcBorders>
          </w:tcPr>
          <w:p>
            <w:pPr>
              <w:spacing w:after="0"/>
              <w:rPr>
                <w:sz w:val="22"/>
                <w:szCs w:val="22"/>
                <w:color w:val="auto"/>
              </w:rPr>
            </w:pPr>
          </w:p>
        </w:tc>
      </w:tr>
      <w:tr>
        <w:trPr>
          <w:trHeight w:val="257"/>
        </w:trPr>
        <w:tc>
          <w:tcPr>
            <w:tcW w:w="3760" w:type="dxa"/>
            <w:vAlign w:val="bottom"/>
            <w:tcBorders>
              <w:left w:val="single" w:sz="8" w:color="134A9C"/>
            </w:tcBorders>
          </w:tcPr>
          <w:p>
            <w:pPr>
              <w:ind w:left="40"/>
              <w:spacing w:after="0"/>
              <w:rPr>
                <w:sz w:val="20"/>
                <w:szCs w:val="20"/>
                <w:color w:val="auto"/>
              </w:rPr>
            </w:pPr>
            <w:r>
              <w:rPr>
                <w:rFonts w:ascii="Arial" w:cs="Arial" w:eastAsia="Arial" w:hAnsi="Arial"/>
                <w:sz w:val="18"/>
                <w:szCs w:val="18"/>
                <w:color w:val="auto"/>
              </w:rPr>
              <w:t>Deere &amp; Company</w:t>
            </w:r>
          </w:p>
        </w:tc>
        <w:tc>
          <w:tcPr>
            <w:tcW w:w="5660" w:type="dxa"/>
            <w:vAlign w:val="bottom"/>
          </w:tcPr>
          <w:p>
            <w:pPr>
              <w:ind w:left="1980"/>
              <w:spacing w:after="0"/>
              <w:rPr>
                <w:sz w:val="20"/>
                <w:szCs w:val="20"/>
                <w:color w:val="auto"/>
              </w:rPr>
            </w:pPr>
            <w:r>
              <w:rPr>
                <w:rFonts w:ascii="Arial" w:cs="Arial" w:eastAsia="Arial" w:hAnsi="Arial"/>
                <w:sz w:val="18"/>
                <w:szCs w:val="18"/>
                <w:color w:val="auto"/>
              </w:rPr>
              <w:t>Lockheed Martin Corporation</w:t>
            </w:r>
          </w:p>
        </w:tc>
        <w:tc>
          <w:tcPr>
            <w:tcW w:w="2020" w:type="dxa"/>
            <w:vAlign w:val="bottom"/>
            <w:tcBorders>
              <w:right w:val="single" w:sz="8" w:color="134A9C"/>
            </w:tcBorders>
          </w:tcPr>
          <w:p>
            <w:pPr>
              <w:spacing w:after="0"/>
              <w:rPr>
                <w:sz w:val="22"/>
                <w:szCs w:val="22"/>
                <w:color w:val="auto"/>
              </w:rPr>
            </w:pPr>
          </w:p>
        </w:tc>
      </w:tr>
      <w:tr>
        <w:trPr>
          <w:trHeight w:val="257"/>
        </w:trPr>
        <w:tc>
          <w:tcPr>
            <w:tcW w:w="3760" w:type="dxa"/>
            <w:vAlign w:val="bottom"/>
            <w:tcBorders>
              <w:left w:val="single" w:sz="8" w:color="134A9C"/>
            </w:tcBorders>
          </w:tcPr>
          <w:p>
            <w:pPr>
              <w:ind w:left="40"/>
              <w:spacing w:after="0"/>
              <w:rPr>
                <w:sz w:val="20"/>
                <w:szCs w:val="20"/>
                <w:color w:val="auto"/>
              </w:rPr>
            </w:pPr>
            <w:r>
              <w:rPr>
                <w:rFonts w:ascii="Arial" w:cs="Arial" w:eastAsia="Arial" w:hAnsi="Arial"/>
                <w:sz w:val="18"/>
                <w:szCs w:val="18"/>
                <w:color w:val="auto"/>
              </w:rPr>
              <w:t>The Dow Chemical Company</w:t>
            </w:r>
          </w:p>
        </w:tc>
        <w:tc>
          <w:tcPr>
            <w:tcW w:w="5660" w:type="dxa"/>
            <w:vAlign w:val="bottom"/>
          </w:tcPr>
          <w:p>
            <w:pPr>
              <w:ind w:left="1980"/>
              <w:spacing w:after="0"/>
              <w:rPr>
                <w:sz w:val="20"/>
                <w:szCs w:val="20"/>
                <w:color w:val="auto"/>
              </w:rPr>
            </w:pPr>
            <w:r>
              <w:rPr>
                <w:rFonts w:ascii="Arial" w:cs="Arial" w:eastAsia="Arial" w:hAnsi="Arial"/>
                <w:sz w:val="18"/>
                <w:szCs w:val="18"/>
                <w:color w:val="auto"/>
              </w:rPr>
              <w:t>PepsiCo, Inc.</w:t>
            </w:r>
          </w:p>
        </w:tc>
        <w:tc>
          <w:tcPr>
            <w:tcW w:w="2020" w:type="dxa"/>
            <w:vAlign w:val="bottom"/>
            <w:tcBorders>
              <w:right w:val="single" w:sz="8" w:color="134A9C"/>
            </w:tcBorders>
          </w:tcPr>
          <w:p>
            <w:pPr>
              <w:spacing w:after="0"/>
              <w:rPr>
                <w:sz w:val="22"/>
                <w:szCs w:val="22"/>
                <w:color w:val="auto"/>
              </w:rPr>
            </w:pPr>
          </w:p>
        </w:tc>
      </w:tr>
      <w:tr>
        <w:trPr>
          <w:trHeight w:val="257"/>
        </w:trPr>
        <w:tc>
          <w:tcPr>
            <w:tcW w:w="3760" w:type="dxa"/>
            <w:vAlign w:val="bottom"/>
            <w:tcBorders>
              <w:left w:val="single" w:sz="8" w:color="134A9C"/>
            </w:tcBorders>
          </w:tcPr>
          <w:p>
            <w:pPr>
              <w:ind w:left="40"/>
              <w:spacing w:after="0"/>
              <w:rPr>
                <w:sz w:val="20"/>
                <w:szCs w:val="20"/>
                <w:color w:val="auto"/>
              </w:rPr>
            </w:pPr>
            <w:r>
              <w:rPr>
                <w:rFonts w:ascii="Arial" w:cs="Arial" w:eastAsia="Arial" w:hAnsi="Arial"/>
                <w:sz w:val="18"/>
                <w:szCs w:val="18"/>
                <w:color w:val="auto"/>
              </w:rPr>
              <w:t>E.I. du Pont De Nemours &amp; Company</w:t>
            </w:r>
          </w:p>
        </w:tc>
        <w:tc>
          <w:tcPr>
            <w:tcW w:w="5660" w:type="dxa"/>
            <w:vAlign w:val="bottom"/>
          </w:tcPr>
          <w:p>
            <w:pPr>
              <w:ind w:left="1980"/>
              <w:spacing w:after="0"/>
              <w:rPr>
                <w:sz w:val="20"/>
                <w:szCs w:val="20"/>
                <w:color w:val="auto"/>
              </w:rPr>
            </w:pPr>
            <w:r>
              <w:rPr>
                <w:rFonts w:ascii="Arial" w:cs="Arial" w:eastAsia="Arial" w:hAnsi="Arial"/>
                <w:sz w:val="18"/>
                <w:szCs w:val="18"/>
                <w:color w:val="auto"/>
              </w:rPr>
              <w:t>Pfizer, Inc.</w:t>
            </w:r>
          </w:p>
        </w:tc>
        <w:tc>
          <w:tcPr>
            <w:tcW w:w="2020" w:type="dxa"/>
            <w:vAlign w:val="bottom"/>
            <w:tcBorders>
              <w:right w:val="single" w:sz="8" w:color="134A9C"/>
            </w:tcBorders>
          </w:tcPr>
          <w:p>
            <w:pPr>
              <w:spacing w:after="0"/>
              <w:rPr>
                <w:sz w:val="22"/>
                <w:szCs w:val="22"/>
                <w:color w:val="auto"/>
              </w:rPr>
            </w:pPr>
          </w:p>
        </w:tc>
      </w:tr>
      <w:tr>
        <w:trPr>
          <w:trHeight w:val="257"/>
        </w:trPr>
        <w:tc>
          <w:tcPr>
            <w:tcW w:w="3760" w:type="dxa"/>
            <w:vAlign w:val="bottom"/>
            <w:tcBorders>
              <w:left w:val="single" w:sz="8" w:color="134A9C"/>
            </w:tcBorders>
          </w:tcPr>
          <w:p>
            <w:pPr>
              <w:ind w:left="40"/>
              <w:spacing w:after="0"/>
              <w:rPr>
                <w:sz w:val="20"/>
                <w:szCs w:val="20"/>
                <w:color w:val="auto"/>
              </w:rPr>
            </w:pPr>
            <w:r>
              <w:rPr>
                <w:rFonts w:ascii="Arial" w:cs="Arial" w:eastAsia="Arial" w:hAnsi="Arial"/>
                <w:sz w:val="18"/>
                <w:szCs w:val="18"/>
                <w:color w:val="auto"/>
              </w:rPr>
              <w:t>Ford Motor Company</w:t>
            </w:r>
          </w:p>
        </w:tc>
        <w:tc>
          <w:tcPr>
            <w:tcW w:w="5660" w:type="dxa"/>
            <w:vAlign w:val="bottom"/>
          </w:tcPr>
          <w:p>
            <w:pPr>
              <w:ind w:left="1980"/>
              <w:spacing w:after="0"/>
              <w:rPr>
                <w:sz w:val="20"/>
                <w:szCs w:val="20"/>
                <w:color w:val="auto"/>
              </w:rPr>
            </w:pPr>
            <w:r>
              <w:rPr>
                <w:rFonts w:ascii="Arial" w:cs="Arial" w:eastAsia="Arial" w:hAnsi="Arial"/>
                <w:sz w:val="18"/>
                <w:szCs w:val="18"/>
                <w:color w:val="auto"/>
              </w:rPr>
              <w:t>The Procter &amp; Gamble Company</w:t>
            </w:r>
          </w:p>
        </w:tc>
        <w:tc>
          <w:tcPr>
            <w:tcW w:w="2020" w:type="dxa"/>
            <w:vAlign w:val="bottom"/>
            <w:tcBorders>
              <w:right w:val="single" w:sz="8" w:color="134A9C"/>
            </w:tcBorders>
          </w:tcPr>
          <w:p>
            <w:pPr>
              <w:spacing w:after="0"/>
              <w:rPr>
                <w:sz w:val="22"/>
                <w:szCs w:val="22"/>
                <w:color w:val="auto"/>
              </w:rPr>
            </w:pPr>
          </w:p>
        </w:tc>
      </w:tr>
      <w:tr>
        <w:trPr>
          <w:trHeight w:val="264"/>
        </w:trPr>
        <w:tc>
          <w:tcPr>
            <w:tcW w:w="376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8"/>
                <w:szCs w:val="18"/>
                <w:color w:val="auto"/>
              </w:rPr>
              <w:t>General Electric Company</w:t>
            </w:r>
          </w:p>
        </w:tc>
        <w:tc>
          <w:tcPr>
            <w:tcW w:w="5660" w:type="dxa"/>
            <w:vAlign w:val="bottom"/>
            <w:tcBorders>
              <w:bottom w:val="single" w:sz="8" w:color="134A9C"/>
            </w:tcBorders>
          </w:tcPr>
          <w:p>
            <w:pPr>
              <w:ind w:left="1980"/>
              <w:spacing w:after="0"/>
              <w:rPr>
                <w:sz w:val="20"/>
                <w:szCs w:val="20"/>
                <w:color w:val="auto"/>
              </w:rPr>
            </w:pPr>
            <w:r>
              <w:rPr>
                <w:rFonts w:ascii="Arial" w:cs="Arial" w:eastAsia="Arial" w:hAnsi="Arial"/>
                <w:sz w:val="18"/>
                <w:szCs w:val="18"/>
                <w:color w:val="auto"/>
              </w:rPr>
              <w:t>United Technologies Corporation</w:t>
            </w:r>
          </w:p>
        </w:tc>
        <w:tc>
          <w:tcPr>
            <w:tcW w:w="2020" w:type="dxa"/>
            <w:vAlign w:val="bottom"/>
            <w:tcBorders>
              <w:bottom w:val="single" w:sz="8" w:color="134A9C"/>
              <w:right w:val="single" w:sz="8" w:color="134A9C"/>
            </w:tcBorders>
          </w:tcPr>
          <w:p>
            <w:pPr>
              <w:spacing w:after="0"/>
              <w:rPr>
                <w:sz w:val="22"/>
                <w:szCs w:val="22"/>
                <w:color w:val="auto"/>
              </w:rPr>
            </w:pPr>
          </w:p>
        </w:tc>
      </w:tr>
      <w:tr>
        <w:trPr>
          <w:trHeight w:val="864"/>
        </w:trPr>
        <w:tc>
          <w:tcPr>
            <w:tcW w:w="3760" w:type="dxa"/>
            <w:vAlign w:val="bottom"/>
          </w:tcPr>
          <w:p>
            <w:pPr>
              <w:spacing w:after="0"/>
              <w:rPr>
                <w:sz w:val="24"/>
                <w:szCs w:val="24"/>
                <w:color w:val="auto"/>
              </w:rPr>
            </w:pPr>
          </w:p>
        </w:tc>
        <w:tc>
          <w:tcPr>
            <w:tcW w:w="5660" w:type="dxa"/>
            <w:vAlign w:val="bottom"/>
          </w:tcPr>
          <w:p>
            <w:pPr>
              <w:ind w:left="1920"/>
              <w:spacing w:after="0"/>
              <w:rPr>
                <w:sz w:val="20"/>
                <w:szCs w:val="20"/>
                <w:color w:val="auto"/>
              </w:rPr>
            </w:pPr>
            <w:r>
              <w:rPr>
                <w:rFonts w:ascii="Arial" w:cs="Arial" w:eastAsia="Arial" w:hAnsi="Arial"/>
                <w:sz w:val="18"/>
                <w:szCs w:val="18"/>
                <w:color w:val="auto"/>
              </w:rPr>
              <w:t>44</w:t>
            </w:r>
          </w:p>
        </w:tc>
        <w:tc>
          <w:tcPr>
            <w:tcW w:w="2020" w:type="dxa"/>
            <w:vAlign w:val="bottom"/>
          </w:tcPr>
          <w:p>
            <w:pPr>
              <w:ind w:left="100"/>
              <w:spacing w:after="0"/>
              <w:rPr>
                <w:sz w:val="20"/>
                <w:szCs w:val="20"/>
                <w:color w:val="auto"/>
              </w:rPr>
            </w:pPr>
            <w:r>
              <w:rPr>
                <w:rFonts w:ascii="Arial" w:cs="Arial" w:eastAsia="Arial" w:hAnsi="Arial"/>
                <w:sz w:val="18"/>
                <w:szCs w:val="18"/>
                <w:b w:val="1"/>
                <w:bCs w:val="1"/>
                <w:color w:val="134A9C"/>
              </w:rPr>
              <w:t>2015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-153670</wp:posOffset>
            </wp:positionV>
            <wp:extent cx="120015"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ectPr>
          <w:pgSz w:w="11900" w:h="16838" w:orient="portrait"/>
          <w:cols w:equalWidth="0" w:num="1">
            <w:col w:w="11440"/>
          </w:cols>
          <w:pgMar w:left="240" w:top="292" w:right="219" w:bottom="1440" w:gutter="0" w:footer="0" w:header="0"/>
        </w:sectPr>
      </w:pPr>
    </w:p>
    <w:bookmarkStart w:id="48" w:name="page49"/>
    <w:bookmarkEnd w:id="48"/>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How We Used Comparator Data to Plan Compensation</w:t>
      </w:r>
    </w:p>
    <w:p>
      <w:pPr>
        <w:spacing w:after="0" w:line="14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utilized executive compensation surveys to benchmark relevant market data for executive positions. In addition, we benchmarked proxy statement disclosures of our comparator companies and adjusted this data appropriately for anticipated compensation growth. Further, we reviewed the competitive market position of each of our NEOs against the comparator companies and benchmarked positions from executive compensation surveys to target our compensation levels and pay mix at the market median.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2014 STIP Performance Measures for NEOs</w:t>
      </w:r>
    </w:p>
    <w:p>
      <w:pPr>
        <w:spacing w:after="0" w:line="14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discussed above, each NEO had an opportunity to earn a 2014 STIP award based upon the achievement of annual financial and operational performance goals and individual performance. The Compensation Committee annually reviews and approves the goals to ensure rigor and overall linkage to stockholders through achievement of the business plan and strategic initiatives. The STIP also rewards the NEOs for Company and individual performance achieved during the plan year.</w:t>
      </w:r>
    </w:p>
    <w:p>
      <w:pPr>
        <w:spacing w:after="0" w:line="11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Actual STIP awards, if any, are determined following completion of each plan year by adjusting each NEO's target incentive award opportunity to reflect Company achievement against the following equally- weighted performance measures: EBIT-Adjusted, Adjusted AFCF, Global Market Share, and Global Quality. The NEO's award is further adjusted based on a final assessment of individual performance. The table below describes each STIP performance measure, its weighting, and the reason we include the performance measure in the STIP:</w:t>
      </w: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660" w:type="dxa"/>
            <w:vAlign w:val="bottom"/>
            <w:tcBorders>
              <w:left w:val="single" w:sz="8" w:color="134A9C"/>
              <w:bottom w:val="single" w:sz="8" w:color="134A9C"/>
              <w:right w:val="single" w:sz="8" w:color="134A9C"/>
            </w:tcBorders>
            <w:shd w:val="clear" w:color="auto" w:fill="134A9C"/>
          </w:tcPr>
          <w:p>
            <w:pPr>
              <w:ind w:left="860"/>
              <w:spacing w:after="0"/>
              <w:rPr>
                <w:sz w:val="20"/>
                <w:szCs w:val="20"/>
                <w:color w:val="auto"/>
              </w:rPr>
            </w:pPr>
            <w:r>
              <w:rPr>
                <w:rFonts w:ascii="Arial" w:cs="Arial" w:eastAsia="Arial" w:hAnsi="Arial"/>
                <w:sz w:val="14"/>
                <w:szCs w:val="14"/>
                <w:b w:val="1"/>
                <w:bCs w:val="1"/>
                <w:color w:val="FFFFFF"/>
              </w:rPr>
              <w:t>STIP Measure</w:t>
            </w:r>
          </w:p>
        </w:tc>
        <w:tc>
          <w:tcPr>
            <w:tcW w:w="126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w w:val="98"/>
              </w:rPr>
              <w:t>Weight</w:t>
            </w:r>
          </w:p>
        </w:tc>
        <w:tc>
          <w:tcPr>
            <w:tcW w:w="7520" w:type="dxa"/>
            <w:vAlign w:val="bottom"/>
            <w:tcBorders>
              <w:bottom w:val="single" w:sz="8" w:color="134A9C"/>
              <w:right w:val="single" w:sz="8" w:color="134A9C"/>
            </w:tcBorders>
            <w:shd w:val="clear" w:color="auto" w:fill="134A9C"/>
          </w:tcPr>
          <w:p>
            <w:pPr>
              <w:ind w:left="3520"/>
              <w:spacing w:after="0"/>
              <w:rPr>
                <w:sz w:val="20"/>
                <w:szCs w:val="20"/>
                <w:color w:val="auto"/>
              </w:rPr>
            </w:pPr>
            <w:r>
              <w:rPr>
                <w:rFonts w:ascii="Arial" w:cs="Arial" w:eastAsia="Arial" w:hAnsi="Arial"/>
                <w:sz w:val="14"/>
                <w:szCs w:val="14"/>
                <w:b w:val="1"/>
                <w:bCs w:val="1"/>
                <w:color w:val="FFFFFF"/>
              </w:rPr>
              <w:t>Drives</w:t>
            </w:r>
          </w:p>
        </w:tc>
      </w:tr>
      <w:tr>
        <w:trPr>
          <w:trHeight w:val="210"/>
        </w:trPr>
        <w:tc>
          <w:tcPr>
            <w:tcW w:w="26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EBIT-Adjusted</w:t>
            </w:r>
          </w:p>
        </w:tc>
        <w:tc>
          <w:tcPr>
            <w:tcW w:w="126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w w:val="99"/>
              </w:rPr>
              <w:t>25%</w:t>
            </w:r>
          </w:p>
        </w:tc>
        <w:tc>
          <w:tcPr>
            <w:tcW w:w="752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4"/>
                <w:szCs w:val="14"/>
                <w:color w:val="auto"/>
              </w:rPr>
              <w:t>Leadership focus on operating profit and driving strong profitability</w:t>
            </w:r>
          </w:p>
        </w:tc>
      </w:tr>
      <w:tr>
        <w:trPr>
          <w:trHeight w:val="210"/>
        </w:trPr>
        <w:tc>
          <w:tcPr>
            <w:tcW w:w="26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Adjusted AFCF</w:t>
            </w:r>
          </w:p>
        </w:tc>
        <w:tc>
          <w:tcPr>
            <w:tcW w:w="126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w w:val="99"/>
              </w:rPr>
              <w:t>25%</w:t>
            </w:r>
          </w:p>
        </w:tc>
        <w:tc>
          <w:tcPr>
            <w:tcW w:w="752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4"/>
                <w:szCs w:val="14"/>
                <w:color w:val="auto"/>
              </w:rPr>
              <w:t>Leadership focus on driving strong cash flow in the business</w:t>
            </w:r>
          </w:p>
        </w:tc>
      </w:tr>
      <w:tr>
        <w:trPr>
          <w:trHeight w:val="210"/>
        </w:trPr>
        <w:tc>
          <w:tcPr>
            <w:tcW w:w="26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Global Market Share</w:t>
            </w:r>
          </w:p>
        </w:tc>
        <w:tc>
          <w:tcPr>
            <w:tcW w:w="126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w w:val="99"/>
              </w:rPr>
              <w:t>25%</w:t>
            </w:r>
          </w:p>
        </w:tc>
        <w:tc>
          <w:tcPr>
            <w:tcW w:w="752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4"/>
                <w:szCs w:val="14"/>
                <w:color w:val="auto"/>
              </w:rPr>
              <w:t>Leadership focus on continuing to grow in the global marketplace</w:t>
            </w:r>
          </w:p>
        </w:tc>
      </w:tr>
      <w:tr>
        <w:trPr>
          <w:trHeight w:val="210"/>
        </w:trPr>
        <w:tc>
          <w:tcPr>
            <w:tcW w:w="26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Global Quality</w:t>
            </w:r>
          </w:p>
        </w:tc>
        <w:tc>
          <w:tcPr>
            <w:tcW w:w="126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w w:val="99"/>
              </w:rPr>
              <w:t>25%</w:t>
            </w:r>
          </w:p>
        </w:tc>
        <w:tc>
          <w:tcPr>
            <w:tcW w:w="752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4"/>
                <w:szCs w:val="14"/>
                <w:color w:val="auto"/>
              </w:rPr>
              <w:t>Leadership focus on developing and marketing the highest quality products</w:t>
            </w:r>
          </w:p>
        </w:tc>
      </w:tr>
    </w:tbl>
    <w:p>
      <w:pPr>
        <w:spacing w:after="0" w:line="12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potential payouts for each performance measure range from 0 to 200 percent of target, based on actual Company performance with the threshold performance level being 50 percent of the STIP measure.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STIP targets for the 2014 performance period for each NEO were as follows:</w:t>
      </w:r>
    </w:p>
    <w:p>
      <w:pPr>
        <w:spacing w:after="0" w:line="334" w:lineRule="exact"/>
        <w:rPr>
          <w:sz w:val="20"/>
          <w:szCs w:val="20"/>
          <w:color w:val="auto"/>
        </w:rPr>
      </w:pPr>
    </w:p>
    <w:tbl>
      <w:tblPr>
        <w:tblLayout w:type="fixed"/>
        <w:tblInd w:w="50" w:type="dxa"/>
        <w:tblCellMar>
          <w:top w:w="0" w:type="dxa"/>
          <w:left w:w="0" w:type="dxa"/>
          <w:bottom w:w="0" w:type="dxa"/>
          <w:right w:w="0" w:type="dxa"/>
        </w:tblCellMar>
      </w:tblPr>
      <w:tr>
        <w:trPr>
          <w:trHeight w:val="223"/>
        </w:trPr>
        <w:tc>
          <w:tcPr>
            <w:tcW w:w="3320" w:type="dxa"/>
            <w:vAlign w:val="bottom"/>
            <w:tcBorders>
              <w:left w:val="single" w:sz="8" w:color="134A9C"/>
              <w:bottom w:val="single" w:sz="8" w:color="134A9C"/>
              <w:right w:val="single" w:sz="8" w:color="134A9C"/>
            </w:tcBorders>
            <w:shd w:val="clear" w:color="auto" w:fill="134A9C"/>
          </w:tcPr>
          <w:p>
            <w:pPr>
              <w:ind w:left="1340"/>
              <w:spacing w:after="0"/>
              <w:rPr>
                <w:sz w:val="20"/>
                <w:szCs w:val="20"/>
                <w:color w:val="auto"/>
              </w:rPr>
            </w:pPr>
            <w:r>
              <w:rPr>
                <w:rFonts w:ascii="Arial" w:cs="Arial" w:eastAsia="Arial" w:hAnsi="Arial"/>
                <w:sz w:val="14"/>
                <w:szCs w:val="14"/>
                <w:b w:val="1"/>
                <w:bCs w:val="1"/>
                <w:color w:val="FFFFFF"/>
              </w:rPr>
              <w:t>Name</w:t>
            </w:r>
          </w:p>
        </w:tc>
        <w:tc>
          <w:tcPr>
            <w:tcW w:w="2280" w:type="dxa"/>
            <w:vAlign w:val="bottom"/>
            <w:tcBorders>
              <w:bottom w:val="single" w:sz="8" w:color="134A9C"/>
              <w:right w:val="single" w:sz="8" w:color="134A9C"/>
            </w:tcBorders>
            <w:shd w:val="clear" w:color="auto" w:fill="134A9C"/>
          </w:tcPr>
          <w:p>
            <w:pPr>
              <w:jc w:val="right"/>
              <w:ind w:right="688"/>
              <w:spacing w:after="0"/>
              <w:rPr>
                <w:sz w:val="20"/>
                <w:szCs w:val="20"/>
                <w:color w:val="auto"/>
              </w:rPr>
            </w:pPr>
            <w:r>
              <w:rPr>
                <w:rFonts w:ascii="Arial" w:cs="Arial" w:eastAsia="Arial" w:hAnsi="Arial"/>
                <w:sz w:val="14"/>
                <w:szCs w:val="14"/>
                <w:b w:val="1"/>
                <w:bCs w:val="1"/>
                <w:color w:val="FFFFFF"/>
              </w:rPr>
              <w:t>Base Salary</w:t>
            </w:r>
          </w:p>
        </w:tc>
        <w:tc>
          <w:tcPr>
            <w:tcW w:w="294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Target as % of Salary</w:t>
            </w:r>
          </w:p>
        </w:tc>
        <w:tc>
          <w:tcPr>
            <w:tcW w:w="2820" w:type="dxa"/>
            <w:vAlign w:val="bottom"/>
            <w:tcBorders>
              <w:bottom w:val="single" w:sz="8" w:color="134A9C"/>
              <w:right w:val="single" w:sz="8" w:color="134A9C"/>
            </w:tcBorders>
            <w:shd w:val="clear" w:color="auto" w:fill="134A9C"/>
          </w:tcPr>
          <w:p>
            <w:pPr>
              <w:jc w:val="right"/>
              <w:ind w:right="708"/>
              <w:spacing w:after="0"/>
              <w:rPr>
                <w:sz w:val="20"/>
                <w:szCs w:val="20"/>
                <w:color w:val="auto"/>
              </w:rPr>
            </w:pPr>
            <w:r>
              <w:rPr>
                <w:rFonts w:ascii="Arial" w:cs="Arial" w:eastAsia="Arial" w:hAnsi="Arial"/>
                <w:sz w:val="14"/>
                <w:szCs w:val="14"/>
                <w:b w:val="1"/>
                <w:bCs w:val="1"/>
                <w:color w:val="FFFFFF"/>
              </w:rPr>
              <w:t>Target Annual STIP</w:t>
            </w:r>
          </w:p>
        </w:tc>
      </w:tr>
      <w:tr>
        <w:trPr>
          <w:trHeight w:val="210"/>
        </w:trPr>
        <w:tc>
          <w:tcPr>
            <w:tcW w:w="33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Mary T. Barra</w:t>
            </w:r>
          </w:p>
        </w:tc>
        <w:tc>
          <w:tcPr>
            <w:tcW w:w="2280" w:type="dxa"/>
            <w:vAlign w:val="bottom"/>
            <w:tcBorders>
              <w:bottom w:val="single" w:sz="8" w:color="134A9C"/>
              <w:right w:val="single" w:sz="8" w:color="134A9C"/>
            </w:tcBorders>
          </w:tcPr>
          <w:p>
            <w:pPr>
              <w:jc w:val="right"/>
              <w:ind w:right="328"/>
              <w:spacing w:after="0"/>
              <w:rPr>
                <w:sz w:val="20"/>
                <w:szCs w:val="20"/>
                <w:color w:val="auto"/>
              </w:rPr>
            </w:pPr>
            <w:r>
              <w:rPr>
                <w:rFonts w:ascii="Arial" w:cs="Arial" w:eastAsia="Arial" w:hAnsi="Arial"/>
                <w:sz w:val="14"/>
                <w:szCs w:val="14"/>
                <w:color w:val="auto"/>
              </w:rPr>
              <w:t>$ 1,600,000</w:t>
            </w:r>
          </w:p>
        </w:tc>
        <w:tc>
          <w:tcPr>
            <w:tcW w:w="294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175%</w:t>
            </w:r>
          </w:p>
        </w:tc>
        <w:tc>
          <w:tcPr>
            <w:tcW w:w="2820" w:type="dxa"/>
            <w:vAlign w:val="bottom"/>
            <w:tcBorders>
              <w:bottom w:val="single" w:sz="8" w:color="134A9C"/>
              <w:right w:val="single" w:sz="8" w:color="134A9C"/>
            </w:tcBorders>
          </w:tcPr>
          <w:p>
            <w:pPr>
              <w:jc w:val="right"/>
              <w:ind w:right="548"/>
              <w:spacing w:after="0"/>
              <w:rPr>
                <w:sz w:val="20"/>
                <w:szCs w:val="20"/>
                <w:color w:val="auto"/>
              </w:rPr>
            </w:pPr>
            <w:r>
              <w:rPr>
                <w:rFonts w:ascii="Arial" w:cs="Arial" w:eastAsia="Arial" w:hAnsi="Arial"/>
                <w:sz w:val="14"/>
                <w:szCs w:val="14"/>
                <w:color w:val="auto"/>
              </w:rPr>
              <w:t>$ 2,800,000</w:t>
            </w:r>
          </w:p>
        </w:tc>
      </w:tr>
      <w:tr>
        <w:trPr>
          <w:trHeight w:val="210"/>
        </w:trPr>
        <w:tc>
          <w:tcPr>
            <w:tcW w:w="33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Charles K. Stevens, III</w:t>
            </w:r>
          </w:p>
        </w:tc>
        <w:tc>
          <w:tcPr>
            <w:tcW w:w="2280" w:type="dxa"/>
            <w:vAlign w:val="bottom"/>
            <w:tcBorders>
              <w:bottom w:val="single" w:sz="8" w:color="134A9C"/>
              <w:right w:val="single" w:sz="8" w:color="134A9C"/>
            </w:tcBorders>
          </w:tcPr>
          <w:p>
            <w:pPr>
              <w:jc w:val="right"/>
              <w:ind w:right="328"/>
              <w:spacing w:after="0"/>
              <w:rPr>
                <w:sz w:val="20"/>
                <w:szCs w:val="20"/>
                <w:color w:val="auto"/>
              </w:rPr>
            </w:pPr>
            <w:r>
              <w:rPr>
                <w:rFonts w:ascii="Arial" w:cs="Arial" w:eastAsia="Arial" w:hAnsi="Arial"/>
                <w:sz w:val="14"/>
                <w:szCs w:val="14"/>
                <w:color w:val="auto"/>
              </w:rPr>
              <w:t>$ 700,000</w:t>
            </w:r>
          </w:p>
        </w:tc>
        <w:tc>
          <w:tcPr>
            <w:tcW w:w="294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125%</w:t>
            </w:r>
          </w:p>
        </w:tc>
        <w:tc>
          <w:tcPr>
            <w:tcW w:w="2820" w:type="dxa"/>
            <w:vAlign w:val="bottom"/>
            <w:tcBorders>
              <w:bottom w:val="single" w:sz="8" w:color="134A9C"/>
              <w:right w:val="single" w:sz="8" w:color="134A9C"/>
            </w:tcBorders>
          </w:tcPr>
          <w:p>
            <w:pPr>
              <w:jc w:val="right"/>
              <w:ind w:right="548"/>
              <w:spacing w:after="0"/>
              <w:rPr>
                <w:sz w:val="20"/>
                <w:szCs w:val="20"/>
                <w:color w:val="auto"/>
              </w:rPr>
            </w:pPr>
            <w:r>
              <w:rPr>
                <w:rFonts w:ascii="Arial" w:cs="Arial" w:eastAsia="Arial" w:hAnsi="Arial"/>
                <w:sz w:val="14"/>
                <w:szCs w:val="14"/>
                <w:color w:val="auto"/>
              </w:rPr>
              <w:t>$ 875,000</w:t>
            </w:r>
          </w:p>
        </w:tc>
      </w:tr>
      <w:tr>
        <w:trPr>
          <w:trHeight w:val="210"/>
        </w:trPr>
        <w:tc>
          <w:tcPr>
            <w:tcW w:w="33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Ammann</w:t>
            </w:r>
          </w:p>
        </w:tc>
        <w:tc>
          <w:tcPr>
            <w:tcW w:w="2280" w:type="dxa"/>
            <w:vAlign w:val="bottom"/>
            <w:tcBorders>
              <w:bottom w:val="single" w:sz="8" w:color="134A9C"/>
              <w:right w:val="single" w:sz="8" w:color="134A9C"/>
            </w:tcBorders>
          </w:tcPr>
          <w:p>
            <w:pPr>
              <w:jc w:val="right"/>
              <w:ind w:right="328"/>
              <w:spacing w:after="0"/>
              <w:rPr>
                <w:sz w:val="20"/>
                <w:szCs w:val="20"/>
                <w:color w:val="auto"/>
              </w:rPr>
            </w:pPr>
            <w:r>
              <w:rPr>
                <w:rFonts w:ascii="Arial" w:cs="Arial" w:eastAsia="Arial" w:hAnsi="Arial"/>
                <w:sz w:val="14"/>
                <w:szCs w:val="14"/>
                <w:color w:val="auto"/>
              </w:rPr>
              <w:t>$ 1,000,000</w:t>
            </w:r>
          </w:p>
        </w:tc>
        <w:tc>
          <w:tcPr>
            <w:tcW w:w="294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125%</w:t>
            </w:r>
          </w:p>
        </w:tc>
        <w:tc>
          <w:tcPr>
            <w:tcW w:w="2820" w:type="dxa"/>
            <w:vAlign w:val="bottom"/>
            <w:tcBorders>
              <w:bottom w:val="single" w:sz="8" w:color="134A9C"/>
              <w:right w:val="single" w:sz="8" w:color="134A9C"/>
            </w:tcBorders>
          </w:tcPr>
          <w:p>
            <w:pPr>
              <w:jc w:val="right"/>
              <w:ind w:right="548"/>
              <w:spacing w:after="0"/>
              <w:rPr>
                <w:sz w:val="20"/>
                <w:szCs w:val="20"/>
                <w:color w:val="auto"/>
              </w:rPr>
            </w:pPr>
            <w:r>
              <w:rPr>
                <w:rFonts w:ascii="Arial" w:cs="Arial" w:eastAsia="Arial" w:hAnsi="Arial"/>
                <w:sz w:val="14"/>
                <w:szCs w:val="14"/>
                <w:color w:val="auto"/>
              </w:rPr>
              <w:t>$ 1,250,000</w:t>
            </w:r>
          </w:p>
        </w:tc>
      </w:tr>
      <w:tr>
        <w:trPr>
          <w:trHeight w:val="210"/>
        </w:trPr>
        <w:tc>
          <w:tcPr>
            <w:tcW w:w="33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Mark L. Reuss</w:t>
            </w:r>
          </w:p>
        </w:tc>
        <w:tc>
          <w:tcPr>
            <w:tcW w:w="2280" w:type="dxa"/>
            <w:vAlign w:val="bottom"/>
            <w:tcBorders>
              <w:bottom w:val="single" w:sz="8" w:color="134A9C"/>
              <w:right w:val="single" w:sz="8" w:color="134A9C"/>
            </w:tcBorders>
          </w:tcPr>
          <w:p>
            <w:pPr>
              <w:jc w:val="right"/>
              <w:ind w:right="328"/>
              <w:spacing w:after="0"/>
              <w:rPr>
                <w:sz w:val="20"/>
                <w:szCs w:val="20"/>
                <w:color w:val="auto"/>
              </w:rPr>
            </w:pPr>
            <w:r>
              <w:rPr>
                <w:rFonts w:ascii="Arial" w:cs="Arial" w:eastAsia="Arial" w:hAnsi="Arial"/>
                <w:sz w:val="14"/>
                <w:szCs w:val="14"/>
                <w:color w:val="auto"/>
              </w:rPr>
              <w:t>$ 850,000</w:t>
            </w:r>
          </w:p>
        </w:tc>
        <w:tc>
          <w:tcPr>
            <w:tcW w:w="294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125%</w:t>
            </w:r>
          </w:p>
        </w:tc>
        <w:tc>
          <w:tcPr>
            <w:tcW w:w="2820" w:type="dxa"/>
            <w:vAlign w:val="bottom"/>
            <w:tcBorders>
              <w:bottom w:val="single" w:sz="8" w:color="134A9C"/>
              <w:right w:val="single" w:sz="8" w:color="134A9C"/>
            </w:tcBorders>
          </w:tcPr>
          <w:p>
            <w:pPr>
              <w:jc w:val="right"/>
              <w:ind w:right="548"/>
              <w:spacing w:after="0"/>
              <w:rPr>
                <w:sz w:val="20"/>
                <w:szCs w:val="20"/>
                <w:color w:val="auto"/>
              </w:rPr>
            </w:pPr>
            <w:r>
              <w:rPr>
                <w:rFonts w:ascii="Arial" w:cs="Arial" w:eastAsia="Arial" w:hAnsi="Arial"/>
                <w:sz w:val="14"/>
                <w:szCs w:val="14"/>
                <w:color w:val="auto"/>
              </w:rPr>
              <w:t>$ 1,062,500</w:t>
            </w:r>
          </w:p>
        </w:tc>
      </w:tr>
      <w:tr>
        <w:trPr>
          <w:trHeight w:val="210"/>
        </w:trPr>
        <w:tc>
          <w:tcPr>
            <w:tcW w:w="33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Michael P. Millikin</w:t>
            </w:r>
          </w:p>
        </w:tc>
        <w:tc>
          <w:tcPr>
            <w:tcW w:w="2280" w:type="dxa"/>
            <w:vAlign w:val="bottom"/>
            <w:tcBorders>
              <w:bottom w:val="single" w:sz="8" w:color="134A9C"/>
              <w:right w:val="single" w:sz="8" w:color="134A9C"/>
            </w:tcBorders>
          </w:tcPr>
          <w:p>
            <w:pPr>
              <w:jc w:val="right"/>
              <w:ind w:right="328"/>
              <w:spacing w:after="0"/>
              <w:rPr>
                <w:sz w:val="20"/>
                <w:szCs w:val="20"/>
                <w:color w:val="auto"/>
              </w:rPr>
            </w:pPr>
            <w:r>
              <w:rPr>
                <w:rFonts w:ascii="Arial" w:cs="Arial" w:eastAsia="Arial" w:hAnsi="Arial"/>
                <w:sz w:val="14"/>
                <w:szCs w:val="14"/>
                <w:color w:val="auto"/>
              </w:rPr>
              <w:t>$ 700,000</w:t>
            </w:r>
          </w:p>
        </w:tc>
        <w:tc>
          <w:tcPr>
            <w:tcW w:w="294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125%</w:t>
            </w:r>
          </w:p>
        </w:tc>
        <w:tc>
          <w:tcPr>
            <w:tcW w:w="2820" w:type="dxa"/>
            <w:vAlign w:val="bottom"/>
            <w:tcBorders>
              <w:bottom w:val="single" w:sz="8" w:color="134A9C"/>
              <w:right w:val="single" w:sz="8" w:color="134A9C"/>
            </w:tcBorders>
          </w:tcPr>
          <w:p>
            <w:pPr>
              <w:jc w:val="right"/>
              <w:ind w:right="548"/>
              <w:spacing w:after="0"/>
              <w:rPr>
                <w:sz w:val="20"/>
                <w:szCs w:val="20"/>
                <w:color w:val="auto"/>
              </w:rPr>
            </w:pPr>
            <w:r>
              <w:rPr>
                <w:rFonts w:ascii="Arial" w:cs="Arial" w:eastAsia="Arial" w:hAnsi="Arial"/>
                <w:sz w:val="14"/>
                <w:szCs w:val="14"/>
                <w:color w:val="auto"/>
              </w:rPr>
              <w:t>$ 875,500</w:t>
            </w:r>
          </w:p>
        </w:tc>
      </w:tr>
      <w:tr>
        <w:trPr>
          <w:trHeight w:val="216"/>
        </w:trPr>
        <w:tc>
          <w:tcPr>
            <w:tcW w:w="33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Karl-Thomas Neumann</w:t>
            </w:r>
            <w:r>
              <w:rPr>
                <w:rFonts w:ascii="Arial" w:cs="Arial" w:eastAsia="Arial" w:hAnsi="Arial"/>
                <w:sz w:val="17"/>
                <w:szCs w:val="17"/>
                <w:color w:val="auto"/>
                <w:vertAlign w:val="superscript"/>
              </w:rPr>
              <w:t>(1)</w:t>
            </w:r>
          </w:p>
        </w:tc>
        <w:tc>
          <w:tcPr>
            <w:tcW w:w="2280" w:type="dxa"/>
            <w:vAlign w:val="bottom"/>
            <w:tcBorders>
              <w:bottom w:val="single" w:sz="8" w:color="134A9C"/>
              <w:right w:val="single" w:sz="8" w:color="134A9C"/>
            </w:tcBorders>
          </w:tcPr>
          <w:p>
            <w:pPr>
              <w:jc w:val="right"/>
              <w:ind w:right="328"/>
              <w:spacing w:after="0"/>
              <w:rPr>
                <w:sz w:val="20"/>
                <w:szCs w:val="20"/>
                <w:color w:val="auto"/>
              </w:rPr>
            </w:pPr>
            <w:r>
              <w:rPr>
                <w:rFonts w:ascii="Arial" w:cs="Arial" w:eastAsia="Arial" w:hAnsi="Arial"/>
                <w:sz w:val="14"/>
                <w:szCs w:val="14"/>
                <w:color w:val="auto"/>
              </w:rPr>
              <w:t>€ 618,564</w:t>
            </w:r>
          </w:p>
        </w:tc>
        <w:tc>
          <w:tcPr>
            <w:tcW w:w="294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125%</w:t>
            </w:r>
          </w:p>
        </w:tc>
        <w:tc>
          <w:tcPr>
            <w:tcW w:w="2820" w:type="dxa"/>
            <w:vAlign w:val="bottom"/>
            <w:tcBorders>
              <w:bottom w:val="single" w:sz="8" w:color="134A9C"/>
              <w:right w:val="single" w:sz="8" w:color="134A9C"/>
            </w:tcBorders>
          </w:tcPr>
          <w:p>
            <w:pPr>
              <w:jc w:val="right"/>
              <w:ind w:right="548"/>
              <w:spacing w:after="0"/>
              <w:rPr>
                <w:sz w:val="20"/>
                <w:szCs w:val="20"/>
                <w:color w:val="auto"/>
              </w:rPr>
            </w:pPr>
            <w:r>
              <w:rPr>
                <w:rFonts w:ascii="Arial" w:cs="Arial" w:eastAsia="Arial" w:hAnsi="Arial"/>
                <w:sz w:val="14"/>
                <w:szCs w:val="14"/>
                <w:color w:val="auto"/>
              </w:rPr>
              <w:t>€ 773,200</w:t>
            </w:r>
          </w:p>
        </w:tc>
      </w:tr>
      <w:tr>
        <w:trPr>
          <w:trHeight w:val="204"/>
        </w:trPr>
        <w:tc>
          <w:tcPr>
            <w:tcW w:w="33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F. Akerson</w:t>
            </w:r>
          </w:p>
        </w:tc>
        <w:tc>
          <w:tcPr>
            <w:tcW w:w="2280" w:type="dxa"/>
            <w:vAlign w:val="bottom"/>
            <w:tcBorders>
              <w:bottom w:val="single" w:sz="8" w:color="134A9C"/>
              <w:right w:val="single" w:sz="8" w:color="134A9C"/>
            </w:tcBorders>
          </w:tcPr>
          <w:p>
            <w:pPr>
              <w:jc w:val="right"/>
              <w:ind w:right="328"/>
              <w:spacing w:after="0"/>
              <w:rPr>
                <w:sz w:val="20"/>
                <w:szCs w:val="20"/>
                <w:color w:val="auto"/>
              </w:rPr>
            </w:pPr>
            <w:r>
              <w:rPr>
                <w:rFonts w:ascii="Arial" w:cs="Arial" w:eastAsia="Arial" w:hAnsi="Arial"/>
                <w:sz w:val="14"/>
                <w:szCs w:val="14"/>
                <w:color w:val="auto"/>
              </w:rPr>
              <w:t>$ 1,700,000</w:t>
            </w:r>
          </w:p>
        </w:tc>
        <w:tc>
          <w:tcPr>
            <w:tcW w:w="294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175%</w:t>
            </w:r>
          </w:p>
        </w:tc>
        <w:tc>
          <w:tcPr>
            <w:tcW w:w="2820" w:type="dxa"/>
            <w:vAlign w:val="bottom"/>
            <w:tcBorders>
              <w:bottom w:val="single" w:sz="8" w:color="134A9C"/>
              <w:right w:val="single" w:sz="8" w:color="134A9C"/>
            </w:tcBorders>
          </w:tcPr>
          <w:p>
            <w:pPr>
              <w:jc w:val="right"/>
              <w:ind w:right="548"/>
              <w:spacing w:after="0"/>
              <w:rPr>
                <w:sz w:val="20"/>
                <w:szCs w:val="20"/>
                <w:color w:val="auto"/>
              </w:rPr>
            </w:pPr>
            <w:r>
              <w:rPr>
                <w:rFonts w:ascii="Arial" w:cs="Arial" w:eastAsia="Arial" w:hAnsi="Arial"/>
                <w:sz w:val="14"/>
                <w:szCs w:val="14"/>
                <w:color w:val="auto"/>
              </w:rPr>
              <w:t>$ 2,975,000</w:t>
            </w:r>
          </w:p>
        </w:tc>
      </w:tr>
    </w:tbl>
    <w:p>
      <w:pPr>
        <w:spacing w:after="0" w:line="5" w:lineRule="exact"/>
        <w:rPr>
          <w:sz w:val="20"/>
          <w:szCs w:val="20"/>
          <w:color w:val="auto"/>
        </w:rPr>
      </w:pPr>
    </w:p>
    <w:p>
      <w:pPr>
        <w:ind w:left="340" w:right="20" w:hanging="332"/>
        <w:spacing w:after="0" w:line="258"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Dr. Neumann receives his base salary and STIP in Euros. Using the 2014 average exchange rate of €1 = $1.3291, his base salary was $822,133 and his STIP Target was $1,027,660.</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2014-2016 LTIP Performance Measures for NEOs</w:t>
      </w:r>
    </w:p>
    <w:p>
      <w:pPr>
        <w:spacing w:after="0" w:line="14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discussed above, each of our NEOs received 2014 equity grants consisting of 75 percent PSUs and 25 percent RSUs. PSUs, if any, will be awarded following completion of the three-year performance period beginning January 1, 2014 and are designed to align the interests of our executives with those of stockholders. The table below describes the PSU performance measures and the reason we include them in the LTIP:</w:t>
      </w:r>
    </w:p>
    <w:p>
      <w:pPr>
        <w:spacing w:after="0" w:line="392"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45</w:t>
      </w:r>
      <w:r>
        <w:rPr>
          <w:sz w:val="20"/>
          <w:szCs w:val="20"/>
          <w:color w:val="auto"/>
        </w:rPr>
        <w:tab/>
      </w:r>
      <w:r>
        <w:rPr>
          <w:sz w:val="1"/>
          <w:szCs w:val="1"/>
          <w:color w:val="auto"/>
        </w:rPr>
        <w:drawing>
          <wp:inline distT="0" distB="0" distL="0" distR="0">
            <wp:extent cx="120015" cy="12001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sectPr>
      </w:pPr>
    </w:p>
    <w:bookmarkStart w:id="49" w:name="page50"/>
    <w:bookmarkEnd w:id="49"/>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120" w:type="dxa"/>
            <w:vAlign w:val="bottom"/>
            <w:tcBorders>
              <w:left w:val="single" w:sz="8" w:color="134A9C"/>
              <w:bottom w:val="single" w:sz="8" w:color="134A9C"/>
              <w:right w:val="single" w:sz="8" w:color="134A9C"/>
            </w:tcBorders>
            <w:shd w:val="clear" w:color="auto" w:fill="134A9C"/>
          </w:tcPr>
          <w:p>
            <w:pPr>
              <w:ind w:left="980"/>
              <w:spacing w:after="0"/>
              <w:rPr>
                <w:sz w:val="20"/>
                <w:szCs w:val="20"/>
                <w:color w:val="auto"/>
              </w:rPr>
            </w:pPr>
            <w:r>
              <w:rPr>
                <w:rFonts w:ascii="Arial" w:cs="Arial" w:eastAsia="Arial" w:hAnsi="Arial"/>
                <w:sz w:val="18"/>
                <w:szCs w:val="18"/>
                <w:b w:val="1"/>
                <w:bCs w:val="1"/>
                <w:color w:val="FFFFFF"/>
              </w:rPr>
              <w:t>LTIP Measure</w:t>
            </w:r>
          </w:p>
        </w:tc>
        <w:tc>
          <w:tcPr>
            <w:tcW w:w="8320" w:type="dxa"/>
            <w:vAlign w:val="bottom"/>
            <w:tcBorders>
              <w:bottom w:val="single" w:sz="8" w:color="134A9C"/>
              <w:right w:val="single" w:sz="8" w:color="134A9C"/>
            </w:tcBorders>
            <w:shd w:val="clear" w:color="auto" w:fill="134A9C"/>
          </w:tcPr>
          <w:p>
            <w:pPr>
              <w:ind w:left="3860"/>
              <w:spacing w:after="0"/>
              <w:rPr>
                <w:sz w:val="20"/>
                <w:szCs w:val="20"/>
                <w:color w:val="auto"/>
              </w:rPr>
            </w:pPr>
            <w:r>
              <w:rPr>
                <w:rFonts w:ascii="Arial" w:cs="Arial" w:eastAsia="Arial" w:hAnsi="Arial"/>
                <w:sz w:val="18"/>
                <w:szCs w:val="18"/>
                <w:b w:val="1"/>
                <w:bCs w:val="1"/>
                <w:color w:val="FFFFFF"/>
              </w:rPr>
              <w:t>Drives</w:t>
            </w:r>
          </w:p>
        </w:tc>
      </w:tr>
      <w:tr>
        <w:trPr>
          <w:trHeight w:val="338"/>
        </w:trPr>
        <w:tc>
          <w:tcPr>
            <w:tcW w:w="31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ROIC</w:t>
            </w:r>
            <w:r>
              <w:rPr>
                <w:rFonts w:ascii="Arial" w:cs="Arial" w:eastAsia="Arial" w:hAnsi="Arial"/>
                <w:sz w:val="17"/>
                <w:szCs w:val="17"/>
                <w:color w:val="auto"/>
                <w:vertAlign w:val="superscript"/>
              </w:rPr>
              <w:t>(1)</w:t>
            </w:r>
          </w:p>
        </w:tc>
        <w:tc>
          <w:tcPr>
            <w:tcW w:w="832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4"/>
                <w:szCs w:val="14"/>
                <w:color w:val="auto"/>
              </w:rPr>
              <w:t>Leadership focus on making sound investments back into the Company that will generate strong returns for the Company</w:t>
            </w:r>
          </w:p>
        </w:tc>
      </w:tr>
      <w:tr>
        <w:trPr>
          <w:trHeight w:val="210"/>
        </w:trPr>
        <w:tc>
          <w:tcPr>
            <w:tcW w:w="31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Global Market Share</w:t>
            </w:r>
            <w:r>
              <w:rPr>
                <w:rFonts w:ascii="Arial" w:cs="Arial" w:eastAsia="Arial" w:hAnsi="Arial"/>
                <w:sz w:val="17"/>
                <w:szCs w:val="17"/>
                <w:color w:val="auto"/>
                <w:vertAlign w:val="superscript"/>
              </w:rPr>
              <w:t>(2)</w:t>
            </w:r>
          </w:p>
        </w:tc>
        <w:tc>
          <w:tcPr>
            <w:tcW w:w="8320" w:type="dxa"/>
            <w:vAlign w:val="bottom"/>
            <w:tcBorders>
              <w:bottom w:val="single" w:sz="8" w:color="134A9C"/>
              <w:right w:val="single" w:sz="8" w:color="134A9C"/>
            </w:tcBorders>
          </w:tcPr>
          <w:p>
            <w:pPr>
              <w:ind w:left="20"/>
              <w:spacing w:after="0"/>
              <w:rPr>
                <w:sz w:val="20"/>
                <w:szCs w:val="20"/>
                <w:color w:val="auto"/>
              </w:rPr>
            </w:pPr>
            <w:r>
              <w:rPr>
                <w:rFonts w:ascii="Arial" w:cs="Arial" w:eastAsia="Arial" w:hAnsi="Arial"/>
                <w:sz w:val="14"/>
                <w:szCs w:val="14"/>
                <w:color w:val="auto"/>
              </w:rPr>
              <w:t>Leadership focus on continuing to grow in the global marketplace</w:t>
            </w:r>
          </w:p>
        </w:tc>
      </w:tr>
    </w:tbl>
    <w:p>
      <w:pPr>
        <w:spacing w:after="0" w:line="5" w:lineRule="exact"/>
        <w:rPr>
          <w:sz w:val="20"/>
          <w:szCs w:val="20"/>
          <w:color w:val="auto"/>
        </w:rPr>
      </w:pPr>
    </w:p>
    <w:p>
      <w:pPr>
        <w:jc w:val="both"/>
        <w:ind w:left="340" w:right="20" w:hanging="332"/>
        <w:spacing w:after="0" w:line="24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3-year average ROIC target is 20% and performance shall be calculated using the GM average annual ROIC for calendar years 2014, 2015, and 2016, where ROIC is calculated as Total Company EBIT-Adjusted divided by Average Total Company Net Assets. EBIT-Adjusted is defined as earnings excluding interest income, interest expense and income taxes as well as certain additional adjustments. A discussion of EBIT-Adjusted, supplemental detail of all adjustments, and a reconciliation of GM’s automotive segments’ EBIT-Adjusted and GM Financial earnings before taxes-adjusted to Income before income taxes is disclosed in Item 7. Management’s Discussion and Analysis of Financial Condition and Results of Operations in our Annual Report on Form 10-K. Net Assets will be the four-quarter average for the year and will exclude all automotive income tax related accounts, automotive interest related accounts, fresh start accounting goodwill, automotive external debt (except capital leases) and automotive Pension and OPEB liabilities.</w:t>
      </w:r>
    </w:p>
    <w:p>
      <w:pPr>
        <w:spacing w:after="0" w:line="164" w:lineRule="exact"/>
        <w:rPr>
          <w:rFonts w:ascii="Arial" w:cs="Arial" w:eastAsia="Arial" w:hAnsi="Arial"/>
          <w:sz w:val="14"/>
          <w:szCs w:val="14"/>
          <w:color w:val="auto"/>
        </w:rPr>
      </w:pPr>
    </w:p>
    <w:p>
      <w:pPr>
        <w:ind w:left="340" w:right="40" w:hanging="332"/>
        <w:spacing w:after="0" w:line="258"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3-year average Global Market Share target range performance shall be calculated using the GM average annual global market share for calendar years 2014, 2015, and 2016 as reported by GM Global Sales Reporting and reflected in the Annual Reports on Form 10-K.</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0033A0"/>
        </w:rPr>
        <w:t>2014 Compensation Decisions and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Base Salary</w:t>
      </w:r>
    </w:p>
    <w:p>
      <w:pPr>
        <w:spacing w:after="0" w:line="14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Upon exiting TARP, the Company was no longer subject to executive compensation restrictions imposed by the Special Master. While under TARP, salaries were generally limited to $500,000 unless approved by the Special Master.</w:t>
      </w:r>
    </w:p>
    <w:p>
      <w:pPr>
        <w:spacing w:after="0" w:line="102"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When evaluating our pay mix and structure in 2014, we evaluated NEO's base salaries, taking into consideration each NEO's position with the Company and their responsibilities and experience; we reviewed our comparator company information for similar positions; and we reviewed the relative internal pay equity among our NEOs. Based on this evaluation, and as a result of the leadership changes discussed above, the following NEOs received base salary increases in 2014 to bring base compensation closer to our comparator peer group median. All increases were effective January 15, 2014 and approved by the Compensation Committee with the assistance of their independent compensation consultant, Compensation Advisory Partners ("CAP").</w:t>
      </w:r>
    </w:p>
    <w:p>
      <w:pPr>
        <w:spacing w:after="0" w:line="92" w:lineRule="exact"/>
        <w:rPr>
          <w:sz w:val="20"/>
          <w:szCs w:val="20"/>
          <w:color w:val="auto"/>
        </w:rPr>
      </w:pPr>
    </w:p>
    <w:p>
      <w:pPr>
        <w:ind w:left="340" w:right="20" w:hanging="332"/>
        <w:spacing w:after="0" w:line="281" w:lineRule="auto"/>
        <w:tabs>
          <w:tab w:leader="none" w:pos="340" w:val="left"/>
        </w:tabs>
        <w:numPr>
          <w:ilvl w:val="0"/>
          <w:numId w:val="59"/>
        </w:numPr>
        <w:rPr>
          <w:rFonts w:ascii="Arial" w:cs="Arial" w:eastAsia="Arial" w:hAnsi="Arial"/>
          <w:sz w:val="18"/>
          <w:szCs w:val="18"/>
          <w:color w:val="134A9C"/>
        </w:rPr>
      </w:pPr>
      <w:r>
        <w:rPr>
          <w:rFonts w:ascii="Arial" w:cs="Arial" w:eastAsia="Arial" w:hAnsi="Arial"/>
          <w:sz w:val="18"/>
          <w:szCs w:val="18"/>
          <w:b w:val="1"/>
          <w:bCs w:val="1"/>
          <w:color w:val="0033A0"/>
        </w:rPr>
        <w:t xml:space="preserve">Mary T. Barra </w:t>
      </w:r>
      <w:r>
        <w:rPr>
          <w:rFonts w:ascii="Arial" w:cs="Arial" w:eastAsia="Arial" w:hAnsi="Arial"/>
          <w:sz w:val="18"/>
          <w:szCs w:val="18"/>
          <w:b w:val="1"/>
          <w:bCs w:val="1"/>
          <w:color w:val="000000"/>
        </w:rPr>
        <w:t>-</w:t>
      </w:r>
      <w:r>
        <w:rPr>
          <w:rFonts w:ascii="Arial" w:cs="Arial" w:eastAsia="Arial" w:hAnsi="Arial"/>
          <w:sz w:val="18"/>
          <w:szCs w:val="18"/>
          <w:b w:val="1"/>
          <w:bCs w:val="1"/>
          <w:color w:val="0033A0"/>
        </w:rPr>
        <w:t xml:space="preserve"> </w:t>
      </w:r>
      <w:r>
        <w:rPr>
          <w:rFonts w:ascii="Arial" w:cs="Arial" w:eastAsia="Arial" w:hAnsi="Arial"/>
          <w:sz w:val="18"/>
          <w:szCs w:val="18"/>
          <w:color w:val="000000"/>
        </w:rPr>
        <w:t>Ms. Barra received an increase taking her base salary to $1,600,000 from $750,000 as a result of her promotion to Chief</w:t>
      </w:r>
      <w:r>
        <w:rPr>
          <w:rFonts w:ascii="Arial" w:cs="Arial" w:eastAsia="Arial" w:hAnsi="Arial"/>
          <w:sz w:val="18"/>
          <w:szCs w:val="18"/>
          <w:b w:val="1"/>
          <w:bCs w:val="1"/>
          <w:color w:val="0033A0"/>
        </w:rPr>
        <w:t xml:space="preserve"> </w:t>
      </w:r>
      <w:r>
        <w:rPr>
          <w:rFonts w:ascii="Arial" w:cs="Arial" w:eastAsia="Arial" w:hAnsi="Arial"/>
          <w:sz w:val="18"/>
          <w:szCs w:val="18"/>
          <w:color w:val="000000"/>
        </w:rPr>
        <w:t>Executive Officer;</w:t>
      </w:r>
    </w:p>
    <w:p>
      <w:pPr>
        <w:spacing w:after="0" w:line="1" w:lineRule="exact"/>
        <w:rPr>
          <w:rFonts w:ascii="Arial" w:cs="Arial" w:eastAsia="Arial" w:hAnsi="Arial"/>
          <w:sz w:val="18"/>
          <w:szCs w:val="18"/>
          <w:color w:val="134A9C"/>
        </w:rPr>
      </w:pPr>
    </w:p>
    <w:p>
      <w:pPr>
        <w:ind w:left="340" w:right="20" w:hanging="332"/>
        <w:spacing w:after="0" w:line="281" w:lineRule="auto"/>
        <w:tabs>
          <w:tab w:leader="none" w:pos="340" w:val="left"/>
        </w:tabs>
        <w:numPr>
          <w:ilvl w:val="0"/>
          <w:numId w:val="59"/>
        </w:numPr>
        <w:rPr>
          <w:rFonts w:ascii="Arial" w:cs="Arial" w:eastAsia="Arial" w:hAnsi="Arial"/>
          <w:sz w:val="18"/>
          <w:szCs w:val="18"/>
          <w:color w:val="134A9C"/>
        </w:rPr>
      </w:pPr>
      <w:r>
        <w:rPr>
          <w:rFonts w:ascii="Arial" w:cs="Arial" w:eastAsia="Arial" w:hAnsi="Arial"/>
          <w:sz w:val="18"/>
          <w:szCs w:val="18"/>
          <w:b w:val="1"/>
          <w:bCs w:val="1"/>
          <w:color w:val="0033A0"/>
        </w:rPr>
        <w:t xml:space="preserve">Charles K. Stevens, III </w:t>
      </w:r>
      <w:r>
        <w:rPr>
          <w:rFonts w:ascii="Arial" w:cs="Arial" w:eastAsia="Arial" w:hAnsi="Arial"/>
          <w:sz w:val="18"/>
          <w:szCs w:val="18"/>
          <w:color w:val="000000"/>
        </w:rPr>
        <w:t>- Mr. Stevens received an increase taking his base salary to $700,000 from $480,000 as a result of his promotion</w:t>
      </w:r>
      <w:r>
        <w:rPr>
          <w:rFonts w:ascii="Arial" w:cs="Arial" w:eastAsia="Arial" w:hAnsi="Arial"/>
          <w:sz w:val="18"/>
          <w:szCs w:val="18"/>
          <w:b w:val="1"/>
          <w:bCs w:val="1"/>
          <w:color w:val="0033A0"/>
        </w:rPr>
        <w:t xml:space="preserve"> </w:t>
      </w:r>
      <w:r>
        <w:rPr>
          <w:rFonts w:ascii="Arial" w:cs="Arial" w:eastAsia="Arial" w:hAnsi="Arial"/>
          <w:sz w:val="18"/>
          <w:szCs w:val="18"/>
          <w:color w:val="000000"/>
        </w:rPr>
        <w:t>to Executive Vice President &amp; Chief Financial Officer;</w:t>
      </w:r>
    </w:p>
    <w:p>
      <w:pPr>
        <w:spacing w:after="0" w:line="1" w:lineRule="exact"/>
        <w:rPr>
          <w:rFonts w:ascii="Arial" w:cs="Arial" w:eastAsia="Arial" w:hAnsi="Arial"/>
          <w:sz w:val="18"/>
          <w:szCs w:val="18"/>
          <w:color w:val="134A9C"/>
        </w:rPr>
      </w:pPr>
    </w:p>
    <w:p>
      <w:pPr>
        <w:ind w:left="340" w:right="40" w:hanging="332"/>
        <w:spacing w:after="0" w:line="281" w:lineRule="auto"/>
        <w:tabs>
          <w:tab w:leader="none" w:pos="340" w:val="left"/>
        </w:tabs>
        <w:numPr>
          <w:ilvl w:val="0"/>
          <w:numId w:val="59"/>
        </w:numPr>
        <w:rPr>
          <w:rFonts w:ascii="Arial" w:cs="Arial" w:eastAsia="Arial" w:hAnsi="Arial"/>
          <w:sz w:val="18"/>
          <w:szCs w:val="18"/>
          <w:color w:val="134A9C"/>
        </w:rPr>
      </w:pPr>
      <w:r>
        <w:rPr>
          <w:rFonts w:ascii="Arial" w:cs="Arial" w:eastAsia="Arial" w:hAnsi="Arial"/>
          <w:sz w:val="18"/>
          <w:szCs w:val="18"/>
          <w:b w:val="1"/>
          <w:bCs w:val="1"/>
          <w:color w:val="0033A0"/>
        </w:rPr>
        <w:t xml:space="preserve">Daniel Ammann </w:t>
      </w:r>
      <w:r>
        <w:rPr>
          <w:rFonts w:ascii="Arial" w:cs="Arial" w:eastAsia="Arial" w:hAnsi="Arial"/>
          <w:sz w:val="18"/>
          <w:szCs w:val="18"/>
          <w:color w:val="000000"/>
        </w:rPr>
        <w:t>- Mr. Ammann received an increase taking his base salary to $1,000,000 from $750,000 as a result of his promotion to</w:t>
      </w:r>
      <w:r>
        <w:rPr>
          <w:rFonts w:ascii="Arial" w:cs="Arial" w:eastAsia="Arial" w:hAnsi="Arial"/>
          <w:sz w:val="18"/>
          <w:szCs w:val="18"/>
          <w:b w:val="1"/>
          <w:bCs w:val="1"/>
          <w:color w:val="0033A0"/>
        </w:rPr>
        <w:t xml:space="preserve"> </w:t>
      </w:r>
      <w:r>
        <w:rPr>
          <w:rFonts w:ascii="Arial" w:cs="Arial" w:eastAsia="Arial" w:hAnsi="Arial"/>
          <w:sz w:val="18"/>
          <w:szCs w:val="18"/>
          <w:color w:val="000000"/>
        </w:rPr>
        <w:t>President;</w:t>
      </w:r>
    </w:p>
    <w:p>
      <w:pPr>
        <w:spacing w:after="0" w:line="1" w:lineRule="exact"/>
        <w:rPr>
          <w:rFonts w:ascii="Arial" w:cs="Arial" w:eastAsia="Arial" w:hAnsi="Arial"/>
          <w:sz w:val="18"/>
          <w:szCs w:val="18"/>
          <w:color w:val="134A9C"/>
        </w:rPr>
      </w:pPr>
    </w:p>
    <w:p>
      <w:pPr>
        <w:ind w:left="340" w:right="40" w:hanging="332"/>
        <w:spacing w:after="0" w:line="281" w:lineRule="auto"/>
        <w:tabs>
          <w:tab w:leader="none" w:pos="340" w:val="left"/>
        </w:tabs>
        <w:numPr>
          <w:ilvl w:val="0"/>
          <w:numId w:val="59"/>
        </w:numPr>
        <w:rPr>
          <w:rFonts w:ascii="Arial" w:cs="Arial" w:eastAsia="Arial" w:hAnsi="Arial"/>
          <w:sz w:val="18"/>
          <w:szCs w:val="18"/>
          <w:color w:val="134A9C"/>
        </w:rPr>
      </w:pPr>
      <w:r>
        <w:rPr>
          <w:rFonts w:ascii="Arial" w:cs="Arial" w:eastAsia="Arial" w:hAnsi="Arial"/>
          <w:sz w:val="18"/>
          <w:szCs w:val="18"/>
          <w:b w:val="1"/>
          <w:bCs w:val="1"/>
          <w:color w:val="0033A0"/>
        </w:rPr>
        <w:t xml:space="preserve">Mark L. Reuss </w:t>
      </w:r>
      <w:r>
        <w:rPr>
          <w:rFonts w:ascii="Arial" w:cs="Arial" w:eastAsia="Arial" w:hAnsi="Arial"/>
          <w:sz w:val="18"/>
          <w:szCs w:val="18"/>
          <w:color w:val="000000"/>
        </w:rPr>
        <w:t>- Mr. Reuss received an increase taking his base salary to $850,000 from $750,000 as a result of his promotion to</w:t>
      </w:r>
      <w:r>
        <w:rPr>
          <w:rFonts w:ascii="Arial" w:cs="Arial" w:eastAsia="Arial" w:hAnsi="Arial"/>
          <w:sz w:val="18"/>
          <w:szCs w:val="18"/>
          <w:b w:val="1"/>
          <w:bCs w:val="1"/>
          <w:color w:val="0033A0"/>
        </w:rPr>
        <w:t xml:space="preserve"> </w:t>
      </w:r>
      <w:r>
        <w:rPr>
          <w:rFonts w:ascii="Arial" w:cs="Arial" w:eastAsia="Arial" w:hAnsi="Arial"/>
          <w:sz w:val="18"/>
          <w:szCs w:val="18"/>
          <w:color w:val="000000"/>
        </w:rPr>
        <w:t>Executive Vice President, Global Product Development, Purchasing &amp; Supply Chain;</w:t>
      </w:r>
    </w:p>
    <w:p>
      <w:pPr>
        <w:spacing w:after="0" w:line="1" w:lineRule="exact"/>
        <w:rPr>
          <w:rFonts w:ascii="Arial" w:cs="Arial" w:eastAsia="Arial" w:hAnsi="Arial"/>
          <w:sz w:val="18"/>
          <w:szCs w:val="18"/>
          <w:color w:val="134A9C"/>
        </w:rPr>
      </w:pPr>
    </w:p>
    <w:p>
      <w:pPr>
        <w:jc w:val="both"/>
        <w:ind w:left="340" w:right="20" w:hanging="332"/>
        <w:spacing w:after="0" w:line="269" w:lineRule="auto"/>
        <w:tabs>
          <w:tab w:leader="none" w:pos="340" w:val="left"/>
        </w:tabs>
        <w:numPr>
          <w:ilvl w:val="0"/>
          <w:numId w:val="59"/>
        </w:numPr>
        <w:rPr>
          <w:rFonts w:ascii="Arial" w:cs="Arial" w:eastAsia="Arial" w:hAnsi="Arial"/>
          <w:sz w:val="18"/>
          <w:szCs w:val="18"/>
          <w:color w:val="134A9C"/>
        </w:rPr>
      </w:pPr>
      <w:r>
        <w:rPr>
          <w:rFonts w:ascii="Arial" w:cs="Arial" w:eastAsia="Arial" w:hAnsi="Arial"/>
          <w:sz w:val="18"/>
          <w:szCs w:val="18"/>
          <w:b w:val="1"/>
          <w:bCs w:val="1"/>
          <w:color w:val="0033A0"/>
        </w:rPr>
        <w:t xml:space="preserve">Michael P. Millikin </w:t>
      </w:r>
      <w:r>
        <w:rPr>
          <w:rFonts w:ascii="Arial" w:cs="Arial" w:eastAsia="Arial" w:hAnsi="Arial"/>
          <w:sz w:val="18"/>
          <w:szCs w:val="18"/>
          <w:color w:val="000000"/>
        </w:rPr>
        <w:t>- Mr. Millikin received a competitive market adjustment taking his base salary to $700,000 from $495,000 based on a</w:t>
      </w:r>
      <w:r>
        <w:rPr>
          <w:rFonts w:ascii="Arial" w:cs="Arial" w:eastAsia="Arial" w:hAnsi="Arial"/>
          <w:sz w:val="18"/>
          <w:szCs w:val="18"/>
          <w:b w:val="1"/>
          <w:bCs w:val="1"/>
          <w:color w:val="0033A0"/>
        </w:rPr>
        <w:t xml:space="preserve"> </w:t>
      </w:r>
      <w:r>
        <w:rPr>
          <w:rFonts w:ascii="Arial" w:cs="Arial" w:eastAsia="Arial" w:hAnsi="Arial"/>
          <w:sz w:val="18"/>
          <w:szCs w:val="18"/>
          <w:color w:val="000000"/>
        </w:rPr>
        <w:t>review of the benchmark data as the Company was no longer under TARP executive compensation restrictions imposed by the Special Master;</w:t>
      </w:r>
    </w:p>
    <w:p>
      <w:pPr>
        <w:spacing w:after="0" w:line="6" w:lineRule="exact"/>
        <w:rPr>
          <w:rFonts w:ascii="Arial" w:cs="Arial" w:eastAsia="Arial" w:hAnsi="Arial"/>
          <w:sz w:val="18"/>
          <w:szCs w:val="18"/>
          <w:color w:val="134A9C"/>
        </w:rPr>
      </w:pPr>
    </w:p>
    <w:p>
      <w:pPr>
        <w:ind w:left="340" w:hanging="332"/>
        <w:spacing w:after="0"/>
        <w:tabs>
          <w:tab w:leader="none" w:pos="340" w:val="left"/>
        </w:tabs>
        <w:numPr>
          <w:ilvl w:val="0"/>
          <w:numId w:val="59"/>
        </w:numPr>
        <w:rPr>
          <w:rFonts w:ascii="Arial" w:cs="Arial" w:eastAsia="Arial" w:hAnsi="Arial"/>
          <w:sz w:val="18"/>
          <w:szCs w:val="18"/>
          <w:color w:val="134A9C"/>
        </w:rPr>
      </w:pPr>
      <w:r>
        <w:rPr>
          <w:rFonts w:ascii="Arial" w:cs="Arial" w:eastAsia="Arial" w:hAnsi="Arial"/>
          <w:sz w:val="18"/>
          <w:szCs w:val="18"/>
          <w:b w:val="1"/>
          <w:bCs w:val="1"/>
          <w:color w:val="0033A0"/>
        </w:rPr>
        <w:t xml:space="preserve">Karl-Thomas Neumann </w:t>
      </w:r>
      <w:r>
        <w:rPr>
          <w:rFonts w:ascii="Arial" w:cs="Arial" w:eastAsia="Arial" w:hAnsi="Arial"/>
          <w:sz w:val="18"/>
          <w:szCs w:val="18"/>
          <w:color w:val="000000"/>
        </w:rPr>
        <w:t>- Dr. Neumann did not receive a base salary increase in 2014; and</w:t>
      </w:r>
    </w:p>
    <w:p>
      <w:pPr>
        <w:spacing w:after="0" w:line="63" w:lineRule="exact"/>
        <w:rPr>
          <w:rFonts w:ascii="Arial" w:cs="Arial" w:eastAsia="Arial" w:hAnsi="Arial"/>
          <w:sz w:val="18"/>
          <w:szCs w:val="18"/>
          <w:color w:val="134A9C"/>
        </w:rPr>
      </w:pPr>
    </w:p>
    <w:p>
      <w:pPr>
        <w:ind w:left="340" w:right="20" w:hanging="332"/>
        <w:spacing w:after="0" w:line="287" w:lineRule="auto"/>
        <w:tabs>
          <w:tab w:leader="none" w:pos="340" w:val="left"/>
        </w:tabs>
        <w:numPr>
          <w:ilvl w:val="0"/>
          <w:numId w:val="59"/>
        </w:numPr>
        <w:rPr>
          <w:rFonts w:ascii="Arial" w:cs="Arial" w:eastAsia="Arial" w:hAnsi="Arial"/>
          <w:sz w:val="18"/>
          <w:szCs w:val="18"/>
          <w:color w:val="134A9C"/>
        </w:rPr>
      </w:pPr>
      <w:r>
        <w:rPr>
          <w:rFonts w:ascii="Arial" w:cs="Arial" w:eastAsia="Arial" w:hAnsi="Arial"/>
          <w:sz w:val="18"/>
          <w:szCs w:val="18"/>
          <w:b w:val="1"/>
          <w:bCs w:val="1"/>
          <w:color w:val="0033A0"/>
        </w:rPr>
        <w:t>Daniel F</w:t>
      </w:r>
      <w:r>
        <w:rPr>
          <w:rFonts w:ascii="Arial" w:cs="Arial" w:eastAsia="Arial" w:hAnsi="Arial"/>
          <w:sz w:val="18"/>
          <w:szCs w:val="18"/>
          <w:color w:val="000000"/>
        </w:rPr>
        <w:t>.</w:t>
      </w:r>
      <w:r>
        <w:rPr>
          <w:rFonts w:ascii="Arial" w:cs="Arial" w:eastAsia="Arial" w:hAnsi="Arial"/>
          <w:sz w:val="18"/>
          <w:szCs w:val="18"/>
          <w:b w:val="1"/>
          <w:bCs w:val="1"/>
          <w:color w:val="0033A0"/>
        </w:rPr>
        <w:t xml:space="preserve"> Akerson </w:t>
      </w:r>
      <w:r>
        <w:rPr>
          <w:rFonts w:ascii="Arial" w:cs="Arial" w:eastAsia="Arial" w:hAnsi="Arial"/>
          <w:sz w:val="18"/>
          <w:szCs w:val="18"/>
          <w:color w:val="000000"/>
        </w:rPr>
        <w:t>- Mr. Akerson did not receive a salary increase in 2014 as he announced his plans to retire from General Motors</w:t>
      </w:r>
      <w:r>
        <w:rPr>
          <w:rFonts w:ascii="Arial" w:cs="Arial" w:eastAsia="Arial" w:hAnsi="Arial"/>
          <w:sz w:val="18"/>
          <w:szCs w:val="18"/>
          <w:b w:val="1"/>
          <w:bCs w:val="1"/>
          <w:color w:val="0033A0"/>
        </w:rPr>
        <w:t xml:space="preserve"> </w:t>
      </w:r>
      <w:r>
        <w:rPr>
          <w:rFonts w:ascii="Arial" w:cs="Arial" w:eastAsia="Arial" w:hAnsi="Arial"/>
          <w:sz w:val="18"/>
          <w:szCs w:val="18"/>
          <w:color w:val="000000"/>
        </w:rPr>
        <w:t>effective July 1, 2014.</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2014 Short-Term Incentive Plan</w:t>
      </w:r>
    </w:p>
    <w:p>
      <w:pPr>
        <w:spacing w:after="0" w:line="14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portion of the 2014 STIP award was calculated based on Company achievement against the following equally weighted performance measures: EBIT-Adjusted, Adjusted AFCF, Global Market Share, and Global Quality. Actual 2014 Company performance against the combined performance measures produced an overall payout of 74 percent based on the achievement of the following levels for each performance metric as determined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46</w:t>
      </w:r>
      <w:r>
        <w:rPr>
          <w:sz w:val="20"/>
          <w:szCs w:val="20"/>
          <w:color w:val="auto"/>
        </w:rPr>
        <w:tab/>
      </w:r>
      <w:r>
        <w:rPr>
          <w:sz w:val="1"/>
          <w:szCs w:val="1"/>
          <w:color w:val="auto"/>
        </w:rPr>
        <w:drawing>
          <wp:inline distT="0" distB="0" distL="0" distR="0">
            <wp:extent cx="120015" cy="12001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sectPr>
      </w:pPr>
    </w:p>
    <w:bookmarkStart w:id="50" w:name="page51"/>
    <w:bookmarkEnd w:id="50"/>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300" w:type="dxa"/>
            <w:vAlign w:val="bottom"/>
            <w:tcBorders>
              <w:left w:val="single" w:sz="8" w:color="134A9C"/>
              <w:bottom w:val="single" w:sz="8" w:color="134A9C"/>
            </w:tcBorders>
            <w:shd w:val="clear" w:color="auto" w:fill="134A9C"/>
          </w:tcPr>
          <w:p>
            <w:pPr>
              <w:ind w:left="700"/>
              <w:spacing w:after="0"/>
              <w:rPr>
                <w:sz w:val="20"/>
                <w:szCs w:val="20"/>
                <w:color w:val="auto"/>
              </w:rPr>
            </w:pPr>
            <w:r>
              <w:rPr>
                <w:rFonts w:ascii="Arial" w:cs="Arial" w:eastAsia="Arial" w:hAnsi="Arial"/>
                <w:sz w:val="14"/>
                <w:szCs w:val="14"/>
                <w:b w:val="1"/>
                <w:bCs w:val="1"/>
                <w:color w:val="FFFFFF"/>
              </w:rPr>
              <w:t>STIP Measure</w:t>
            </w:r>
          </w:p>
        </w:tc>
        <w:tc>
          <w:tcPr>
            <w:tcW w:w="1400" w:type="dxa"/>
            <w:vAlign w:val="bottom"/>
            <w:tcBorders>
              <w:bottom w:val="single" w:sz="8" w:color="134A9C"/>
              <w:right w:val="single" w:sz="8" w:color="134A9C"/>
            </w:tcBorders>
            <w:shd w:val="clear" w:color="auto" w:fill="134A9C"/>
          </w:tcPr>
          <w:p>
            <w:pPr>
              <w:ind w:left="460"/>
              <w:spacing w:after="0"/>
              <w:rPr>
                <w:sz w:val="20"/>
                <w:szCs w:val="20"/>
                <w:color w:val="auto"/>
              </w:rPr>
            </w:pPr>
            <w:r>
              <w:rPr>
                <w:rFonts w:ascii="Arial" w:cs="Arial" w:eastAsia="Arial" w:hAnsi="Arial"/>
                <w:sz w:val="14"/>
                <w:szCs w:val="14"/>
                <w:b w:val="1"/>
                <w:bCs w:val="1"/>
                <w:color w:val="FFFFFF"/>
              </w:rPr>
              <w:t>Weight</w:t>
            </w:r>
          </w:p>
        </w:tc>
        <w:tc>
          <w:tcPr>
            <w:tcW w:w="1480" w:type="dxa"/>
            <w:vAlign w:val="bottom"/>
            <w:tcBorders>
              <w:bottom w:val="single" w:sz="8" w:color="134A9C"/>
            </w:tcBorders>
            <w:shd w:val="clear" w:color="auto" w:fill="134A9C"/>
          </w:tcPr>
          <w:p>
            <w:pPr>
              <w:jc w:val="right"/>
              <w:ind w:right="328"/>
              <w:spacing w:after="0"/>
              <w:rPr>
                <w:sz w:val="20"/>
                <w:szCs w:val="20"/>
                <w:color w:val="auto"/>
              </w:rPr>
            </w:pPr>
            <w:r>
              <w:rPr>
                <w:rFonts w:ascii="Arial" w:cs="Arial" w:eastAsia="Arial" w:hAnsi="Arial"/>
                <w:sz w:val="14"/>
                <w:szCs w:val="14"/>
                <w:b w:val="1"/>
                <w:bCs w:val="1"/>
                <w:color w:val="FFFFFF"/>
              </w:rPr>
              <w:t>Threshold</w:t>
            </w:r>
          </w:p>
        </w:tc>
        <w:tc>
          <w:tcPr>
            <w:tcW w:w="1680" w:type="dxa"/>
            <w:vAlign w:val="bottom"/>
            <w:tcBorders>
              <w:bottom w:val="single" w:sz="8" w:color="134A9C"/>
            </w:tcBorders>
            <w:shd w:val="clear" w:color="auto" w:fill="134A9C"/>
          </w:tcPr>
          <w:p>
            <w:pPr>
              <w:jc w:val="right"/>
              <w:ind w:right="728"/>
              <w:spacing w:after="0"/>
              <w:rPr>
                <w:sz w:val="20"/>
                <w:szCs w:val="20"/>
                <w:color w:val="auto"/>
              </w:rPr>
            </w:pPr>
            <w:r>
              <w:rPr>
                <w:rFonts w:ascii="Arial" w:cs="Arial" w:eastAsia="Arial" w:hAnsi="Arial"/>
                <w:sz w:val="14"/>
                <w:szCs w:val="14"/>
                <w:b w:val="1"/>
                <w:bCs w:val="1"/>
                <w:color w:val="FFFFFF"/>
              </w:rPr>
              <w:t>Target</w:t>
            </w:r>
          </w:p>
        </w:tc>
        <w:tc>
          <w:tcPr>
            <w:tcW w:w="1520" w:type="dxa"/>
            <w:vAlign w:val="bottom"/>
            <w:tcBorders>
              <w:bottom w:val="single" w:sz="8" w:color="134A9C"/>
              <w:right w:val="single" w:sz="8" w:color="134A9C"/>
            </w:tcBorders>
            <w:shd w:val="clear" w:color="auto" w:fill="134A9C"/>
          </w:tcPr>
          <w:p>
            <w:pPr>
              <w:jc w:val="right"/>
              <w:ind w:right="528"/>
              <w:spacing w:after="0"/>
              <w:rPr>
                <w:sz w:val="20"/>
                <w:szCs w:val="20"/>
                <w:color w:val="auto"/>
              </w:rPr>
            </w:pPr>
            <w:r>
              <w:rPr>
                <w:rFonts w:ascii="Arial" w:cs="Arial" w:eastAsia="Arial" w:hAnsi="Arial"/>
                <w:sz w:val="14"/>
                <w:szCs w:val="14"/>
                <w:b w:val="1"/>
                <w:bCs w:val="1"/>
                <w:color w:val="FFFFFF"/>
              </w:rPr>
              <w:t>Maximum</w:t>
            </w:r>
          </w:p>
        </w:tc>
        <w:tc>
          <w:tcPr>
            <w:tcW w:w="1680" w:type="dxa"/>
            <w:vAlign w:val="bottom"/>
            <w:tcBorders>
              <w:bottom w:val="single" w:sz="8" w:color="134A9C"/>
            </w:tcBorders>
            <w:shd w:val="clear" w:color="auto" w:fill="134A9C"/>
          </w:tcPr>
          <w:p>
            <w:pPr>
              <w:jc w:val="right"/>
              <w:ind w:right="548"/>
              <w:spacing w:after="0"/>
              <w:rPr>
                <w:sz w:val="20"/>
                <w:szCs w:val="20"/>
                <w:color w:val="auto"/>
              </w:rPr>
            </w:pPr>
            <w:r>
              <w:rPr>
                <w:rFonts w:ascii="Arial" w:cs="Arial" w:eastAsia="Arial" w:hAnsi="Arial"/>
                <w:sz w:val="14"/>
                <w:szCs w:val="14"/>
                <w:b w:val="1"/>
                <w:bCs w:val="1"/>
                <w:color w:val="FFFFFF"/>
              </w:rPr>
              <w:t>Actual</w:t>
            </w:r>
          </w:p>
        </w:tc>
        <w:tc>
          <w:tcPr>
            <w:tcW w:w="1380" w:type="dxa"/>
            <w:vAlign w:val="bottom"/>
            <w:tcBorders>
              <w:bottom w:val="single" w:sz="8" w:color="134A9C"/>
              <w:right w:val="single" w:sz="8" w:color="134A9C"/>
            </w:tcBorders>
            <w:shd w:val="clear" w:color="auto" w:fill="134A9C"/>
          </w:tcPr>
          <w:p>
            <w:pPr>
              <w:jc w:val="right"/>
              <w:ind w:right="388"/>
              <w:spacing w:after="0"/>
              <w:rPr>
                <w:sz w:val="20"/>
                <w:szCs w:val="20"/>
                <w:color w:val="auto"/>
              </w:rPr>
            </w:pPr>
            <w:r>
              <w:rPr>
                <w:rFonts w:ascii="Arial" w:cs="Arial" w:eastAsia="Arial" w:hAnsi="Arial"/>
                <w:sz w:val="14"/>
                <w:szCs w:val="14"/>
                <w:b w:val="1"/>
                <w:bCs w:val="1"/>
                <w:color w:val="FFFFFF"/>
              </w:rPr>
              <w:t>Payout</w:t>
            </w:r>
          </w:p>
        </w:tc>
      </w:tr>
      <w:tr>
        <w:trPr>
          <w:trHeight w:val="204"/>
        </w:trPr>
        <w:tc>
          <w:tcPr>
            <w:tcW w:w="2300" w:type="dxa"/>
            <w:vAlign w:val="bottom"/>
            <w:tcBorders>
              <w:left w:val="single" w:sz="8" w:color="134A9C"/>
            </w:tcBorders>
          </w:tcPr>
          <w:p>
            <w:pPr>
              <w:ind w:left="40"/>
              <w:spacing w:after="0"/>
              <w:rPr>
                <w:sz w:val="20"/>
                <w:szCs w:val="20"/>
                <w:color w:val="auto"/>
              </w:rPr>
            </w:pPr>
            <w:r>
              <w:rPr>
                <w:rFonts w:ascii="Arial" w:cs="Arial" w:eastAsia="Arial" w:hAnsi="Arial"/>
                <w:sz w:val="14"/>
                <w:szCs w:val="14"/>
                <w:color w:val="auto"/>
              </w:rPr>
              <w:t>EBIT-Adjusted ($B)</w:t>
            </w:r>
          </w:p>
        </w:tc>
        <w:tc>
          <w:tcPr>
            <w:tcW w:w="140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25%</w:t>
            </w:r>
          </w:p>
        </w:tc>
        <w:tc>
          <w:tcPr>
            <w:tcW w:w="1480" w:type="dxa"/>
            <w:vAlign w:val="bottom"/>
          </w:tcPr>
          <w:p>
            <w:pPr>
              <w:jc w:val="right"/>
              <w:ind w:right="208"/>
              <w:spacing w:after="0"/>
              <w:rPr>
                <w:sz w:val="20"/>
                <w:szCs w:val="20"/>
                <w:color w:val="auto"/>
              </w:rPr>
            </w:pPr>
            <w:r>
              <w:rPr>
                <w:rFonts w:ascii="Arial" w:cs="Arial" w:eastAsia="Arial" w:hAnsi="Arial"/>
                <w:sz w:val="14"/>
                <w:szCs w:val="14"/>
                <w:color w:val="auto"/>
              </w:rPr>
              <w:t>$5.3</w:t>
            </w:r>
          </w:p>
        </w:tc>
        <w:tc>
          <w:tcPr>
            <w:tcW w:w="1680" w:type="dxa"/>
            <w:vAlign w:val="bottom"/>
          </w:tcPr>
          <w:p>
            <w:pPr>
              <w:jc w:val="right"/>
              <w:ind w:right="528"/>
              <w:spacing w:after="0"/>
              <w:rPr>
                <w:sz w:val="20"/>
                <w:szCs w:val="20"/>
                <w:color w:val="auto"/>
              </w:rPr>
            </w:pPr>
            <w:r>
              <w:rPr>
                <w:rFonts w:ascii="Arial" w:cs="Arial" w:eastAsia="Arial" w:hAnsi="Arial"/>
                <w:sz w:val="14"/>
                <w:szCs w:val="14"/>
                <w:color w:val="auto"/>
              </w:rPr>
              <w:t>$9.0</w:t>
            </w:r>
          </w:p>
        </w:tc>
        <w:tc>
          <w:tcPr>
            <w:tcW w:w="1520" w:type="dxa"/>
            <w:vAlign w:val="bottom"/>
            <w:tcBorders>
              <w:right w:val="single" w:sz="8" w:color="134A9C"/>
            </w:tcBorders>
          </w:tcPr>
          <w:p>
            <w:pPr>
              <w:jc w:val="right"/>
              <w:ind w:right="228"/>
              <w:spacing w:after="0"/>
              <w:rPr>
                <w:sz w:val="20"/>
                <w:szCs w:val="20"/>
                <w:color w:val="auto"/>
              </w:rPr>
            </w:pPr>
            <w:r>
              <w:rPr>
                <w:rFonts w:ascii="Arial" w:cs="Arial" w:eastAsia="Arial" w:hAnsi="Arial"/>
                <w:sz w:val="14"/>
                <w:szCs w:val="14"/>
                <w:color w:val="auto"/>
              </w:rPr>
              <w:t>$12.7</w:t>
            </w:r>
          </w:p>
        </w:tc>
        <w:tc>
          <w:tcPr>
            <w:tcW w:w="1680" w:type="dxa"/>
            <w:vAlign w:val="bottom"/>
          </w:tcPr>
          <w:p>
            <w:pPr>
              <w:jc w:val="right"/>
              <w:ind w:right="308"/>
              <w:spacing w:after="0"/>
              <w:rPr>
                <w:sz w:val="20"/>
                <w:szCs w:val="20"/>
                <w:color w:val="auto"/>
              </w:rPr>
            </w:pPr>
            <w:r>
              <w:rPr>
                <w:rFonts w:ascii="Arial" w:cs="Arial" w:eastAsia="Arial" w:hAnsi="Arial"/>
                <w:sz w:val="14"/>
                <w:szCs w:val="14"/>
                <w:color w:val="auto"/>
              </w:rPr>
              <w:t>$6.5</w:t>
            </w:r>
          </w:p>
        </w:tc>
        <w:tc>
          <w:tcPr>
            <w:tcW w:w="1380" w:type="dxa"/>
            <w:vAlign w:val="bottom"/>
            <w:tcBorders>
              <w:right w:val="single" w:sz="8" w:color="134A9C"/>
            </w:tcBorders>
          </w:tcPr>
          <w:p>
            <w:pPr>
              <w:jc w:val="right"/>
              <w:ind w:right="648"/>
              <w:spacing w:after="0"/>
              <w:rPr>
                <w:sz w:val="20"/>
                <w:szCs w:val="20"/>
                <w:color w:val="auto"/>
              </w:rPr>
            </w:pPr>
            <w:r>
              <w:rPr>
                <w:rFonts w:ascii="Arial" w:cs="Arial" w:eastAsia="Arial" w:hAnsi="Arial"/>
                <w:sz w:val="14"/>
                <w:szCs w:val="14"/>
                <w:color w:val="auto"/>
              </w:rPr>
              <w:t>17%</w:t>
            </w:r>
          </w:p>
        </w:tc>
      </w:tr>
      <w:tr>
        <w:trPr>
          <w:trHeight w:val="216"/>
        </w:trPr>
        <w:tc>
          <w:tcPr>
            <w:tcW w:w="2300" w:type="dxa"/>
            <w:vAlign w:val="bottom"/>
            <w:tcBorders>
              <w:left w:val="single" w:sz="8" w:color="134A9C"/>
            </w:tcBorders>
          </w:tcPr>
          <w:p>
            <w:pPr>
              <w:ind w:left="40"/>
              <w:spacing w:after="0"/>
              <w:rPr>
                <w:sz w:val="20"/>
                <w:szCs w:val="20"/>
                <w:color w:val="auto"/>
              </w:rPr>
            </w:pPr>
            <w:r>
              <w:rPr>
                <w:rFonts w:ascii="Arial" w:cs="Arial" w:eastAsia="Arial" w:hAnsi="Arial"/>
                <w:sz w:val="14"/>
                <w:szCs w:val="14"/>
                <w:color w:val="auto"/>
              </w:rPr>
              <w:t>Adjusted AFCF ($B)</w:t>
            </w:r>
          </w:p>
        </w:tc>
        <w:tc>
          <w:tcPr>
            <w:tcW w:w="140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25%</w:t>
            </w:r>
          </w:p>
        </w:tc>
        <w:tc>
          <w:tcPr>
            <w:tcW w:w="1480" w:type="dxa"/>
            <w:vAlign w:val="bottom"/>
          </w:tcPr>
          <w:p>
            <w:pPr>
              <w:jc w:val="right"/>
              <w:ind w:right="208"/>
              <w:spacing w:after="0"/>
              <w:rPr>
                <w:sz w:val="20"/>
                <w:szCs w:val="20"/>
                <w:color w:val="auto"/>
              </w:rPr>
            </w:pPr>
            <w:r>
              <w:rPr>
                <w:rFonts w:ascii="Arial" w:cs="Arial" w:eastAsia="Arial" w:hAnsi="Arial"/>
                <w:sz w:val="14"/>
                <w:szCs w:val="14"/>
                <w:color w:val="auto"/>
              </w:rPr>
              <w:t>$0.0</w:t>
            </w:r>
          </w:p>
        </w:tc>
        <w:tc>
          <w:tcPr>
            <w:tcW w:w="1680" w:type="dxa"/>
            <w:vAlign w:val="bottom"/>
          </w:tcPr>
          <w:p>
            <w:pPr>
              <w:jc w:val="right"/>
              <w:ind w:right="528"/>
              <w:spacing w:after="0"/>
              <w:rPr>
                <w:sz w:val="20"/>
                <w:szCs w:val="20"/>
                <w:color w:val="auto"/>
              </w:rPr>
            </w:pPr>
            <w:r>
              <w:rPr>
                <w:rFonts w:ascii="Arial" w:cs="Arial" w:eastAsia="Arial" w:hAnsi="Arial"/>
                <w:sz w:val="14"/>
                <w:szCs w:val="14"/>
                <w:color w:val="auto"/>
              </w:rPr>
              <w:t>$3.6</w:t>
            </w:r>
          </w:p>
        </w:tc>
        <w:tc>
          <w:tcPr>
            <w:tcW w:w="1520" w:type="dxa"/>
            <w:vAlign w:val="bottom"/>
            <w:tcBorders>
              <w:right w:val="single" w:sz="8" w:color="134A9C"/>
            </w:tcBorders>
          </w:tcPr>
          <w:p>
            <w:pPr>
              <w:jc w:val="right"/>
              <w:ind w:right="228"/>
              <w:spacing w:after="0"/>
              <w:rPr>
                <w:sz w:val="20"/>
                <w:szCs w:val="20"/>
                <w:color w:val="auto"/>
              </w:rPr>
            </w:pPr>
            <w:r>
              <w:rPr>
                <w:rFonts w:ascii="Arial" w:cs="Arial" w:eastAsia="Arial" w:hAnsi="Arial"/>
                <w:sz w:val="14"/>
                <w:szCs w:val="14"/>
                <w:color w:val="auto"/>
              </w:rPr>
              <w:t>$7.2</w:t>
            </w:r>
          </w:p>
        </w:tc>
        <w:tc>
          <w:tcPr>
            <w:tcW w:w="1680" w:type="dxa"/>
            <w:vAlign w:val="bottom"/>
          </w:tcPr>
          <w:p>
            <w:pPr>
              <w:jc w:val="right"/>
              <w:ind w:right="308"/>
              <w:spacing w:after="0"/>
              <w:rPr>
                <w:sz w:val="20"/>
                <w:szCs w:val="20"/>
                <w:color w:val="auto"/>
              </w:rPr>
            </w:pPr>
            <w:r>
              <w:rPr>
                <w:rFonts w:ascii="Arial" w:cs="Arial" w:eastAsia="Arial" w:hAnsi="Arial"/>
                <w:sz w:val="14"/>
                <w:szCs w:val="14"/>
                <w:color w:val="auto"/>
              </w:rPr>
              <w:t>$3.1</w:t>
            </w:r>
          </w:p>
        </w:tc>
        <w:tc>
          <w:tcPr>
            <w:tcW w:w="1380" w:type="dxa"/>
            <w:vAlign w:val="bottom"/>
            <w:tcBorders>
              <w:right w:val="single" w:sz="8" w:color="134A9C"/>
            </w:tcBorders>
          </w:tcPr>
          <w:p>
            <w:pPr>
              <w:jc w:val="right"/>
              <w:ind w:right="648"/>
              <w:spacing w:after="0"/>
              <w:rPr>
                <w:sz w:val="20"/>
                <w:szCs w:val="20"/>
                <w:color w:val="auto"/>
              </w:rPr>
            </w:pPr>
            <w:r>
              <w:rPr>
                <w:rFonts w:ascii="Arial" w:cs="Arial" w:eastAsia="Arial" w:hAnsi="Arial"/>
                <w:sz w:val="14"/>
                <w:szCs w:val="14"/>
                <w:color w:val="auto"/>
              </w:rPr>
              <w:t>23%</w:t>
            </w:r>
          </w:p>
        </w:tc>
      </w:tr>
      <w:tr>
        <w:trPr>
          <w:trHeight w:val="216"/>
        </w:trPr>
        <w:tc>
          <w:tcPr>
            <w:tcW w:w="2300" w:type="dxa"/>
            <w:vAlign w:val="bottom"/>
            <w:tcBorders>
              <w:left w:val="single" w:sz="8" w:color="134A9C"/>
            </w:tcBorders>
          </w:tcPr>
          <w:p>
            <w:pPr>
              <w:ind w:left="40"/>
              <w:spacing w:after="0"/>
              <w:rPr>
                <w:sz w:val="20"/>
                <w:szCs w:val="20"/>
                <w:color w:val="auto"/>
              </w:rPr>
            </w:pPr>
            <w:r>
              <w:rPr>
                <w:rFonts w:ascii="Arial" w:cs="Arial" w:eastAsia="Arial" w:hAnsi="Arial"/>
                <w:sz w:val="14"/>
                <w:szCs w:val="14"/>
                <w:color w:val="auto"/>
              </w:rPr>
              <w:t>Global Market Share</w:t>
            </w:r>
          </w:p>
        </w:tc>
        <w:tc>
          <w:tcPr>
            <w:tcW w:w="140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25%</w:t>
            </w:r>
          </w:p>
        </w:tc>
        <w:tc>
          <w:tcPr>
            <w:tcW w:w="1480" w:type="dxa"/>
            <w:vAlign w:val="bottom"/>
          </w:tcPr>
          <w:p>
            <w:pPr>
              <w:jc w:val="right"/>
              <w:ind w:right="208"/>
              <w:spacing w:after="0"/>
              <w:rPr>
                <w:sz w:val="20"/>
                <w:szCs w:val="20"/>
                <w:color w:val="auto"/>
              </w:rPr>
            </w:pPr>
            <w:r>
              <w:rPr>
                <w:rFonts w:ascii="Arial" w:cs="Arial" w:eastAsia="Arial" w:hAnsi="Arial"/>
                <w:sz w:val="14"/>
                <w:szCs w:val="14"/>
                <w:color w:val="auto"/>
              </w:rPr>
              <w:t>11.2%</w:t>
            </w:r>
          </w:p>
        </w:tc>
        <w:tc>
          <w:tcPr>
            <w:tcW w:w="1680" w:type="dxa"/>
            <w:vAlign w:val="bottom"/>
          </w:tcPr>
          <w:p>
            <w:pPr>
              <w:jc w:val="right"/>
              <w:ind w:right="528"/>
              <w:spacing w:after="0"/>
              <w:rPr>
                <w:sz w:val="20"/>
                <w:szCs w:val="20"/>
                <w:color w:val="auto"/>
              </w:rPr>
            </w:pPr>
            <w:r>
              <w:rPr>
                <w:rFonts w:ascii="Arial" w:cs="Arial" w:eastAsia="Arial" w:hAnsi="Arial"/>
                <w:sz w:val="14"/>
                <w:szCs w:val="14"/>
                <w:color w:val="auto"/>
              </w:rPr>
              <w:t>11.7%</w:t>
            </w:r>
          </w:p>
        </w:tc>
        <w:tc>
          <w:tcPr>
            <w:tcW w:w="1520" w:type="dxa"/>
            <w:vAlign w:val="bottom"/>
            <w:tcBorders>
              <w:right w:val="single" w:sz="8" w:color="134A9C"/>
            </w:tcBorders>
          </w:tcPr>
          <w:p>
            <w:pPr>
              <w:jc w:val="right"/>
              <w:ind w:right="228"/>
              <w:spacing w:after="0"/>
              <w:rPr>
                <w:sz w:val="20"/>
                <w:szCs w:val="20"/>
                <w:color w:val="auto"/>
              </w:rPr>
            </w:pPr>
            <w:r>
              <w:rPr>
                <w:rFonts w:ascii="Arial" w:cs="Arial" w:eastAsia="Arial" w:hAnsi="Arial"/>
                <w:sz w:val="14"/>
                <w:szCs w:val="14"/>
                <w:color w:val="auto"/>
              </w:rPr>
              <w:t>12.2%</w:t>
            </w:r>
          </w:p>
        </w:tc>
        <w:tc>
          <w:tcPr>
            <w:tcW w:w="1680" w:type="dxa"/>
            <w:vAlign w:val="bottom"/>
          </w:tcPr>
          <w:p>
            <w:pPr>
              <w:jc w:val="right"/>
              <w:ind w:right="308"/>
              <w:spacing w:after="0"/>
              <w:rPr>
                <w:sz w:val="20"/>
                <w:szCs w:val="20"/>
                <w:color w:val="auto"/>
              </w:rPr>
            </w:pPr>
            <w:r>
              <w:rPr>
                <w:rFonts w:ascii="Arial" w:cs="Arial" w:eastAsia="Arial" w:hAnsi="Arial"/>
                <w:sz w:val="14"/>
                <w:szCs w:val="14"/>
                <w:color w:val="auto"/>
              </w:rPr>
              <w:t>11.4%</w:t>
            </w:r>
          </w:p>
        </w:tc>
        <w:tc>
          <w:tcPr>
            <w:tcW w:w="1380" w:type="dxa"/>
            <w:vAlign w:val="bottom"/>
            <w:tcBorders>
              <w:right w:val="single" w:sz="8" w:color="134A9C"/>
            </w:tcBorders>
          </w:tcPr>
          <w:p>
            <w:pPr>
              <w:jc w:val="right"/>
              <w:ind w:right="648"/>
              <w:spacing w:after="0"/>
              <w:rPr>
                <w:sz w:val="20"/>
                <w:szCs w:val="20"/>
                <w:color w:val="auto"/>
              </w:rPr>
            </w:pPr>
            <w:r>
              <w:rPr>
                <w:rFonts w:ascii="Arial" w:cs="Arial" w:eastAsia="Arial" w:hAnsi="Arial"/>
                <w:sz w:val="14"/>
                <w:szCs w:val="14"/>
                <w:color w:val="auto"/>
              </w:rPr>
              <w:t>18%</w:t>
            </w:r>
          </w:p>
        </w:tc>
      </w:tr>
      <w:tr>
        <w:trPr>
          <w:trHeight w:val="282"/>
        </w:trPr>
        <w:tc>
          <w:tcPr>
            <w:tcW w:w="2300" w:type="dxa"/>
            <w:vAlign w:val="bottom"/>
            <w:tcBorders>
              <w:left w:val="single" w:sz="8" w:color="134A9C"/>
              <w:bottom w:val="single" w:sz="8" w:color="134A9C"/>
            </w:tcBorders>
          </w:tcPr>
          <w:p>
            <w:pPr>
              <w:ind w:left="40"/>
              <w:spacing w:after="0"/>
              <w:rPr>
                <w:sz w:val="20"/>
                <w:szCs w:val="20"/>
                <w:color w:val="auto"/>
              </w:rPr>
            </w:pPr>
            <w:r>
              <w:rPr>
                <w:rFonts w:ascii="Arial" w:cs="Arial" w:eastAsia="Arial" w:hAnsi="Arial"/>
                <w:sz w:val="14"/>
                <w:szCs w:val="14"/>
                <w:color w:val="auto"/>
              </w:rPr>
              <w:t>Global Quality</w:t>
            </w:r>
            <w:r>
              <w:rPr>
                <w:rFonts w:ascii="Arial" w:cs="Arial" w:eastAsia="Arial" w:hAnsi="Arial"/>
                <w:sz w:val="17"/>
                <w:szCs w:val="17"/>
                <w:color w:val="auto"/>
                <w:vertAlign w:val="superscript"/>
              </w:rPr>
              <w:t>(1)</w:t>
            </w:r>
          </w:p>
        </w:tc>
        <w:tc>
          <w:tcPr>
            <w:tcW w:w="140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25%</w:t>
            </w:r>
          </w:p>
        </w:tc>
        <w:tc>
          <w:tcPr>
            <w:tcW w:w="1480" w:type="dxa"/>
            <w:vAlign w:val="bottom"/>
            <w:tcBorders>
              <w:bottom w:val="single" w:sz="8" w:color="134A9C"/>
            </w:tcBorders>
          </w:tcPr>
          <w:p>
            <w:pPr>
              <w:spacing w:after="0"/>
              <w:rPr>
                <w:sz w:val="24"/>
                <w:szCs w:val="24"/>
                <w:color w:val="auto"/>
              </w:rPr>
            </w:pPr>
          </w:p>
        </w:tc>
        <w:tc>
          <w:tcPr>
            <w:tcW w:w="1680" w:type="dxa"/>
            <w:vAlign w:val="bottom"/>
            <w:tcBorders>
              <w:bottom w:val="single" w:sz="8" w:color="134A9C"/>
            </w:tcBorders>
          </w:tcPr>
          <w:p>
            <w:pPr>
              <w:jc w:val="right"/>
              <w:ind w:right="188"/>
              <w:spacing w:after="0"/>
              <w:rPr>
                <w:sz w:val="20"/>
                <w:szCs w:val="20"/>
                <w:color w:val="auto"/>
              </w:rPr>
            </w:pPr>
            <w:r>
              <w:rPr>
                <w:rFonts w:ascii="Arial" w:cs="Arial" w:eastAsia="Arial" w:hAnsi="Arial"/>
                <w:sz w:val="14"/>
                <w:szCs w:val="14"/>
                <w:color w:val="auto"/>
              </w:rPr>
              <w:t>Various Measures</w:t>
            </w:r>
          </w:p>
        </w:tc>
        <w:tc>
          <w:tcPr>
            <w:tcW w:w="1520" w:type="dxa"/>
            <w:vAlign w:val="bottom"/>
            <w:tcBorders>
              <w:bottom w:val="single" w:sz="8" w:color="134A9C"/>
              <w:right w:val="single" w:sz="8" w:color="134A9C"/>
            </w:tcBorders>
          </w:tcPr>
          <w:p>
            <w:pPr>
              <w:spacing w:after="0"/>
              <w:rPr>
                <w:sz w:val="24"/>
                <w:szCs w:val="24"/>
                <w:color w:val="auto"/>
              </w:rPr>
            </w:pPr>
          </w:p>
        </w:tc>
        <w:tc>
          <w:tcPr>
            <w:tcW w:w="1680" w:type="dxa"/>
            <w:vAlign w:val="bottom"/>
            <w:tcBorders>
              <w:bottom w:val="single" w:sz="8" w:color="134A9C"/>
            </w:tcBorders>
          </w:tcPr>
          <w:p>
            <w:pPr>
              <w:spacing w:after="0"/>
              <w:rPr>
                <w:sz w:val="24"/>
                <w:szCs w:val="24"/>
                <w:color w:val="auto"/>
              </w:rPr>
            </w:pPr>
          </w:p>
        </w:tc>
        <w:tc>
          <w:tcPr>
            <w:tcW w:w="1380" w:type="dxa"/>
            <w:vAlign w:val="bottom"/>
            <w:tcBorders>
              <w:bottom w:val="single" w:sz="8" w:color="134A9C"/>
              <w:right w:val="single" w:sz="8" w:color="134A9C"/>
            </w:tcBorders>
          </w:tcPr>
          <w:p>
            <w:pPr>
              <w:jc w:val="right"/>
              <w:ind w:right="648"/>
              <w:spacing w:after="0"/>
              <w:rPr>
                <w:sz w:val="20"/>
                <w:szCs w:val="20"/>
                <w:color w:val="auto"/>
              </w:rPr>
            </w:pPr>
            <w:r>
              <w:rPr>
                <w:rFonts w:ascii="Arial" w:cs="Arial" w:eastAsia="Arial" w:hAnsi="Arial"/>
                <w:sz w:val="14"/>
                <w:szCs w:val="14"/>
                <w:color w:val="auto"/>
              </w:rPr>
              <w:t>16%</w:t>
            </w:r>
          </w:p>
        </w:tc>
      </w:tr>
      <w:tr>
        <w:trPr>
          <w:trHeight w:val="225"/>
        </w:trPr>
        <w:tc>
          <w:tcPr>
            <w:tcW w:w="2300" w:type="dxa"/>
            <w:vAlign w:val="bottom"/>
            <w:tcBorders>
              <w:left w:val="single" w:sz="8" w:color="134A9C"/>
            </w:tcBorders>
          </w:tcPr>
          <w:p>
            <w:pPr>
              <w:ind w:left="40"/>
              <w:spacing w:after="0"/>
              <w:rPr>
                <w:sz w:val="20"/>
                <w:szCs w:val="20"/>
                <w:color w:val="auto"/>
              </w:rPr>
            </w:pPr>
            <w:r>
              <w:rPr>
                <w:rFonts w:ascii="Arial" w:cs="Arial" w:eastAsia="Arial" w:hAnsi="Arial"/>
                <w:sz w:val="14"/>
                <w:szCs w:val="14"/>
                <w:b w:val="1"/>
                <w:bCs w:val="1"/>
                <w:color w:val="auto"/>
              </w:rPr>
              <w:t>Overall</w:t>
            </w:r>
          </w:p>
        </w:tc>
        <w:tc>
          <w:tcPr>
            <w:tcW w:w="1400" w:type="dxa"/>
            <w:vAlign w:val="bottom"/>
            <w:tcBorders>
              <w:right w:val="single" w:sz="8" w:color="134A9C"/>
            </w:tcBorders>
          </w:tcPr>
          <w:p>
            <w:pPr>
              <w:jc w:val="center"/>
              <w:spacing w:after="0"/>
              <w:rPr>
                <w:sz w:val="20"/>
                <w:szCs w:val="20"/>
                <w:color w:val="auto"/>
              </w:rPr>
            </w:pPr>
            <w:r>
              <w:rPr>
                <w:rFonts w:ascii="Arial" w:cs="Arial" w:eastAsia="Arial" w:hAnsi="Arial"/>
                <w:sz w:val="14"/>
                <w:szCs w:val="14"/>
                <w:b w:val="1"/>
                <w:bCs w:val="1"/>
                <w:color w:val="auto"/>
              </w:rPr>
              <w:t>100%</w:t>
            </w:r>
          </w:p>
        </w:tc>
        <w:tc>
          <w:tcPr>
            <w:tcW w:w="1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20" w:type="dxa"/>
            <w:vAlign w:val="bottom"/>
            <w:tcBorders>
              <w:right w:val="single" w:sz="8" w:color="134A9C"/>
            </w:tcBorders>
          </w:tcPr>
          <w:p>
            <w:pPr>
              <w:spacing w:after="0"/>
              <w:rPr>
                <w:sz w:val="19"/>
                <w:szCs w:val="19"/>
                <w:color w:val="auto"/>
              </w:rPr>
            </w:pPr>
          </w:p>
        </w:tc>
        <w:tc>
          <w:tcPr>
            <w:tcW w:w="1680" w:type="dxa"/>
            <w:vAlign w:val="bottom"/>
          </w:tcPr>
          <w:p>
            <w:pPr>
              <w:spacing w:after="0"/>
              <w:rPr>
                <w:sz w:val="19"/>
                <w:szCs w:val="19"/>
                <w:color w:val="auto"/>
              </w:rPr>
            </w:pPr>
          </w:p>
        </w:tc>
        <w:tc>
          <w:tcPr>
            <w:tcW w:w="1380" w:type="dxa"/>
            <w:vAlign w:val="bottom"/>
            <w:tcBorders>
              <w:right w:val="single" w:sz="8" w:color="134A9C"/>
            </w:tcBorders>
          </w:tcPr>
          <w:p>
            <w:pPr>
              <w:jc w:val="right"/>
              <w:ind w:right="208"/>
              <w:spacing w:after="0"/>
              <w:rPr>
                <w:sz w:val="20"/>
                <w:szCs w:val="20"/>
                <w:color w:val="auto"/>
              </w:rPr>
            </w:pPr>
            <w:r>
              <w:rPr>
                <w:rFonts w:ascii="Arial" w:cs="Arial" w:eastAsia="Arial" w:hAnsi="Arial"/>
                <w:sz w:val="14"/>
                <w:szCs w:val="14"/>
                <w:b w:val="1"/>
                <w:bCs w:val="1"/>
                <w:color w:val="auto"/>
              </w:rPr>
              <w:t>74%</w:t>
            </w:r>
          </w:p>
        </w:tc>
      </w:tr>
      <w:tr>
        <w:trPr>
          <w:trHeight w:val="39"/>
        </w:trPr>
        <w:tc>
          <w:tcPr>
            <w:tcW w:w="2300" w:type="dxa"/>
            <w:vAlign w:val="bottom"/>
            <w:tcBorders>
              <w:left w:val="single" w:sz="8" w:color="134A9C"/>
              <w:bottom w:val="single" w:sz="8" w:color="134A9C"/>
            </w:tcBorders>
          </w:tcPr>
          <w:p>
            <w:pPr>
              <w:spacing w:after="0"/>
              <w:rPr>
                <w:sz w:val="3"/>
                <w:szCs w:val="3"/>
                <w:color w:val="auto"/>
              </w:rPr>
            </w:pPr>
          </w:p>
        </w:tc>
        <w:tc>
          <w:tcPr>
            <w:tcW w:w="1400" w:type="dxa"/>
            <w:vAlign w:val="bottom"/>
            <w:tcBorders>
              <w:bottom w:val="single" w:sz="8" w:color="134A9C"/>
              <w:right w:val="single" w:sz="8" w:color="134A9C"/>
            </w:tcBorders>
          </w:tcPr>
          <w:p>
            <w:pPr>
              <w:spacing w:after="0"/>
              <w:rPr>
                <w:sz w:val="3"/>
                <w:szCs w:val="3"/>
                <w:color w:val="auto"/>
              </w:rPr>
            </w:pPr>
          </w:p>
        </w:tc>
        <w:tc>
          <w:tcPr>
            <w:tcW w:w="1480" w:type="dxa"/>
            <w:vAlign w:val="bottom"/>
            <w:tcBorders>
              <w:bottom w:val="single" w:sz="8" w:color="134A9C"/>
            </w:tcBorders>
          </w:tcPr>
          <w:p>
            <w:pPr>
              <w:spacing w:after="0"/>
              <w:rPr>
                <w:sz w:val="3"/>
                <w:szCs w:val="3"/>
                <w:color w:val="auto"/>
              </w:rPr>
            </w:pPr>
          </w:p>
        </w:tc>
        <w:tc>
          <w:tcPr>
            <w:tcW w:w="1680" w:type="dxa"/>
            <w:vAlign w:val="bottom"/>
            <w:tcBorders>
              <w:bottom w:val="single" w:sz="8" w:color="134A9C"/>
            </w:tcBorders>
          </w:tcPr>
          <w:p>
            <w:pPr>
              <w:spacing w:after="0"/>
              <w:rPr>
                <w:sz w:val="3"/>
                <w:szCs w:val="3"/>
                <w:color w:val="auto"/>
              </w:rPr>
            </w:pPr>
          </w:p>
        </w:tc>
        <w:tc>
          <w:tcPr>
            <w:tcW w:w="1520" w:type="dxa"/>
            <w:vAlign w:val="bottom"/>
            <w:tcBorders>
              <w:bottom w:val="single" w:sz="8" w:color="134A9C"/>
              <w:right w:val="single" w:sz="8" w:color="134A9C"/>
            </w:tcBorders>
          </w:tcPr>
          <w:p>
            <w:pPr>
              <w:spacing w:after="0"/>
              <w:rPr>
                <w:sz w:val="3"/>
                <w:szCs w:val="3"/>
                <w:color w:val="auto"/>
              </w:rPr>
            </w:pPr>
          </w:p>
        </w:tc>
        <w:tc>
          <w:tcPr>
            <w:tcW w:w="1680" w:type="dxa"/>
            <w:vAlign w:val="bottom"/>
            <w:tcBorders>
              <w:bottom w:val="single" w:sz="8" w:color="134A9C"/>
            </w:tcBorders>
          </w:tcPr>
          <w:p>
            <w:pPr>
              <w:spacing w:after="0"/>
              <w:rPr>
                <w:sz w:val="3"/>
                <w:szCs w:val="3"/>
                <w:color w:val="auto"/>
              </w:rPr>
            </w:pPr>
          </w:p>
        </w:tc>
        <w:tc>
          <w:tcPr>
            <w:tcW w:w="1380" w:type="dxa"/>
            <w:vAlign w:val="bottom"/>
            <w:tcBorders>
              <w:bottom w:val="single" w:sz="8" w:color="134A9C"/>
              <w:right w:val="single" w:sz="8" w:color="134A9C"/>
            </w:tcBorders>
          </w:tcPr>
          <w:p>
            <w:pPr>
              <w:spacing w:after="0"/>
              <w:rPr>
                <w:sz w:val="3"/>
                <w:szCs w:val="3"/>
                <w:color w:val="auto"/>
              </w:rPr>
            </w:pPr>
          </w:p>
        </w:tc>
      </w:tr>
    </w:tbl>
    <w:p>
      <w:pPr>
        <w:spacing w:after="0" w:line="5" w:lineRule="exact"/>
        <w:rPr>
          <w:sz w:val="20"/>
          <w:szCs w:val="20"/>
          <w:color w:val="auto"/>
        </w:rPr>
      </w:pPr>
    </w:p>
    <w:p>
      <w:pPr>
        <w:ind w:left="340" w:right="40" w:hanging="332"/>
        <w:spacing w:after="0" w:line="258"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Global Quality measures for 2014 included: Customer Enthusiasm Index (10% Weight - Payout 50%), Loyalty (2.75% Weight - Payout 50%), 12 Months-In-Service Warranty Frequency (6.125% Weight - Payout 150%), and Warranty &amp; Policy Expense (6.125% Weight - Payout 0%).</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Individual performance may also impact STIP awards and each executive received the STIP award specified below, reflecting both Company and individual performance.</w:t>
      </w:r>
    </w:p>
    <w:p>
      <w:pPr>
        <w:spacing w:after="0" w:line="305" w:lineRule="exact"/>
        <w:rPr>
          <w:sz w:val="20"/>
          <w:szCs w:val="20"/>
          <w:color w:val="auto"/>
        </w:rPr>
      </w:pPr>
    </w:p>
    <w:tbl>
      <w:tblPr>
        <w:tblLayout w:type="fixed"/>
        <w:tblInd w:w="190" w:type="dxa"/>
        <w:tblCellMar>
          <w:top w:w="0" w:type="dxa"/>
          <w:left w:w="0" w:type="dxa"/>
          <w:bottom w:w="0" w:type="dxa"/>
          <w:right w:w="0" w:type="dxa"/>
        </w:tblCellMar>
      </w:tblPr>
      <w:tr>
        <w:trPr>
          <w:trHeight w:val="189"/>
        </w:trPr>
        <w:tc>
          <w:tcPr>
            <w:tcW w:w="2680" w:type="dxa"/>
            <w:vAlign w:val="bottom"/>
            <w:tcBorders>
              <w:left w:val="single" w:sz="8" w:color="134A9C"/>
              <w:right w:val="single" w:sz="8" w:color="134A9C"/>
            </w:tcBorders>
            <w:shd w:val="clear" w:color="auto" w:fill="134A9C"/>
          </w:tcPr>
          <w:p>
            <w:pPr>
              <w:spacing w:after="0"/>
              <w:rPr>
                <w:sz w:val="16"/>
                <w:szCs w:val="16"/>
                <w:color w:val="auto"/>
              </w:rPr>
            </w:pPr>
          </w:p>
        </w:tc>
        <w:tc>
          <w:tcPr>
            <w:tcW w:w="1900" w:type="dxa"/>
            <w:vAlign w:val="bottom"/>
            <w:shd w:val="clear" w:color="auto" w:fill="134A9C"/>
          </w:tcPr>
          <w:p>
            <w:pPr>
              <w:spacing w:after="0"/>
              <w:rPr>
                <w:sz w:val="16"/>
                <w:szCs w:val="16"/>
                <w:color w:val="auto"/>
              </w:rPr>
            </w:pPr>
          </w:p>
        </w:tc>
        <w:tc>
          <w:tcPr>
            <w:tcW w:w="1540" w:type="dxa"/>
            <w:vAlign w:val="bottom"/>
            <w:tcBorders>
              <w:right w:val="single" w:sz="8" w:color="134A9C"/>
            </w:tcBorders>
            <w:shd w:val="clear" w:color="auto" w:fill="134A9C"/>
          </w:tcPr>
          <w:p>
            <w:pPr>
              <w:spacing w:after="0"/>
              <w:rPr>
                <w:sz w:val="16"/>
                <w:szCs w:val="16"/>
                <w:color w:val="auto"/>
              </w:rPr>
            </w:pPr>
          </w:p>
        </w:tc>
        <w:tc>
          <w:tcPr>
            <w:tcW w:w="15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Company</w:t>
            </w:r>
          </w:p>
        </w:tc>
        <w:tc>
          <w:tcPr>
            <w:tcW w:w="1660" w:type="dxa"/>
            <w:vAlign w:val="bottom"/>
            <w:tcBorders>
              <w:right w:val="single" w:sz="8" w:color="134A9C"/>
            </w:tcBorders>
            <w:shd w:val="clear" w:color="auto" w:fill="134A9C"/>
          </w:tcPr>
          <w:p>
            <w:pPr>
              <w:spacing w:after="0"/>
              <w:rPr>
                <w:sz w:val="16"/>
                <w:szCs w:val="16"/>
                <w:color w:val="auto"/>
              </w:rPr>
            </w:pPr>
          </w:p>
        </w:tc>
        <w:tc>
          <w:tcPr>
            <w:tcW w:w="1780" w:type="dxa"/>
            <w:vAlign w:val="bottom"/>
            <w:tcBorders>
              <w:right w:val="single" w:sz="8" w:color="134A9C"/>
            </w:tcBorders>
            <w:shd w:val="clear" w:color="auto" w:fill="134A9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80" w:type="dxa"/>
            <w:vAlign w:val="bottom"/>
            <w:tcBorders>
              <w:left w:val="single" w:sz="8" w:color="134A9C"/>
              <w:bottom w:val="single" w:sz="8" w:color="134A9C"/>
              <w:right w:val="single" w:sz="8" w:color="134A9C"/>
            </w:tcBorders>
            <w:shd w:val="clear" w:color="auto" w:fill="134A9C"/>
          </w:tcPr>
          <w:p>
            <w:pPr>
              <w:ind w:left="1140"/>
              <w:spacing w:after="0"/>
              <w:rPr>
                <w:sz w:val="20"/>
                <w:szCs w:val="20"/>
                <w:color w:val="auto"/>
              </w:rPr>
            </w:pPr>
            <w:r>
              <w:rPr>
                <w:rFonts w:ascii="Arial" w:cs="Arial" w:eastAsia="Arial" w:hAnsi="Arial"/>
                <w:sz w:val="14"/>
                <w:szCs w:val="14"/>
                <w:b w:val="1"/>
                <w:bCs w:val="1"/>
                <w:color w:val="FFFFFF"/>
              </w:rPr>
              <w:t>Name</w:t>
            </w:r>
          </w:p>
        </w:tc>
        <w:tc>
          <w:tcPr>
            <w:tcW w:w="1900" w:type="dxa"/>
            <w:vAlign w:val="bottom"/>
            <w:tcBorders>
              <w:bottom w:val="single" w:sz="8" w:color="134A9C"/>
            </w:tcBorders>
            <w:shd w:val="clear" w:color="auto" w:fill="134A9C"/>
          </w:tcPr>
          <w:p>
            <w:pPr>
              <w:jc w:val="right"/>
              <w:ind w:right="548"/>
              <w:spacing w:after="0"/>
              <w:rPr>
                <w:sz w:val="20"/>
                <w:szCs w:val="20"/>
                <w:color w:val="auto"/>
              </w:rPr>
            </w:pPr>
            <w:r>
              <w:rPr>
                <w:rFonts w:ascii="Arial" w:cs="Arial" w:eastAsia="Arial" w:hAnsi="Arial"/>
                <w:sz w:val="14"/>
                <w:szCs w:val="14"/>
                <w:b w:val="1"/>
                <w:bCs w:val="1"/>
                <w:color w:val="FFFFFF"/>
              </w:rPr>
              <w:t>Base Salary</w:t>
            </w:r>
          </w:p>
        </w:tc>
        <w:tc>
          <w:tcPr>
            <w:tcW w:w="1540" w:type="dxa"/>
            <w:vAlign w:val="bottom"/>
            <w:tcBorders>
              <w:bottom w:val="single" w:sz="8" w:color="134A9C"/>
              <w:right w:val="single" w:sz="8" w:color="134A9C"/>
            </w:tcBorders>
            <w:shd w:val="clear" w:color="auto" w:fill="134A9C"/>
          </w:tcPr>
          <w:p>
            <w:pPr>
              <w:jc w:val="right"/>
              <w:ind w:right="388"/>
              <w:spacing w:after="0"/>
              <w:rPr>
                <w:sz w:val="20"/>
                <w:szCs w:val="20"/>
                <w:color w:val="auto"/>
              </w:rPr>
            </w:pPr>
            <w:r>
              <w:rPr>
                <w:rFonts w:ascii="Arial" w:cs="Arial" w:eastAsia="Arial" w:hAnsi="Arial"/>
                <w:sz w:val="14"/>
                <w:szCs w:val="14"/>
                <w:b w:val="1"/>
                <w:bCs w:val="1"/>
                <w:color w:val="FFFFFF"/>
              </w:rPr>
              <w:t>STIP Target</w:t>
            </w:r>
          </w:p>
        </w:tc>
        <w:tc>
          <w:tcPr>
            <w:tcW w:w="154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Performance</w:t>
            </w:r>
          </w:p>
        </w:tc>
        <w:tc>
          <w:tcPr>
            <w:tcW w:w="166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Individual Performance</w:t>
            </w:r>
          </w:p>
        </w:tc>
        <w:tc>
          <w:tcPr>
            <w:tcW w:w="1780" w:type="dxa"/>
            <w:vAlign w:val="bottom"/>
            <w:tcBorders>
              <w:bottom w:val="single" w:sz="8" w:color="134A9C"/>
              <w:right w:val="single" w:sz="8" w:color="134A9C"/>
            </w:tcBorders>
            <w:shd w:val="clear" w:color="auto" w:fill="134A9C"/>
          </w:tcPr>
          <w:p>
            <w:pPr>
              <w:jc w:val="right"/>
              <w:ind w:right="308"/>
              <w:spacing w:after="0"/>
              <w:rPr>
                <w:sz w:val="20"/>
                <w:szCs w:val="20"/>
                <w:color w:val="auto"/>
              </w:rPr>
            </w:pPr>
            <w:r>
              <w:rPr>
                <w:rFonts w:ascii="Arial" w:cs="Arial" w:eastAsia="Arial" w:hAnsi="Arial"/>
                <w:sz w:val="14"/>
                <w:szCs w:val="14"/>
                <w:b w:val="1"/>
                <w:bCs w:val="1"/>
                <w:color w:val="FFFFFF"/>
              </w:rPr>
              <w:t>Final 2014 STIP</w:t>
            </w:r>
          </w:p>
        </w:tc>
        <w:tc>
          <w:tcPr>
            <w:tcW w:w="0" w:type="dxa"/>
            <w:vAlign w:val="bottom"/>
          </w:tcPr>
          <w:p>
            <w:pPr>
              <w:spacing w:after="0"/>
              <w:rPr>
                <w:sz w:val="1"/>
                <w:szCs w:val="1"/>
                <w:color w:val="auto"/>
              </w:rPr>
            </w:pPr>
          </w:p>
        </w:tc>
      </w:tr>
      <w:tr>
        <w:trPr>
          <w:trHeight w:val="204"/>
        </w:trPr>
        <w:tc>
          <w:tcPr>
            <w:tcW w:w="26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Mary T. Barra</w:t>
            </w:r>
          </w:p>
        </w:tc>
        <w:tc>
          <w:tcPr>
            <w:tcW w:w="1900" w:type="dxa"/>
            <w:vAlign w:val="bottom"/>
          </w:tcPr>
          <w:p>
            <w:pPr>
              <w:jc w:val="right"/>
              <w:ind w:right="228"/>
              <w:spacing w:after="0"/>
              <w:rPr>
                <w:sz w:val="20"/>
                <w:szCs w:val="20"/>
                <w:color w:val="auto"/>
              </w:rPr>
            </w:pPr>
            <w:r>
              <w:rPr>
                <w:rFonts w:ascii="Arial" w:cs="Arial" w:eastAsia="Arial" w:hAnsi="Arial"/>
                <w:sz w:val="14"/>
                <w:szCs w:val="14"/>
                <w:color w:val="auto"/>
              </w:rPr>
              <w:t>$ 1,600,000</w:t>
            </w:r>
          </w:p>
        </w:tc>
        <w:tc>
          <w:tcPr>
            <w:tcW w:w="1540" w:type="dxa"/>
            <w:vAlign w:val="bottom"/>
            <w:tcBorders>
              <w:right w:val="single" w:sz="8" w:color="134A9C"/>
            </w:tcBorders>
          </w:tcPr>
          <w:p>
            <w:pPr>
              <w:jc w:val="right"/>
              <w:ind w:right="108"/>
              <w:spacing w:after="0"/>
              <w:rPr>
                <w:sz w:val="20"/>
                <w:szCs w:val="20"/>
                <w:color w:val="auto"/>
              </w:rPr>
            </w:pPr>
            <w:r>
              <w:rPr>
                <w:rFonts w:ascii="Arial" w:cs="Arial" w:eastAsia="Arial" w:hAnsi="Arial"/>
                <w:sz w:val="14"/>
                <w:szCs w:val="14"/>
                <w:color w:val="auto"/>
              </w:rPr>
              <w:t>$ 2,800,000</w:t>
            </w:r>
          </w:p>
        </w:tc>
        <w:tc>
          <w:tcPr>
            <w:tcW w:w="154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w w:val="99"/>
              </w:rPr>
              <w:t>74%</w:t>
            </w:r>
          </w:p>
        </w:tc>
        <w:tc>
          <w:tcPr>
            <w:tcW w:w="1660" w:type="dxa"/>
            <w:vAlign w:val="bottom"/>
            <w:tcBorders>
              <w:right w:val="single" w:sz="8" w:color="134A9C"/>
            </w:tcBorders>
          </w:tcPr>
          <w:p>
            <w:pPr>
              <w:spacing w:after="0"/>
              <w:rPr>
                <w:sz w:val="17"/>
                <w:szCs w:val="17"/>
                <w:color w:val="auto"/>
              </w:rPr>
            </w:pPr>
          </w:p>
        </w:tc>
        <w:tc>
          <w:tcPr>
            <w:tcW w:w="1780" w:type="dxa"/>
            <w:vAlign w:val="bottom"/>
            <w:tcBorders>
              <w:right w:val="single" w:sz="8" w:color="134A9C"/>
            </w:tcBorders>
          </w:tcPr>
          <w:p>
            <w:pPr>
              <w:jc w:val="right"/>
              <w:ind w:right="128"/>
              <w:spacing w:after="0"/>
              <w:rPr>
                <w:sz w:val="20"/>
                <w:szCs w:val="20"/>
                <w:color w:val="auto"/>
              </w:rPr>
            </w:pPr>
            <w:r>
              <w:rPr>
                <w:rFonts w:ascii="Arial" w:cs="Arial" w:eastAsia="Arial" w:hAnsi="Arial"/>
                <w:sz w:val="14"/>
                <w:szCs w:val="14"/>
                <w:color w:val="auto"/>
              </w:rPr>
              <w:t>$ 2,072,000</w:t>
            </w:r>
          </w:p>
        </w:tc>
        <w:tc>
          <w:tcPr>
            <w:tcW w:w="0" w:type="dxa"/>
            <w:vAlign w:val="bottom"/>
          </w:tcPr>
          <w:p>
            <w:pPr>
              <w:spacing w:after="0"/>
              <w:rPr>
                <w:sz w:val="1"/>
                <w:szCs w:val="1"/>
                <w:color w:val="auto"/>
              </w:rPr>
            </w:pPr>
          </w:p>
        </w:tc>
      </w:tr>
      <w:tr>
        <w:trPr>
          <w:trHeight w:val="216"/>
        </w:trPr>
        <w:tc>
          <w:tcPr>
            <w:tcW w:w="26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Charles K. Stevens, III</w:t>
            </w:r>
          </w:p>
        </w:tc>
        <w:tc>
          <w:tcPr>
            <w:tcW w:w="1900" w:type="dxa"/>
            <w:vAlign w:val="bottom"/>
          </w:tcPr>
          <w:p>
            <w:pPr>
              <w:jc w:val="right"/>
              <w:ind w:right="228"/>
              <w:spacing w:after="0"/>
              <w:rPr>
                <w:sz w:val="20"/>
                <w:szCs w:val="20"/>
                <w:color w:val="auto"/>
              </w:rPr>
            </w:pPr>
            <w:r>
              <w:rPr>
                <w:rFonts w:ascii="Arial" w:cs="Arial" w:eastAsia="Arial" w:hAnsi="Arial"/>
                <w:sz w:val="14"/>
                <w:szCs w:val="14"/>
                <w:color w:val="auto"/>
              </w:rPr>
              <w:t>$ 700,000</w:t>
            </w:r>
          </w:p>
        </w:tc>
        <w:tc>
          <w:tcPr>
            <w:tcW w:w="1540" w:type="dxa"/>
            <w:vAlign w:val="bottom"/>
            <w:tcBorders>
              <w:right w:val="single" w:sz="8" w:color="134A9C"/>
            </w:tcBorders>
          </w:tcPr>
          <w:p>
            <w:pPr>
              <w:jc w:val="right"/>
              <w:ind w:right="108"/>
              <w:spacing w:after="0"/>
              <w:rPr>
                <w:sz w:val="20"/>
                <w:szCs w:val="20"/>
                <w:color w:val="auto"/>
              </w:rPr>
            </w:pPr>
            <w:r>
              <w:rPr>
                <w:rFonts w:ascii="Arial" w:cs="Arial" w:eastAsia="Arial" w:hAnsi="Arial"/>
                <w:sz w:val="14"/>
                <w:szCs w:val="14"/>
                <w:color w:val="auto"/>
              </w:rPr>
              <w:t>$ 875,000</w:t>
            </w:r>
          </w:p>
        </w:tc>
        <w:tc>
          <w:tcPr>
            <w:tcW w:w="154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w w:val="99"/>
              </w:rPr>
              <w:t>74%</w:t>
            </w:r>
          </w:p>
        </w:tc>
        <w:tc>
          <w:tcPr>
            <w:tcW w:w="1660" w:type="dxa"/>
            <w:vAlign w:val="bottom"/>
            <w:tcBorders>
              <w:right w:val="single" w:sz="8" w:color="134A9C"/>
            </w:tcBorders>
          </w:tcPr>
          <w:p>
            <w:pPr>
              <w:spacing w:after="0"/>
              <w:rPr>
                <w:sz w:val="18"/>
                <w:szCs w:val="18"/>
                <w:color w:val="auto"/>
              </w:rPr>
            </w:pPr>
          </w:p>
        </w:tc>
        <w:tc>
          <w:tcPr>
            <w:tcW w:w="1780" w:type="dxa"/>
            <w:vAlign w:val="bottom"/>
            <w:tcBorders>
              <w:right w:val="single" w:sz="8" w:color="134A9C"/>
            </w:tcBorders>
          </w:tcPr>
          <w:p>
            <w:pPr>
              <w:jc w:val="right"/>
              <w:ind w:right="128"/>
              <w:spacing w:after="0"/>
              <w:rPr>
                <w:sz w:val="20"/>
                <w:szCs w:val="20"/>
                <w:color w:val="auto"/>
              </w:rPr>
            </w:pPr>
            <w:r>
              <w:rPr>
                <w:rFonts w:ascii="Arial" w:cs="Arial" w:eastAsia="Arial" w:hAnsi="Arial"/>
                <w:sz w:val="14"/>
                <w:szCs w:val="14"/>
                <w:color w:val="auto"/>
              </w:rPr>
              <w:t>$ 647,500</w:t>
            </w:r>
          </w:p>
        </w:tc>
        <w:tc>
          <w:tcPr>
            <w:tcW w:w="0" w:type="dxa"/>
            <w:vAlign w:val="bottom"/>
          </w:tcPr>
          <w:p>
            <w:pPr>
              <w:spacing w:after="0"/>
              <w:rPr>
                <w:sz w:val="1"/>
                <w:szCs w:val="1"/>
                <w:color w:val="auto"/>
              </w:rPr>
            </w:pPr>
          </w:p>
        </w:tc>
      </w:tr>
      <w:tr>
        <w:trPr>
          <w:trHeight w:val="216"/>
        </w:trPr>
        <w:tc>
          <w:tcPr>
            <w:tcW w:w="26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Ammann</w:t>
            </w:r>
          </w:p>
        </w:tc>
        <w:tc>
          <w:tcPr>
            <w:tcW w:w="1900" w:type="dxa"/>
            <w:vAlign w:val="bottom"/>
          </w:tcPr>
          <w:p>
            <w:pPr>
              <w:jc w:val="right"/>
              <w:ind w:right="228"/>
              <w:spacing w:after="0"/>
              <w:rPr>
                <w:sz w:val="20"/>
                <w:szCs w:val="20"/>
                <w:color w:val="auto"/>
              </w:rPr>
            </w:pPr>
            <w:r>
              <w:rPr>
                <w:rFonts w:ascii="Arial" w:cs="Arial" w:eastAsia="Arial" w:hAnsi="Arial"/>
                <w:sz w:val="14"/>
                <w:szCs w:val="14"/>
                <w:color w:val="auto"/>
              </w:rPr>
              <w:t>$ 1,000,000</w:t>
            </w:r>
          </w:p>
        </w:tc>
        <w:tc>
          <w:tcPr>
            <w:tcW w:w="1540" w:type="dxa"/>
            <w:vAlign w:val="bottom"/>
            <w:tcBorders>
              <w:right w:val="single" w:sz="8" w:color="134A9C"/>
            </w:tcBorders>
          </w:tcPr>
          <w:p>
            <w:pPr>
              <w:jc w:val="right"/>
              <w:ind w:right="108"/>
              <w:spacing w:after="0"/>
              <w:rPr>
                <w:sz w:val="20"/>
                <w:szCs w:val="20"/>
                <w:color w:val="auto"/>
              </w:rPr>
            </w:pPr>
            <w:r>
              <w:rPr>
                <w:rFonts w:ascii="Arial" w:cs="Arial" w:eastAsia="Arial" w:hAnsi="Arial"/>
                <w:sz w:val="14"/>
                <w:szCs w:val="14"/>
                <w:color w:val="auto"/>
              </w:rPr>
              <w:t>$ 1,250,000</w:t>
            </w:r>
          </w:p>
        </w:tc>
        <w:tc>
          <w:tcPr>
            <w:tcW w:w="154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w w:val="99"/>
              </w:rPr>
              <w:t>74%</w:t>
            </w:r>
          </w:p>
        </w:tc>
        <w:tc>
          <w:tcPr>
            <w:tcW w:w="1660" w:type="dxa"/>
            <w:vAlign w:val="bottom"/>
            <w:tcBorders>
              <w:right w:val="single" w:sz="8" w:color="134A9C"/>
            </w:tcBorders>
            <w:vMerge w:val="restart"/>
          </w:tcPr>
          <w:p>
            <w:pPr>
              <w:jc w:val="center"/>
              <w:spacing w:after="0"/>
              <w:rPr>
                <w:sz w:val="20"/>
                <w:szCs w:val="20"/>
                <w:color w:val="auto"/>
              </w:rPr>
            </w:pPr>
            <w:r>
              <w:rPr>
                <w:rFonts w:ascii="Arial" w:cs="Arial" w:eastAsia="Arial" w:hAnsi="Arial"/>
                <w:sz w:val="14"/>
                <w:szCs w:val="14"/>
                <w:color w:val="auto"/>
              </w:rPr>
              <w:t>No Adjustments for</w:t>
            </w:r>
          </w:p>
        </w:tc>
        <w:tc>
          <w:tcPr>
            <w:tcW w:w="1780" w:type="dxa"/>
            <w:vAlign w:val="bottom"/>
            <w:tcBorders>
              <w:right w:val="single" w:sz="8" w:color="134A9C"/>
            </w:tcBorders>
          </w:tcPr>
          <w:p>
            <w:pPr>
              <w:jc w:val="right"/>
              <w:ind w:right="128"/>
              <w:spacing w:after="0"/>
              <w:rPr>
                <w:sz w:val="20"/>
                <w:szCs w:val="20"/>
                <w:color w:val="auto"/>
              </w:rPr>
            </w:pPr>
            <w:r>
              <w:rPr>
                <w:rFonts w:ascii="Arial" w:cs="Arial" w:eastAsia="Arial" w:hAnsi="Arial"/>
                <w:sz w:val="14"/>
                <w:szCs w:val="14"/>
                <w:color w:val="auto"/>
              </w:rPr>
              <w:t>$ 925,000</w:t>
            </w:r>
          </w:p>
        </w:tc>
        <w:tc>
          <w:tcPr>
            <w:tcW w:w="0" w:type="dxa"/>
            <w:vAlign w:val="bottom"/>
          </w:tcPr>
          <w:p>
            <w:pPr>
              <w:spacing w:after="0"/>
              <w:rPr>
                <w:sz w:val="1"/>
                <w:szCs w:val="1"/>
                <w:color w:val="auto"/>
              </w:rPr>
            </w:pPr>
          </w:p>
        </w:tc>
      </w:tr>
      <w:tr>
        <w:trPr>
          <w:trHeight w:val="44"/>
        </w:trPr>
        <w:tc>
          <w:tcPr>
            <w:tcW w:w="2680" w:type="dxa"/>
            <w:vAlign w:val="bottom"/>
            <w:tcBorders>
              <w:left w:val="single" w:sz="8" w:color="134A9C"/>
              <w:right w:val="single" w:sz="8" w:color="134A9C"/>
            </w:tcBorders>
          </w:tcPr>
          <w:p>
            <w:pPr>
              <w:spacing w:after="0"/>
              <w:rPr>
                <w:sz w:val="3"/>
                <w:szCs w:val="3"/>
                <w:color w:val="auto"/>
              </w:rPr>
            </w:pPr>
          </w:p>
        </w:tc>
        <w:tc>
          <w:tcPr>
            <w:tcW w:w="1900" w:type="dxa"/>
            <w:vAlign w:val="bottom"/>
          </w:tcPr>
          <w:p>
            <w:pPr>
              <w:spacing w:after="0"/>
              <w:rPr>
                <w:sz w:val="3"/>
                <w:szCs w:val="3"/>
                <w:color w:val="auto"/>
              </w:rPr>
            </w:pPr>
          </w:p>
        </w:tc>
        <w:tc>
          <w:tcPr>
            <w:tcW w:w="1540" w:type="dxa"/>
            <w:vAlign w:val="bottom"/>
            <w:tcBorders>
              <w:right w:val="single" w:sz="8" w:color="134A9C"/>
            </w:tcBorders>
          </w:tcPr>
          <w:p>
            <w:pPr>
              <w:spacing w:after="0"/>
              <w:rPr>
                <w:sz w:val="3"/>
                <w:szCs w:val="3"/>
                <w:color w:val="auto"/>
              </w:rPr>
            </w:pPr>
          </w:p>
        </w:tc>
        <w:tc>
          <w:tcPr>
            <w:tcW w:w="1540" w:type="dxa"/>
            <w:vAlign w:val="bottom"/>
            <w:tcBorders>
              <w:right w:val="single" w:sz="8" w:color="134A9C"/>
            </w:tcBorders>
          </w:tcPr>
          <w:p>
            <w:pPr>
              <w:spacing w:after="0"/>
              <w:rPr>
                <w:sz w:val="3"/>
                <w:szCs w:val="3"/>
                <w:color w:val="auto"/>
              </w:rPr>
            </w:pPr>
          </w:p>
        </w:tc>
        <w:tc>
          <w:tcPr>
            <w:tcW w:w="1660" w:type="dxa"/>
            <w:vAlign w:val="bottom"/>
            <w:tcBorders>
              <w:right w:val="single" w:sz="8" w:color="134A9C"/>
            </w:tcBorders>
            <w:vMerge w:val="continue"/>
          </w:tcPr>
          <w:p>
            <w:pPr>
              <w:spacing w:after="0"/>
              <w:rPr>
                <w:sz w:val="3"/>
                <w:szCs w:val="3"/>
                <w:color w:val="auto"/>
              </w:rPr>
            </w:pPr>
          </w:p>
        </w:tc>
        <w:tc>
          <w:tcPr>
            <w:tcW w:w="1780" w:type="dxa"/>
            <w:vAlign w:val="bottom"/>
            <w:tcBorders>
              <w:right w:val="single" w:sz="8" w:color="134A9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6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Mark L. Reuss</w:t>
            </w:r>
          </w:p>
        </w:tc>
        <w:tc>
          <w:tcPr>
            <w:tcW w:w="1900" w:type="dxa"/>
            <w:vAlign w:val="bottom"/>
          </w:tcPr>
          <w:p>
            <w:pPr>
              <w:jc w:val="right"/>
              <w:ind w:right="228"/>
              <w:spacing w:after="0"/>
              <w:rPr>
                <w:sz w:val="20"/>
                <w:szCs w:val="20"/>
                <w:color w:val="auto"/>
              </w:rPr>
            </w:pPr>
            <w:r>
              <w:rPr>
                <w:rFonts w:ascii="Arial" w:cs="Arial" w:eastAsia="Arial" w:hAnsi="Arial"/>
                <w:sz w:val="14"/>
                <w:szCs w:val="14"/>
                <w:color w:val="auto"/>
              </w:rPr>
              <w:t>$ 850,000</w:t>
            </w:r>
          </w:p>
        </w:tc>
        <w:tc>
          <w:tcPr>
            <w:tcW w:w="1540" w:type="dxa"/>
            <w:vAlign w:val="bottom"/>
            <w:tcBorders>
              <w:right w:val="single" w:sz="8" w:color="134A9C"/>
            </w:tcBorders>
          </w:tcPr>
          <w:p>
            <w:pPr>
              <w:jc w:val="right"/>
              <w:ind w:right="108"/>
              <w:spacing w:after="0"/>
              <w:rPr>
                <w:sz w:val="20"/>
                <w:szCs w:val="20"/>
                <w:color w:val="auto"/>
              </w:rPr>
            </w:pPr>
            <w:r>
              <w:rPr>
                <w:rFonts w:ascii="Arial" w:cs="Arial" w:eastAsia="Arial" w:hAnsi="Arial"/>
                <w:sz w:val="14"/>
                <w:szCs w:val="14"/>
                <w:color w:val="auto"/>
              </w:rPr>
              <w:t>$ 1,062,000</w:t>
            </w:r>
          </w:p>
        </w:tc>
        <w:tc>
          <w:tcPr>
            <w:tcW w:w="154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w w:val="99"/>
              </w:rPr>
              <w:t>74%</w:t>
            </w:r>
          </w:p>
        </w:tc>
        <w:tc>
          <w:tcPr>
            <w:tcW w:w="166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Individual Performance</w:t>
            </w:r>
          </w:p>
        </w:tc>
        <w:tc>
          <w:tcPr>
            <w:tcW w:w="1780" w:type="dxa"/>
            <w:vAlign w:val="bottom"/>
            <w:tcBorders>
              <w:right w:val="single" w:sz="8" w:color="134A9C"/>
            </w:tcBorders>
          </w:tcPr>
          <w:p>
            <w:pPr>
              <w:jc w:val="right"/>
              <w:ind w:right="128"/>
              <w:spacing w:after="0"/>
              <w:rPr>
                <w:sz w:val="20"/>
                <w:szCs w:val="20"/>
                <w:color w:val="auto"/>
              </w:rPr>
            </w:pPr>
            <w:r>
              <w:rPr>
                <w:rFonts w:ascii="Arial" w:cs="Arial" w:eastAsia="Arial" w:hAnsi="Arial"/>
                <w:sz w:val="14"/>
                <w:szCs w:val="14"/>
                <w:color w:val="auto"/>
              </w:rPr>
              <w:t>$ 786,300</w:t>
            </w:r>
          </w:p>
        </w:tc>
        <w:tc>
          <w:tcPr>
            <w:tcW w:w="0" w:type="dxa"/>
            <w:vAlign w:val="bottom"/>
          </w:tcPr>
          <w:p>
            <w:pPr>
              <w:spacing w:after="0"/>
              <w:rPr>
                <w:sz w:val="1"/>
                <w:szCs w:val="1"/>
                <w:color w:val="auto"/>
              </w:rPr>
            </w:pPr>
          </w:p>
        </w:tc>
      </w:tr>
      <w:tr>
        <w:trPr>
          <w:trHeight w:val="172"/>
        </w:trPr>
        <w:tc>
          <w:tcPr>
            <w:tcW w:w="2680" w:type="dxa"/>
            <w:vAlign w:val="bottom"/>
            <w:tcBorders>
              <w:left w:val="single" w:sz="8" w:color="134A9C"/>
              <w:right w:val="single" w:sz="8" w:color="134A9C"/>
            </w:tcBorders>
            <w:vMerge w:val="restart"/>
          </w:tcPr>
          <w:p>
            <w:pPr>
              <w:ind w:left="40"/>
              <w:spacing w:after="0"/>
              <w:rPr>
                <w:sz w:val="20"/>
                <w:szCs w:val="20"/>
                <w:color w:val="auto"/>
              </w:rPr>
            </w:pPr>
            <w:r>
              <w:rPr>
                <w:rFonts w:ascii="Arial" w:cs="Arial" w:eastAsia="Arial" w:hAnsi="Arial"/>
                <w:sz w:val="14"/>
                <w:szCs w:val="14"/>
                <w:color w:val="auto"/>
              </w:rPr>
              <w:t>Michael P. Millikin</w:t>
            </w:r>
          </w:p>
        </w:tc>
        <w:tc>
          <w:tcPr>
            <w:tcW w:w="1900" w:type="dxa"/>
            <w:vAlign w:val="bottom"/>
            <w:vMerge w:val="restart"/>
          </w:tcPr>
          <w:p>
            <w:pPr>
              <w:jc w:val="right"/>
              <w:ind w:right="228"/>
              <w:spacing w:after="0"/>
              <w:rPr>
                <w:sz w:val="20"/>
                <w:szCs w:val="20"/>
                <w:color w:val="auto"/>
              </w:rPr>
            </w:pPr>
            <w:r>
              <w:rPr>
                <w:rFonts w:ascii="Arial" w:cs="Arial" w:eastAsia="Arial" w:hAnsi="Arial"/>
                <w:sz w:val="14"/>
                <w:szCs w:val="14"/>
                <w:color w:val="auto"/>
              </w:rPr>
              <w:t>$ 700,000</w:t>
            </w:r>
          </w:p>
        </w:tc>
        <w:tc>
          <w:tcPr>
            <w:tcW w:w="1540" w:type="dxa"/>
            <w:vAlign w:val="bottom"/>
            <w:tcBorders>
              <w:right w:val="single" w:sz="8" w:color="134A9C"/>
            </w:tcBorders>
            <w:vMerge w:val="restart"/>
          </w:tcPr>
          <w:p>
            <w:pPr>
              <w:jc w:val="right"/>
              <w:ind w:right="108"/>
              <w:spacing w:after="0"/>
              <w:rPr>
                <w:sz w:val="20"/>
                <w:szCs w:val="20"/>
                <w:color w:val="auto"/>
              </w:rPr>
            </w:pPr>
            <w:r>
              <w:rPr>
                <w:rFonts w:ascii="Arial" w:cs="Arial" w:eastAsia="Arial" w:hAnsi="Arial"/>
                <w:sz w:val="14"/>
                <w:szCs w:val="14"/>
                <w:color w:val="auto"/>
              </w:rPr>
              <w:t>$ 875,000</w:t>
            </w:r>
          </w:p>
        </w:tc>
        <w:tc>
          <w:tcPr>
            <w:tcW w:w="1540" w:type="dxa"/>
            <w:vAlign w:val="bottom"/>
            <w:tcBorders>
              <w:right w:val="single" w:sz="8" w:color="134A9C"/>
            </w:tcBorders>
            <w:vMerge w:val="restart"/>
          </w:tcPr>
          <w:p>
            <w:pPr>
              <w:jc w:val="center"/>
              <w:spacing w:after="0"/>
              <w:rPr>
                <w:sz w:val="20"/>
                <w:szCs w:val="20"/>
                <w:color w:val="auto"/>
              </w:rPr>
            </w:pPr>
            <w:r>
              <w:rPr>
                <w:rFonts w:ascii="Arial" w:cs="Arial" w:eastAsia="Arial" w:hAnsi="Arial"/>
                <w:sz w:val="14"/>
                <w:szCs w:val="14"/>
                <w:color w:val="auto"/>
                <w:w w:val="99"/>
              </w:rPr>
              <w:t>74%</w:t>
            </w:r>
          </w:p>
        </w:tc>
        <w:tc>
          <w:tcPr>
            <w:tcW w:w="166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in 2014</w:t>
            </w:r>
          </w:p>
        </w:tc>
        <w:tc>
          <w:tcPr>
            <w:tcW w:w="1780" w:type="dxa"/>
            <w:vAlign w:val="bottom"/>
            <w:tcBorders>
              <w:right w:val="single" w:sz="8" w:color="134A9C"/>
            </w:tcBorders>
            <w:vMerge w:val="restart"/>
          </w:tcPr>
          <w:p>
            <w:pPr>
              <w:jc w:val="right"/>
              <w:ind w:right="128"/>
              <w:spacing w:after="0"/>
              <w:rPr>
                <w:sz w:val="20"/>
                <w:szCs w:val="20"/>
                <w:color w:val="auto"/>
              </w:rPr>
            </w:pPr>
            <w:r>
              <w:rPr>
                <w:rFonts w:ascii="Arial" w:cs="Arial" w:eastAsia="Arial" w:hAnsi="Arial"/>
                <w:sz w:val="14"/>
                <w:szCs w:val="14"/>
                <w:color w:val="auto"/>
              </w:rPr>
              <w:t>$ 647,500</w:t>
            </w:r>
          </w:p>
        </w:tc>
        <w:tc>
          <w:tcPr>
            <w:tcW w:w="0" w:type="dxa"/>
            <w:vAlign w:val="bottom"/>
          </w:tcPr>
          <w:p>
            <w:pPr>
              <w:spacing w:after="0"/>
              <w:rPr>
                <w:sz w:val="1"/>
                <w:szCs w:val="1"/>
                <w:color w:val="auto"/>
              </w:rPr>
            </w:pPr>
          </w:p>
        </w:tc>
      </w:tr>
      <w:tr>
        <w:trPr>
          <w:trHeight w:val="54"/>
        </w:trPr>
        <w:tc>
          <w:tcPr>
            <w:tcW w:w="2680" w:type="dxa"/>
            <w:vAlign w:val="bottom"/>
            <w:tcBorders>
              <w:left w:val="single" w:sz="8" w:color="134A9C"/>
              <w:right w:val="single" w:sz="8" w:color="134A9C"/>
            </w:tcBorders>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1540" w:type="dxa"/>
            <w:vAlign w:val="bottom"/>
            <w:tcBorders>
              <w:right w:val="single" w:sz="8" w:color="134A9C"/>
            </w:tcBorders>
            <w:vMerge w:val="continue"/>
          </w:tcPr>
          <w:p>
            <w:pPr>
              <w:spacing w:after="0"/>
              <w:rPr>
                <w:sz w:val="4"/>
                <w:szCs w:val="4"/>
                <w:color w:val="auto"/>
              </w:rPr>
            </w:pPr>
          </w:p>
        </w:tc>
        <w:tc>
          <w:tcPr>
            <w:tcW w:w="1540" w:type="dxa"/>
            <w:vAlign w:val="bottom"/>
            <w:tcBorders>
              <w:right w:val="single" w:sz="8" w:color="134A9C"/>
            </w:tcBorders>
            <w:vMerge w:val="continue"/>
          </w:tcPr>
          <w:p>
            <w:pPr>
              <w:spacing w:after="0"/>
              <w:rPr>
                <w:sz w:val="4"/>
                <w:szCs w:val="4"/>
                <w:color w:val="auto"/>
              </w:rPr>
            </w:pPr>
          </w:p>
        </w:tc>
        <w:tc>
          <w:tcPr>
            <w:tcW w:w="1660" w:type="dxa"/>
            <w:vAlign w:val="bottom"/>
            <w:tcBorders>
              <w:right w:val="single" w:sz="8" w:color="134A9C"/>
            </w:tcBorders>
          </w:tcPr>
          <w:p>
            <w:pPr>
              <w:spacing w:after="0"/>
              <w:rPr>
                <w:sz w:val="4"/>
                <w:szCs w:val="4"/>
                <w:color w:val="auto"/>
              </w:rPr>
            </w:pPr>
          </w:p>
        </w:tc>
        <w:tc>
          <w:tcPr>
            <w:tcW w:w="1780" w:type="dxa"/>
            <w:vAlign w:val="bottom"/>
            <w:tcBorders>
              <w:right w:val="single" w:sz="8" w:color="134A9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6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Karl-Thomas Neumann</w:t>
            </w:r>
            <w:r>
              <w:rPr>
                <w:rFonts w:ascii="Arial" w:cs="Arial" w:eastAsia="Arial" w:hAnsi="Arial"/>
                <w:sz w:val="17"/>
                <w:szCs w:val="17"/>
                <w:color w:val="auto"/>
                <w:vertAlign w:val="superscript"/>
              </w:rPr>
              <w:t>(1)</w:t>
            </w:r>
          </w:p>
        </w:tc>
        <w:tc>
          <w:tcPr>
            <w:tcW w:w="1900" w:type="dxa"/>
            <w:vAlign w:val="bottom"/>
          </w:tcPr>
          <w:p>
            <w:pPr>
              <w:jc w:val="right"/>
              <w:ind w:right="228"/>
              <w:spacing w:after="0"/>
              <w:rPr>
                <w:sz w:val="20"/>
                <w:szCs w:val="20"/>
                <w:color w:val="auto"/>
              </w:rPr>
            </w:pPr>
            <w:r>
              <w:rPr>
                <w:rFonts w:ascii="Arial" w:cs="Arial" w:eastAsia="Arial" w:hAnsi="Arial"/>
                <w:sz w:val="14"/>
                <w:szCs w:val="14"/>
                <w:color w:val="auto"/>
              </w:rPr>
              <w:t>€ 618,564</w:t>
            </w:r>
          </w:p>
        </w:tc>
        <w:tc>
          <w:tcPr>
            <w:tcW w:w="1540" w:type="dxa"/>
            <w:vAlign w:val="bottom"/>
            <w:tcBorders>
              <w:right w:val="single" w:sz="8" w:color="134A9C"/>
            </w:tcBorders>
          </w:tcPr>
          <w:p>
            <w:pPr>
              <w:jc w:val="right"/>
              <w:ind w:right="108"/>
              <w:spacing w:after="0"/>
              <w:rPr>
                <w:sz w:val="20"/>
                <w:szCs w:val="20"/>
                <w:color w:val="auto"/>
              </w:rPr>
            </w:pPr>
            <w:r>
              <w:rPr>
                <w:rFonts w:ascii="Arial" w:cs="Arial" w:eastAsia="Arial" w:hAnsi="Arial"/>
                <w:sz w:val="14"/>
                <w:szCs w:val="14"/>
                <w:color w:val="auto"/>
              </w:rPr>
              <w:t>€ 773,200</w:t>
            </w:r>
          </w:p>
        </w:tc>
        <w:tc>
          <w:tcPr>
            <w:tcW w:w="154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w w:val="99"/>
              </w:rPr>
              <w:t>74%</w:t>
            </w:r>
          </w:p>
        </w:tc>
        <w:tc>
          <w:tcPr>
            <w:tcW w:w="1660" w:type="dxa"/>
            <w:vAlign w:val="bottom"/>
            <w:tcBorders>
              <w:right w:val="single" w:sz="8" w:color="134A9C"/>
            </w:tcBorders>
          </w:tcPr>
          <w:p>
            <w:pPr>
              <w:spacing w:after="0"/>
              <w:rPr>
                <w:sz w:val="22"/>
                <w:szCs w:val="22"/>
                <w:color w:val="auto"/>
              </w:rPr>
            </w:pPr>
          </w:p>
        </w:tc>
        <w:tc>
          <w:tcPr>
            <w:tcW w:w="1780" w:type="dxa"/>
            <w:vAlign w:val="bottom"/>
            <w:tcBorders>
              <w:right w:val="single" w:sz="8" w:color="134A9C"/>
            </w:tcBorders>
          </w:tcPr>
          <w:p>
            <w:pPr>
              <w:jc w:val="right"/>
              <w:ind w:right="128"/>
              <w:spacing w:after="0"/>
              <w:rPr>
                <w:sz w:val="20"/>
                <w:szCs w:val="20"/>
                <w:color w:val="auto"/>
              </w:rPr>
            </w:pPr>
            <w:r>
              <w:rPr>
                <w:rFonts w:ascii="Arial" w:cs="Arial" w:eastAsia="Arial" w:hAnsi="Arial"/>
                <w:sz w:val="14"/>
                <w:szCs w:val="14"/>
                <w:color w:val="auto"/>
              </w:rPr>
              <w:t>€ 572,200</w:t>
            </w:r>
          </w:p>
        </w:tc>
        <w:tc>
          <w:tcPr>
            <w:tcW w:w="0" w:type="dxa"/>
            <w:vAlign w:val="bottom"/>
          </w:tcPr>
          <w:p>
            <w:pPr>
              <w:spacing w:after="0"/>
              <w:rPr>
                <w:sz w:val="1"/>
                <w:szCs w:val="1"/>
                <w:color w:val="auto"/>
              </w:rPr>
            </w:pPr>
          </w:p>
        </w:tc>
      </w:tr>
      <w:tr>
        <w:trPr>
          <w:trHeight w:val="189"/>
        </w:trPr>
        <w:tc>
          <w:tcPr>
            <w:tcW w:w="2680" w:type="dxa"/>
            <w:vAlign w:val="bottom"/>
            <w:tcBorders>
              <w:left w:val="single" w:sz="8" w:color="134A9C"/>
              <w:bottom w:val="single" w:sz="8" w:color="134A9C"/>
              <w:right w:val="single" w:sz="8" w:color="134A9C"/>
            </w:tcBorders>
          </w:tcPr>
          <w:p>
            <w:pPr>
              <w:ind w:left="40"/>
              <w:spacing w:after="0" w:line="189" w:lineRule="exact"/>
              <w:rPr>
                <w:sz w:val="20"/>
                <w:szCs w:val="20"/>
                <w:color w:val="auto"/>
              </w:rPr>
            </w:pPr>
            <w:r>
              <w:rPr>
                <w:rFonts w:ascii="Arial" w:cs="Arial" w:eastAsia="Arial" w:hAnsi="Arial"/>
                <w:sz w:val="14"/>
                <w:szCs w:val="14"/>
                <w:color w:val="auto"/>
              </w:rPr>
              <w:t>Daniel F. Akerson</w:t>
            </w:r>
            <w:r>
              <w:rPr>
                <w:rFonts w:ascii="Arial" w:cs="Arial" w:eastAsia="Arial" w:hAnsi="Arial"/>
                <w:sz w:val="17"/>
                <w:szCs w:val="17"/>
                <w:color w:val="auto"/>
                <w:vertAlign w:val="superscript"/>
              </w:rPr>
              <w:t>(2)</w:t>
            </w:r>
          </w:p>
        </w:tc>
        <w:tc>
          <w:tcPr>
            <w:tcW w:w="1900" w:type="dxa"/>
            <w:vAlign w:val="bottom"/>
            <w:tcBorders>
              <w:bottom w:val="single" w:sz="8" w:color="134A9C"/>
            </w:tcBorders>
          </w:tcPr>
          <w:p>
            <w:pPr>
              <w:jc w:val="right"/>
              <w:ind w:right="228"/>
              <w:spacing w:after="0"/>
              <w:rPr>
                <w:sz w:val="20"/>
                <w:szCs w:val="20"/>
                <w:color w:val="auto"/>
              </w:rPr>
            </w:pPr>
            <w:r>
              <w:rPr>
                <w:rFonts w:ascii="Arial" w:cs="Arial" w:eastAsia="Arial" w:hAnsi="Arial"/>
                <w:sz w:val="14"/>
                <w:szCs w:val="14"/>
                <w:color w:val="auto"/>
              </w:rPr>
              <w:t>$ 1,700,000</w:t>
            </w:r>
          </w:p>
        </w:tc>
        <w:tc>
          <w:tcPr>
            <w:tcW w:w="1540" w:type="dxa"/>
            <w:vAlign w:val="bottom"/>
            <w:tcBorders>
              <w:bottom w:val="single" w:sz="8" w:color="134A9C"/>
              <w:right w:val="single" w:sz="8" w:color="134A9C"/>
            </w:tcBorders>
          </w:tcPr>
          <w:p>
            <w:pPr>
              <w:jc w:val="right"/>
              <w:ind w:right="108"/>
              <w:spacing w:after="0"/>
              <w:rPr>
                <w:sz w:val="20"/>
                <w:szCs w:val="20"/>
                <w:color w:val="auto"/>
              </w:rPr>
            </w:pPr>
            <w:r>
              <w:rPr>
                <w:rFonts w:ascii="Arial" w:cs="Arial" w:eastAsia="Arial" w:hAnsi="Arial"/>
                <w:sz w:val="14"/>
                <w:szCs w:val="14"/>
                <w:color w:val="auto"/>
              </w:rPr>
              <w:t>$ 2,975,000</w:t>
            </w:r>
          </w:p>
        </w:tc>
        <w:tc>
          <w:tcPr>
            <w:tcW w:w="154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w w:val="99"/>
              </w:rPr>
              <w:t>74%</w:t>
            </w:r>
          </w:p>
        </w:tc>
        <w:tc>
          <w:tcPr>
            <w:tcW w:w="1660" w:type="dxa"/>
            <w:vAlign w:val="bottom"/>
            <w:tcBorders>
              <w:bottom w:val="single" w:sz="8" w:color="134A9C"/>
              <w:right w:val="single" w:sz="8" w:color="134A9C"/>
            </w:tcBorders>
          </w:tcPr>
          <w:p>
            <w:pPr>
              <w:spacing w:after="0"/>
              <w:rPr>
                <w:sz w:val="16"/>
                <w:szCs w:val="16"/>
                <w:color w:val="auto"/>
              </w:rPr>
            </w:pPr>
          </w:p>
        </w:tc>
        <w:tc>
          <w:tcPr>
            <w:tcW w:w="1780" w:type="dxa"/>
            <w:vAlign w:val="bottom"/>
            <w:tcBorders>
              <w:bottom w:val="single" w:sz="8" w:color="134A9C"/>
              <w:right w:val="single" w:sz="8" w:color="134A9C"/>
            </w:tcBorders>
          </w:tcPr>
          <w:p>
            <w:pPr>
              <w:jc w:val="right"/>
              <w:ind w:right="128"/>
              <w:spacing w:after="0"/>
              <w:rPr>
                <w:sz w:val="20"/>
                <w:szCs w:val="20"/>
                <w:color w:val="auto"/>
              </w:rPr>
            </w:pPr>
            <w:r>
              <w:rPr>
                <w:rFonts w:ascii="Arial" w:cs="Arial" w:eastAsia="Arial" w:hAnsi="Arial"/>
                <w:sz w:val="14"/>
                <w:szCs w:val="14"/>
                <w:color w:val="auto"/>
              </w:rPr>
              <w:t>$ 1,100,800</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20" w:hanging="251"/>
        <w:spacing w:after="0" w:line="241"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Dr. Neumann receives his base salary and STIP in Euros. Using the 2014 average exchange rate of €1 = $1.3291 his base salary was $822,133 and his STIP Target was $1,027,660. The final STIP award was $640,583 converted on date of payment using an exchange rate of €1 = $1.1195.</w:t>
      </w:r>
    </w:p>
    <w:p>
      <w:pPr>
        <w:ind w:left="340" w:hanging="251"/>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Akerson received a STIP award based on six months of service with the Company in 2014.</w:t>
      </w:r>
    </w:p>
    <w:p>
      <w:pPr>
        <w:spacing w:after="0" w:line="11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would have achieved its financial goals on the core operating business despite headwinds in both Russia and South America absent the impact of significant and irregular recall activity in 2014. As such, Ms. Barra received approval from the Compensation Committee for an adjustment to short-term incentive compensation for executives. Ms. Barra neither sought nor did the Compensation Committee recommend an adjustment to the STIP awards for GM’s NEOs.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2014 - 2016 Long-Term Incentive Plan</w:t>
      </w:r>
    </w:p>
    <w:p>
      <w:pPr>
        <w:spacing w:after="0" w:line="14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 discussed above, stockholders approved the LTIP at the 2014 annual meeting of stockholders. Shortly following that meeting, each NEO was granted an equity award for 2014 under the LTIP. In 2014, each of our NEOs, with the exception of Mr. Akerson, received an equity award of which 75 percent of the value was in PSUs and 25 percent of the value was in RSUs. Both the PSUs and RSUs granted to NEOs under the LTIP had a grant date of June 11, 2014. PSU awards can be earned at a level between 0 and 200 percent of target based on actual Company performance against ROIC and Global Market Share. 2014 RSU awards vest ratably over a three-year period.</w:t>
      </w:r>
    </w:p>
    <w:p>
      <w:pPr>
        <w:spacing w:after="0" w:line="11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independent compensation consultant, CAP, assisted the Compensation Committee in reviewing compensation recommendations. The Compensation Committee reviewed and approved final grant amounts. As described in the “2014 Grants of Plan Based Awards” table on page 55, the following NEOs received equity grants under the 2014 LTIP:</w:t>
      </w: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120" w:type="dxa"/>
            <w:vAlign w:val="bottom"/>
            <w:tcBorders>
              <w:left w:val="single" w:sz="8" w:color="134A9C"/>
              <w:right w:val="single" w:sz="8" w:color="134A9C"/>
            </w:tcBorders>
            <w:shd w:val="clear" w:color="auto" w:fill="134A9C"/>
          </w:tcPr>
          <w:p>
            <w:pPr>
              <w:spacing w:after="0"/>
              <w:rPr>
                <w:sz w:val="18"/>
                <w:szCs w:val="18"/>
                <w:color w:val="auto"/>
              </w:rPr>
            </w:pPr>
          </w:p>
        </w:tc>
        <w:tc>
          <w:tcPr>
            <w:tcW w:w="1620" w:type="dxa"/>
            <w:vAlign w:val="bottom"/>
            <w:shd w:val="clear" w:color="auto" w:fill="134A9C"/>
          </w:tcPr>
          <w:p>
            <w:pPr>
              <w:jc w:val="right"/>
              <w:spacing w:after="0"/>
              <w:rPr>
                <w:sz w:val="20"/>
                <w:szCs w:val="20"/>
                <w:color w:val="auto"/>
              </w:rPr>
            </w:pPr>
            <w:r>
              <w:rPr>
                <w:rFonts w:ascii="Arial" w:cs="Arial" w:eastAsia="Arial" w:hAnsi="Arial"/>
                <w:sz w:val="14"/>
                <w:szCs w:val="14"/>
                <w:b w:val="1"/>
                <w:bCs w:val="1"/>
                <w:color w:val="FFFFFF"/>
              </w:rPr>
              <w:t>PSUs</w:t>
            </w:r>
          </w:p>
        </w:tc>
        <w:tc>
          <w:tcPr>
            <w:tcW w:w="1120" w:type="dxa"/>
            <w:vAlign w:val="bottom"/>
            <w:tcBorders>
              <w:right w:val="single" w:sz="8" w:color="134A9C"/>
            </w:tcBorders>
            <w:shd w:val="clear" w:color="auto" w:fill="134A9C"/>
          </w:tcPr>
          <w:p>
            <w:pPr>
              <w:spacing w:after="0"/>
              <w:rPr>
                <w:sz w:val="18"/>
                <w:szCs w:val="18"/>
                <w:color w:val="auto"/>
              </w:rPr>
            </w:pPr>
          </w:p>
        </w:tc>
        <w:tc>
          <w:tcPr>
            <w:tcW w:w="1140" w:type="dxa"/>
            <w:vAlign w:val="bottom"/>
            <w:shd w:val="clear" w:color="auto" w:fill="134A9C"/>
          </w:tcPr>
          <w:p>
            <w:pPr>
              <w:spacing w:after="0"/>
              <w:rPr>
                <w:sz w:val="18"/>
                <w:szCs w:val="18"/>
                <w:color w:val="auto"/>
              </w:rPr>
            </w:pPr>
          </w:p>
        </w:tc>
        <w:tc>
          <w:tcPr>
            <w:tcW w:w="1600" w:type="dxa"/>
            <w:vAlign w:val="bottom"/>
            <w:tcBorders>
              <w:right w:val="single" w:sz="8" w:color="134A9C"/>
            </w:tcBorders>
            <w:shd w:val="clear" w:color="auto" w:fill="134A9C"/>
          </w:tcPr>
          <w:p>
            <w:pPr>
              <w:ind w:left="20"/>
              <w:spacing w:after="0"/>
              <w:rPr>
                <w:sz w:val="20"/>
                <w:szCs w:val="20"/>
                <w:color w:val="auto"/>
              </w:rPr>
            </w:pPr>
            <w:r>
              <w:rPr>
                <w:rFonts w:ascii="Arial" w:cs="Arial" w:eastAsia="Arial" w:hAnsi="Arial"/>
                <w:sz w:val="14"/>
                <w:szCs w:val="14"/>
                <w:b w:val="1"/>
                <w:bCs w:val="1"/>
                <w:color w:val="FFFFFF"/>
              </w:rPr>
              <w:t>RSUs</w:t>
            </w:r>
          </w:p>
        </w:tc>
        <w:tc>
          <w:tcPr>
            <w:tcW w:w="2840" w:type="dxa"/>
            <w:vAlign w:val="bottom"/>
            <w:tcBorders>
              <w:right w:val="single" w:sz="8" w:color="134A9C"/>
            </w:tcBorders>
            <w:shd w:val="clear" w:color="auto" w:fill="134A9C"/>
          </w:tcPr>
          <w:p>
            <w:pPr>
              <w:spacing w:after="0"/>
              <w:rPr>
                <w:sz w:val="18"/>
                <w:szCs w:val="18"/>
                <w:color w:val="auto"/>
              </w:rPr>
            </w:pPr>
          </w:p>
        </w:tc>
      </w:tr>
      <w:tr>
        <w:trPr>
          <w:trHeight w:val="201"/>
        </w:trPr>
        <w:tc>
          <w:tcPr>
            <w:tcW w:w="3120" w:type="dxa"/>
            <w:vAlign w:val="bottom"/>
            <w:tcBorders>
              <w:left w:val="single" w:sz="8" w:color="134A9C"/>
              <w:right w:val="single" w:sz="8" w:color="134A9C"/>
            </w:tcBorders>
            <w:shd w:val="clear" w:color="auto" w:fill="134A9C"/>
          </w:tcPr>
          <w:p>
            <w:pPr>
              <w:spacing w:after="0"/>
              <w:rPr>
                <w:sz w:val="17"/>
                <w:szCs w:val="17"/>
                <w:color w:val="auto"/>
              </w:rPr>
            </w:pPr>
          </w:p>
        </w:tc>
        <w:tc>
          <w:tcPr>
            <w:tcW w:w="1620" w:type="dxa"/>
            <w:vAlign w:val="bottom"/>
            <w:shd w:val="clear" w:color="auto" w:fill="134A9C"/>
          </w:tcPr>
          <w:p>
            <w:pPr>
              <w:spacing w:after="0"/>
              <w:rPr>
                <w:sz w:val="17"/>
                <w:szCs w:val="17"/>
                <w:color w:val="auto"/>
              </w:rPr>
            </w:pPr>
          </w:p>
        </w:tc>
        <w:tc>
          <w:tcPr>
            <w:tcW w:w="1120" w:type="dxa"/>
            <w:vAlign w:val="bottom"/>
            <w:tcBorders>
              <w:right w:val="single" w:sz="8" w:color="134A9C"/>
            </w:tcBorders>
            <w:shd w:val="clear" w:color="auto" w:fill="134A9C"/>
          </w:tcPr>
          <w:p>
            <w:pPr>
              <w:jc w:val="center"/>
              <w:ind w:right="208"/>
              <w:spacing w:after="0"/>
              <w:rPr>
                <w:sz w:val="20"/>
                <w:szCs w:val="20"/>
                <w:color w:val="auto"/>
              </w:rPr>
            </w:pPr>
            <w:r>
              <w:rPr>
                <w:rFonts w:ascii="Arial" w:cs="Arial" w:eastAsia="Arial" w:hAnsi="Arial"/>
                <w:sz w:val="14"/>
                <w:szCs w:val="14"/>
                <w:b w:val="1"/>
                <w:bCs w:val="1"/>
                <w:color w:val="FFFFFF"/>
              </w:rPr>
              <w:t>% of</w:t>
            </w:r>
          </w:p>
        </w:tc>
        <w:tc>
          <w:tcPr>
            <w:tcW w:w="1140" w:type="dxa"/>
            <w:vAlign w:val="bottom"/>
            <w:shd w:val="clear" w:color="auto" w:fill="134A9C"/>
          </w:tcPr>
          <w:p>
            <w:pPr>
              <w:spacing w:after="0"/>
              <w:rPr>
                <w:sz w:val="17"/>
                <w:szCs w:val="17"/>
                <w:color w:val="auto"/>
              </w:rPr>
            </w:pPr>
          </w:p>
        </w:tc>
        <w:tc>
          <w:tcPr>
            <w:tcW w:w="1600" w:type="dxa"/>
            <w:vAlign w:val="bottom"/>
            <w:tcBorders>
              <w:right w:val="single" w:sz="8" w:color="134A9C"/>
            </w:tcBorders>
            <w:shd w:val="clear" w:color="auto" w:fill="134A9C"/>
          </w:tcPr>
          <w:p>
            <w:pPr>
              <w:jc w:val="center"/>
              <w:ind w:left="108"/>
              <w:spacing w:after="0"/>
              <w:rPr>
                <w:sz w:val="20"/>
                <w:szCs w:val="20"/>
                <w:color w:val="auto"/>
              </w:rPr>
            </w:pPr>
            <w:r>
              <w:rPr>
                <w:rFonts w:ascii="Arial" w:cs="Arial" w:eastAsia="Arial" w:hAnsi="Arial"/>
                <w:sz w:val="14"/>
                <w:szCs w:val="14"/>
                <w:b w:val="1"/>
                <w:bCs w:val="1"/>
                <w:color w:val="FFFFFF"/>
              </w:rPr>
              <w:t>% of</w:t>
            </w:r>
          </w:p>
        </w:tc>
        <w:tc>
          <w:tcPr>
            <w:tcW w:w="2840" w:type="dxa"/>
            <w:vAlign w:val="bottom"/>
            <w:tcBorders>
              <w:right w:val="single" w:sz="8" w:color="134A9C"/>
            </w:tcBorders>
            <w:shd w:val="clear" w:color="auto" w:fill="134A9C"/>
          </w:tcPr>
          <w:p>
            <w:pPr>
              <w:spacing w:after="0"/>
              <w:rPr>
                <w:sz w:val="17"/>
                <w:szCs w:val="17"/>
                <w:color w:val="auto"/>
              </w:rPr>
            </w:pPr>
          </w:p>
        </w:tc>
      </w:tr>
      <w:tr>
        <w:trPr>
          <w:trHeight w:val="202"/>
        </w:trPr>
        <w:tc>
          <w:tcPr>
            <w:tcW w:w="3120" w:type="dxa"/>
            <w:vAlign w:val="bottom"/>
            <w:tcBorders>
              <w:left w:val="single" w:sz="8" w:color="134A9C"/>
              <w:right w:val="single" w:sz="8" w:color="134A9C"/>
            </w:tcBorders>
            <w:shd w:val="clear" w:color="auto" w:fill="134A9C"/>
          </w:tcPr>
          <w:p>
            <w:pPr>
              <w:ind w:left="1360"/>
              <w:spacing w:after="0"/>
              <w:rPr>
                <w:sz w:val="20"/>
                <w:szCs w:val="20"/>
                <w:color w:val="auto"/>
              </w:rPr>
            </w:pPr>
            <w:r>
              <w:rPr>
                <w:rFonts w:ascii="Arial" w:cs="Arial" w:eastAsia="Arial" w:hAnsi="Arial"/>
                <w:sz w:val="14"/>
                <w:szCs w:val="14"/>
                <w:b w:val="1"/>
                <w:bCs w:val="1"/>
                <w:color w:val="FFFFFF"/>
              </w:rPr>
              <w:t>Name</w:t>
            </w:r>
          </w:p>
        </w:tc>
        <w:tc>
          <w:tcPr>
            <w:tcW w:w="1620" w:type="dxa"/>
            <w:vAlign w:val="bottom"/>
            <w:shd w:val="clear" w:color="auto" w:fill="134A9C"/>
          </w:tcPr>
          <w:p>
            <w:pPr>
              <w:jc w:val="right"/>
              <w:ind w:right="408"/>
              <w:spacing w:after="0"/>
              <w:rPr>
                <w:sz w:val="20"/>
                <w:szCs w:val="20"/>
                <w:color w:val="auto"/>
              </w:rPr>
            </w:pPr>
            <w:r>
              <w:rPr>
                <w:rFonts w:ascii="Arial" w:cs="Arial" w:eastAsia="Arial" w:hAnsi="Arial"/>
                <w:sz w:val="14"/>
                <w:szCs w:val="14"/>
                <w:b w:val="1"/>
                <w:bCs w:val="1"/>
                <w:color w:val="FFFFFF"/>
              </w:rPr>
              <w:t>Units Granted</w:t>
            </w:r>
          </w:p>
        </w:tc>
        <w:tc>
          <w:tcPr>
            <w:tcW w:w="1120" w:type="dxa"/>
            <w:vAlign w:val="bottom"/>
            <w:tcBorders>
              <w:right w:val="single" w:sz="8" w:color="134A9C"/>
            </w:tcBorders>
            <w:shd w:val="clear" w:color="auto" w:fill="134A9C"/>
          </w:tcPr>
          <w:p>
            <w:pPr>
              <w:jc w:val="center"/>
              <w:ind w:right="208"/>
              <w:spacing w:after="0"/>
              <w:rPr>
                <w:sz w:val="20"/>
                <w:szCs w:val="20"/>
                <w:color w:val="auto"/>
              </w:rPr>
            </w:pPr>
            <w:r>
              <w:rPr>
                <w:rFonts w:ascii="Arial" w:cs="Arial" w:eastAsia="Arial" w:hAnsi="Arial"/>
                <w:sz w:val="14"/>
                <w:szCs w:val="14"/>
                <w:b w:val="1"/>
                <w:bCs w:val="1"/>
                <w:color w:val="FFFFFF"/>
                <w:w w:val="99"/>
              </w:rPr>
              <w:t>Total Units</w:t>
            </w:r>
          </w:p>
        </w:tc>
        <w:tc>
          <w:tcPr>
            <w:tcW w:w="1140" w:type="dxa"/>
            <w:vAlign w:val="bottom"/>
            <w:shd w:val="clear" w:color="auto" w:fill="134A9C"/>
          </w:tcPr>
          <w:p>
            <w:pPr>
              <w:ind w:left="180"/>
              <w:spacing w:after="0"/>
              <w:rPr>
                <w:sz w:val="20"/>
                <w:szCs w:val="20"/>
                <w:color w:val="auto"/>
              </w:rPr>
            </w:pPr>
            <w:r>
              <w:rPr>
                <w:rFonts w:ascii="Arial" w:cs="Arial" w:eastAsia="Arial" w:hAnsi="Arial"/>
                <w:sz w:val="14"/>
                <w:szCs w:val="14"/>
                <w:b w:val="1"/>
                <w:bCs w:val="1"/>
                <w:color w:val="FFFFFF"/>
              </w:rPr>
              <w:t>Units Granted</w:t>
            </w:r>
          </w:p>
        </w:tc>
        <w:tc>
          <w:tcPr>
            <w:tcW w:w="1600" w:type="dxa"/>
            <w:vAlign w:val="bottom"/>
            <w:tcBorders>
              <w:right w:val="single" w:sz="8" w:color="134A9C"/>
            </w:tcBorders>
            <w:shd w:val="clear" w:color="auto" w:fill="134A9C"/>
          </w:tcPr>
          <w:p>
            <w:pPr>
              <w:jc w:val="center"/>
              <w:ind w:left="108"/>
              <w:spacing w:after="0"/>
              <w:rPr>
                <w:sz w:val="20"/>
                <w:szCs w:val="20"/>
                <w:color w:val="auto"/>
              </w:rPr>
            </w:pPr>
            <w:r>
              <w:rPr>
                <w:rFonts w:ascii="Arial" w:cs="Arial" w:eastAsia="Arial" w:hAnsi="Arial"/>
                <w:sz w:val="14"/>
                <w:szCs w:val="14"/>
                <w:b w:val="1"/>
                <w:bCs w:val="1"/>
                <w:color w:val="FFFFFF"/>
              </w:rPr>
              <w:t>Total Units</w:t>
            </w:r>
          </w:p>
        </w:tc>
        <w:tc>
          <w:tcPr>
            <w:tcW w:w="2840" w:type="dxa"/>
            <w:vAlign w:val="bottom"/>
            <w:tcBorders>
              <w:right w:val="single" w:sz="8" w:color="134A9C"/>
            </w:tcBorders>
            <w:shd w:val="clear" w:color="auto" w:fill="134A9C"/>
          </w:tcPr>
          <w:p>
            <w:pPr>
              <w:jc w:val="right"/>
              <w:ind w:right="708"/>
              <w:spacing w:after="0"/>
              <w:rPr>
                <w:sz w:val="20"/>
                <w:szCs w:val="20"/>
                <w:color w:val="auto"/>
              </w:rPr>
            </w:pPr>
            <w:r>
              <w:rPr>
                <w:rFonts w:ascii="Arial" w:cs="Arial" w:eastAsia="Arial" w:hAnsi="Arial"/>
                <w:sz w:val="14"/>
                <w:szCs w:val="14"/>
                <w:b w:val="1"/>
                <w:bCs w:val="1"/>
                <w:color w:val="FFFFFF"/>
              </w:rPr>
              <w:t>Total Units Granted</w:t>
            </w:r>
          </w:p>
        </w:tc>
      </w:tr>
      <w:tr>
        <w:trPr>
          <w:trHeight w:val="204"/>
        </w:trPr>
        <w:tc>
          <w:tcPr>
            <w:tcW w:w="312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Mary T. Barra</w:t>
            </w:r>
          </w:p>
        </w:tc>
        <w:tc>
          <w:tcPr>
            <w:tcW w:w="1620" w:type="dxa"/>
            <w:vAlign w:val="bottom"/>
          </w:tcPr>
          <w:p>
            <w:pPr>
              <w:jc w:val="right"/>
              <w:ind w:right="308"/>
              <w:spacing w:after="0"/>
              <w:rPr>
                <w:sz w:val="20"/>
                <w:szCs w:val="20"/>
                <w:color w:val="auto"/>
              </w:rPr>
            </w:pPr>
            <w:r>
              <w:rPr>
                <w:rFonts w:ascii="Arial" w:cs="Arial" w:eastAsia="Arial" w:hAnsi="Arial"/>
                <w:sz w:val="14"/>
                <w:szCs w:val="14"/>
                <w:color w:val="auto"/>
              </w:rPr>
              <w:t>207,642</w:t>
            </w:r>
          </w:p>
        </w:tc>
        <w:tc>
          <w:tcPr>
            <w:tcW w:w="1120" w:type="dxa"/>
            <w:vAlign w:val="bottom"/>
            <w:tcBorders>
              <w:right w:val="single" w:sz="8" w:color="134A9C"/>
            </w:tcBorders>
          </w:tcPr>
          <w:p>
            <w:pPr>
              <w:jc w:val="center"/>
              <w:ind w:right="208"/>
              <w:spacing w:after="0"/>
              <w:rPr>
                <w:sz w:val="20"/>
                <w:szCs w:val="20"/>
                <w:color w:val="auto"/>
              </w:rPr>
            </w:pPr>
            <w:r>
              <w:rPr>
                <w:rFonts w:ascii="Arial" w:cs="Arial" w:eastAsia="Arial" w:hAnsi="Arial"/>
                <w:sz w:val="14"/>
                <w:szCs w:val="14"/>
                <w:color w:val="auto"/>
                <w:w w:val="99"/>
              </w:rPr>
              <w:t>75%</w:t>
            </w:r>
          </w:p>
        </w:tc>
        <w:tc>
          <w:tcPr>
            <w:tcW w:w="1140" w:type="dxa"/>
            <w:vAlign w:val="bottom"/>
          </w:tcPr>
          <w:p>
            <w:pPr>
              <w:jc w:val="center"/>
              <w:ind w:left="388"/>
              <w:spacing w:after="0"/>
              <w:rPr>
                <w:sz w:val="20"/>
                <w:szCs w:val="20"/>
                <w:color w:val="auto"/>
              </w:rPr>
            </w:pPr>
            <w:r>
              <w:rPr>
                <w:rFonts w:ascii="Arial" w:cs="Arial" w:eastAsia="Arial" w:hAnsi="Arial"/>
                <w:sz w:val="14"/>
                <w:szCs w:val="14"/>
                <w:color w:val="auto"/>
              </w:rPr>
              <w:t>69,214</w:t>
            </w:r>
          </w:p>
        </w:tc>
        <w:tc>
          <w:tcPr>
            <w:tcW w:w="1600" w:type="dxa"/>
            <w:vAlign w:val="bottom"/>
            <w:tcBorders>
              <w:right w:val="single" w:sz="8" w:color="134A9C"/>
            </w:tcBorders>
          </w:tcPr>
          <w:p>
            <w:pPr>
              <w:jc w:val="center"/>
              <w:ind w:left="108"/>
              <w:spacing w:after="0"/>
              <w:rPr>
                <w:sz w:val="20"/>
                <w:szCs w:val="20"/>
                <w:color w:val="auto"/>
              </w:rPr>
            </w:pPr>
            <w:r>
              <w:rPr>
                <w:rFonts w:ascii="Arial" w:cs="Arial" w:eastAsia="Arial" w:hAnsi="Arial"/>
                <w:sz w:val="14"/>
                <w:szCs w:val="14"/>
                <w:color w:val="auto"/>
              </w:rPr>
              <w:t>25%</w:t>
            </w:r>
          </w:p>
        </w:tc>
        <w:tc>
          <w:tcPr>
            <w:tcW w:w="2840" w:type="dxa"/>
            <w:vAlign w:val="bottom"/>
            <w:tcBorders>
              <w:right w:val="single" w:sz="8" w:color="134A9C"/>
            </w:tcBorders>
          </w:tcPr>
          <w:p>
            <w:pPr>
              <w:jc w:val="right"/>
              <w:ind w:right="1028"/>
              <w:spacing w:after="0"/>
              <w:rPr>
                <w:sz w:val="20"/>
                <w:szCs w:val="20"/>
                <w:color w:val="auto"/>
              </w:rPr>
            </w:pPr>
            <w:r>
              <w:rPr>
                <w:rFonts w:ascii="Arial" w:cs="Arial" w:eastAsia="Arial" w:hAnsi="Arial"/>
                <w:sz w:val="14"/>
                <w:szCs w:val="14"/>
                <w:color w:val="auto"/>
              </w:rPr>
              <w:t>276,856</w:t>
            </w:r>
          </w:p>
        </w:tc>
      </w:tr>
      <w:tr>
        <w:trPr>
          <w:trHeight w:val="216"/>
        </w:trPr>
        <w:tc>
          <w:tcPr>
            <w:tcW w:w="312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Charles K. Stevens, III</w:t>
            </w:r>
          </w:p>
        </w:tc>
        <w:tc>
          <w:tcPr>
            <w:tcW w:w="1620" w:type="dxa"/>
            <w:vAlign w:val="bottom"/>
          </w:tcPr>
          <w:p>
            <w:pPr>
              <w:jc w:val="right"/>
              <w:ind w:right="528"/>
              <w:spacing w:after="0"/>
              <w:rPr>
                <w:sz w:val="20"/>
                <w:szCs w:val="20"/>
                <w:color w:val="auto"/>
              </w:rPr>
            </w:pPr>
            <w:r>
              <w:rPr>
                <w:rFonts w:ascii="Arial" w:cs="Arial" w:eastAsia="Arial" w:hAnsi="Arial"/>
                <w:sz w:val="14"/>
                <w:szCs w:val="14"/>
                <w:color w:val="auto"/>
              </w:rPr>
              <w:t>50,353</w:t>
            </w:r>
          </w:p>
        </w:tc>
        <w:tc>
          <w:tcPr>
            <w:tcW w:w="1120" w:type="dxa"/>
            <w:vAlign w:val="bottom"/>
            <w:tcBorders>
              <w:right w:val="single" w:sz="8" w:color="134A9C"/>
            </w:tcBorders>
          </w:tcPr>
          <w:p>
            <w:pPr>
              <w:jc w:val="center"/>
              <w:ind w:right="208"/>
              <w:spacing w:after="0"/>
              <w:rPr>
                <w:sz w:val="20"/>
                <w:szCs w:val="20"/>
                <w:color w:val="auto"/>
              </w:rPr>
            </w:pPr>
            <w:r>
              <w:rPr>
                <w:rFonts w:ascii="Arial" w:cs="Arial" w:eastAsia="Arial" w:hAnsi="Arial"/>
                <w:sz w:val="14"/>
                <w:szCs w:val="14"/>
                <w:color w:val="auto"/>
                <w:w w:val="99"/>
              </w:rPr>
              <w:t>75%</w:t>
            </w:r>
          </w:p>
        </w:tc>
        <w:tc>
          <w:tcPr>
            <w:tcW w:w="1140" w:type="dxa"/>
            <w:vAlign w:val="bottom"/>
          </w:tcPr>
          <w:p>
            <w:pPr>
              <w:jc w:val="center"/>
              <w:ind w:left="388"/>
              <w:spacing w:after="0"/>
              <w:rPr>
                <w:sz w:val="20"/>
                <w:szCs w:val="20"/>
                <w:color w:val="auto"/>
              </w:rPr>
            </w:pPr>
            <w:r>
              <w:rPr>
                <w:rFonts w:ascii="Arial" w:cs="Arial" w:eastAsia="Arial" w:hAnsi="Arial"/>
                <w:sz w:val="14"/>
                <w:szCs w:val="14"/>
                <w:color w:val="auto"/>
              </w:rPr>
              <w:t>16,785</w:t>
            </w:r>
          </w:p>
        </w:tc>
        <w:tc>
          <w:tcPr>
            <w:tcW w:w="1600" w:type="dxa"/>
            <w:vAlign w:val="bottom"/>
            <w:tcBorders>
              <w:right w:val="single" w:sz="8" w:color="134A9C"/>
            </w:tcBorders>
          </w:tcPr>
          <w:p>
            <w:pPr>
              <w:jc w:val="center"/>
              <w:ind w:left="108"/>
              <w:spacing w:after="0"/>
              <w:rPr>
                <w:sz w:val="20"/>
                <w:szCs w:val="20"/>
                <w:color w:val="auto"/>
              </w:rPr>
            </w:pPr>
            <w:r>
              <w:rPr>
                <w:rFonts w:ascii="Arial" w:cs="Arial" w:eastAsia="Arial" w:hAnsi="Arial"/>
                <w:sz w:val="14"/>
                <w:szCs w:val="14"/>
                <w:color w:val="auto"/>
              </w:rPr>
              <w:t>25%</w:t>
            </w:r>
          </w:p>
        </w:tc>
        <w:tc>
          <w:tcPr>
            <w:tcW w:w="2840" w:type="dxa"/>
            <w:vAlign w:val="bottom"/>
            <w:tcBorders>
              <w:right w:val="single" w:sz="8" w:color="134A9C"/>
            </w:tcBorders>
          </w:tcPr>
          <w:p>
            <w:pPr>
              <w:jc w:val="right"/>
              <w:ind w:right="1028"/>
              <w:spacing w:after="0"/>
              <w:rPr>
                <w:sz w:val="20"/>
                <w:szCs w:val="20"/>
                <w:color w:val="auto"/>
              </w:rPr>
            </w:pPr>
            <w:r>
              <w:rPr>
                <w:rFonts w:ascii="Arial" w:cs="Arial" w:eastAsia="Arial" w:hAnsi="Arial"/>
                <w:sz w:val="14"/>
                <w:szCs w:val="14"/>
                <w:color w:val="auto"/>
              </w:rPr>
              <w:t>67,138</w:t>
            </w:r>
          </w:p>
        </w:tc>
      </w:tr>
      <w:tr>
        <w:trPr>
          <w:trHeight w:val="216"/>
        </w:trPr>
        <w:tc>
          <w:tcPr>
            <w:tcW w:w="312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Ammann</w:t>
            </w:r>
          </w:p>
        </w:tc>
        <w:tc>
          <w:tcPr>
            <w:tcW w:w="1620" w:type="dxa"/>
            <w:vAlign w:val="bottom"/>
          </w:tcPr>
          <w:p>
            <w:pPr>
              <w:jc w:val="right"/>
              <w:ind w:right="528"/>
              <w:spacing w:after="0"/>
              <w:rPr>
                <w:sz w:val="20"/>
                <w:szCs w:val="20"/>
                <w:color w:val="auto"/>
              </w:rPr>
            </w:pPr>
            <w:r>
              <w:rPr>
                <w:rFonts w:ascii="Arial" w:cs="Arial" w:eastAsia="Arial" w:hAnsi="Arial"/>
                <w:sz w:val="14"/>
                <w:szCs w:val="14"/>
                <w:color w:val="auto"/>
              </w:rPr>
              <w:t>94,477</w:t>
            </w:r>
          </w:p>
        </w:tc>
        <w:tc>
          <w:tcPr>
            <w:tcW w:w="1120" w:type="dxa"/>
            <w:vAlign w:val="bottom"/>
            <w:tcBorders>
              <w:right w:val="single" w:sz="8" w:color="134A9C"/>
            </w:tcBorders>
          </w:tcPr>
          <w:p>
            <w:pPr>
              <w:jc w:val="center"/>
              <w:ind w:right="208"/>
              <w:spacing w:after="0"/>
              <w:rPr>
                <w:sz w:val="20"/>
                <w:szCs w:val="20"/>
                <w:color w:val="auto"/>
              </w:rPr>
            </w:pPr>
            <w:r>
              <w:rPr>
                <w:rFonts w:ascii="Arial" w:cs="Arial" w:eastAsia="Arial" w:hAnsi="Arial"/>
                <w:sz w:val="14"/>
                <w:szCs w:val="14"/>
                <w:color w:val="auto"/>
                <w:w w:val="99"/>
              </w:rPr>
              <w:t>75%</w:t>
            </w:r>
          </w:p>
        </w:tc>
        <w:tc>
          <w:tcPr>
            <w:tcW w:w="1140" w:type="dxa"/>
            <w:vAlign w:val="bottom"/>
          </w:tcPr>
          <w:p>
            <w:pPr>
              <w:jc w:val="center"/>
              <w:ind w:left="388"/>
              <w:spacing w:after="0"/>
              <w:rPr>
                <w:sz w:val="20"/>
                <w:szCs w:val="20"/>
                <w:color w:val="auto"/>
              </w:rPr>
            </w:pPr>
            <w:r>
              <w:rPr>
                <w:rFonts w:ascii="Arial" w:cs="Arial" w:eastAsia="Arial" w:hAnsi="Arial"/>
                <w:sz w:val="14"/>
                <w:szCs w:val="14"/>
                <w:color w:val="auto"/>
              </w:rPr>
              <w:t>31,493</w:t>
            </w:r>
          </w:p>
        </w:tc>
        <w:tc>
          <w:tcPr>
            <w:tcW w:w="1600" w:type="dxa"/>
            <w:vAlign w:val="bottom"/>
            <w:tcBorders>
              <w:right w:val="single" w:sz="8" w:color="134A9C"/>
            </w:tcBorders>
          </w:tcPr>
          <w:p>
            <w:pPr>
              <w:jc w:val="center"/>
              <w:ind w:left="108"/>
              <w:spacing w:after="0"/>
              <w:rPr>
                <w:sz w:val="20"/>
                <w:szCs w:val="20"/>
                <w:color w:val="auto"/>
              </w:rPr>
            </w:pPr>
            <w:r>
              <w:rPr>
                <w:rFonts w:ascii="Arial" w:cs="Arial" w:eastAsia="Arial" w:hAnsi="Arial"/>
                <w:sz w:val="14"/>
                <w:szCs w:val="14"/>
                <w:color w:val="auto"/>
              </w:rPr>
              <w:t>25%</w:t>
            </w:r>
          </w:p>
        </w:tc>
        <w:tc>
          <w:tcPr>
            <w:tcW w:w="2840" w:type="dxa"/>
            <w:vAlign w:val="bottom"/>
            <w:tcBorders>
              <w:right w:val="single" w:sz="8" w:color="134A9C"/>
            </w:tcBorders>
          </w:tcPr>
          <w:p>
            <w:pPr>
              <w:jc w:val="right"/>
              <w:ind w:right="1028"/>
              <w:spacing w:after="0"/>
              <w:rPr>
                <w:sz w:val="20"/>
                <w:szCs w:val="20"/>
                <w:color w:val="auto"/>
              </w:rPr>
            </w:pPr>
            <w:r>
              <w:rPr>
                <w:rFonts w:ascii="Arial" w:cs="Arial" w:eastAsia="Arial" w:hAnsi="Arial"/>
                <w:sz w:val="14"/>
                <w:szCs w:val="14"/>
                <w:color w:val="auto"/>
              </w:rPr>
              <w:t>125,970</w:t>
            </w:r>
          </w:p>
        </w:tc>
      </w:tr>
      <w:tr>
        <w:trPr>
          <w:trHeight w:val="216"/>
        </w:trPr>
        <w:tc>
          <w:tcPr>
            <w:tcW w:w="312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Mark L. Reuss</w:t>
            </w:r>
          </w:p>
        </w:tc>
        <w:tc>
          <w:tcPr>
            <w:tcW w:w="1620" w:type="dxa"/>
            <w:vAlign w:val="bottom"/>
          </w:tcPr>
          <w:p>
            <w:pPr>
              <w:jc w:val="right"/>
              <w:ind w:right="528"/>
              <w:spacing w:after="0"/>
              <w:rPr>
                <w:sz w:val="20"/>
                <w:szCs w:val="20"/>
                <w:color w:val="auto"/>
              </w:rPr>
            </w:pPr>
            <w:r>
              <w:rPr>
                <w:rFonts w:ascii="Arial" w:cs="Arial" w:eastAsia="Arial" w:hAnsi="Arial"/>
                <w:sz w:val="14"/>
                <w:szCs w:val="14"/>
                <w:color w:val="auto"/>
              </w:rPr>
              <w:t>80,721</w:t>
            </w:r>
          </w:p>
        </w:tc>
        <w:tc>
          <w:tcPr>
            <w:tcW w:w="1120" w:type="dxa"/>
            <w:vAlign w:val="bottom"/>
            <w:tcBorders>
              <w:right w:val="single" w:sz="8" w:color="134A9C"/>
            </w:tcBorders>
          </w:tcPr>
          <w:p>
            <w:pPr>
              <w:jc w:val="center"/>
              <w:ind w:right="208"/>
              <w:spacing w:after="0"/>
              <w:rPr>
                <w:sz w:val="20"/>
                <w:szCs w:val="20"/>
                <w:color w:val="auto"/>
              </w:rPr>
            </w:pPr>
            <w:r>
              <w:rPr>
                <w:rFonts w:ascii="Arial" w:cs="Arial" w:eastAsia="Arial" w:hAnsi="Arial"/>
                <w:sz w:val="14"/>
                <w:szCs w:val="14"/>
                <w:color w:val="auto"/>
                <w:w w:val="99"/>
              </w:rPr>
              <w:t>75%</w:t>
            </w:r>
          </w:p>
        </w:tc>
        <w:tc>
          <w:tcPr>
            <w:tcW w:w="1140" w:type="dxa"/>
            <w:vAlign w:val="bottom"/>
          </w:tcPr>
          <w:p>
            <w:pPr>
              <w:jc w:val="center"/>
              <w:ind w:left="388"/>
              <w:spacing w:after="0"/>
              <w:rPr>
                <w:sz w:val="20"/>
                <w:szCs w:val="20"/>
                <w:color w:val="auto"/>
              </w:rPr>
            </w:pPr>
            <w:r>
              <w:rPr>
                <w:rFonts w:ascii="Arial" w:cs="Arial" w:eastAsia="Arial" w:hAnsi="Arial"/>
                <w:sz w:val="14"/>
                <w:szCs w:val="14"/>
                <w:color w:val="auto"/>
              </w:rPr>
              <w:t>26,907</w:t>
            </w:r>
          </w:p>
        </w:tc>
        <w:tc>
          <w:tcPr>
            <w:tcW w:w="1600" w:type="dxa"/>
            <w:vAlign w:val="bottom"/>
            <w:tcBorders>
              <w:right w:val="single" w:sz="8" w:color="134A9C"/>
            </w:tcBorders>
          </w:tcPr>
          <w:p>
            <w:pPr>
              <w:jc w:val="center"/>
              <w:ind w:left="108"/>
              <w:spacing w:after="0"/>
              <w:rPr>
                <w:sz w:val="20"/>
                <w:szCs w:val="20"/>
                <w:color w:val="auto"/>
              </w:rPr>
            </w:pPr>
            <w:r>
              <w:rPr>
                <w:rFonts w:ascii="Arial" w:cs="Arial" w:eastAsia="Arial" w:hAnsi="Arial"/>
                <w:sz w:val="14"/>
                <w:szCs w:val="14"/>
                <w:color w:val="auto"/>
              </w:rPr>
              <w:t>25%</w:t>
            </w:r>
          </w:p>
        </w:tc>
        <w:tc>
          <w:tcPr>
            <w:tcW w:w="2840" w:type="dxa"/>
            <w:vAlign w:val="bottom"/>
            <w:tcBorders>
              <w:right w:val="single" w:sz="8" w:color="134A9C"/>
            </w:tcBorders>
          </w:tcPr>
          <w:p>
            <w:pPr>
              <w:jc w:val="right"/>
              <w:ind w:right="1028"/>
              <w:spacing w:after="0"/>
              <w:rPr>
                <w:sz w:val="20"/>
                <w:szCs w:val="20"/>
                <w:color w:val="auto"/>
              </w:rPr>
            </w:pPr>
            <w:r>
              <w:rPr>
                <w:rFonts w:ascii="Arial" w:cs="Arial" w:eastAsia="Arial" w:hAnsi="Arial"/>
                <w:sz w:val="14"/>
                <w:szCs w:val="14"/>
                <w:color w:val="auto"/>
              </w:rPr>
              <w:t>107,628</w:t>
            </w:r>
          </w:p>
        </w:tc>
      </w:tr>
      <w:tr>
        <w:trPr>
          <w:trHeight w:val="216"/>
        </w:trPr>
        <w:tc>
          <w:tcPr>
            <w:tcW w:w="312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Michael P. Millikin</w:t>
            </w:r>
          </w:p>
        </w:tc>
        <w:tc>
          <w:tcPr>
            <w:tcW w:w="1620" w:type="dxa"/>
            <w:vAlign w:val="bottom"/>
          </w:tcPr>
          <w:p>
            <w:pPr>
              <w:jc w:val="right"/>
              <w:ind w:right="528"/>
              <w:spacing w:after="0"/>
              <w:rPr>
                <w:sz w:val="20"/>
                <w:szCs w:val="20"/>
                <w:color w:val="auto"/>
              </w:rPr>
            </w:pPr>
            <w:r>
              <w:rPr>
                <w:rFonts w:ascii="Arial" w:cs="Arial" w:eastAsia="Arial" w:hAnsi="Arial"/>
                <w:sz w:val="14"/>
                <w:szCs w:val="14"/>
                <w:color w:val="auto"/>
              </w:rPr>
              <w:t>44,124</w:t>
            </w:r>
          </w:p>
        </w:tc>
        <w:tc>
          <w:tcPr>
            <w:tcW w:w="1120" w:type="dxa"/>
            <w:vAlign w:val="bottom"/>
            <w:tcBorders>
              <w:right w:val="single" w:sz="8" w:color="134A9C"/>
            </w:tcBorders>
          </w:tcPr>
          <w:p>
            <w:pPr>
              <w:jc w:val="center"/>
              <w:ind w:right="208"/>
              <w:spacing w:after="0"/>
              <w:rPr>
                <w:sz w:val="20"/>
                <w:szCs w:val="20"/>
                <w:color w:val="auto"/>
              </w:rPr>
            </w:pPr>
            <w:r>
              <w:rPr>
                <w:rFonts w:ascii="Arial" w:cs="Arial" w:eastAsia="Arial" w:hAnsi="Arial"/>
                <w:sz w:val="14"/>
                <w:szCs w:val="14"/>
                <w:color w:val="auto"/>
                <w:w w:val="99"/>
              </w:rPr>
              <w:t>75%</w:t>
            </w:r>
          </w:p>
        </w:tc>
        <w:tc>
          <w:tcPr>
            <w:tcW w:w="1140" w:type="dxa"/>
            <w:vAlign w:val="bottom"/>
          </w:tcPr>
          <w:p>
            <w:pPr>
              <w:jc w:val="center"/>
              <w:ind w:left="388"/>
              <w:spacing w:after="0"/>
              <w:rPr>
                <w:sz w:val="20"/>
                <w:szCs w:val="20"/>
                <w:color w:val="auto"/>
              </w:rPr>
            </w:pPr>
            <w:r>
              <w:rPr>
                <w:rFonts w:ascii="Arial" w:cs="Arial" w:eastAsia="Arial" w:hAnsi="Arial"/>
                <w:sz w:val="14"/>
                <w:szCs w:val="14"/>
                <w:color w:val="auto"/>
              </w:rPr>
              <w:t>14,708</w:t>
            </w:r>
          </w:p>
        </w:tc>
        <w:tc>
          <w:tcPr>
            <w:tcW w:w="1600" w:type="dxa"/>
            <w:vAlign w:val="bottom"/>
            <w:tcBorders>
              <w:right w:val="single" w:sz="8" w:color="134A9C"/>
            </w:tcBorders>
          </w:tcPr>
          <w:p>
            <w:pPr>
              <w:jc w:val="center"/>
              <w:ind w:left="108"/>
              <w:spacing w:after="0"/>
              <w:rPr>
                <w:sz w:val="20"/>
                <w:szCs w:val="20"/>
                <w:color w:val="auto"/>
              </w:rPr>
            </w:pPr>
            <w:r>
              <w:rPr>
                <w:rFonts w:ascii="Arial" w:cs="Arial" w:eastAsia="Arial" w:hAnsi="Arial"/>
                <w:sz w:val="14"/>
                <w:szCs w:val="14"/>
                <w:color w:val="auto"/>
              </w:rPr>
              <w:t>25%</w:t>
            </w:r>
          </w:p>
        </w:tc>
        <w:tc>
          <w:tcPr>
            <w:tcW w:w="2840" w:type="dxa"/>
            <w:vAlign w:val="bottom"/>
            <w:tcBorders>
              <w:right w:val="single" w:sz="8" w:color="134A9C"/>
            </w:tcBorders>
          </w:tcPr>
          <w:p>
            <w:pPr>
              <w:jc w:val="right"/>
              <w:ind w:right="1028"/>
              <w:spacing w:after="0"/>
              <w:rPr>
                <w:sz w:val="20"/>
                <w:szCs w:val="20"/>
                <w:color w:val="auto"/>
              </w:rPr>
            </w:pPr>
            <w:r>
              <w:rPr>
                <w:rFonts w:ascii="Arial" w:cs="Arial" w:eastAsia="Arial" w:hAnsi="Arial"/>
                <w:sz w:val="14"/>
                <w:szCs w:val="14"/>
                <w:color w:val="auto"/>
              </w:rPr>
              <w:t>58,832</w:t>
            </w:r>
          </w:p>
        </w:tc>
      </w:tr>
      <w:tr>
        <w:trPr>
          <w:trHeight w:val="216"/>
        </w:trPr>
        <w:tc>
          <w:tcPr>
            <w:tcW w:w="312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Karl-Thomas Neumann</w:t>
            </w:r>
          </w:p>
        </w:tc>
        <w:tc>
          <w:tcPr>
            <w:tcW w:w="1620" w:type="dxa"/>
            <w:vAlign w:val="bottom"/>
          </w:tcPr>
          <w:p>
            <w:pPr>
              <w:jc w:val="right"/>
              <w:ind w:right="528"/>
              <w:spacing w:after="0"/>
              <w:rPr>
                <w:sz w:val="20"/>
                <w:szCs w:val="20"/>
                <w:color w:val="auto"/>
              </w:rPr>
            </w:pPr>
            <w:r>
              <w:rPr>
                <w:rFonts w:ascii="Arial" w:cs="Arial" w:eastAsia="Arial" w:hAnsi="Arial"/>
                <w:sz w:val="14"/>
                <w:szCs w:val="14"/>
                <w:color w:val="auto"/>
              </w:rPr>
              <w:t>56,064</w:t>
            </w:r>
          </w:p>
        </w:tc>
        <w:tc>
          <w:tcPr>
            <w:tcW w:w="1120" w:type="dxa"/>
            <w:vAlign w:val="bottom"/>
            <w:tcBorders>
              <w:right w:val="single" w:sz="8" w:color="134A9C"/>
            </w:tcBorders>
          </w:tcPr>
          <w:p>
            <w:pPr>
              <w:jc w:val="center"/>
              <w:ind w:right="208"/>
              <w:spacing w:after="0"/>
              <w:rPr>
                <w:sz w:val="20"/>
                <w:szCs w:val="20"/>
                <w:color w:val="auto"/>
              </w:rPr>
            </w:pPr>
            <w:r>
              <w:rPr>
                <w:rFonts w:ascii="Arial" w:cs="Arial" w:eastAsia="Arial" w:hAnsi="Arial"/>
                <w:sz w:val="14"/>
                <w:szCs w:val="14"/>
                <w:color w:val="auto"/>
                <w:w w:val="99"/>
              </w:rPr>
              <w:t>75%</w:t>
            </w:r>
          </w:p>
        </w:tc>
        <w:tc>
          <w:tcPr>
            <w:tcW w:w="1140" w:type="dxa"/>
            <w:vAlign w:val="bottom"/>
          </w:tcPr>
          <w:p>
            <w:pPr>
              <w:jc w:val="center"/>
              <w:ind w:left="388"/>
              <w:spacing w:after="0"/>
              <w:rPr>
                <w:sz w:val="20"/>
                <w:szCs w:val="20"/>
                <w:color w:val="auto"/>
              </w:rPr>
            </w:pPr>
            <w:r>
              <w:rPr>
                <w:rFonts w:ascii="Arial" w:cs="Arial" w:eastAsia="Arial" w:hAnsi="Arial"/>
                <w:sz w:val="14"/>
                <w:szCs w:val="14"/>
                <w:color w:val="auto"/>
              </w:rPr>
              <w:t>18,688</w:t>
            </w:r>
          </w:p>
        </w:tc>
        <w:tc>
          <w:tcPr>
            <w:tcW w:w="1600" w:type="dxa"/>
            <w:vAlign w:val="bottom"/>
            <w:tcBorders>
              <w:right w:val="single" w:sz="8" w:color="134A9C"/>
            </w:tcBorders>
          </w:tcPr>
          <w:p>
            <w:pPr>
              <w:jc w:val="center"/>
              <w:ind w:left="108"/>
              <w:spacing w:after="0"/>
              <w:rPr>
                <w:sz w:val="20"/>
                <w:szCs w:val="20"/>
                <w:color w:val="auto"/>
              </w:rPr>
            </w:pPr>
            <w:r>
              <w:rPr>
                <w:rFonts w:ascii="Arial" w:cs="Arial" w:eastAsia="Arial" w:hAnsi="Arial"/>
                <w:sz w:val="14"/>
                <w:szCs w:val="14"/>
                <w:color w:val="auto"/>
              </w:rPr>
              <w:t>25%</w:t>
            </w:r>
          </w:p>
        </w:tc>
        <w:tc>
          <w:tcPr>
            <w:tcW w:w="2840" w:type="dxa"/>
            <w:vAlign w:val="bottom"/>
            <w:tcBorders>
              <w:right w:val="single" w:sz="8" w:color="134A9C"/>
            </w:tcBorders>
          </w:tcPr>
          <w:p>
            <w:pPr>
              <w:jc w:val="right"/>
              <w:ind w:right="1028"/>
              <w:spacing w:after="0"/>
              <w:rPr>
                <w:sz w:val="20"/>
                <w:szCs w:val="20"/>
                <w:color w:val="auto"/>
              </w:rPr>
            </w:pPr>
            <w:r>
              <w:rPr>
                <w:rFonts w:ascii="Arial" w:cs="Arial" w:eastAsia="Arial" w:hAnsi="Arial"/>
                <w:sz w:val="14"/>
                <w:szCs w:val="14"/>
                <w:color w:val="auto"/>
              </w:rPr>
              <w:t>74,752</w:t>
            </w:r>
          </w:p>
        </w:tc>
      </w:tr>
      <w:tr>
        <w:trPr>
          <w:trHeight w:val="222"/>
        </w:trPr>
        <w:tc>
          <w:tcPr>
            <w:tcW w:w="31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F. Akerson</w:t>
            </w:r>
          </w:p>
        </w:tc>
        <w:tc>
          <w:tcPr>
            <w:tcW w:w="1620" w:type="dxa"/>
            <w:vAlign w:val="bottom"/>
            <w:tcBorders>
              <w:bottom w:val="single" w:sz="8" w:color="134A9C"/>
            </w:tcBorders>
          </w:tcPr>
          <w:p>
            <w:pPr>
              <w:jc w:val="right"/>
              <w:ind w:right="7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134A9C"/>
              <w:right w:val="single" w:sz="8" w:color="134A9C"/>
            </w:tcBorders>
          </w:tcPr>
          <w:p>
            <w:pPr>
              <w:ind w:left="2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134A9C"/>
            </w:tcBorders>
          </w:tcPr>
          <w:p>
            <w:pPr>
              <w:jc w:val="center"/>
              <w:ind w:left="328"/>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134A9C"/>
              <w:right w:val="single" w:sz="8" w:color="134A9C"/>
            </w:tcBorders>
          </w:tcPr>
          <w:p>
            <w:pPr>
              <w:ind w:left="700"/>
              <w:spacing w:after="0"/>
              <w:rPr>
                <w:sz w:val="20"/>
                <w:szCs w:val="20"/>
                <w:color w:val="auto"/>
              </w:rPr>
            </w:pPr>
            <w:r>
              <w:rPr>
                <w:rFonts w:ascii="Arial" w:cs="Arial" w:eastAsia="Arial" w:hAnsi="Arial"/>
                <w:sz w:val="14"/>
                <w:szCs w:val="14"/>
                <w:color w:val="auto"/>
              </w:rPr>
              <w:t>—</w:t>
            </w:r>
          </w:p>
        </w:tc>
        <w:tc>
          <w:tcPr>
            <w:tcW w:w="2840" w:type="dxa"/>
            <w:vAlign w:val="bottom"/>
            <w:tcBorders>
              <w:bottom w:val="single" w:sz="8" w:color="134A9C"/>
              <w:right w:val="single" w:sz="8" w:color="134A9C"/>
            </w:tcBorders>
          </w:tcPr>
          <w:p>
            <w:pPr>
              <w:jc w:val="right"/>
              <w:ind w:right="192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5"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47</w:t>
      </w:r>
      <w:r>
        <w:rPr>
          <w:sz w:val="20"/>
          <w:szCs w:val="20"/>
          <w:color w:val="auto"/>
        </w:rPr>
        <w:tab/>
      </w:r>
      <w:r>
        <w:rPr>
          <w:sz w:val="1"/>
          <w:szCs w:val="1"/>
          <w:color w:val="auto"/>
        </w:rPr>
        <w:drawing>
          <wp:inline distT="0" distB="0" distL="0" distR="0">
            <wp:extent cx="120015" cy="12001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sectPr>
      </w:pPr>
    </w:p>
    <w:bookmarkStart w:id="51" w:name="page52"/>
    <w:bookmarkEnd w:id="51"/>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Equity Awards Related to 2013 Performance</w:t>
      </w:r>
    </w:p>
    <w:p>
      <w:pPr>
        <w:spacing w:after="0" w:line="14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2014, some of our NEOs received RSU grants related to 2013 performance as we transitioned from granting equity only with time-based vesting at the end of a performance period. Because the grants occurred in February 2014, they are included in the total compensation for 2014. These grants were subject to the approval from the Special Master and were granted only if performance objectives were achieved and settled only if the employee continued to provide services to the Company as defined in the grant terms. The following NEOs received equity grants in 2014 for 2013 performance:</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600" w:type="dxa"/>
            <w:vAlign w:val="bottom"/>
            <w:tcBorders>
              <w:left w:val="single" w:sz="8" w:color="134A9C"/>
              <w:right w:val="single" w:sz="8" w:color="134A9C"/>
            </w:tcBorders>
            <w:shd w:val="clear" w:color="auto" w:fill="134A9C"/>
          </w:tcPr>
          <w:p>
            <w:pPr>
              <w:spacing w:after="0"/>
              <w:rPr>
                <w:sz w:val="16"/>
                <w:szCs w:val="16"/>
                <w:color w:val="auto"/>
              </w:rPr>
            </w:pPr>
          </w:p>
        </w:tc>
        <w:tc>
          <w:tcPr>
            <w:tcW w:w="3420" w:type="dxa"/>
            <w:vAlign w:val="bottom"/>
            <w:tcBorders>
              <w:right w:val="single" w:sz="8" w:color="134A9C"/>
            </w:tcBorders>
            <w:shd w:val="clear" w:color="auto" w:fill="134A9C"/>
          </w:tcPr>
          <w:p>
            <w:pPr>
              <w:spacing w:after="0"/>
              <w:rPr>
                <w:sz w:val="16"/>
                <w:szCs w:val="16"/>
                <w:color w:val="auto"/>
              </w:rPr>
            </w:pPr>
          </w:p>
        </w:tc>
        <w:tc>
          <w:tcPr>
            <w:tcW w:w="3420" w:type="dxa"/>
            <w:vAlign w:val="bottom"/>
            <w:tcBorders>
              <w:right w:val="single" w:sz="8" w:color="134A9C"/>
            </w:tcBorders>
            <w:shd w:val="clear" w:color="auto" w:fill="134A9C"/>
          </w:tcPr>
          <w:p>
            <w:pPr>
              <w:jc w:val="right"/>
              <w:ind w:right="1168"/>
              <w:spacing w:after="0"/>
              <w:rPr>
                <w:sz w:val="20"/>
                <w:szCs w:val="20"/>
                <w:color w:val="auto"/>
              </w:rPr>
            </w:pPr>
            <w:r>
              <w:rPr>
                <w:rFonts w:ascii="Arial" w:cs="Arial" w:eastAsia="Arial" w:hAnsi="Arial"/>
                <w:sz w:val="14"/>
                <w:szCs w:val="14"/>
                <w:b w:val="1"/>
                <w:bCs w:val="1"/>
                <w:color w:val="FFFFFF"/>
              </w:rPr>
              <w:t>RSUs for 2013</w:t>
            </w:r>
          </w:p>
        </w:tc>
      </w:tr>
      <w:tr>
        <w:trPr>
          <w:trHeight w:val="216"/>
        </w:trPr>
        <w:tc>
          <w:tcPr>
            <w:tcW w:w="4600" w:type="dxa"/>
            <w:vAlign w:val="bottom"/>
            <w:tcBorders>
              <w:left w:val="single" w:sz="8" w:color="134A9C"/>
              <w:right w:val="single" w:sz="8" w:color="134A9C"/>
            </w:tcBorders>
            <w:shd w:val="clear" w:color="auto" w:fill="134A9C"/>
          </w:tcPr>
          <w:p>
            <w:pPr>
              <w:ind w:left="2100"/>
              <w:spacing w:after="0"/>
              <w:rPr>
                <w:sz w:val="20"/>
                <w:szCs w:val="20"/>
                <w:color w:val="auto"/>
              </w:rPr>
            </w:pPr>
            <w:r>
              <w:rPr>
                <w:rFonts w:ascii="Arial" w:cs="Arial" w:eastAsia="Arial" w:hAnsi="Arial"/>
                <w:sz w:val="14"/>
                <w:szCs w:val="14"/>
                <w:b w:val="1"/>
                <w:bCs w:val="1"/>
                <w:color w:val="FFFFFF"/>
              </w:rPr>
              <w:t>Name</w:t>
            </w:r>
          </w:p>
        </w:tc>
        <w:tc>
          <w:tcPr>
            <w:tcW w:w="3420" w:type="dxa"/>
            <w:vAlign w:val="bottom"/>
            <w:tcBorders>
              <w:right w:val="single" w:sz="8" w:color="134A9C"/>
            </w:tcBorders>
            <w:shd w:val="clear" w:color="auto" w:fill="134A9C"/>
          </w:tcPr>
          <w:p>
            <w:pPr>
              <w:jc w:val="right"/>
              <w:ind w:right="428"/>
              <w:spacing w:after="0"/>
              <w:rPr>
                <w:sz w:val="20"/>
                <w:szCs w:val="20"/>
                <w:color w:val="auto"/>
              </w:rPr>
            </w:pPr>
            <w:r>
              <w:rPr>
                <w:rFonts w:ascii="Arial" w:cs="Arial" w:eastAsia="Arial" w:hAnsi="Arial"/>
                <w:sz w:val="14"/>
                <w:szCs w:val="14"/>
                <w:b w:val="1"/>
                <w:bCs w:val="1"/>
                <w:color w:val="FFFFFF"/>
              </w:rPr>
              <w:t>TARP RSUs for 2013 Performance</w:t>
            </w:r>
            <w:r>
              <w:rPr>
                <w:rFonts w:ascii="Arial" w:cs="Arial" w:eastAsia="Arial" w:hAnsi="Arial"/>
                <w:sz w:val="17"/>
                <w:szCs w:val="17"/>
                <w:b w:val="1"/>
                <w:bCs w:val="1"/>
                <w:color w:val="FFFFFF"/>
                <w:vertAlign w:val="superscript"/>
              </w:rPr>
              <w:t>(1)</w:t>
            </w:r>
          </w:p>
        </w:tc>
        <w:tc>
          <w:tcPr>
            <w:tcW w:w="3420" w:type="dxa"/>
            <w:vAlign w:val="bottom"/>
            <w:tcBorders>
              <w:right w:val="single" w:sz="8" w:color="134A9C"/>
            </w:tcBorders>
            <w:shd w:val="clear" w:color="auto" w:fill="134A9C"/>
          </w:tcPr>
          <w:p>
            <w:pPr>
              <w:jc w:val="right"/>
              <w:ind w:right="1208"/>
              <w:spacing w:after="0"/>
              <w:rPr>
                <w:sz w:val="20"/>
                <w:szCs w:val="20"/>
                <w:color w:val="auto"/>
              </w:rPr>
            </w:pPr>
            <w:r>
              <w:rPr>
                <w:rFonts w:ascii="Arial" w:cs="Arial" w:eastAsia="Arial" w:hAnsi="Arial"/>
                <w:sz w:val="14"/>
                <w:szCs w:val="14"/>
                <w:b w:val="1"/>
                <w:bCs w:val="1"/>
                <w:color w:val="FFFFFF"/>
              </w:rPr>
              <w:t>Performance</w:t>
            </w:r>
          </w:p>
        </w:tc>
      </w:tr>
      <w:tr>
        <w:trPr>
          <w:trHeight w:val="204"/>
        </w:trPr>
        <w:tc>
          <w:tcPr>
            <w:tcW w:w="46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Mary T. Barra</w:t>
            </w:r>
          </w:p>
        </w:tc>
        <w:tc>
          <w:tcPr>
            <w:tcW w:w="34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50,015</w:t>
            </w:r>
          </w:p>
        </w:tc>
        <w:tc>
          <w:tcPr>
            <w:tcW w:w="34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r>
      <w:tr>
        <w:trPr>
          <w:trHeight w:val="216"/>
        </w:trPr>
        <w:tc>
          <w:tcPr>
            <w:tcW w:w="46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Charles K. Stevens, III</w:t>
            </w:r>
          </w:p>
        </w:tc>
        <w:tc>
          <w:tcPr>
            <w:tcW w:w="34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34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21,373</w:t>
            </w:r>
          </w:p>
        </w:tc>
      </w:tr>
      <w:tr>
        <w:trPr>
          <w:trHeight w:val="216"/>
        </w:trPr>
        <w:tc>
          <w:tcPr>
            <w:tcW w:w="46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Ammann</w:t>
            </w:r>
          </w:p>
        </w:tc>
        <w:tc>
          <w:tcPr>
            <w:tcW w:w="34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50,015</w:t>
            </w:r>
          </w:p>
        </w:tc>
        <w:tc>
          <w:tcPr>
            <w:tcW w:w="34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r>
      <w:tr>
        <w:trPr>
          <w:trHeight w:val="216"/>
        </w:trPr>
        <w:tc>
          <w:tcPr>
            <w:tcW w:w="46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Mark L. Reuss</w:t>
            </w:r>
          </w:p>
        </w:tc>
        <w:tc>
          <w:tcPr>
            <w:tcW w:w="34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44,299</w:t>
            </w:r>
          </w:p>
        </w:tc>
        <w:tc>
          <w:tcPr>
            <w:tcW w:w="34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r>
      <w:tr>
        <w:trPr>
          <w:trHeight w:val="216"/>
        </w:trPr>
        <w:tc>
          <w:tcPr>
            <w:tcW w:w="46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Michael P. Millikin</w:t>
            </w:r>
          </w:p>
        </w:tc>
        <w:tc>
          <w:tcPr>
            <w:tcW w:w="34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34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r>
      <w:tr>
        <w:trPr>
          <w:trHeight w:val="216"/>
        </w:trPr>
        <w:tc>
          <w:tcPr>
            <w:tcW w:w="46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Karl-Thomas Neumann</w:t>
            </w:r>
          </w:p>
        </w:tc>
        <w:tc>
          <w:tcPr>
            <w:tcW w:w="34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34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r>
      <w:tr>
        <w:trPr>
          <w:trHeight w:val="222"/>
        </w:trPr>
        <w:tc>
          <w:tcPr>
            <w:tcW w:w="46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F. Akerson</w:t>
            </w:r>
          </w:p>
        </w:tc>
        <w:tc>
          <w:tcPr>
            <w:tcW w:w="34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34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r>
    </w:tbl>
    <w:p>
      <w:pPr>
        <w:spacing w:after="0" w:line="5" w:lineRule="exact"/>
        <w:rPr>
          <w:sz w:val="20"/>
          <w:szCs w:val="20"/>
          <w:color w:val="auto"/>
        </w:rPr>
      </w:pPr>
    </w:p>
    <w:p>
      <w:pPr>
        <w:jc w:val="both"/>
        <w:ind w:left="340" w:right="20" w:hanging="332"/>
        <w:spacing w:after="0" w:line="253"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NEOs who received TARP RSUs forfeited 25% of the TARP-related RSU grants as a result of the UST's sale of its remaining shares of Common Stock. Accordingly, 25% of the TARP-related grants awarded in 2014 for 2013 performance were subsequently forfeited for Ms. Barra (12,504 units), Mr. Ammann (12,504 units), and Mr. Reuss (11,075 units).</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Retention Awards</w:t>
      </w:r>
    </w:p>
    <w:p>
      <w:pPr>
        <w:spacing w:after="0" w:line="14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light of the key leadership changes in 2014 discussed above, the Compensation Committee authorized retention awards for three of our NEOs to ensure consistency of management during the leadership transition period. The following NEOs received retention awards during 2014:</w:t>
      </w:r>
    </w:p>
    <w:p>
      <w:pPr>
        <w:spacing w:after="0" w:line="85" w:lineRule="exact"/>
        <w:rPr>
          <w:sz w:val="20"/>
          <w:szCs w:val="20"/>
          <w:color w:val="auto"/>
        </w:rPr>
      </w:pPr>
    </w:p>
    <w:p>
      <w:pPr>
        <w:jc w:val="both"/>
        <w:ind w:left="340" w:right="20" w:hanging="332"/>
        <w:spacing w:after="0" w:line="259" w:lineRule="auto"/>
        <w:tabs>
          <w:tab w:leader="none" w:pos="340" w:val="left"/>
        </w:tabs>
        <w:numPr>
          <w:ilvl w:val="0"/>
          <w:numId w:val="63"/>
        </w:numPr>
        <w:rPr>
          <w:rFonts w:ascii="Arial" w:cs="Arial" w:eastAsia="Arial" w:hAnsi="Arial"/>
          <w:sz w:val="18"/>
          <w:szCs w:val="18"/>
          <w:color w:val="134A9C"/>
        </w:rPr>
      </w:pPr>
      <w:r>
        <w:rPr>
          <w:rFonts w:ascii="Arial" w:cs="Arial" w:eastAsia="Arial" w:hAnsi="Arial"/>
          <w:sz w:val="18"/>
          <w:szCs w:val="18"/>
          <w:b w:val="1"/>
          <w:bCs w:val="1"/>
          <w:color w:val="0033A0"/>
        </w:rPr>
        <w:t xml:space="preserve">Mark L. Reuss - </w:t>
      </w:r>
      <w:r>
        <w:rPr>
          <w:rFonts w:ascii="Arial" w:cs="Arial" w:eastAsia="Arial" w:hAnsi="Arial"/>
          <w:sz w:val="18"/>
          <w:szCs w:val="18"/>
          <w:color w:val="000000"/>
        </w:rPr>
        <w:t>Mr. Reuss received a retention award of 57,160 RSUs with a grant date market value of $2,012,032. The retention of Mr.</w:t>
      </w:r>
      <w:r>
        <w:rPr>
          <w:rFonts w:ascii="Arial" w:cs="Arial" w:eastAsia="Arial" w:hAnsi="Arial"/>
          <w:sz w:val="18"/>
          <w:szCs w:val="18"/>
          <w:b w:val="1"/>
          <w:bCs w:val="1"/>
          <w:color w:val="0033A0"/>
        </w:rPr>
        <w:t xml:space="preserve"> </w:t>
      </w:r>
      <w:r>
        <w:rPr>
          <w:rFonts w:ascii="Arial" w:cs="Arial" w:eastAsia="Arial" w:hAnsi="Arial"/>
          <w:sz w:val="18"/>
          <w:szCs w:val="18"/>
          <w:color w:val="000000"/>
        </w:rPr>
        <w:t>Reuss is important as he oversees our Global Product Development, Purchasing &amp; Supply Chain functions, which are significant to the success of General Motors. Retaining his knowledge and product experience during our leadership transition is critical as we redesign, develop, and launch key products in our portfolio over the next few years. The award for Mr. Reuss vests on the third anniversary of the grant date.</w:t>
      </w:r>
    </w:p>
    <w:p>
      <w:pPr>
        <w:spacing w:after="0" w:line="17" w:lineRule="exact"/>
        <w:rPr>
          <w:rFonts w:ascii="Arial" w:cs="Arial" w:eastAsia="Arial" w:hAnsi="Arial"/>
          <w:sz w:val="18"/>
          <w:szCs w:val="18"/>
          <w:color w:val="134A9C"/>
        </w:rPr>
      </w:pPr>
    </w:p>
    <w:p>
      <w:pPr>
        <w:jc w:val="both"/>
        <w:ind w:left="340" w:right="20" w:hanging="332"/>
        <w:spacing w:after="0" w:line="262" w:lineRule="auto"/>
        <w:tabs>
          <w:tab w:leader="none" w:pos="340" w:val="left"/>
        </w:tabs>
        <w:numPr>
          <w:ilvl w:val="0"/>
          <w:numId w:val="63"/>
        </w:numPr>
        <w:rPr>
          <w:rFonts w:ascii="Arial" w:cs="Arial" w:eastAsia="Arial" w:hAnsi="Arial"/>
          <w:sz w:val="18"/>
          <w:szCs w:val="18"/>
          <w:color w:val="134A9C"/>
        </w:rPr>
      </w:pPr>
      <w:r>
        <w:rPr>
          <w:rFonts w:ascii="Arial" w:cs="Arial" w:eastAsia="Arial" w:hAnsi="Arial"/>
          <w:sz w:val="18"/>
          <w:szCs w:val="18"/>
          <w:b w:val="1"/>
          <w:bCs w:val="1"/>
          <w:color w:val="0033A0"/>
        </w:rPr>
        <w:t xml:space="preserve">Michael P. Millikin - </w:t>
      </w:r>
      <w:r>
        <w:rPr>
          <w:rFonts w:ascii="Arial" w:cs="Arial" w:eastAsia="Arial" w:hAnsi="Arial"/>
          <w:sz w:val="18"/>
          <w:szCs w:val="18"/>
          <w:color w:val="000000"/>
        </w:rPr>
        <w:t>Mr. Millikin received a retention award of 58,191 RSUs with a grant date market value of $2,002,934. Mr. Millikin</w:t>
      </w:r>
      <w:r>
        <w:rPr>
          <w:rFonts w:ascii="Arial" w:cs="Arial" w:eastAsia="Arial" w:hAnsi="Arial"/>
          <w:sz w:val="18"/>
          <w:szCs w:val="18"/>
          <w:b w:val="1"/>
          <w:bCs w:val="1"/>
          <w:color w:val="0033A0"/>
        </w:rPr>
        <w:t xml:space="preserve"> </w:t>
      </w:r>
      <w:r>
        <w:rPr>
          <w:rFonts w:ascii="Arial" w:cs="Arial" w:eastAsia="Arial" w:hAnsi="Arial"/>
          <w:sz w:val="18"/>
          <w:szCs w:val="18"/>
          <w:color w:val="000000"/>
        </w:rPr>
        <w:t>received the award to help ensure his continued employment through the end of 2014. Retaining Mr. Millikin’s expertise and counsel during the period of leadership team transition was critical to the Company’s overall operations given his extensive GM experience and expertise in both domestic and international operations. The award for Mr. Millikin vested on December 31, 2014.</w:t>
      </w:r>
    </w:p>
    <w:p>
      <w:pPr>
        <w:spacing w:after="0" w:line="14" w:lineRule="exact"/>
        <w:rPr>
          <w:rFonts w:ascii="Arial" w:cs="Arial" w:eastAsia="Arial" w:hAnsi="Arial"/>
          <w:sz w:val="18"/>
          <w:szCs w:val="18"/>
          <w:color w:val="134A9C"/>
        </w:rPr>
      </w:pPr>
    </w:p>
    <w:p>
      <w:pPr>
        <w:jc w:val="both"/>
        <w:ind w:left="340" w:right="20" w:hanging="332"/>
        <w:spacing w:after="0" w:line="262" w:lineRule="auto"/>
        <w:tabs>
          <w:tab w:leader="none" w:pos="340" w:val="left"/>
        </w:tabs>
        <w:numPr>
          <w:ilvl w:val="0"/>
          <w:numId w:val="63"/>
        </w:numPr>
        <w:rPr>
          <w:rFonts w:ascii="Arial" w:cs="Arial" w:eastAsia="Arial" w:hAnsi="Arial"/>
          <w:sz w:val="18"/>
          <w:szCs w:val="18"/>
          <w:color w:val="134A9C"/>
        </w:rPr>
      </w:pPr>
      <w:r>
        <w:rPr>
          <w:rFonts w:ascii="Arial" w:cs="Arial" w:eastAsia="Arial" w:hAnsi="Arial"/>
          <w:sz w:val="18"/>
          <w:szCs w:val="18"/>
          <w:b w:val="1"/>
          <w:bCs w:val="1"/>
          <w:color w:val="0033A0"/>
        </w:rPr>
        <w:t xml:space="preserve">Karl-Thomas Neumann - </w:t>
      </w:r>
      <w:r>
        <w:rPr>
          <w:rFonts w:ascii="Arial" w:cs="Arial" w:eastAsia="Arial" w:hAnsi="Arial"/>
          <w:sz w:val="18"/>
          <w:szCs w:val="18"/>
          <w:color w:val="000000"/>
        </w:rPr>
        <w:t>Dr. Neumann received a retention award of 27,587 RSUs with a grant date market value of $1,001,684. Dr.</w:t>
      </w:r>
      <w:r>
        <w:rPr>
          <w:rFonts w:ascii="Arial" w:cs="Arial" w:eastAsia="Arial" w:hAnsi="Arial"/>
          <w:sz w:val="18"/>
          <w:szCs w:val="18"/>
          <w:b w:val="1"/>
          <w:bCs w:val="1"/>
          <w:color w:val="0033A0"/>
        </w:rPr>
        <w:t xml:space="preserve"> </w:t>
      </w:r>
      <w:r>
        <w:rPr>
          <w:rFonts w:ascii="Arial" w:cs="Arial" w:eastAsia="Arial" w:hAnsi="Arial"/>
          <w:sz w:val="18"/>
          <w:szCs w:val="18"/>
          <w:color w:val="000000"/>
        </w:rPr>
        <w:t>Neumann’s extensive background in the European automotive market has been instrumental in the significant progress he has made against long-term goals that will return the Opel Group to profitability. Retaining Dr. Neumann to continue in his leadership role is critical to the Company’s overall success. The award for Dr. Neumann vests on the third anniversary of the grant date.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Perquisites, Benefits, and Other Compensation</w:t>
      </w:r>
    </w:p>
    <w:p>
      <w:pPr>
        <w:spacing w:after="0" w:line="14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provide perquisites, benefits, and other compensation to our NEOs that are consistent with market practices. The most significant perquisites, benefits, and other compensation provided to NEOs in 2014 are described below.</w:t>
      </w:r>
    </w:p>
    <w:p>
      <w:pPr>
        <w:spacing w:after="0" w:line="80" w:lineRule="exact"/>
        <w:rPr>
          <w:sz w:val="20"/>
          <w:szCs w:val="20"/>
          <w:color w:val="auto"/>
        </w:rPr>
      </w:pPr>
    </w:p>
    <w:p>
      <w:pPr>
        <w:jc w:val="both"/>
        <w:ind w:left="340" w:right="20" w:hanging="332"/>
        <w:spacing w:after="0" w:line="262" w:lineRule="auto"/>
        <w:tabs>
          <w:tab w:leader="none" w:pos="340" w:val="left"/>
        </w:tabs>
        <w:numPr>
          <w:ilvl w:val="0"/>
          <w:numId w:val="64"/>
        </w:numPr>
        <w:rPr>
          <w:rFonts w:ascii="Arial" w:cs="Arial" w:eastAsia="Arial" w:hAnsi="Arial"/>
          <w:sz w:val="18"/>
          <w:szCs w:val="18"/>
          <w:color w:val="134A9C"/>
        </w:rPr>
      </w:pPr>
      <w:r>
        <w:rPr>
          <w:rFonts w:ascii="Arial" w:cs="Arial" w:eastAsia="Arial" w:hAnsi="Arial"/>
          <w:sz w:val="18"/>
          <w:szCs w:val="18"/>
          <w:b w:val="1"/>
          <w:bCs w:val="1"/>
          <w:color w:val="0033A0"/>
        </w:rPr>
        <w:t xml:space="preserve">Personal Air Travel </w:t>
      </w:r>
      <w:r>
        <w:rPr>
          <w:rFonts w:ascii="Arial" w:cs="Arial" w:eastAsia="Arial" w:hAnsi="Arial"/>
          <w:sz w:val="18"/>
          <w:szCs w:val="18"/>
          <w:color w:val="000000"/>
        </w:rPr>
        <w:t>- Ms. Barra is prohibited by Company policy from commercial travel due to security-related reasons identified by an</w:t>
      </w:r>
      <w:r>
        <w:rPr>
          <w:rFonts w:ascii="Arial" w:cs="Arial" w:eastAsia="Arial" w:hAnsi="Arial"/>
          <w:sz w:val="18"/>
          <w:szCs w:val="18"/>
          <w:b w:val="1"/>
          <w:bCs w:val="1"/>
          <w:color w:val="0033A0"/>
        </w:rPr>
        <w:t xml:space="preserve"> </w:t>
      </w:r>
      <w:r>
        <w:rPr>
          <w:rFonts w:ascii="Arial" w:cs="Arial" w:eastAsia="Arial" w:hAnsi="Arial"/>
          <w:sz w:val="18"/>
          <w:szCs w:val="18"/>
          <w:color w:val="000000"/>
        </w:rPr>
        <w:t>independent third-party security consultant. As a result, the Company pays the costs associated with the use of chartered aircraft for both business and domestic personal use. Ms. Barra is permitted guests for personal travel and she is charged imputed income for all passengers including herself at the U.S. Internal Revenue Service (the "IRS") Standard</w:t>
      </w:r>
    </w:p>
    <w:p>
      <w:pPr>
        <w:spacing w:after="0" w:line="389"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48</w:t>
      </w:r>
      <w:r>
        <w:rPr>
          <w:sz w:val="20"/>
          <w:szCs w:val="20"/>
          <w:color w:val="auto"/>
        </w:rPr>
        <w:tab/>
      </w:r>
      <w:r>
        <w:rPr>
          <w:sz w:val="1"/>
          <w:szCs w:val="1"/>
          <w:color w:val="auto"/>
        </w:rPr>
        <w:drawing>
          <wp:inline distT="0" distB="0" distL="0" distR="0">
            <wp:extent cx="120015" cy="12001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sectPr>
      </w:pPr>
    </w:p>
    <w:bookmarkStart w:id="52" w:name="page53"/>
    <w:bookmarkEnd w:id="52"/>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right="20"/>
        <w:spacing w:after="0" w:line="300" w:lineRule="auto"/>
        <w:rPr>
          <w:sz w:val="20"/>
          <w:szCs w:val="20"/>
          <w:color w:val="auto"/>
        </w:rPr>
      </w:pPr>
      <w:r>
        <w:rPr>
          <w:rFonts w:ascii="Arial" w:cs="Arial" w:eastAsia="Arial" w:hAnsi="Arial"/>
          <w:sz w:val="18"/>
          <w:szCs w:val="18"/>
          <w:color w:val="auto"/>
        </w:rPr>
        <w:t>Industry Fair Level rates. Other NEOs may travel on chartered aircraft with prior approval from the CEO or General Counsel, and they are similarly charged imputed income for any personal travel.</w:t>
      </w:r>
    </w:p>
    <w:p>
      <w:pPr>
        <w:spacing w:after="0" w:line="1" w:lineRule="exact"/>
        <w:rPr>
          <w:sz w:val="20"/>
          <w:szCs w:val="20"/>
          <w:color w:val="auto"/>
        </w:rPr>
      </w:pPr>
    </w:p>
    <w:p>
      <w:pPr>
        <w:jc w:val="both"/>
        <w:ind w:left="340" w:right="20" w:hanging="332"/>
        <w:spacing w:after="0" w:line="269" w:lineRule="auto"/>
        <w:tabs>
          <w:tab w:leader="none" w:pos="340" w:val="left"/>
        </w:tabs>
        <w:numPr>
          <w:ilvl w:val="0"/>
          <w:numId w:val="65"/>
        </w:numPr>
        <w:rPr>
          <w:rFonts w:ascii="Arial" w:cs="Arial" w:eastAsia="Arial" w:hAnsi="Arial"/>
          <w:sz w:val="18"/>
          <w:szCs w:val="18"/>
          <w:color w:val="134A9C"/>
        </w:rPr>
      </w:pPr>
      <w:r>
        <w:rPr>
          <w:rFonts w:ascii="Arial" w:cs="Arial" w:eastAsia="Arial" w:hAnsi="Arial"/>
          <w:sz w:val="18"/>
          <w:szCs w:val="18"/>
          <w:b w:val="1"/>
          <w:bCs w:val="1"/>
          <w:color w:val="0033A0"/>
        </w:rPr>
        <w:t xml:space="preserve">Company Vehicle Programs </w:t>
      </w:r>
      <w:r>
        <w:rPr>
          <w:rFonts w:ascii="Arial" w:cs="Arial" w:eastAsia="Arial" w:hAnsi="Arial"/>
          <w:sz w:val="18"/>
          <w:szCs w:val="18"/>
          <w:color w:val="000000"/>
        </w:rPr>
        <w:t>- NEOs are eligible to participate in the Executive Company Vehicle Program and allowed to use evaluation</w:t>
      </w:r>
      <w:r>
        <w:rPr>
          <w:rFonts w:ascii="Arial" w:cs="Arial" w:eastAsia="Arial" w:hAnsi="Arial"/>
          <w:sz w:val="18"/>
          <w:szCs w:val="18"/>
          <w:b w:val="1"/>
          <w:bCs w:val="1"/>
          <w:color w:val="0033A0"/>
        </w:rPr>
        <w:t xml:space="preserve"> </w:t>
      </w:r>
      <w:r>
        <w:rPr>
          <w:rFonts w:ascii="Arial" w:cs="Arial" w:eastAsia="Arial" w:hAnsi="Arial"/>
          <w:sz w:val="18"/>
          <w:szCs w:val="18"/>
          <w:color w:val="000000"/>
        </w:rPr>
        <w:t>vehicles on which they give product feedback about our products. Additionally, NEOs are eligible to use chauffeuring services provided by the Company pursuant to Company policies.</w:t>
      </w:r>
    </w:p>
    <w:p>
      <w:pPr>
        <w:spacing w:after="0" w:line="6" w:lineRule="exact"/>
        <w:rPr>
          <w:rFonts w:ascii="Arial" w:cs="Arial" w:eastAsia="Arial" w:hAnsi="Arial"/>
          <w:sz w:val="18"/>
          <w:szCs w:val="18"/>
          <w:color w:val="134A9C"/>
        </w:rPr>
      </w:pPr>
    </w:p>
    <w:p>
      <w:pPr>
        <w:ind w:left="340" w:hanging="332"/>
        <w:spacing w:after="0"/>
        <w:tabs>
          <w:tab w:leader="none" w:pos="340" w:val="left"/>
        </w:tabs>
        <w:numPr>
          <w:ilvl w:val="0"/>
          <w:numId w:val="65"/>
        </w:numPr>
        <w:rPr>
          <w:rFonts w:ascii="Arial" w:cs="Arial" w:eastAsia="Arial" w:hAnsi="Arial"/>
          <w:sz w:val="18"/>
          <w:szCs w:val="18"/>
          <w:color w:val="134A9C"/>
        </w:rPr>
      </w:pPr>
      <w:r>
        <w:rPr>
          <w:rFonts w:ascii="Arial" w:cs="Arial" w:eastAsia="Arial" w:hAnsi="Arial"/>
          <w:sz w:val="18"/>
          <w:szCs w:val="18"/>
          <w:b w:val="1"/>
          <w:bCs w:val="1"/>
          <w:color w:val="0033A0"/>
        </w:rPr>
        <w:t xml:space="preserve">Financial Counseling </w:t>
      </w:r>
      <w:r>
        <w:rPr>
          <w:rFonts w:ascii="Arial" w:cs="Arial" w:eastAsia="Arial" w:hAnsi="Arial"/>
          <w:sz w:val="18"/>
          <w:szCs w:val="18"/>
          <w:color w:val="000000"/>
        </w:rPr>
        <w:t>- NEOs are eligible to receive financial counseling and estate planning services through approved providers.</w:t>
      </w:r>
    </w:p>
    <w:p>
      <w:pPr>
        <w:spacing w:after="0" w:line="63" w:lineRule="exact"/>
        <w:rPr>
          <w:rFonts w:ascii="Arial" w:cs="Arial" w:eastAsia="Arial" w:hAnsi="Arial"/>
          <w:sz w:val="18"/>
          <w:szCs w:val="18"/>
          <w:color w:val="134A9C"/>
        </w:rPr>
      </w:pPr>
    </w:p>
    <w:p>
      <w:pPr>
        <w:ind w:left="340" w:hanging="332"/>
        <w:spacing w:after="0"/>
        <w:tabs>
          <w:tab w:leader="none" w:pos="340" w:val="left"/>
        </w:tabs>
        <w:numPr>
          <w:ilvl w:val="0"/>
          <w:numId w:val="65"/>
        </w:numPr>
        <w:rPr>
          <w:rFonts w:ascii="Arial" w:cs="Arial" w:eastAsia="Arial" w:hAnsi="Arial"/>
          <w:sz w:val="18"/>
          <w:szCs w:val="18"/>
          <w:color w:val="134A9C"/>
        </w:rPr>
      </w:pPr>
      <w:r>
        <w:rPr>
          <w:rFonts w:ascii="Arial" w:cs="Arial" w:eastAsia="Arial" w:hAnsi="Arial"/>
          <w:sz w:val="18"/>
          <w:szCs w:val="18"/>
          <w:b w:val="1"/>
          <w:bCs w:val="1"/>
          <w:color w:val="0033A0"/>
        </w:rPr>
        <w:t xml:space="preserve">Retirement Benefits </w:t>
      </w:r>
      <w:r>
        <w:rPr>
          <w:rFonts w:ascii="Arial" w:cs="Arial" w:eastAsia="Arial" w:hAnsi="Arial"/>
          <w:sz w:val="18"/>
          <w:szCs w:val="18"/>
          <w:color w:val="000000"/>
        </w:rPr>
        <w:t>- NEOs are eligible to participate in non-qualified supplemental retirement plans.</w:t>
      </w: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0033A0"/>
        </w:rPr>
        <w:t>Compensation Policies and Governance Practices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Stock Ownership Requirements</w:t>
      </w:r>
    </w:p>
    <w:p>
      <w:pPr>
        <w:spacing w:after="0" w:line="14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 June 2014, upon stockholder approval of the STIP and LTIP, the Compensation Committee implemented stock ownership requirements for approximately 300 senior executives, including the NEOs, to more closely align the interests of executives with those of our stockholders. The stock ownership requirements provide senior executives a period of five years to acquire and hold Common Stock based on a multiple of their base salary at the latter of July 1, 2014 or the date they are first covered by the policy. Senior executives can meet the requirement by owning stock that meets or exceeds the value or share requirement. Below is the stock ownership requirement by level in the organization as well as ownership requirements for each of our NEOs.</w:t>
      </w: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740" w:type="dxa"/>
            <w:vAlign w:val="bottom"/>
            <w:tcBorders>
              <w:left w:val="single" w:sz="8" w:color="134A9C"/>
              <w:right w:val="single" w:sz="8" w:color="134A9C"/>
            </w:tcBorders>
            <w:shd w:val="clear" w:color="auto" w:fill="134A9C"/>
          </w:tcPr>
          <w:p>
            <w:pPr>
              <w:ind w:left="2580"/>
              <w:spacing w:after="0"/>
              <w:rPr>
                <w:sz w:val="20"/>
                <w:szCs w:val="20"/>
                <w:color w:val="auto"/>
              </w:rPr>
            </w:pPr>
            <w:r>
              <w:rPr>
                <w:rFonts w:ascii="Arial" w:cs="Arial" w:eastAsia="Arial" w:hAnsi="Arial"/>
                <w:sz w:val="14"/>
                <w:szCs w:val="14"/>
                <w:b w:val="1"/>
                <w:bCs w:val="1"/>
                <w:color w:val="FFFFFF"/>
              </w:rPr>
              <w:t>Position</w:t>
            </w:r>
          </w:p>
        </w:tc>
        <w:tc>
          <w:tcPr>
            <w:tcW w:w="570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Ownership Requirement as a Multiple of Salary</w:t>
            </w:r>
          </w:p>
        </w:tc>
      </w:tr>
      <w:tr>
        <w:trPr>
          <w:trHeight w:val="210"/>
        </w:trPr>
        <w:tc>
          <w:tcPr>
            <w:tcW w:w="57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CEO</w:t>
            </w:r>
          </w:p>
        </w:tc>
        <w:tc>
          <w:tcPr>
            <w:tcW w:w="570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6x</w:t>
            </w:r>
          </w:p>
        </w:tc>
      </w:tr>
      <w:tr>
        <w:trPr>
          <w:trHeight w:val="210"/>
        </w:trPr>
        <w:tc>
          <w:tcPr>
            <w:tcW w:w="57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President and Executive Vice President</w:t>
            </w:r>
          </w:p>
        </w:tc>
        <w:tc>
          <w:tcPr>
            <w:tcW w:w="570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4x</w:t>
            </w:r>
          </w:p>
        </w:tc>
      </w:tr>
      <w:tr>
        <w:trPr>
          <w:trHeight w:val="210"/>
        </w:trPr>
        <w:tc>
          <w:tcPr>
            <w:tcW w:w="57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Senior Vice President</w:t>
            </w:r>
          </w:p>
        </w:tc>
        <w:tc>
          <w:tcPr>
            <w:tcW w:w="570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3x</w:t>
            </w:r>
          </w:p>
        </w:tc>
      </w:tr>
      <w:tr>
        <w:trPr>
          <w:trHeight w:val="210"/>
        </w:trPr>
        <w:tc>
          <w:tcPr>
            <w:tcW w:w="57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Senior Executive</w:t>
            </w:r>
          </w:p>
        </w:tc>
        <w:tc>
          <w:tcPr>
            <w:tcW w:w="570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1x</w:t>
            </w:r>
          </w:p>
        </w:tc>
      </w:tr>
    </w:tbl>
    <w:p>
      <w:pPr>
        <w:spacing w:after="0" w:line="324"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3660" w:type="dxa"/>
            <w:vAlign w:val="bottom"/>
            <w:tcBorders>
              <w:left w:val="single" w:sz="8" w:color="134A9C"/>
              <w:right w:val="single" w:sz="8" w:color="134A9C"/>
            </w:tcBorders>
            <w:shd w:val="clear" w:color="auto" w:fill="134A9C"/>
          </w:tcPr>
          <w:p>
            <w:pPr>
              <w:spacing w:after="0"/>
              <w:rPr>
                <w:sz w:val="16"/>
                <w:szCs w:val="16"/>
                <w:color w:val="auto"/>
              </w:rPr>
            </w:pPr>
          </w:p>
        </w:tc>
        <w:tc>
          <w:tcPr>
            <w:tcW w:w="2300" w:type="dxa"/>
            <w:vAlign w:val="bottom"/>
            <w:tcBorders>
              <w:right w:val="single" w:sz="8" w:color="134A9C"/>
            </w:tcBorders>
            <w:shd w:val="clear" w:color="auto" w:fill="134A9C"/>
          </w:tcPr>
          <w:p>
            <w:pPr>
              <w:spacing w:after="0"/>
              <w:rPr>
                <w:sz w:val="16"/>
                <w:szCs w:val="16"/>
                <w:color w:val="auto"/>
              </w:rPr>
            </w:pPr>
          </w:p>
        </w:tc>
        <w:tc>
          <w:tcPr>
            <w:tcW w:w="1720" w:type="dxa"/>
            <w:vAlign w:val="bottom"/>
            <w:shd w:val="clear" w:color="auto" w:fill="134A9C"/>
          </w:tcPr>
          <w:p>
            <w:pPr>
              <w:jc w:val="center"/>
              <w:ind w:left="668"/>
              <w:spacing w:after="0"/>
              <w:rPr>
                <w:sz w:val="20"/>
                <w:szCs w:val="20"/>
                <w:color w:val="auto"/>
              </w:rPr>
            </w:pPr>
            <w:r>
              <w:rPr>
                <w:rFonts w:ascii="Arial" w:cs="Arial" w:eastAsia="Arial" w:hAnsi="Arial"/>
                <w:sz w:val="14"/>
                <w:szCs w:val="14"/>
                <w:b w:val="1"/>
                <w:bCs w:val="1"/>
                <w:color w:val="FFFFFF"/>
              </w:rPr>
              <w:t>Value of Stock</w:t>
            </w:r>
          </w:p>
        </w:tc>
        <w:tc>
          <w:tcPr>
            <w:tcW w:w="780" w:type="dxa"/>
            <w:vAlign w:val="bottom"/>
            <w:tcBorders>
              <w:right w:val="single" w:sz="8" w:color="134A9C"/>
            </w:tcBorders>
            <w:shd w:val="clear" w:color="auto" w:fill="134A9C"/>
          </w:tcPr>
          <w:p>
            <w:pPr>
              <w:spacing w:after="0"/>
              <w:rPr>
                <w:sz w:val="16"/>
                <w:szCs w:val="16"/>
                <w:color w:val="auto"/>
              </w:rPr>
            </w:pPr>
          </w:p>
        </w:tc>
        <w:tc>
          <w:tcPr>
            <w:tcW w:w="2940" w:type="dxa"/>
            <w:vAlign w:val="bottom"/>
            <w:tcBorders>
              <w:right w:val="single" w:sz="8" w:color="134A9C"/>
            </w:tcBorders>
            <w:shd w:val="clear" w:color="auto" w:fill="134A9C"/>
          </w:tcPr>
          <w:p>
            <w:pPr>
              <w:jc w:val="right"/>
              <w:ind w:right="868"/>
              <w:spacing w:after="0"/>
              <w:rPr>
                <w:sz w:val="20"/>
                <w:szCs w:val="20"/>
                <w:color w:val="auto"/>
              </w:rPr>
            </w:pPr>
            <w:r>
              <w:rPr>
                <w:rFonts w:ascii="Arial" w:cs="Arial" w:eastAsia="Arial" w:hAnsi="Arial"/>
                <w:sz w:val="14"/>
                <w:szCs w:val="14"/>
                <w:b w:val="1"/>
                <w:bCs w:val="1"/>
                <w:color w:val="FFFFFF"/>
              </w:rPr>
              <w:t>Shares of Stock</w:t>
            </w:r>
          </w:p>
        </w:tc>
      </w:tr>
      <w:tr>
        <w:trPr>
          <w:trHeight w:val="196"/>
        </w:trPr>
        <w:tc>
          <w:tcPr>
            <w:tcW w:w="3660" w:type="dxa"/>
            <w:vAlign w:val="bottom"/>
            <w:tcBorders>
              <w:left w:val="single" w:sz="8" w:color="134A9C"/>
              <w:bottom w:val="single" w:sz="8" w:color="134A9C"/>
              <w:right w:val="single" w:sz="8" w:color="134A9C"/>
            </w:tcBorders>
            <w:shd w:val="clear" w:color="auto" w:fill="134A9C"/>
          </w:tcPr>
          <w:p>
            <w:pPr>
              <w:ind w:left="1640"/>
              <w:spacing w:after="0"/>
              <w:rPr>
                <w:sz w:val="20"/>
                <w:szCs w:val="20"/>
                <w:color w:val="auto"/>
              </w:rPr>
            </w:pPr>
            <w:r>
              <w:rPr>
                <w:rFonts w:ascii="Arial" w:cs="Arial" w:eastAsia="Arial" w:hAnsi="Arial"/>
                <w:sz w:val="14"/>
                <w:szCs w:val="14"/>
                <w:b w:val="1"/>
                <w:bCs w:val="1"/>
                <w:color w:val="FFFFFF"/>
              </w:rPr>
              <w:t>Name</w:t>
            </w:r>
          </w:p>
        </w:tc>
        <w:tc>
          <w:tcPr>
            <w:tcW w:w="230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Ownership Requirement</w:t>
            </w:r>
          </w:p>
        </w:tc>
        <w:tc>
          <w:tcPr>
            <w:tcW w:w="1720" w:type="dxa"/>
            <w:vAlign w:val="bottom"/>
            <w:tcBorders>
              <w:bottom w:val="single" w:sz="8" w:color="134A9C"/>
            </w:tcBorders>
            <w:shd w:val="clear" w:color="auto" w:fill="134A9C"/>
          </w:tcPr>
          <w:p>
            <w:pPr>
              <w:jc w:val="right"/>
              <w:ind w:right="328"/>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134A9C"/>
              <w:right w:val="single" w:sz="8" w:color="134A9C"/>
            </w:tcBorders>
            <w:shd w:val="clear" w:color="auto" w:fill="134A9C"/>
          </w:tcPr>
          <w:p>
            <w:pPr>
              <w:spacing w:after="0"/>
              <w:rPr>
                <w:sz w:val="17"/>
                <w:szCs w:val="17"/>
                <w:color w:val="auto"/>
              </w:rPr>
            </w:pPr>
          </w:p>
        </w:tc>
        <w:tc>
          <w:tcPr>
            <w:tcW w:w="2940" w:type="dxa"/>
            <w:vAlign w:val="bottom"/>
            <w:tcBorders>
              <w:bottom w:val="single" w:sz="8" w:color="134A9C"/>
              <w:right w:val="single" w:sz="8" w:color="134A9C"/>
            </w:tcBorders>
            <w:shd w:val="clear" w:color="auto" w:fill="134A9C"/>
          </w:tcPr>
          <w:p>
            <w:pPr>
              <w:jc w:val="right"/>
              <w:ind w:right="1328"/>
              <w:spacing w:after="0"/>
              <w:rPr>
                <w:sz w:val="20"/>
                <w:szCs w:val="20"/>
                <w:color w:val="auto"/>
              </w:rPr>
            </w:pPr>
            <w:r>
              <w:rPr>
                <w:rFonts w:ascii="Arial" w:cs="Arial" w:eastAsia="Arial" w:hAnsi="Arial"/>
                <w:sz w:val="14"/>
                <w:szCs w:val="14"/>
                <w:b w:val="1"/>
                <w:bCs w:val="1"/>
                <w:color w:val="FFFFFF"/>
              </w:rPr>
              <w:t>(#)</w:t>
            </w:r>
          </w:p>
        </w:tc>
      </w:tr>
      <w:tr>
        <w:trPr>
          <w:trHeight w:val="210"/>
        </w:trPr>
        <w:tc>
          <w:tcPr>
            <w:tcW w:w="36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Mary T. Barra</w:t>
            </w:r>
          </w:p>
        </w:tc>
        <w:tc>
          <w:tcPr>
            <w:tcW w:w="230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6x</w:t>
            </w:r>
          </w:p>
        </w:tc>
        <w:tc>
          <w:tcPr>
            <w:tcW w:w="1720" w:type="dxa"/>
            <w:vAlign w:val="bottom"/>
            <w:tcBorders>
              <w:bottom w:val="single" w:sz="8" w:color="134A9C"/>
            </w:tcBorders>
          </w:tcPr>
          <w:p>
            <w:pPr>
              <w:spacing w:after="0"/>
              <w:rPr>
                <w:sz w:val="18"/>
                <w:szCs w:val="18"/>
                <w:color w:val="auto"/>
              </w:rPr>
            </w:pPr>
          </w:p>
        </w:tc>
        <w:tc>
          <w:tcPr>
            <w:tcW w:w="7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9,600,000</w:t>
            </w:r>
          </w:p>
        </w:tc>
        <w:tc>
          <w:tcPr>
            <w:tcW w:w="2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264,390</w:t>
            </w:r>
          </w:p>
        </w:tc>
      </w:tr>
      <w:tr>
        <w:trPr>
          <w:trHeight w:val="210"/>
        </w:trPr>
        <w:tc>
          <w:tcPr>
            <w:tcW w:w="36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Charles K. Stevens, III</w:t>
            </w:r>
          </w:p>
        </w:tc>
        <w:tc>
          <w:tcPr>
            <w:tcW w:w="230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4x</w:t>
            </w:r>
          </w:p>
        </w:tc>
        <w:tc>
          <w:tcPr>
            <w:tcW w:w="1720" w:type="dxa"/>
            <w:vAlign w:val="bottom"/>
            <w:tcBorders>
              <w:bottom w:val="single" w:sz="8" w:color="134A9C"/>
            </w:tcBorders>
          </w:tcPr>
          <w:p>
            <w:pPr>
              <w:spacing w:after="0"/>
              <w:rPr>
                <w:sz w:val="18"/>
                <w:szCs w:val="18"/>
                <w:color w:val="auto"/>
              </w:rPr>
            </w:pPr>
          </w:p>
        </w:tc>
        <w:tc>
          <w:tcPr>
            <w:tcW w:w="7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2,800,000</w:t>
            </w:r>
          </w:p>
        </w:tc>
        <w:tc>
          <w:tcPr>
            <w:tcW w:w="2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77,114</w:t>
            </w:r>
          </w:p>
        </w:tc>
      </w:tr>
      <w:tr>
        <w:trPr>
          <w:trHeight w:val="210"/>
        </w:trPr>
        <w:tc>
          <w:tcPr>
            <w:tcW w:w="36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Ammann</w:t>
            </w:r>
          </w:p>
        </w:tc>
        <w:tc>
          <w:tcPr>
            <w:tcW w:w="230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4x</w:t>
            </w:r>
          </w:p>
        </w:tc>
        <w:tc>
          <w:tcPr>
            <w:tcW w:w="1720" w:type="dxa"/>
            <w:vAlign w:val="bottom"/>
            <w:tcBorders>
              <w:bottom w:val="single" w:sz="8" w:color="134A9C"/>
            </w:tcBorders>
          </w:tcPr>
          <w:p>
            <w:pPr>
              <w:spacing w:after="0"/>
              <w:rPr>
                <w:sz w:val="18"/>
                <w:szCs w:val="18"/>
                <w:color w:val="auto"/>
              </w:rPr>
            </w:pPr>
          </w:p>
        </w:tc>
        <w:tc>
          <w:tcPr>
            <w:tcW w:w="7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4,000,000</w:t>
            </w:r>
          </w:p>
        </w:tc>
        <w:tc>
          <w:tcPr>
            <w:tcW w:w="2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110,162</w:t>
            </w:r>
          </w:p>
        </w:tc>
      </w:tr>
      <w:tr>
        <w:trPr>
          <w:trHeight w:val="210"/>
        </w:trPr>
        <w:tc>
          <w:tcPr>
            <w:tcW w:w="36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Mark L. Reuss</w:t>
            </w:r>
          </w:p>
        </w:tc>
        <w:tc>
          <w:tcPr>
            <w:tcW w:w="230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4x</w:t>
            </w:r>
          </w:p>
        </w:tc>
        <w:tc>
          <w:tcPr>
            <w:tcW w:w="1720" w:type="dxa"/>
            <w:vAlign w:val="bottom"/>
            <w:tcBorders>
              <w:bottom w:val="single" w:sz="8" w:color="134A9C"/>
            </w:tcBorders>
          </w:tcPr>
          <w:p>
            <w:pPr>
              <w:spacing w:after="0"/>
              <w:rPr>
                <w:sz w:val="18"/>
                <w:szCs w:val="18"/>
                <w:color w:val="auto"/>
              </w:rPr>
            </w:pPr>
          </w:p>
        </w:tc>
        <w:tc>
          <w:tcPr>
            <w:tcW w:w="7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3,400,000</w:t>
            </w:r>
          </w:p>
        </w:tc>
        <w:tc>
          <w:tcPr>
            <w:tcW w:w="2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93,638</w:t>
            </w:r>
          </w:p>
        </w:tc>
      </w:tr>
      <w:tr>
        <w:trPr>
          <w:trHeight w:val="210"/>
        </w:trPr>
        <w:tc>
          <w:tcPr>
            <w:tcW w:w="36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Michael P. Millikin</w:t>
            </w:r>
          </w:p>
        </w:tc>
        <w:tc>
          <w:tcPr>
            <w:tcW w:w="230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4x</w:t>
            </w:r>
          </w:p>
        </w:tc>
        <w:tc>
          <w:tcPr>
            <w:tcW w:w="1720" w:type="dxa"/>
            <w:vAlign w:val="bottom"/>
            <w:tcBorders>
              <w:bottom w:val="single" w:sz="8" w:color="134A9C"/>
            </w:tcBorders>
          </w:tcPr>
          <w:p>
            <w:pPr>
              <w:spacing w:after="0"/>
              <w:rPr>
                <w:sz w:val="18"/>
                <w:szCs w:val="18"/>
                <w:color w:val="auto"/>
              </w:rPr>
            </w:pPr>
          </w:p>
        </w:tc>
        <w:tc>
          <w:tcPr>
            <w:tcW w:w="7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2,800,000</w:t>
            </w:r>
          </w:p>
        </w:tc>
        <w:tc>
          <w:tcPr>
            <w:tcW w:w="2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77,114</w:t>
            </w:r>
          </w:p>
        </w:tc>
      </w:tr>
      <w:tr>
        <w:trPr>
          <w:trHeight w:val="216"/>
        </w:trPr>
        <w:tc>
          <w:tcPr>
            <w:tcW w:w="36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 xml:space="preserve">Karl-Thomas Neumann </w:t>
            </w:r>
            <w:r>
              <w:rPr>
                <w:rFonts w:ascii="Arial" w:cs="Arial" w:eastAsia="Arial" w:hAnsi="Arial"/>
                <w:sz w:val="17"/>
                <w:szCs w:val="17"/>
                <w:color w:val="auto"/>
                <w:vertAlign w:val="superscript"/>
              </w:rPr>
              <w:t>(1)</w:t>
            </w:r>
          </w:p>
        </w:tc>
        <w:tc>
          <w:tcPr>
            <w:tcW w:w="230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4x</w:t>
            </w:r>
          </w:p>
        </w:tc>
        <w:tc>
          <w:tcPr>
            <w:tcW w:w="1720" w:type="dxa"/>
            <w:vAlign w:val="bottom"/>
            <w:tcBorders>
              <w:bottom w:val="single" w:sz="8" w:color="134A9C"/>
            </w:tcBorders>
          </w:tcPr>
          <w:p>
            <w:pPr>
              <w:spacing w:after="0"/>
              <w:rPr>
                <w:sz w:val="18"/>
                <w:szCs w:val="18"/>
                <w:color w:val="auto"/>
              </w:rPr>
            </w:pPr>
          </w:p>
        </w:tc>
        <w:tc>
          <w:tcPr>
            <w:tcW w:w="78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3,359,485</w:t>
            </w:r>
          </w:p>
        </w:tc>
        <w:tc>
          <w:tcPr>
            <w:tcW w:w="29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92,523</w:t>
            </w:r>
          </w:p>
        </w:tc>
      </w:tr>
    </w:tbl>
    <w:p>
      <w:pPr>
        <w:spacing w:after="0" w:line="5" w:lineRule="exact"/>
        <w:rPr>
          <w:sz w:val="20"/>
          <w:szCs w:val="20"/>
          <w:color w:val="auto"/>
        </w:rPr>
      </w:pPr>
    </w:p>
    <w:p>
      <w:pPr>
        <w:ind w:left="340" w:right="20" w:hanging="332"/>
        <w:spacing w:after="0" w:line="258"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Dr. Neumann’s stock ownership requirement was determined using this salary of €618,564 and converted using the 12-month trailing exchange rate on July 1, 2014 of €1 = $1.3578.</w:t>
      </w:r>
    </w:p>
    <w:p>
      <w:pPr>
        <w:spacing w:after="0" w:line="9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share requirement to meet ownership guidelines was based on the 12-month trailing stock price from June 30, 2013 - June 30, 2014, which was $36.31 per share. As of December 31, 2014, all NEOs are on track to achieve stock ownership requirements by July 1, 2019.</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Policy on Recoupment of Incentive Compensation</w:t>
      </w:r>
    </w:p>
    <w:p>
      <w:pPr>
        <w:spacing w:after="0" w:line="14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 xml:space="preserve">We have adopted a corporate policy regarding the recoupment of incentive compensation paid to executive officers in situations involving financial restatement due to employee fraud, negligence, or intentional misconduct. The "clawback" policy, which is posted on our website, </w:t>
      </w:r>
      <w:r>
        <w:rPr>
          <w:rFonts w:ascii="Arial" w:cs="Arial" w:eastAsia="Arial" w:hAnsi="Arial"/>
          <w:sz w:val="18"/>
          <w:szCs w:val="18"/>
          <w:i w:val="1"/>
          <w:iCs w:val="1"/>
          <w:color w:val="auto"/>
        </w:rPr>
        <w:t>www.gm.com/investor</w:t>
      </w:r>
      <w:r>
        <w:rPr>
          <w:rFonts w:ascii="Arial" w:cs="Arial" w:eastAsia="Arial" w:hAnsi="Arial"/>
          <w:sz w:val="18"/>
          <w:szCs w:val="18"/>
          <w:color w:val="auto"/>
        </w:rPr>
        <w:t>, under “Corporate Governance,” provides that if our Board or an appropriate Board committee determines that any</w:t>
      </w:r>
      <w:r>
        <w:rPr>
          <w:rFonts w:ascii="Arial" w:cs="Arial" w:eastAsia="Arial" w:hAnsi="Arial"/>
          <w:sz w:val="18"/>
          <w:szCs w:val="18"/>
          <w:i w:val="1"/>
          <w:iCs w:val="1"/>
          <w:color w:val="auto"/>
        </w:rPr>
        <w:t xml:space="preserve"> </w:t>
      </w:r>
      <w:r>
        <w:rPr>
          <w:rFonts w:ascii="Arial" w:cs="Arial" w:eastAsia="Arial" w:hAnsi="Arial"/>
          <w:sz w:val="18"/>
          <w:szCs w:val="18"/>
          <w:color w:val="auto"/>
        </w:rPr>
        <w:t>bonus, retention award, or short- or long-term incentive compensation has been paid to any</w:t>
      </w:r>
    </w:p>
    <w:p>
      <w:pPr>
        <w:spacing w:after="0" w:line="394"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49</w:t>
      </w:r>
      <w:r>
        <w:rPr>
          <w:sz w:val="20"/>
          <w:szCs w:val="20"/>
          <w:color w:val="auto"/>
        </w:rPr>
        <w:tab/>
      </w:r>
      <w:r>
        <w:rPr>
          <w:sz w:val="1"/>
          <w:szCs w:val="1"/>
          <w:color w:val="auto"/>
        </w:rPr>
        <w:drawing>
          <wp:inline distT="0" distB="0" distL="0" distR="0">
            <wp:extent cx="120015" cy="12001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sectPr>
      </w:pPr>
    </w:p>
    <w:bookmarkStart w:id="53" w:name="page54"/>
    <w:bookmarkEnd w:id="53"/>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executive officer based on materially inaccurate misstatement of earnings, revenues, gains, or other criteria, the Board or Compensation Committee, in its discretion, will take such action as it deems necessary to recover the compensation paid, remedy the misconduct, and prevent its recurrence. For this purpose, a financial statement or performance metric will be treated as materially inaccurate with respect to any employee who knowingly engaged in providing inaccurate information or knowingly failed to timely correct information relating to those financial statements or performance metrics. We will continue to review our policy to assure that it is consistent with all legal requirements and in the best interests of the Company and its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Securities Trading Policy</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maintain a securities trading policy that prohibits our employees from buying or selling GM securities when in possession of material non-public information, and any sales or purchases of Common Stock by directors and executive officers require specific prior notice to the GM Legal Staff.</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Trading in GM derivatives (i.e., puts or calls) and engaging in short sales of GM securities are also prohibited, and no GM executive officer has pledged any shares of Common Stock. This policy is posted on our website, </w:t>
      </w:r>
      <w:r>
        <w:rPr>
          <w:rFonts w:ascii="Arial" w:cs="Arial" w:eastAsia="Arial" w:hAnsi="Arial"/>
          <w:sz w:val="18"/>
          <w:szCs w:val="18"/>
          <w:i w:val="1"/>
          <w:iCs w:val="1"/>
          <w:color w:val="auto"/>
        </w:rPr>
        <w:t>www.gm.com/investor</w:t>
      </w:r>
      <w:r>
        <w:rPr>
          <w:rFonts w:ascii="Arial" w:cs="Arial" w:eastAsia="Arial" w:hAnsi="Arial"/>
          <w:sz w:val="18"/>
          <w:szCs w:val="18"/>
          <w:color w:val="auto"/>
        </w:rPr>
        <w:t>, under “Corporate Governance.”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Tax Considerations</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U.S. Internal Revenue Code (the "IRC") Section 162(m) generally disallows Federal tax deductions for compensation in excess of $1 million paid to the CEO and the next three of our highest paid officers (other than the Chief Financial Officer) whose compensation is required to be reported in the Summary Compensation Table of the proxy statement (‘‘Covered Executives’’). Certain performance-based compensation is not subject to this deduction limitation. Generally, we strive to maximize the tax deductibility of compensation arrangements. The Compensation Committee, however, retains discretion to award compensation that is not fully tax deductible if it deems this to be appropriate in designing compensation that will attract and retain talented executives in the highly competitive market for talent.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Compensation Committee and Consultant Independence</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Compensation Committee is composed entirely of independent directors as determined by the Board under NYSE guidelines and as defined for various regulatory purposes. The Compensation Committee was assisted in its work by CAP from January to June of 2014 and transitioned to Farient Advisors ("Farient") in June of 2014. Both CAP and Farient are independent compensation consulting firms who take direction from and are solely responsible to the Compensation Committee. The Compensation Committee is also aided in its deliberations by legal counsel.</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its charter, the Compensation Committee has the authority to engage outside consultants and advisors at the Company’s expense. Through June 2014, the Compensation Committee continued to retain the services of CAP to advise the Compensation Committee regarding compensation for the NEOs and certain other compensation-related matters. A representative of CAP attended all Compensation Committee meetings, either in person or via telephone conference, consulted with and advised the Compensation Committee members on executive compensation matters–including the form and amount of various pay elements–as needed, and developed and presented executive benchmarking data for the Compensation Committee’s use in its deliberations. CAP provided no services to the Company’s management.</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2014, the Compensation Committee elected to transition to Farient for independent executive compensation consulting services. Farient provided guidance to the Compensation Committee regarding compensation for the NEOs and certain other compensation related matters. A representative of Farient attended all Compensation Committee meetings in person or via telephone and consulted with the Compensation Committee members on executive compensation matters. Farient provided no services to the Company’s management.</w:t>
      </w:r>
    </w:p>
    <w:p>
      <w:pPr>
        <w:spacing w:after="0" w:line="11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Compensation Committee annually reviews the performance and independence of its compensation consultant in accordance with applicable standards and no independence issues were identified with either CAP or Farient.</w:t>
      </w:r>
    </w:p>
    <w:p>
      <w:pPr>
        <w:spacing w:after="0" w:line="386"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50</w:t>
      </w:r>
      <w:r>
        <w:rPr>
          <w:sz w:val="20"/>
          <w:szCs w:val="20"/>
          <w:color w:val="auto"/>
        </w:rPr>
        <w:tab/>
      </w:r>
      <w:r>
        <w:rPr>
          <w:sz w:val="1"/>
          <w:szCs w:val="1"/>
          <w:color w:val="auto"/>
        </w:rPr>
        <w:drawing>
          <wp:inline distT="0" distB="0" distL="0" distR="0">
            <wp:extent cx="120015" cy="12001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54" w:name="page55"/>
    <w:bookmarkEnd w:id="54"/>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Compensation Risk Assessment Process</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2014, the Compensation Committee met with our Vice President, Controller and Chief Accounting Officer who oversees the risk management organization to review and discuss the impact of executive compensation programs on organizational risk. The Compensation Committee discussed compensation plans and reviewed risk mitigation features in each of the plans to evaluate with the assistance of risk management the overall impact that compensation programs have on organizational risk. The Compensation Committee determined that compensation programs have sufficient risk mitigation features in each of the plans that do not encourage or reward employees for taking excessive or unnecessary risk. The appropriate mix of short- and long-term incentive compensation rewards employees while balancing risks through the delayed payment of long-term awards.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the compensation risk review completed on December 8, 2014, the Compensation Committee determined that the overall risk of compensation programs exposing the organization to unnecessary or excessive risks that threatens the value of the Company is low.</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Stockholder Say-on-Pay</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Compensation Committee seeks to assure stockholders that the Company’s executive compensation program is aligned with the interests of its stockholders. In that regard, as part of its ongoing review of the Company’s executive compensation program, the Compensation Committee considered the results of the Say-on-Pay vote in 2014. While the results of the vote, with nearly 97 percent of votes cast in favor, demonstrated overwhelming support for the Company’s executive compensation program, the Compensation Committee determined, based on the recommendation of management, input from its independent compensation consultant, and investor outreach initiatives, as well as its own evaluation of the TARP-related compensation programs, to approve a revised executive compensation program in 2014 with an increased focus on performance-based compensation and pay-at-risk. The revised executive compensation program is intended to better align executive compensation with the short- and long-term goals of the business, as well as aligning the interests of executives with those of stockholders.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51</w:t>
      </w:r>
      <w:r>
        <w:rPr>
          <w:sz w:val="20"/>
          <w:szCs w:val="20"/>
          <w:color w:val="auto"/>
        </w:rPr>
        <w:tab/>
      </w:r>
      <w:r>
        <w:rPr>
          <w:sz w:val="1"/>
          <w:szCs w:val="1"/>
          <w:color w:val="auto"/>
        </w:rPr>
        <w:drawing>
          <wp:inline distT="0" distB="0" distL="0" distR="0">
            <wp:extent cx="120015" cy="12001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46"/>
        </w:trPr>
        <w:tc>
          <w:tcPr>
            <w:tcW w:w="2100" w:type="dxa"/>
            <w:vAlign w:val="bottom"/>
            <w:tcBorders>
              <w:bottom w:val="single" w:sz="8" w:color="134A9C"/>
            </w:tcBorders>
          </w:tcPr>
          <w:p>
            <w:pPr>
              <w:spacing w:after="0"/>
              <w:rPr>
                <w:sz w:val="21"/>
                <w:szCs w:val="21"/>
                <w:color w:val="auto"/>
              </w:rPr>
            </w:pPr>
          </w:p>
        </w:tc>
        <w:tc>
          <w:tcPr>
            <w:tcW w:w="580" w:type="dxa"/>
            <w:vAlign w:val="bottom"/>
            <w:tcBorders>
              <w:bottom w:val="single" w:sz="8" w:color="134A9C"/>
            </w:tcBorders>
          </w:tcPr>
          <w:p>
            <w:pPr>
              <w:spacing w:after="0"/>
              <w:rPr>
                <w:sz w:val="21"/>
                <w:szCs w:val="21"/>
                <w:color w:val="auto"/>
              </w:rPr>
            </w:pPr>
          </w:p>
        </w:tc>
        <w:tc>
          <w:tcPr>
            <w:tcW w:w="1040" w:type="dxa"/>
            <w:vAlign w:val="bottom"/>
            <w:tcBorders>
              <w:bottom w:val="single" w:sz="8" w:color="134A9C"/>
            </w:tcBorders>
          </w:tcPr>
          <w:p>
            <w:pPr>
              <w:spacing w:after="0"/>
              <w:rPr>
                <w:sz w:val="21"/>
                <w:szCs w:val="21"/>
                <w:color w:val="auto"/>
              </w:rPr>
            </w:pPr>
          </w:p>
        </w:tc>
        <w:tc>
          <w:tcPr>
            <w:tcW w:w="700" w:type="dxa"/>
            <w:vAlign w:val="bottom"/>
            <w:tcBorders>
              <w:bottom w:val="single" w:sz="8" w:color="134A9C"/>
            </w:tcBorders>
          </w:tcPr>
          <w:p>
            <w:pPr>
              <w:spacing w:after="0"/>
              <w:rPr>
                <w:sz w:val="21"/>
                <w:szCs w:val="21"/>
                <w:color w:val="auto"/>
              </w:rPr>
            </w:pPr>
          </w:p>
        </w:tc>
        <w:tc>
          <w:tcPr>
            <w:tcW w:w="1160" w:type="dxa"/>
            <w:vAlign w:val="bottom"/>
            <w:tcBorders>
              <w:bottom w:val="single" w:sz="8" w:color="134A9C"/>
            </w:tcBorders>
          </w:tcPr>
          <w:p>
            <w:pPr>
              <w:spacing w:after="0"/>
              <w:rPr>
                <w:sz w:val="21"/>
                <w:szCs w:val="21"/>
                <w:color w:val="auto"/>
              </w:rPr>
            </w:pPr>
          </w:p>
        </w:tc>
        <w:tc>
          <w:tcPr>
            <w:tcW w:w="680" w:type="dxa"/>
            <w:vAlign w:val="bottom"/>
            <w:tcBorders>
              <w:bottom w:val="single" w:sz="8" w:color="134A9C"/>
            </w:tcBorders>
          </w:tcPr>
          <w:p>
            <w:pPr>
              <w:spacing w:after="0"/>
              <w:rPr>
                <w:sz w:val="21"/>
                <w:szCs w:val="21"/>
                <w:color w:val="auto"/>
              </w:rPr>
            </w:pPr>
          </w:p>
        </w:tc>
        <w:tc>
          <w:tcPr>
            <w:tcW w:w="1340" w:type="dxa"/>
            <w:vAlign w:val="bottom"/>
            <w:tcBorders>
              <w:bottom w:val="single" w:sz="8" w:color="134A9C"/>
            </w:tcBorders>
          </w:tcPr>
          <w:p>
            <w:pPr>
              <w:spacing w:after="0"/>
              <w:rPr>
                <w:sz w:val="21"/>
                <w:szCs w:val="21"/>
                <w:color w:val="auto"/>
              </w:rPr>
            </w:pPr>
          </w:p>
        </w:tc>
        <w:tc>
          <w:tcPr>
            <w:tcW w:w="3060" w:type="dxa"/>
            <w:vAlign w:val="bottom"/>
            <w:tcBorders>
              <w:bottom w:val="single" w:sz="8" w:color="134A9C"/>
            </w:tcBorders>
            <w:gridSpan w:val="3"/>
          </w:tcPr>
          <w:p>
            <w:pPr>
              <w:ind w:left="900"/>
              <w:spacing w:after="0"/>
              <w:rPr>
                <w:sz w:val="20"/>
                <w:szCs w:val="20"/>
                <w:color w:val="auto"/>
              </w:rPr>
            </w:pPr>
            <w:r>
              <w:rPr>
                <w:rFonts w:ascii="Arial" w:cs="Arial" w:eastAsia="Arial" w:hAnsi="Arial"/>
                <w:sz w:val="18"/>
                <w:szCs w:val="18"/>
                <w:b w:val="1"/>
                <w:bCs w:val="1"/>
                <w:color w:val="134A9C"/>
                <w:w w:val="99"/>
              </w:rPr>
              <w:t>Executive Compensation</w:t>
            </w:r>
          </w:p>
        </w:tc>
        <w:tc>
          <w:tcPr>
            <w:tcW w:w="780" w:type="dxa"/>
            <w:vAlign w:val="bottom"/>
            <w:tcBorders>
              <w:bottom w:val="single" w:sz="8" w:color="134A9C"/>
            </w:tcBorders>
          </w:tcPr>
          <w:p>
            <w:pPr>
              <w:spacing w:after="0"/>
              <w:rPr>
                <w:sz w:val="21"/>
                <w:szCs w:val="21"/>
                <w:color w:val="auto"/>
              </w:rPr>
            </w:pPr>
          </w:p>
        </w:tc>
        <w:tc>
          <w:tcPr>
            <w:tcW w:w="0" w:type="dxa"/>
            <w:vAlign w:val="bottom"/>
          </w:tcPr>
          <w:p>
            <w:pPr>
              <w:spacing w:after="0"/>
              <w:rPr>
                <w:sz w:val="1"/>
                <w:szCs w:val="1"/>
                <w:color w:val="auto"/>
              </w:rPr>
            </w:pPr>
          </w:p>
        </w:tc>
      </w:tr>
      <w:tr>
        <w:trPr>
          <w:trHeight w:val="1045"/>
        </w:trPr>
        <w:tc>
          <w:tcPr>
            <w:tcW w:w="5580" w:type="dxa"/>
            <w:vAlign w:val="bottom"/>
            <w:gridSpan w:val="5"/>
          </w:tcPr>
          <w:p>
            <w:pPr>
              <w:jc w:val="center"/>
              <w:ind w:right="577"/>
              <w:spacing w:after="0"/>
              <w:rPr>
                <w:sz w:val="20"/>
                <w:szCs w:val="20"/>
                <w:color w:val="auto"/>
              </w:rPr>
            </w:pPr>
            <w:r>
              <w:rPr>
                <w:rFonts w:ascii="Arial" w:cs="Arial" w:eastAsia="Arial" w:hAnsi="Arial"/>
                <w:sz w:val="29"/>
                <w:szCs w:val="29"/>
                <w:b w:val="1"/>
                <w:bCs w:val="1"/>
                <w:color w:val="134A9C"/>
                <w:w w:val="99"/>
              </w:rPr>
              <w:t>2014 Summary Compensation Table</w:t>
            </w: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100" w:type="dxa"/>
            <w:vAlign w:val="bottom"/>
            <w:tcBorders>
              <w:left w:val="single" w:sz="8" w:color="134A9C"/>
              <w:right w:val="single" w:sz="8" w:color="134A9C"/>
            </w:tcBorders>
            <w:shd w:val="clear" w:color="auto" w:fill="134A9C"/>
          </w:tcPr>
          <w:p>
            <w:pPr>
              <w:spacing w:after="0"/>
              <w:rPr>
                <w:sz w:val="13"/>
                <w:szCs w:val="13"/>
                <w:color w:val="auto"/>
              </w:rPr>
            </w:pPr>
          </w:p>
        </w:tc>
        <w:tc>
          <w:tcPr>
            <w:tcW w:w="580" w:type="dxa"/>
            <w:vAlign w:val="bottom"/>
            <w:tcBorders>
              <w:right w:val="single" w:sz="8" w:color="134A9C"/>
            </w:tcBorders>
            <w:shd w:val="clear" w:color="auto" w:fill="134A9C"/>
          </w:tcPr>
          <w:p>
            <w:pPr>
              <w:spacing w:after="0"/>
              <w:rPr>
                <w:sz w:val="13"/>
                <w:szCs w:val="13"/>
                <w:color w:val="auto"/>
              </w:rPr>
            </w:pPr>
          </w:p>
        </w:tc>
        <w:tc>
          <w:tcPr>
            <w:tcW w:w="1040" w:type="dxa"/>
            <w:vAlign w:val="bottom"/>
            <w:tcBorders>
              <w:right w:val="single" w:sz="8" w:color="134A9C"/>
            </w:tcBorders>
            <w:shd w:val="clear" w:color="auto" w:fill="134A9C"/>
          </w:tcPr>
          <w:p>
            <w:pPr>
              <w:spacing w:after="0"/>
              <w:rPr>
                <w:sz w:val="13"/>
                <w:szCs w:val="13"/>
                <w:color w:val="auto"/>
              </w:rPr>
            </w:pPr>
          </w:p>
        </w:tc>
        <w:tc>
          <w:tcPr>
            <w:tcW w:w="700" w:type="dxa"/>
            <w:vAlign w:val="bottom"/>
            <w:tcBorders>
              <w:right w:val="single" w:sz="8" w:color="134A9C"/>
            </w:tcBorders>
            <w:shd w:val="clear" w:color="auto" w:fill="134A9C"/>
          </w:tcPr>
          <w:p>
            <w:pPr>
              <w:spacing w:after="0"/>
              <w:rPr>
                <w:sz w:val="13"/>
                <w:szCs w:val="13"/>
                <w:color w:val="auto"/>
              </w:rPr>
            </w:pPr>
          </w:p>
        </w:tc>
        <w:tc>
          <w:tcPr>
            <w:tcW w:w="1160" w:type="dxa"/>
            <w:vAlign w:val="bottom"/>
            <w:tcBorders>
              <w:right w:val="single" w:sz="8" w:color="134A9C"/>
            </w:tcBorders>
            <w:shd w:val="clear" w:color="auto" w:fill="134A9C"/>
          </w:tcPr>
          <w:p>
            <w:pPr>
              <w:spacing w:after="0"/>
              <w:rPr>
                <w:sz w:val="13"/>
                <w:szCs w:val="13"/>
                <w:color w:val="auto"/>
              </w:rPr>
            </w:pPr>
          </w:p>
        </w:tc>
        <w:tc>
          <w:tcPr>
            <w:tcW w:w="680" w:type="dxa"/>
            <w:vAlign w:val="bottom"/>
            <w:tcBorders>
              <w:right w:val="single" w:sz="8" w:color="134A9C"/>
            </w:tcBorders>
            <w:shd w:val="clear" w:color="auto" w:fill="134A9C"/>
          </w:tcPr>
          <w:p>
            <w:pPr>
              <w:spacing w:after="0"/>
              <w:rPr>
                <w:sz w:val="13"/>
                <w:szCs w:val="13"/>
                <w:color w:val="auto"/>
              </w:rPr>
            </w:pPr>
          </w:p>
        </w:tc>
        <w:tc>
          <w:tcPr>
            <w:tcW w:w="1340" w:type="dxa"/>
            <w:vAlign w:val="bottom"/>
            <w:tcBorders>
              <w:right w:val="single" w:sz="8" w:color="134A9C"/>
            </w:tcBorders>
            <w:shd w:val="clear" w:color="auto" w:fill="134A9C"/>
          </w:tcPr>
          <w:p>
            <w:pPr>
              <w:spacing w:after="0"/>
              <w:rPr>
                <w:sz w:val="13"/>
                <w:szCs w:val="13"/>
                <w:color w:val="auto"/>
              </w:rPr>
            </w:pPr>
          </w:p>
        </w:tc>
        <w:tc>
          <w:tcPr>
            <w:tcW w:w="136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3"/>
                <w:szCs w:val="13"/>
                <w:color w:val="FFFFFF"/>
                <w:w w:val="96"/>
              </w:rPr>
              <w:t>Change in Pension</w:t>
            </w:r>
          </w:p>
        </w:tc>
        <w:tc>
          <w:tcPr>
            <w:tcW w:w="1340" w:type="dxa"/>
            <w:vAlign w:val="bottom"/>
            <w:tcBorders>
              <w:right w:val="single" w:sz="8" w:color="134A9C"/>
            </w:tcBorders>
            <w:shd w:val="clear" w:color="auto" w:fill="134A9C"/>
          </w:tcPr>
          <w:p>
            <w:pPr>
              <w:spacing w:after="0"/>
              <w:rPr>
                <w:sz w:val="13"/>
                <w:szCs w:val="13"/>
                <w:color w:val="auto"/>
              </w:rPr>
            </w:pPr>
          </w:p>
        </w:tc>
        <w:tc>
          <w:tcPr>
            <w:tcW w:w="360" w:type="dxa"/>
            <w:vAlign w:val="bottom"/>
            <w:shd w:val="clear" w:color="auto" w:fill="134A9C"/>
          </w:tcPr>
          <w:p>
            <w:pPr>
              <w:spacing w:after="0"/>
              <w:rPr>
                <w:sz w:val="13"/>
                <w:szCs w:val="13"/>
                <w:color w:val="auto"/>
              </w:rPr>
            </w:pPr>
          </w:p>
        </w:tc>
        <w:tc>
          <w:tcPr>
            <w:tcW w:w="780" w:type="dxa"/>
            <w:vAlign w:val="bottom"/>
            <w:tcBorders>
              <w:right w:val="single" w:sz="8" w:color="134A9C"/>
            </w:tcBorders>
            <w:shd w:val="clear" w:color="auto" w:fill="134A9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00" w:type="dxa"/>
            <w:vAlign w:val="bottom"/>
            <w:tcBorders>
              <w:left w:val="single" w:sz="8" w:color="134A9C"/>
              <w:right w:val="single" w:sz="8" w:color="134A9C"/>
            </w:tcBorders>
            <w:shd w:val="clear" w:color="auto" w:fill="134A9C"/>
          </w:tcPr>
          <w:p>
            <w:pPr>
              <w:spacing w:after="0"/>
              <w:rPr>
                <w:sz w:val="11"/>
                <w:szCs w:val="11"/>
                <w:color w:val="auto"/>
              </w:rPr>
            </w:pPr>
          </w:p>
        </w:tc>
        <w:tc>
          <w:tcPr>
            <w:tcW w:w="580" w:type="dxa"/>
            <w:vAlign w:val="bottom"/>
            <w:tcBorders>
              <w:right w:val="single" w:sz="8" w:color="134A9C"/>
            </w:tcBorders>
            <w:shd w:val="clear" w:color="auto" w:fill="134A9C"/>
          </w:tcPr>
          <w:p>
            <w:pPr>
              <w:spacing w:after="0"/>
              <w:rPr>
                <w:sz w:val="11"/>
                <w:szCs w:val="11"/>
                <w:color w:val="auto"/>
              </w:rPr>
            </w:pPr>
          </w:p>
        </w:tc>
        <w:tc>
          <w:tcPr>
            <w:tcW w:w="1040" w:type="dxa"/>
            <w:vAlign w:val="bottom"/>
            <w:tcBorders>
              <w:right w:val="single" w:sz="8" w:color="134A9C"/>
            </w:tcBorders>
            <w:shd w:val="clear" w:color="auto" w:fill="134A9C"/>
          </w:tcPr>
          <w:p>
            <w:pPr>
              <w:spacing w:after="0"/>
              <w:rPr>
                <w:sz w:val="11"/>
                <w:szCs w:val="11"/>
                <w:color w:val="auto"/>
              </w:rPr>
            </w:pPr>
          </w:p>
        </w:tc>
        <w:tc>
          <w:tcPr>
            <w:tcW w:w="700" w:type="dxa"/>
            <w:vAlign w:val="bottom"/>
            <w:tcBorders>
              <w:right w:val="single" w:sz="8" w:color="134A9C"/>
            </w:tcBorders>
            <w:shd w:val="clear" w:color="auto" w:fill="134A9C"/>
          </w:tcPr>
          <w:p>
            <w:pPr>
              <w:spacing w:after="0"/>
              <w:rPr>
                <w:sz w:val="11"/>
                <w:szCs w:val="11"/>
                <w:color w:val="auto"/>
              </w:rPr>
            </w:pPr>
          </w:p>
        </w:tc>
        <w:tc>
          <w:tcPr>
            <w:tcW w:w="1160" w:type="dxa"/>
            <w:vAlign w:val="bottom"/>
            <w:tcBorders>
              <w:right w:val="single" w:sz="8" w:color="134A9C"/>
            </w:tcBorders>
            <w:shd w:val="clear" w:color="auto" w:fill="134A9C"/>
          </w:tcPr>
          <w:p>
            <w:pPr>
              <w:spacing w:after="0"/>
              <w:rPr>
                <w:sz w:val="11"/>
                <w:szCs w:val="11"/>
                <w:color w:val="auto"/>
              </w:rPr>
            </w:pPr>
          </w:p>
        </w:tc>
        <w:tc>
          <w:tcPr>
            <w:tcW w:w="680" w:type="dxa"/>
            <w:vAlign w:val="bottom"/>
            <w:tcBorders>
              <w:right w:val="single" w:sz="8" w:color="134A9C"/>
            </w:tcBorders>
            <w:shd w:val="clear" w:color="auto" w:fill="134A9C"/>
          </w:tcPr>
          <w:p>
            <w:pPr>
              <w:spacing w:after="0"/>
              <w:rPr>
                <w:sz w:val="11"/>
                <w:szCs w:val="11"/>
                <w:color w:val="auto"/>
              </w:rPr>
            </w:pPr>
          </w:p>
        </w:tc>
        <w:tc>
          <w:tcPr>
            <w:tcW w:w="1340" w:type="dxa"/>
            <w:vAlign w:val="bottom"/>
            <w:tcBorders>
              <w:right w:val="single" w:sz="8" w:color="134A9C"/>
            </w:tcBorders>
            <w:shd w:val="clear" w:color="auto" w:fill="134A9C"/>
          </w:tcPr>
          <w:p>
            <w:pPr>
              <w:spacing w:after="0"/>
              <w:rPr>
                <w:sz w:val="11"/>
                <w:szCs w:val="11"/>
                <w:color w:val="auto"/>
              </w:rPr>
            </w:pPr>
          </w:p>
        </w:tc>
        <w:tc>
          <w:tcPr>
            <w:tcW w:w="1360" w:type="dxa"/>
            <w:vAlign w:val="bottom"/>
            <w:tcBorders>
              <w:right w:val="single" w:sz="8" w:color="134A9C"/>
            </w:tcBorders>
            <w:shd w:val="clear" w:color="auto" w:fill="134A9C"/>
          </w:tcPr>
          <w:p>
            <w:pPr>
              <w:jc w:val="center"/>
              <w:spacing w:after="0" w:line="135" w:lineRule="exact"/>
              <w:rPr>
                <w:sz w:val="20"/>
                <w:szCs w:val="20"/>
                <w:color w:val="auto"/>
              </w:rPr>
            </w:pPr>
            <w:r>
              <w:rPr>
                <w:rFonts w:ascii="Arial" w:cs="Arial" w:eastAsia="Arial" w:hAnsi="Arial"/>
                <w:sz w:val="13"/>
                <w:szCs w:val="13"/>
                <w:color w:val="FFFFFF"/>
                <w:w w:val="95"/>
              </w:rPr>
              <w:t>Value and NQ</w:t>
            </w:r>
          </w:p>
        </w:tc>
        <w:tc>
          <w:tcPr>
            <w:tcW w:w="1340" w:type="dxa"/>
            <w:vAlign w:val="bottom"/>
            <w:tcBorders>
              <w:right w:val="single" w:sz="8" w:color="134A9C"/>
            </w:tcBorders>
            <w:shd w:val="clear" w:color="auto" w:fill="134A9C"/>
          </w:tcPr>
          <w:p>
            <w:pPr>
              <w:spacing w:after="0"/>
              <w:rPr>
                <w:sz w:val="11"/>
                <w:szCs w:val="11"/>
                <w:color w:val="auto"/>
              </w:rPr>
            </w:pPr>
          </w:p>
        </w:tc>
        <w:tc>
          <w:tcPr>
            <w:tcW w:w="360" w:type="dxa"/>
            <w:vAlign w:val="bottom"/>
            <w:shd w:val="clear" w:color="auto" w:fill="134A9C"/>
          </w:tcPr>
          <w:p>
            <w:pPr>
              <w:spacing w:after="0"/>
              <w:rPr>
                <w:sz w:val="11"/>
                <w:szCs w:val="11"/>
                <w:color w:val="auto"/>
              </w:rPr>
            </w:pPr>
          </w:p>
        </w:tc>
        <w:tc>
          <w:tcPr>
            <w:tcW w:w="780" w:type="dxa"/>
            <w:vAlign w:val="bottom"/>
            <w:tcBorders>
              <w:right w:val="single" w:sz="8" w:color="134A9C"/>
            </w:tcBorders>
            <w:shd w:val="clear" w:color="auto" w:fill="134A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Borders>
              <w:left w:val="single" w:sz="8" w:color="134A9C"/>
              <w:right w:val="single" w:sz="8" w:color="134A9C"/>
            </w:tcBorders>
            <w:shd w:val="clear" w:color="auto" w:fill="134A9C"/>
          </w:tcPr>
          <w:p>
            <w:pPr>
              <w:spacing w:after="0"/>
              <w:rPr>
                <w:sz w:val="11"/>
                <w:szCs w:val="11"/>
                <w:color w:val="auto"/>
              </w:rPr>
            </w:pPr>
          </w:p>
        </w:tc>
        <w:tc>
          <w:tcPr>
            <w:tcW w:w="580" w:type="dxa"/>
            <w:vAlign w:val="bottom"/>
            <w:tcBorders>
              <w:right w:val="single" w:sz="8" w:color="134A9C"/>
            </w:tcBorders>
            <w:shd w:val="clear" w:color="auto" w:fill="134A9C"/>
          </w:tcPr>
          <w:p>
            <w:pPr>
              <w:spacing w:after="0"/>
              <w:rPr>
                <w:sz w:val="11"/>
                <w:szCs w:val="11"/>
                <w:color w:val="auto"/>
              </w:rPr>
            </w:pPr>
          </w:p>
        </w:tc>
        <w:tc>
          <w:tcPr>
            <w:tcW w:w="1040" w:type="dxa"/>
            <w:vAlign w:val="bottom"/>
            <w:tcBorders>
              <w:right w:val="single" w:sz="8" w:color="134A9C"/>
            </w:tcBorders>
            <w:shd w:val="clear" w:color="auto" w:fill="134A9C"/>
          </w:tcPr>
          <w:p>
            <w:pPr>
              <w:spacing w:after="0"/>
              <w:rPr>
                <w:sz w:val="11"/>
                <w:szCs w:val="11"/>
                <w:color w:val="auto"/>
              </w:rPr>
            </w:pPr>
          </w:p>
        </w:tc>
        <w:tc>
          <w:tcPr>
            <w:tcW w:w="700" w:type="dxa"/>
            <w:vAlign w:val="bottom"/>
            <w:tcBorders>
              <w:right w:val="single" w:sz="8" w:color="134A9C"/>
            </w:tcBorders>
            <w:shd w:val="clear" w:color="auto" w:fill="134A9C"/>
          </w:tcPr>
          <w:p>
            <w:pPr>
              <w:spacing w:after="0"/>
              <w:rPr>
                <w:sz w:val="11"/>
                <w:szCs w:val="11"/>
                <w:color w:val="auto"/>
              </w:rPr>
            </w:pPr>
          </w:p>
        </w:tc>
        <w:tc>
          <w:tcPr>
            <w:tcW w:w="1160" w:type="dxa"/>
            <w:vAlign w:val="bottom"/>
            <w:tcBorders>
              <w:right w:val="single" w:sz="8" w:color="134A9C"/>
            </w:tcBorders>
            <w:shd w:val="clear" w:color="auto" w:fill="134A9C"/>
          </w:tcPr>
          <w:p>
            <w:pPr>
              <w:spacing w:after="0"/>
              <w:rPr>
                <w:sz w:val="11"/>
                <w:szCs w:val="11"/>
                <w:color w:val="auto"/>
              </w:rPr>
            </w:pPr>
          </w:p>
        </w:tc>
        <w:tc>
          <w:tcPr>
            <w:tcW w:w="680" w:type="dxa"/>
            <w:vAlign w:val="bottom"/>
            <w:tcBorders>
              <w:right w:val="single" w:sz="8" w:color="134A9C"/>
            </w:tcBorders>
            <w:shd w:val="clear" w:color="auto" w:fill="134A9C"/>
          </w:tcPr>
          <w:p>
            <w:pPr>
              <w:spacing w:after="0"/>
              <w:rPr>
                <w:sz w:val="11"/>
                <w:szCs w:val="11"/>
                <w:color w:val="auto"/>
              </w:rPr>
            </w:pPr>
          </w:p>
        </w:tc>
        <w:tc>
          <w:tcPr>
            <w:tcW w:w="1340" w:type="dxa"/>
            <w:vAlign w:val="bottom"/>
            <w:tcBorders>
              <w:right w:val="single" w:sz="8" w:color="134A9C"/>
            </w:tcBorders>
            <w:shd w:val="clear" w:color="auto" w:fill="134A9C"/>
          </w:tcPr>
          <w:p>
            <w:pPr>
              <w:spacing w:after="0"/>
              <w:rPr>
                <w:sz w:val="11"/>
                <w:szCs w:val="11"/>
                <w:color w:val="auto"/>
              </w:rPr>
            </w:pPr>
          </w:p>
        </w:tc>
        <w:tc>
          <w:tcPr>
            <w:tcW w:w="1360" w:type="dxa"/>
            <w:vAlign w:val="bottom"/>
            <w:tcBorders>
              <w:right w:val="single" w:sz="8" w:color="134A9C"/>
            </w:tcBorders>
            <w:shd w:val="clear" w:color="auto" w:fill="134A9C"/>
          </w:tcPr>
          <w:p>
            <w:pPr>
              <w:jc w:val="center"/>
              <w:spacing w:after="0" w:line="135" w:lineRule="exact"/>
              <w:rPr>
                <w:sz w:val="20"/>
                <w:szCs w:val="20"/>
                <w:color w:val="auto"/>
              </w:rPr>
            </w:pPr>
            <w:r>
              <w:rPr>
                <w:rFonts w:ascii="Arial" w:cs="Arial" w:eastAsia="Arial" w:hAnsi="Arial"/>
                <w:sz w:val="13"/>
                <w:szCs w:val="13"/>
                <w:color w:val="FFFFFF"/>
                <w:w w:val="98"/>
              </w:rPr>
              <w:t>Deferred</w:t>
            </w:r>
          </w:p>
        </w:tc>
        <w:tc>
          <w:tcPr>
            <w:tcW w:w="1340" w:type="dxa"/>
            <w:vAlign w:val="bottom"/>
            <w:tcBorders>
              <w:right w:val="single" w:sz="8" w:color="134A9C"/>
            </w:tcBorders>
            <w:shd w:val="clear" w:color="auto" w:fill="134A9C"/>
          </w:tcPr>
          <w:p>
            <w:pPr>
              <w:spacing w:after="0"/>
              <w:rPr>
                <w:sz w:val="11"/>
                <w:szCs w:val="11"/>
                <w:color w:val="auto"/>
              </w:rPr>
            </w:pPr>
          </w:p>
        </w:tc>
        <w:tc>
          <w:tcPr>
            <w:tcW w:w="360" w:type="dxa"/>
            <w:vAlign w:val="bottom"/>
            <w:shd w:val="clear" w:color="auto" w:fill="134A9C"/>
          </w:tcPr>
          <w:p>
            <w:pPr>
              <w:spacing w:after="0"/>
              <w:rPr>
                <w:sz w:val="11"/>
                <w:szCs w:val="11"/>
                <w:color w:val="auto"/>
              </w:rPr>
            </w:pPr>
          </w:p>
        </w:tc>
        <w:tc>
          <w:tcPr>
            <w:tcW w:w="780" w:type="dxa"/>
            <w:vAlign w:val="bottom"/>
            <w:tcBorders>
              <w:right w:val="single" w:sz="8" w:color="134A9C"/>
            </w:tcBorders>
            <w:shd w:val="clear" w:color="auto" w:fill="134A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Borders>
              <w:left w:val="single" w:sz="8" w:color="134A9C"/>
              <w:right w:val="single" w:sz="8" w:color="134A9C"/>
            </w:tcBorders>
            <w:shd w:val="clear" w:color="auto" w:fill="134A9C"/>
          </w:tcPr>
          <w:p>
            <w:pPr>
              <w:spacing w:after="0"/>
              <w:rPr>
                <w:sz w:val="11"/>
                <w:szCs w:val="11"/>
                <w:color w:val="auto"/>
              </w:rPr>
            </w:pPr>
          </w:p>
        </w:tc>
        <w:tc>
          <w:tcPr>
            <w:tcW w:w="580" w:type="dxa"/>
            <w:vAlign w:val="bottom"/>
            <w:tcBorders>
              <w:right w:val="single" w:sz="8" w:color="134A9C"/>
            </w:tcBorders>
            <w:shd w:val="clear" w:color="auto" w:fill="134A9C"/>
          </w:tcPr>
          <w:p>
            <w:pPr>
              <w:spacing w:after="0"/>
              <w:rPr>
                <w:sz w:val="11"/>
                <w:szCs w:val="11"/>
                <w:color w:val="auto"/>
              </w:rPr>
            </w:pPr>
          </w:p>
        </w:tc>
        <w:tc>
          <w:tcPr>
            <w:tcW w:w="1040" w:type="dxa"/>
            <w:vAlign w:val="bottom"/>
            <w:tcBorders>
              <w:right w:val="single" w:sz="8" w:color="134A9C"/>
            </w:tcBorders>
            <w:shd w:val="clear" w:color="auto" w:fill="134A9C"/>
          </w:tcPr>
          <w:p>
            <w:pPr>
              <w:spacing w:after="0"/>
              <w:rPr>
                <w:sz w:val="11"/>
                <w:szCs w:val="11"/>
                <w:color w:val="auto"/>
              </w:rPr>
            </w:pPr>
          </w:p>
        </w:tc>
        <w:tc>
          <w:tcPr>
            <w:tcW w:w="700" w:type="dxa"/>
            <w:vAlign w:val="bottom"/>
            <w:tcBorders>
              <w:right w:val="single" w:sz="8" w:color="134A9C"/>
            </w:tcBorders>
            <w:shd w:val="clear" w:color="auto" w:fill="134A9C"/>
          </w:tcPr>
          <w:p>
            <w:pPr>
              <w:spacing w:after="0"/>
              <w:rPr>
                <w:sz w:val="11"/>
                <w:szCs w:val="11"/>
                <w:color w:val="auto"/>
              </w:rPr>
            </w:pPr>
          </w:p>
        </w:tc>
        <w:tc>
          <w:tcPr>
            <w:tcW w:w="1160" w:type="dxa"/>
            <w:vAlign w:val="bottom"/>
            <w:tcBorders>
              <w:right w:val="single" w:sz="8" w:color="134A9C"/>
            </w:tcBorders>
            <w:shd w:val="clear" w:color="auto" w:fill="134A9C"/>
          </w:tcPr>
          <w:p>
            <w:pPr>
              <w:spacing w:after="0"/>
              <w:rPr>
                <w:sz w:val="11"/>
                <w:szCs w:val="11"/>
                <w:color w:val="auto"/>
              </w:rPr>
            </w:pPr>
          </w:p>
        </w:tc>
        <w:tc>
          <w:tcPr>
            <w:tcW w:w="680" w:type="dxa"/>
            <w:vAlign w:val="bottom"/>
            <w:tcBorders>
              <w:right w:val="single" w:sz="8" w:color="134A9C"/>
            </w:tcBorders>
            <w:shd w:val="clear" w:color="auto" w:fill="134A9C"/>
          </w:tcPr>
          <w:p>
            <w:pPr>
              <w:spacing w:after="0"/>
              <w:rPr>
                <w:sz w:val="11"/>
                <w:szCs w:val="11"/>
                <w:color w:val="auto"/>
              </w:rPr>
            </w:pPr>
          </w:p>
        </w:tc>
        <w:tc>
          <w:tcPr>
            <w:tcW w:w="1340" w:type="dxa"/>
            <w:vAlign w:val="bottom"/>
            <w:tcBorders>
              <w:right w:val="single" w:sz="8" w:color="134A9C"/>
            </w:tcBorders>
            <w:shd w:val="clear" w:color="auto" w:fill="134A9C"/>
          </w:tcPr>
          <w:p>
            <w:pPr>
              <w:jc w:val="center"/>
              <w:spacing w:after="0" w:line="135" w:lineRule="exact"/>
              <w:rPr>
                <w:sz w:val="20"/>
                <w:szCs w:val="20"/>
                <w:color w:val="auto"/>
              </w:rPr>
            </w:pPr>
            <w:r>
              <w:rPr>
                <w:rFonts w:ascii="Arial" w:cs="Arial" w:eastAsia="Arial" w:hAnsi="Arial"/>
                <w:sz w:val="13"/>
                <w:szCs w:val="13"/>
                <w:color w:val="FFFFFF"/>
                <w:w w:val="96"/>
              </w:rPr>
              <w:t>Non-Equity Incentive</w:t>
            </w:r>
          </w:p>
        </w:tc>
        <w:tc>
          <w:tcPr>
            <w:tcW w:w="1360" w:type="dxa"/>
            <w:vAlign w:val="bottom"/>
            <w:tcBorders>
              <w:right w:val="single" w:sz="8" w:color="134A9C"/>
            </w:tcBorders>
            <w:shd w:val="clear" w:color="auto" w:fill="134A9C"/>
          </w:tcPr>
          <w:p>
            <w:pPr>
              <w:jc w:val="center"/>
              <w:spacing w:after="0" w:line="135" w:lineRule="exact"/>
              <w:rPr>
                <w:sz w:val="20"/>
                <w:szCs w:val="20"/>
                <w:color w:val="auto"/>
              </w:rPr>
            </w:pPr>
            <w:r>
              <w:rPr>
                <w:rFonts w:ascii="Arial" w:cs="Arial" w:eastAsia="Arial" w:hAnsi="Arial"/>
                <w:sz w:val="13"/>
                <w:szCs w:val="13"/>
                <w:color w:val="FFFFFF"/>
                <w:w w:val="97"/>
              </w:rPr>
              <w:t>Compensation</w:t>
            </w:r>
          </w:p>
        </w:tc>
        <w:tc>
          <w:tcPr>
            <w:tcW w:w="1340" w:type="dxa"/>
            <w:vAlign w:val="bottom"/>
            <w:tcBorders>
              <w:right w:val="single" w:sz="8" w:color="134A9C"/>
            </w:tcBorders>
            <w:shd w:val="clear" w:color="auto" w:fill="134A9C"/>
          </w:tcPr>
          <w:p>
            <w:pPr>
              <w:spacing w:after="0"/>
              <w:rPr>
                <w:sz w:val="11"/>
                <w:szCs w:val="11"/>
                <w:color w:val="auto"/>
              </w:rPr>
            </w:pPr>
          </w:p>
        </w:tc>
        <w:tc>
          <w:tcPr>
            <w:tcW w:w="360" w:type="dxa"/>
            <w:vAlign w:val="bottom"/>
            <w:shd w:val="clear" w:color="auto" w:fill="134A9C"/>
          </w:tcPr>
          <w:p>
            <w:pPr>
              <w:spacing w:after="0"/>
              <w:rPr>
                <w:sz w:val="11"/>
                <w:szCs w:val="11"/>
                <w:color w:val="auto"/>
              </w:rPr>
            </w:pPr>
          </w:p>
        </w:tc>
        <w:tc>
          <w:tcPr>
            <w:tcW w:w="780" w:type="dxa"/>
            <w:vAlign w:val="bottom"/>
            <w:tcBorders>
              <w:right w:val="single" w:sz="8" w:color="134A9C"/>
            </w:tcBorders>
            <w:shd w:val="clear" w:color="auto" w:fill="134A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Borders>
              <w:left w:val="single" w:sz="8" w:color="134A9C"/>
              <w:right w:val="single" w:sz="8" w:color="134A9C"/>
            </w:tcBorders>
            <w:shd w:val="clear" w:color="auto" w:fill="134A9C"/>
          </w:tcPr>
          <w:p>
            <w:pPr>
              <w:spacing w:after="0"/>
              <w:rPr>
                <w:sz w:val="11"/>
                <w:szCs w:val="11"/>
                <w:color w:val="auto"/>
              </w:rPr>
            </w:pPr>
          </w:p>
        </w:tc>
        <w:tc>
          <w:tcPr>
            <w:tcW w:w="580" w:type="dxa"/>
            <w:vAlign w:val="bottom"/>
            <w:tcBorders>
              <w:right w:val="single" w:sz="8" w:color="134A9C"/>
            </w:tcBorders>
            <w:shd w:val="clear" w:color="auto" w:fill="134A9C"/>
          </w:tcPr>
          <w:p>
            <w:pPr>
              <w:spacing w:after="0"/>
              <w:rPr>
                <w:sz w:val="11"/>
                <w:szCs w:val="11"/>
                <w:color w:val="auto"/>
              </w:rPr>
            </w:pPr>
          </w:p>
        </w:tc>
        <w:tc>
          <w:tcPr>
            <w:tcW w:w="1040" w:type="dxa"/>
            <w:vAlign w:val="bottom"/>
            <w:tcBorders>
              <w:right w:val="single" w:sz="8" w:color="134A9C"/>
            </w:tcBorders>
            <w:shd w:val="clear" w:color="auto" w:fill="134A9C"/>
          </w:tcPr>
          <w:p>
            <w:pPr>
              <w:jc w:val="right"/>
              <w:ind w:right="317"/>
              <w:spacing w:after="0" w:line="135" w:lineRule="exact"/>
              <w:rPr>
                <w:sz w:val="20"/>
                <w:szCs w:val="20"/>
                <w:color w:val="auto"/>
              </w:rPr>
            </w:pPr>
            <w:r>
              <w:rPr>
                <w:rFonts w:ascii="Arial" w:cs="Arial" w:eastAsia="Arial" w:hAnsi="Arial"/>
                <w:sz w:val="13"/>
                <w:szCs w:val="13"/>
                <w:color w:val="FFFFFF"/>
              </w:rPr>
              <w:t>Salary</w:t>
            </w:r>
          </w:p>
        </w:tc>
        <w:tc>
          <w:tcPr>
            <w:tcW w:w="700" w:type="dxa"/>
            <w:vAlign w:val="bottom"/>
            <w:tcBorders>
              <w:right w:val="single" w:sz="8" w:color="134A9C"/>
            </w:tcBorders>
            <w:shd w:val="clear" w:color="auto" w:fill="134A9C"/>
          </w:tcPr>
          <w:p>
            <w:pPr>
              <w:ind w:left="160"/>
              <w:spacing w:after="0" w:line="135" w:lineRule="exact"/>
              <w:rPr>
                <w:sz w:val="20"/>
                <w:szCs w:val="20"/>
                <w:color w:val="auto"/>
              </w:rPr>
            </w:pPr>
            <w:r>
              <w:rPr>
                <w:rFonts w:ascii="Arial" w:cs="Arial" w:eastAsia="Arial" w:hAnsi="Arial"/>
                <w:sz w:val="13"/>
                <w:szCs w:val="13"/>
                <w:color w:val="FFFFFF"/>
              </w:rPr>
              <w:t>Bonus</w:t>
            </w:r>
          </w:p>
        </w:tc>
        <w:tc>
          <w:tcPr>
            <w:tcW w:w="1160" w:type="dxa"/>
            <w:vAlign w:val="bottom"/>
            <w:tcBorders>
              <w:right w:val="single" w:sz="8" w:color="134A9C"/>
            </w:tcBorders>
            <w:shd w:val="clear" w:color="auto" w:fill="134A9C"/>
          </w:tcPr>
          <w:p>
            <w:pPr>
              <w:jc w:val="right"/>
              <w:ind w:right="157"/>
              <w:spacing w:after="0" w:line="135" w:lineRule="exact"/>
              <w:rPr>
                <w:sz w:val="20"/>
                <w:szCs w:val="20"/>
                <w:color w:val="auto"/>
              </w:rPr>
            </w:pPr>
            <w:r>
              <w:rPr>
                <w:rFonts w:ascii="Arial" w:cs="Arial" w:eastAsia="Arial" w:hAnsi="Arial"/>
                <w:sz w:val="13"/>
                <w:szCs w:val="13"/>
                <w:color w:val="FFFFFF"/>
              </w:rPr>
              <w:t>Stock Awards</w:t>
            </w:r>
          </w:p>
        </w:tc>
        <w:tc>
          <w:tcPr>
            <w:tcW w:w="680" w:type="dxa"/>
            <w:vAlign w:val="bottom"/>
            <w:tcBorders>
              <w:right w:val="single" w:sz="8" w:color="134A9C"/>
            </w:tcBorders>
            <w:shd w:val="clear" w:color="auto" w:fill="134A9C"/>
          </w:tcPr>
          <w:p>
            <w:pPr>
              <w:ind w:left="140"/>
              <w:spacing w:after="0" w:line="135" w:lineRule="exact"/>
              <w:rPr>
                <w:sz w:val="20"/>
                <w:szCs w:val="20"/>
                <w:color w:val="auto"/>
              </w:rPr>
            </w:pPr>
            <w:r>
              <w:rPr>
                <w:rFonts w:ascii="Arial" w:cs="Arial" w:eastAsia="Arial" w:hAnsi="Arial"/>
                <w:sz w:val="13"/>
                <w:szCs w:val="13"/>
                <w:color w:val="FFFFFF"/>
              </w:rPr>
              <w:t>Option</w:t>
            </w:r>
          </w:p>
        </w:tc>
        <w:tc>
          <w:tcPr>
            <w:tcW w:w="1340" w:type="dxa"/>
            <w:vAlign w:val="bottom"/>
            <w:tcBorders>
              <w:right w:val="single" w:sz="8" w:color="134A9C"/>
            </w:tcBorders>
            <w:shd w:val="clear" w:color="auto" w:fill="134A9C"/>
          </w:tcPr>
          <w:p>
            <w:pPr>
              <w:jc w:val="center"/>
              <w:spacing w:after="0" w:line="135" w:lineRule="exact"/>
              <w:rPr>
                <w:sz w:val="20"/>
                <w:szCs w:val="20"/>
                <w:color w:val="auto"/>
              </w:rPr>
            </w:pPr>
            <w:r>
              <w:rPr>
                <w:rFonts w:ascii="Arial" w:cs="Arial" w:eastAsia="Arial" w:hAnsi="Arial"/>
                <w:sz w:val="13"/>
                <w:szCs w:val="13"/>
                <w:color w:val="FFFFFF"/>
                <w:w w:val="96"/>
              </w:rPr>
              <w:t>Plan Compensation</w:t>
            </w:r>
          </w:p>
        </w:tc>
        <w:tc>
          <w:tcPr>
            <w:tcW w:w="1360" w:type="dxa"/>
            <w:vAlign w:val="bottom"/>
            <w:tcBorders>
              <w:right w:val="single" w:sz="8" w:color="134A9C"/>
            </w:tcBorders>
            <w:shd w:val="clear" w:color="auto" w:fill="134A9C"/>
          </w:tcPr>
          <w:p>
            <w:pPr>
              <w:jc w:val="center"/>
              <w:spacing w:after="0" w:line="135" w:lineRule="exact"/>
              <w:rPr>
                <w:sz w:val="20"/>
                <w:szCs w:val="20"/>
                <w:color w:val="auto"/>
              </w:rPr>
            </w:pPr>
            <w:r>
              <w:rPr>
                <w:rFonts w:ascii="Arial" w:cs="Arial" w:eastAsia="Arial" w:hAnsi="Arial"/>
                <w:sz w:val="13"/>
                <w:szCs w:val="13"/>
                <w:color w:val="FFFFFF"/>
                <w:w w:val="97"/>
              </w:rPr>
              <w:t>Earnings</w:t>
            </w:r>
          </w:p>
        </w:tc>
        <w:tc>
          <w:tcPr>
            <w:tcW w:w="1340" w:type="dxa"/>
            <w:vAlign w:val="bottom"/>
            <w:tcBorders>
              <w:right w:val="single" w:sz="8" w:color="134A9C"/>
            </w:tcBorders>
            <w:shd w:val="clear" w:color="auto" w:fill="134A9C"/>
          </w:tcPr>
          <w:p>
            <w:pPr>
              <w:jc w:val="right"/>
              <w:ind w:right="377"/>
              <w:spacing w:after="0" w:line="135" w:lineRule="exact"/>
              <w:rPr>
                <w:sz w:val="20"/>
                <w:szCs w:val="20"/>
                <w:color w:val="auto"/>
              </w:rPr>
            </w:pPr>
            <w:r>
              <w:rPr>
                <w:rFonts w:ascii="Arial" w:cs="Arial" w:eastAsia="Arial" w:hAnsi="Arial"/>
                <w:sz w:val="13"/>
                <w:szCs w:val="13"/>
                <w:color w:val="FFFFFF"/>
              </w:rPr>
              <w:t>All Other</w:t>
            </w:r>
          </w:p>
        </w:tc>
        <w:tc>
          <w:tcPr>
            <w:tcW w:w="360" w:type="dxa"/>
            <w:vAlign w:val="bottom"/>
            <w:shd w:val="clear" w:color="auto" w:fill="134A9C"/>
          </w:tcPr>
          <w:p>
            <w:pPr>
              <w:spacing w:after="0"/>
              <w:rPr>
                <w:sz w:val="11"/>
                <w:szCs w:val="11"/>
                <w:color w:val="auto"/>
              </w:rPr>
            </w:pPr>
          </w:p>
        </w:tc>
        <w:tc>
          <w:tcPr>
            <w:tcW w:w="780" w:type="dxa"/>
            <w:vAlign w:val="bottom"/>
            <w:tcBorders>
              <w:right w:val="single" w:sz="8" w:color="134A9C"/>
            </w:tcBorders>
            <w:shd w:val="clear" w:color="auto" w:fill="134A9C"/>
          </w:tcPr>
          <w:p>
            <w:pPr>
              <w:jc w:val="right"/>
              <w:ind w:right="377"/>
              <w:spacing w:after="0" w:line="135" w:lineRule="exact"/>
              <w:rPr>
                <w:sz w:val="20"/>
                <w:szCs w:val="20"/>
                <w:color w:val="auto"/>
              </w:rPr>
            </w:pPr>
            <w:r>
              <w:rPr>
                <w:rFonts w:ascii="Arial" w:cs="Arial" w:eastAsia="Arial" w:hAnsi="Arial"/>
                <w:sz w:val="13"/>
                <w:szCs w:val="13"/>
                <w:color w:val="FFFFFF"/>
              </w:rPr>
              <w:t>Total</w:t>
            </w:r>
          </w:p>
        </w:tc>
        <w:tc>
          <w:tcPr>
            <w:tcW w:w="0" w:type="dxa"/>
            <w:vAlign w:val="bottom"/>
          </w:tcPr>
          <w:p>
            <w:pPr>
              <w:spacing w:after="0"/>
              <w:rPr>
                <w:sz w:val="1"/>
                <w:szCs w:val="1"/>
                <w:color w:val="auto"/>
              </w:rPr>
            </w:pPr>
          </w:p>
        </w:tc>
      </w:tr>
      <w:tr>
        <w:trPr>
          <w:trHeight w:val="162"/>
        </w:trPr>
        <w:tc>
          <w:tcPr>
            <w:tcW w:w="2100" w:type="dxa"/>
            <w:vAlign w:val="bottom"/>
            <w:tcBorders>
              <w:left w:val="single" w:sz="8" w:color="134A9C"/>
              <w:bottom w:val="single" w:sz="8" w:color="134A9C"/>
              <w:right w:val="single" w:sz="8" w:color="134A9C"/>
            </w:tcBorders>
            <w:shd w:val="clear" w:color="auto" w:fill="134A9C"/>
          </w:tcPr>
          <w:p>
            <w:pPr>
              <w:ind w:left="80"/>
              <w:spacing w:after="0"/>
              <w:rPr>
                <w:sz w:val="20"/>
                <w:szCs w:val="20"/>
                <w:color w:val="auto"/>
              </w:rPr>
            </w:pPr>
            <w:r>
              <w:rPr>
                <w:rFonts w:ascii="Arial" w:cs="Arial" w:eastAsia="Arial" w:hAnsi="Arial"/>
                <w:sz w:val="13"/>
                <w:szCs w:val="13"/>
                <w:color w:val="FFFFFF"/>
                <w:w w:val="99"/>
              </w:rPr>
              <w:t>Name and Principal Position (1)(2)</w:t>
            </w:r>
          </w:p>
        </w:tc>
        <w:tc>
          <w:tcPr>
            <w:tcW w:w="580" w:type="dxa"/>
            <w:vAlign w:val="bottom"/>
            <w:tcBorders>
              <w:bottom w:val="single" w:sz="8" w:color="134A9C"/>
              <w:right w:val="single" w:sz="8" w:color="134A9C"/>
            </w:tcBorders>
            <w:shd w:val="clear" w:color="auto" w:fill="134A9C"/>
          </w:tcPr>
          <w:p>
            <w:pPr>
              <w:ind w:left="140"/>
              <w:spacing w:after="0"/>
              <w:rPr>
                <w:sz w:val="20"/>
                <w:szCs w:val="20"/>
                <w:color w:val="auto"/>
              </w:rPr>
            </w:pPr>
            <w:r>
              <w:rPr>
                <w:rFonts w:ascii="Arial" w:cs="Arial" w:eastAsia="Arial" w:hAnsi="Arial"/>
                <w:sz w:val="13"/>
                <w:szCs w:val="13"/>
                <w:color w:val="FFFFFF"/>
              </w:rPr>
              <w:t>Year</w:t>
            </w:r>
          </w:p>
        </w:tc>
        <w:tc>
          <w:tcPr>
            <w:tcW w:w="1040" w:type="dxa"/>
            <w:vAlign w:val="bottom"/>
            <w:tcBorders>
              <w:bottom w:val="single" w:sz="8" w:color="134A9C"/>
              <w:right w:val="single" w:sz="8" w:color="134A9C"/>
            </w:tcBorders>
            <w:shd w:val="clear" w:color="auto" w:fill="134A9C"/>
          </w:tcPr>
          <w:p>
            <w:pPr>
              <w:jc w:val="right"/>
              <w:ind w:right="397"/>
              <w:spacing w:after="0"/>
              <w:rPr>
                <w:sz w:val="20"/>
                <w:szCs w:val="20"/>
                <w:color w:val="auto"/>
              </w:rPr>
            </w:pPr>
            <w:r>
              <w:rPr>
                <w:rFonts w:ascii="Arial" w:cs="Arial" w:eastAsia="Arial" w:hAnsi="Arial"/>
                <w:sz w:val="13"/>
                <w:szCs w:val="13"/>
                <w:color w:val="FFFFFF"/>
              </w:rPr>
              <w:t>($)</w:t>
            </w:r>
          </w:p>
        </w:tc>
        <w:tc>
          <w:tcPr>
            <w:tcW w:w="700" w:type="dxa"/>
            <w:vAlign w:val="bottom"/>
            <w:tcBorders>
              <w:bottom w:val="single" w:sz="8" w:color="134A9C"/>
              <w:right w:val="single" w:sz="8" w:color="134A9C"/>
            </w:tcBorders>
            <w:shd w:val="clear" w:color="auto" w:fill="134A9C"/>
          </w:tcPr>
          <w:p>
            <w:pPr>
              <w:ind w:left="260"/>
              <w:spacing w:after="0"/>
              <w:rPr>
                <w:sz w:val="20"/>
                <w:szCs w:val="20"/>
                <w:color w:val="auto"/>
              </w:rPr>
            </w:pPr>
            <w:r>
              <w:rPr>
                <w:rFonts w:ascii="Arial" w:cs="Arial" w:eastAsia="Arial" w:hAnsi="Arial"/>
                <w:sz w:val="13"/>
                <w:szCs w:val="13"/>
                <w:color w:val="FFFFFF"/>
              </w:rPr>
              <w:t>($)</w:t>
            </w:r>
          </w:p>
        </w:tc>
        <w:tc>
          <w:tcPr>
            <w:tcW w:w="1160" w:type="dxa"/>
            <w:vAlign w:val="bottom"/>
            <w:tcBorders>
              <w:bottom w:val="single" w:sz="8" w:color="134A9C"/>
              <w:right w:val="single" w:sz="8" w:color="134A9C"/>
            </w:tcBorders>
            <w:shd w:val="clear" w:color="auto" w:fill="134A9C"/>
          </w:tcPr>
          <w:p>
            <w:pPr>
              <w:jc w:val="right"/>
              <w:ind w:right="377"/>
              <w:spacing w:after="0"/>
              <w:rPr>
                <w:sz w:val="20"/>
                <w:szCs w:val="20"/>
                <w:color w:val="auto"/>
              </w:rPr>
            </w:pPr>
            <w:r>
              <w:rPr>
                <w:rFonts w:ascii="Arial" w:cs="Arial" w:eastAsia="Arial" w:hAnsi="Arial"/>
                <w:sz w:val="13"/>
                <w:szCs w:val="13"/>
                <w:color w:val="FFFFFF"/>
              </w:rPr>
              <w:t>(4)($)</w:t>
            </w:r>
          </w:p>
        </w:tc>
        <w:tc>
          <w:tcPr>
            <w:tcW w:w="680" w:type="dxa"/>
            <w:vAlign w:val="bottom"/>
            <w:tcBorders>
              <w:bottom w:val="single" w:sz="8" w:color="134A9C"/>
              <w:right w:val="single" w:sz="8" w:color="134A9C"/>
            </w:tcBorders>
            <w:shd w:val="clear" w:color="auto" w:fill="134A9C"/>
          </w:tcPr>
          <w:p>
            <w:pPr>
              <w:ind w:left="20"/>
              <w:spacing w:after="0"/>
              <w:rPr>
                <w:sz w:val="20"/>
                <w:szCs w:val="20"/>
                <w:color w:val="auto"/>
              </w:rPr>
            </w:pPr>
            <w:r>
              <w:rPr>
                <w:rFonts w:ascii="Arial" w:cs="Arial" w:eastAsia="Arial" w:hAnsi="Arial"/>
                <w:sz w:val="13"/>
                <w:szCs w:val="13"/>
                <w:color w:val="FFFFFF"/>
                <w:w w:val="98"/>
              </w:rPr>
              <w:t>Awards ($)</w:t>
            </w:r>
          </w:p>
        </w:tc>
        <w:tc>
          <w:tcPr>
            <w:tcW w:w="134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3"/>
                <w:szCs w:val="13"/>
                <w:color w:val="FFFFFF"/>
                <w:w w:val="94"/>
              </w:rPr>
              <w:t>(5)($)</w:t>
            </w:r>
          </w:p>
        </w:tc>
        <w:tc>
          <w:tcPr>
            <w:tcW w:w="136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3"/>
                <w:szCs w:val="13"/>
                <w:color w:val="FFFFFF"/>
                <w:w w:val="94"/>
              </w:rPr>
              <w:t>(6)($)</w:t>
            </w:r>
          </w:p>
        </w:tc>
        <w:tc>
          <w:tcPr>
            <w:tcW w:w="1340" w:type="dxa"/>
            <w:vAlign w:val="bottom"/>
            <w:tcBorders>
              <w:bottom w:val="single" w:sz="8" w:color="134A9C"/>
              <w:right w:val="single" w:sz="8" w:color="134A9C"/>
            </w:tcBorders>
            <w:shd w:val="clear" w:color="auto" w:fill="134A9C"/>
          </w:tcPr>
          <w:p>
            <w:pPr>
              <w:jc w:val="right"/>
              <w:ind w:right="37"/>
              <w:spacing w:after="0"/>
              <w:rPr>
                <w:sz w:val="20"/>
                <w:szCs w:val="20"/>
                <w:color w:val="auto"/>
              </w:rPr>
            </w:pPr>
            <w:r>
              <w:rPr>
                <w:rFonts w:ascii="Arial" w:cs="Arial" w:eastAsia="Arial" w:hAnsi="Arial"/>
                <w:sz w:val="13"/>
                <w:szCs w:val="13"/>
                <w:color w:val="FFFFFF"/>
              </w:rPr>
              <w:t>Compensation (7)($)</w:t>
            </w:r>
          </w:p>
        </w:tc>
        <w:tc>
          <w:tcPr>
            <w:tcW w:w="360" w:type="dxa"/>
            <w:vAlign w:val="bottom"/>
            <w:tcBorders>
              <w:bottom w:val="single" w:sz="8" w:color="134A9C"/>
            </w:tcBorders>
            <w:shd w:val="clear" w:color="auto" w:fill="134A9C"/>
          </w:tcPr>
          <w:p>
            <w:pPr>
              <w:spacing w:after="0"/>
              <w:rPr>
                <w:sz w:val="14"/>
                <w:szCs w:val="14"/>
                <w:color w:val="auto"/>
              </w:rPr>
            </w:pPr>
          </w:p>
        </w:tc>
        <w:tc>
          <w:tcPr>
            <w:tcW w:w="780" w:type="dxa"/>
            <w:vAlign w:val="bottom"/>
            <w:tcBorders>
              <w:bottom w:val="single" w:sz="8" w:color="134A9C"/>
              <w:right w:val="single" w:sz="8" w:color="134A9C"/>
            </w:tcBorders>
            <w:shd w:val="clear" w:color="auto" w:fill="134A9C"/>
          </w:tcPr>
          <w:p>
            <w:pPr>
              <w:jc w:val="right"/>
              <w:ind w:right="437"/>
              <w:spacing w:after="0"/>
              <w:rPr>
                <w:sz w:val="20"/>
                <w:szCs w:val="20"/>
                <w:color w:val="auto"/>
              </w:rPr>
            </w:pPr>
            <w:r>
              <w:rPr>
                <w:rFonts w:ascii="Arial" w:cs="Arial" w:eastAsia="Arial" w:hAnsi="Arial"/>
                <w:sz w:val="13"/>
                <w:szCs w:val="13"/>
                <w:color w:val="FFFFFF"/>
              </w:rPr>
              <w:t>($)</w:t>
            </w:r>
          </w:p>
        </w:tc>
        <w:tc>
          <w:tcPr>
            <w:tcW w:w="0" w:type="dxa"/>
            <w:vAlign w:val="bottom"/>
          </w:tcPr>
          <w:p>
            <w:pPr>
              <w:spacing w:after="0"/>
              <w:rPr>
                <w:sz w:val="1"/>
                <w:szCs w:val="1"/>
                <w:color w:val="auto"/>
              </w:rPr>
            </w:pPr>
          </w:p>
        </w:tc>
      </w:tr>
      <w:tr>
        <w:trPr>
          <w:trHeight w:val="200"/>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Mary T. Barra</w:t>
            </w:r>
          </w:p>
        </w:tc>
        <w:tc>
          <w:tcPr>
            <w:tcW w:w="580" w:type="dxa"/>
            <w:vAlign w:val="bottom"/>
            <w:tcBorders>
              <w:right w:val="single" w:sz="8" w:color="134A9C"/>
            </w:tcBorders>
          </w:tcPr>
          <w:p>
            <w:pPr>
              <w:jc w:val="center"/>
              <w:ind w:left="117"/>
              <w:spacing w:after="0"/>
              <w:rPr>
                <w:sz w:val="20"/>
                <w:szCs w:val="20"/>
                <w:color w:val="auto"/>
              </w:rPr>
            </w:pPr>
            <w:r>
              <w:rPr>
                <w:rFonts w:ascii="Arial" w:cs="Arial" w:eastAsia="Arial" w:hAnsi="Arial"/>
                <w:sz w:val="13"/>
                <w:szCs w:val="13"/>
                <w:color w:val="auto"/>
                <w:w w:val="96"/>
              </w:rPr>
              <w:t>2014</w:t>
            </w:r>
          </w:p>
        </w:tc>
        <w:tc>
          <w:tcPr>
            <w:tcW w:w="104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1,567,803</w:t>
            </w:r>
          </w:p>
        </w:tc>
        <w:tc>
          <w:tcPr>
            <w:tcW w:w="70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11,760,567</w:t>
            </w:r>
          </w:p>
        </w:tc>
        <w:tc>
          <w:tcPr>
            <w:tcW w:w="68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2,072,000</w:t>
            </w:r>
          </w:p>
        </w:tc>
        <w:tc>
          <w:tcPr>
            <w:tcW w:w="1360" w:type="dxa"/>
            <w:vAlign w:val="bottom"/>
            <w:tcBorders>
              <w:right w:val="single" w:sz="8" w:color="134A9C"/>
            </w:tcBorders>
          </w:tcPr>
          <w:p>
            <w:pPr>
              <w:jc w:val="right"/>
              <w:ind w:right="76"/>
              <w:spacing w:after="0"/>
              <w:rPr>
                <w:sz w:val="20"/>
                <w:szCs w:val="20"/>
                <w:color w:val="auto"/>
              </w:rPr>
            </w:pPr>
            <w:r>
              <w:rPr>
                <w:rFonts w:ascii="Arial" w:cs="Arial" w:eastAsia="Arial" w:hAnsi="Arial"/>
                <w:sz w:val="13"/>
                <w:szCs w:val="13"/>
                <w:color w:val="auto"/>
              </w:rPr>
              <w:t>349,926</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412,532</w:t>
            </w:r>
          </w:p>
        </w:tc>
        <w:tc>
          <w:tcPr>
            <w:tcW w:w="360" w:type="dxa"/>
            <w:vAlign w:val="bottom"/>
          </w:tcPr>
          <w:p>
            <w:pPr>
              <w:spacing w:after="0"/>
              <w:rPr>
                <w:sz w:val="17"/>
                <w:szCs w:val="17"/>
                <w:color w:val="auto"/>
              </w:rPr>
            </w:pPr>
          </w:p>
        </w:tc>
        <w:tc>
          <w:tcPr>
            <w:tcW w:w="78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w w:val="98"/>
              </w:rPr>
              <w:t>16,162,828</w:t>
            </w:r>
          </w:p>
        </w:tc>
        <w:tc>
          <w:tcPr>
            <w:tcW w:w="0" w:type="dxa"/>
            <w:vAlign w:val="bottom"/>
          </w:tcPr>
          <w:p>
            <w:pPr>
              <w:spacing w:after="0"/>
              <w:rPr>
                <w:sz w:val="1"/>
                <w:szCs w:val="1"/>
                <w:color w:val="auto"/>
              </w:rPr>
            </w:pPr>
          </w:p>
        </w:tc>
      </w:tr>
      <w:tr>
        <w:trPr>
          <w:trHeight w:val="189"/>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Chief Executive Officer</w:t>
            </w:r>
          </w:p>
        </w:tc>
        <w:tc>
          <w:tcPr>
            <w:tcW w:w="580" w:type="dxa"/>
            <w:vAlign w:val="bottom"/>
            <w:tcBorders>
              <w:right w:val="single" w:sz="8" w:color="134A9C"/>
            </w:tcBorders>
          </w:tcPr>
          <w:p>
            <w:pPr>
              <w:jc w:val="center"/>
              <w:ind w:left="117"/>
              <w:spacing w:after="0"/>
              <w:rPr>
                <w:sz w:val="20"/>
                <w:szCs w:val="20"/>
                <w:color w:val="auto"/>
              </w:rPr>
            </w:pPr>
            <w:r>
              <w:rPr>
                <w:rFonts w:ascii="Arial" w:cs="Arial" w:eastAsia="Arial" w:hAnsi="Arial"/>
                <w:sz w:val="13"/>
                <w:szCs w:val="13"/>
                <w:color w:val="auto"/>
                <w:w w:val="96"/>
              </w:rPr>
              <w:t>2013</w:t>
            </w:r>
          </w:p>
        </w:tc>
        <w:tc>
          <w:tcPr>
            <w:tcW w:w="104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750,000</w:t>
            </w:r>
          </w:p>
        </w:tc>
        <w:tc>
          <w:tcPr>
            <w:tcW w:w="70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4,446,504</w:t>
            </w:r>
          </w:p>
        </w:tc>
        <w:tc>
          <w:tcPr>
            <w:tcW w:w="68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134A9C"/>
            </w:tcBorders>
          </w:tcPr>
          <w:p>
            <w:pPr>
              <w:jc w:val="right"/>
              <w:ind w:right="76"/>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36,636</w:t>
            </w:r>
          </w:p>
        </w:tc>
        <w:tc>
          <w:tcPr>
            <w:tcW w:w="360" w:type="dxa"/>
            <w:vAlign w:val="bottom"/>
          </w:tcPr>
          <w:p>
            <w:pPr>
              <w:spacing w:after="0"/>
              <w:rPr>
                <w:sz w:val="16"/>
                <w:szCs w:val="16"/>
                <w:color w:val="auto"/>
              </w:rPr>
            </w:pPr>
          </w:p>
        </w:tc>
        <w:tc>
          <w:tcPr>
            <w:tcW w:w="78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5,233,140</w:t>
            </w:r>
          </w:p>
        </w:tc>
        <w:tc>
          <w:tcPr>
            <w:tcW w:w="0" w:type="dxa"/>
            <w:vAlign w:val="bottom"/>
          </w:tcPr>
          <w:p>
            <w:pPr>
              <w:spacing w:after="0"/>
              <w:rPr>
                <w:sz w:val="1"/>
                <w:szCs w:val="1"/>
                <w:color w:val="auto"/>
              </w:rPr>
            </w:pPr>
          </w:p>
        </w:tc>
      </w:tr>
      <w:tr>
        <w:trPr>
          <w:trHeight w:val="216"/>
        </w:trPr>
        <w:tc>
          <w:tcPr>
            <w:tcW w:w="2100" w:type="dxa"/>
            <w:vAlign w:val="bottom"/>
            <w:tcBorders>
              <w:left w:val="single" w:sz="8" w:color="134A9C"/>
              <w:right w:val="single" w:sz="8" w:color="134A9C"/>
            </w:tcBorders>
          </w:tcPr>
          <w:p>
            <w:pPr>
              <w:spacing w:after="0"/>
              <w:rPr>
                <w:sz w:val="18"/>
                <w:szCs w:val="18"/>
                <w:color w:val="auto"/>
              </w:rPr>
            </w:pPr>
          </w:p>
        </w:tc>
        <w:tc>
          <w:tcPr>
            <w:tcW w:w="580" w:type="dxa"/>
            <w:vAlign w:val="bottom"/>
            <w:tcBorders>
              <w:right w:val="single" w:sz="8" w:color="134A9C"/>
            </w:tcBorders>
          </w:tcPr>
          <w:p>
            <w:pPr>
              <w:jc w:val="center"/>
              <w:ind w:left="117"/>
              <w:spacing w:after="0"/>
              <w:rPr>
                <w:sz w:val="20"/>
                <w:szCs w:val="20"/>
                <w:color w:val="auto"/>
              </w:rPr>
            </w:pPr>
            <w:r>
              <w:rPr>
                <w:rFonts w:ascii="Arial" w:cs="Arial" w:eastAsia="Arial" w:hAnsi="Arial"/>
                <w:sz w:val="13"/>
                <w:szCs w:val="13"/>
                <w:color w:val="auto"/>
                <w:w w:val="96"/>
              </w:rPr>
              <w:t>2012</w:t>
            </w:r>
          </w:p>
        </w:tc>
        <w:tc>
          <w:tcPr>
            <w:tcW w:w="104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750,000</w:t>
            </w:r>
          </w:p>
        </w:tc>
        <w:tc>
          <w:tcPr>
            <w:tcW w:w="70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3,906,484</w:t>
            </w:r>
          </w:p>
        </w:tc>
        <w:tc>
          <w:tcPr>
            <w:tcW w:w="68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134A9C"/>
            </w:tcBorders>
          </w:tcPr>
          <w:p>
            <w:pPr>
              <w:jc w:val="right"/>
              <w:ind w:right="76"/>
              <w:spacing w:after="0"/>
              <w:rPr>
                <w:sz w:val="20"/>
                <w:szCs w:val="20"/>
                <w:color w:val="auto"/>
              </w:rPr>
            </w:pPr>
            <w:r>
              <w:rPr>
                <w:rFonts w:ascii="Arial" w:cs="Arial" w:eastAsia="Arial" w:hAnsi="Arial"/>
                <w:sz w:val="13"/>
                <w:szCs w:val="13"/>
                <w:color w:val="auto"/>
              </w:rPr>
              <w:t>258,558</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28,445</w:t>
            </w:r>
          </w:p>
        </w:tc>
        <w:tc>
          <w:tcPr>
            <w:tcW w:w="360" w:type="dxa"/>
            <w:vAlign w:val="bottom"/>
          </w:tcPr>
          <w:p>
            <w:pPr>
              <w:spacing w:after="0"/>
              <w:rPr>
                <w:sz w:val="18"/>
                <w:szCs w:val="18"/>
                <w:color w:val="auto"/>
              </w:rPr>
            </w:pPr>
          </w:p>
        </w:tc>
        <w:tc>
          <w:tcPr>
            <w:tcW w:w="78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4,943,487</w:t>
            </w:r>
          </w:p>
        </w:tc>
        <w:tc>
          <w:tcPr>
            <w:tcW w:w="0" w:type="dxa"/>
            <w:vAlign w:val="bottom"/>
          </w:tcPr>
          <w:p>
            <w:pPr>
              <w:spacing w:after="0"/>
              <w:rPr>
                <w:sz w:val="1"/>
                <w:szCs w:val="1"/>
                <w:color w:val="auto"/>
              </w:rPr>
            </w:pPr>
          </w:p>
        </w:tc>
      </w:tr>
      <w:tr>
        <w:trPr>
          <w:trHeight w:val="43"/>
        </w:trPr>
        <w:tc>
          <w:tcPr>
            <w:tcW w:w="2100" w:type="dxa"/>
            <w:vAlign w:val="bottom"/>
            <w:tcBorders>
              <w:left w:val="single" w:sz="8" w:color="134A9C"/>
              <w:bottom w:val="single" w:sz="8" w:color="134A9C"/>
              <w:right w:val="single" w:sz="8" w:color="134A9C"/>
            </w:tcBorders>
          </w:tcPr>
          <w:p>
            <w:pPr>
              <w:spacing w:after="0"/>
              <w:rPr>
                <w:sz w:val="3"/>
                <w:szCs w:val="3"/>
                <w:color w:val="auto"/>
              </w:rPr>
            </w:pPr>
          </w:p>
        </w:tc>
        <w:tc>
          <w:tcPr>
            <w:tcW w:w="580" w:type="dxa"/>
            <w:vAlign w:val="bottom"/>
            <w:tcBorders>
              <w:bottom w:val="single" w:sz="8" w:color="134A9C"/>
              <w:right w:val="single" w:sz="8" w:color="134A9C"/>
            </w:tcBorders>
          </w:tcPr>
          <w:p>
            <w:pPr>
              <w:spacing w:after="0"/>
              <w:rPr>
                <w:sz w:val="3"/>
                <w:szCs w:val="3"/>
                <w:color w:val="auto"/>
              </w:rPr>
            </w:pPr>
          </w:p>
        </w:tc>
        <w:tc>
          <w:tcPr>
            <w:tcW w:w="1040" w:type="dxa"/>
            <w:vAlign w:val="bottom"/>
            <w:tcBorders>
              <w:bottom w:val="single" w:sz="8" w:color="134A9C"/>
              <w:right w:val="single" w:sz="8" w:color="134A9C"/>
            </w:tcBorders>
          </w:tcPr>
          <w:p>
            <w:pPr>
              <w:spacing w:after="0"/>
              <w:rPr>
                <w:sz w:val="3"/>
                <w:szCs w:val="3"/>
                <w:color w:val="auto"/>
              </w:rPr>
            </w:pPr>
          </w:p>
        </w:tc>
        <w:tc>
          <w:tcPr>
            <w:tcW w:w="700" w:type="dxa"/>
            <w:vAlign w:val="bottom"/>
            <w:tcBorders>
              <w:bottom w:val="single" w:sz="8" w:color="134A9C"/>
              <w:right w:val="single" w:sz="8" w:color="134A9C"/>
            </w:tcBorders>
          </w:tcPr>
          <w:p>
            <w:pPr>
              <w:spacing w:after="0"/>
              <w:rPr>
                <w:sz w:val="3"/>
                <w:szCs w:val="3"/>
                <w:color w:val="auto"/>
              </w:rPr>
            </w:pPr>
          </w:p>
        </w:tc>
        <w:tc>
          <w:tcPr>
            <w:tcW w:w="1160" w:type="dxa"/>
            <w:vAlign w:val="bottom"/>
            <w:tcBorders>
              <w:bottom w:val="single" w:sz="8" w:color="134A9C"/>
              <w:right w:val="single" w:sz="8" w:color="134A9C"/>
            </w:tcBorders>
          </w:tcPr>
          <w:p>
            <w:pPr>
              <w:spacing w:after="0"/>
              <w:rPr>
                <w:sz w:val="3"/>
                <w:szCs w:val="3"/>
                <w:color w:val="auto"/>
              </w:rPr>
            </w:pPr>
          </w:p>
        </w:tc>
        <w:tc>
          <w:tcPr>
            <w:tcW w:w="680" w:type="dxa"/>
            <w:vAlign w:val="bottom"/>
            <w:tcBorders>
              <w:bottom w:val="single" w:sz="8" w:color="134A9C"/>
              <w:right w:val="single" w:sz="8" w:color="134A9C"/>
            </w:tcBorders>
          </w:tcPr>
          <w:p>
            <w:pPr>
              <w:spacing w:after="0"/>
              <w:rPr>
                <w:sz w:val="3"/>
                <w:szCs w:val="3"/>
                <w:color w:val="auto"/>
              </w:rPr>
            </w:pPr>
          </w:p>
        </w:tc>
        <w:tc>
          <w:tcPr>
            <w:tcW w:w="1340" w:type="dxa"/>
            <w:vAlign w:val="bottom"/>
            <w:tcBorders>
              <w:bottom w:val="single" w:sz="8" w:color="134A9C"/>
              <w:right w:val="single" w:sz="8" w:color="134A9C"/>
            </w:tcBorders>
          </w:tcPr>
          <w:p>
            <w:pPr>
              <w:spacing w:after="0"/>
              <w:rPr>
                <w:sz w:val="3"/>
                <w:szCs w:val="3"/>
                <w:color w:val="auto"/>
              </w:rPr>
            </w:pPr>
          </w:p>
        </w:tc>
        <w:tc>
          <w:tcPr>
            <w:tcW w:w="1360" w:type="dxa"/>
            <w:vAlign w:val="bottom"/>
            <w:tcBorders>
              <w:bottom w:val="single" w:sz="8" w:color="134A9C"/>
              <w:right w:val="single" w:sz="8" w:color="134A9C"/>
            </w:tcBorders>
          </w:tcPr>
          <w:p>
            <w:pPr>
              <w:spacing w:after="0"/>
              <w:rPr>
                <w:sz w:val="3"/>
                <w:szCs w:val="3"/>
                <w:color w:val="auto"/>
              </w:rPr>
            </w:pPr>
          </w:p>
        </w:tc>
        <w:tc>
          <w:tcPr>
            <w:tcW w:w="1340" w:type="dxa"/>
            <w:vAlign w:val="bottom"/>
            <w:tcBorders>
              <w:bottom w:val="single" w:sz="8" w:color="134A9C"/>
              <w:right w:val="single" w:sz="8" w:color="134A9C"/>
            </w:tcBorders>
          </w:tcPr>
          <w:p>
            <w:pPr>
              <w:spacing w:after="0"/>
              <w:rPr>
                <w:sz w:val="3"/>
                <w:szCs w:val="3"/>
                <w:color w:val="auto"/>
              </w:rPr>
            </w:pPr>
          </w:p>
        </w:tc>
        <w:tc>
          <w:tcPr>
            <w:tcW w:w="360" w:type="dxa"/>
            <w:vAlign w:val="bottom"/>
            <w:tcBorders>
              <w:bottom w:val="single" w:sz="8" w:color="134A9C"/>
            </w:tcBorders>
          </w:tcPr>
          <w:p>
            <w:pPr>
              <w:spacing w:after="0"/>
              <w:rPr>
                <w:sz w:val="3"/>
                <w:szCs w:val="3"/>
                <w:color w:val="auto"/>
              </w:rPr>
            </w:pPr>
          </w:p>
        </w:tc>
        <w:tc>
          <w:tcPr>
            <w:tcW w:w="780" w:type="dxa"/>
            <w:vAlign w:val="bottom"/>
            <w:tcBorders>
              <w:bottom w:val="single" w:sz="8" w:color="134A9C"/>
              <w:right w:val="single" w:sz="8" w:color="134A9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Charles K. Stevens, III</w:t>
            </w:r>
          </w:p>
        </w:tc>
        <w:tc>
          <w:tcPr>
            <w:tcW w:w="580" w:type="dxa"/>
            <w:vAlign w:val="bottom"/>
            <w:tcBorders>
              <w:right w:val="single" w:sz="8" w:color="134A9C"/>
            </w:tcBorders>
          </w:tcPr>
          <w:p>
            <w:pPr>
              <w:jc w:val="center"/>
              <w:ind w:left="117"/>
              <w:spacing w:after="0"/>
              <w:rPr>
                <w:sz w:val="20"/>
                <w:szCs w:val="20"/>
                <w:color w:val="auto"/>
              </w:rPr>
            </w:pPr>
            <w:r>
              <w:rPr>
                <w:rFonts w:ascii="Arial" w:cs="Arial" w:eastAsia="Arial" w:hAnsi="Arial"/>
                <w:sz w:val="13"/>
                <w:szCs w:val="13"/>
                <w:color w:val="auto"/>
                <w:w w:val="96"/>
              </w:rPr>
              <w:t>2014</w:t>
            </w:r>
          </w:p>
        </w:tc>
        <w:tc>
          <w:tcPr>
            <w:tcW w:w="104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691,667</w:t>
            </w:r>
          </w:p>
        </w:tc>
        <w:tc>
          <w:tcPr>
            <w:tcW w:w="70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3,177,354</w:t>
            </w:r>
          </w:p>
        </w:tc>
        <w:tc>
          <w:tcPr>
            <w:tcW w:w="68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647,500</w:t>
            </w:r>
          </w:p>
        </w:tc>
        <w:tc>
          <w:tcPr>
            <w:tcW w:w="1360" w:type="dxa"/>
            <w:vAlign w:val="bottom"/>
            <w:tcBorders>
              <w:right w:val="single" w:sz="8" w:color="134A9C"/>
            </w:tcBorders>
          </w:tcPr>
          <w:p>
            <w:pPr>
              <w:jc w:val="right"/>
              <w:ind w:right="76"/>
              <w:spacing w:after="0"/>
              <w:rPr>
                <w:sz w:val="20"/>
                <w:szCs w:val="20"/>
                <w:color w:val="auto"/>
              </w:rPr>
            </w:pPr>
            <w:r>
              <w:rPr>
                <w:rFonts w:ascii="Arial" w:cs="Arial" w:eastAsia="Arial" w:hAnsi="Arial"/>
                <w:sz w:val="13"/>
                <w:szCs w:val="13"/>
                <w:color w:val="auto"/>
              </w:rPr>
              <w:t>265,201</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113,110</w:t>
            </w:r>
          </w:p>
        </w:tc>
        <w:tc>
          <w:tcPr>
            <w:tcW w:w="360" w:type="dxa"/>
            <w:vAlign w:val="bottom"/>
          </w:tcPr>
          <w:p>
            <w:pPr>
              <w:spacing w:after="0"/>
              <w:rPr>
                <w:sz w:val="16"/>
                <w:szCs w:val="16"/>
                <w:color w:val="auto"/>
              </w:rPr>
            </w:pPr>
          </w:p>
        </w:tc>
        <w:tc>
          <w:tcPr>
            <w:tcW w:w="78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4,894,832</w:t>
            </w:r>
          </w:p>
        </w:tc>
        <w:tc>
          <w:tcPr>
            <w:tcW w:w="0" w:type="dxa"/>
            <w:vAlign w:val="bottom"/>
          </w:tcPr>
          <w:p>
            <w:pPr>
              <w:spacing w:after="0"/>
              <w:rPr>
                <w:sz w:val="1"/>
                <w:szCs w:val="1"/>
                <w:color w:val="auto"/>
              </w:rPr>
            </w:pPr>
          </w:p>
        </w:tc>
      </w:tr>
      <w:tr>
        <w:trPr>
          <w:trHeight w:val="172"/>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Executive Vice President &amp; Chief</w:t>
            </w:r>
          </w:p>
        </w:tc>
        <w:tc>
          <w:tcPr>
            <w:tcW w:w="580" w:type="dxa"/>
            <w:vAlign w:val="bottom"/>
            <w:tcBorders>
              <w:right w:val="single" w:sz="8" w:color="134A9C"/>
            </w:tcBorders>
          </w:tcPr>
          <w:p>
            <w:pPr>
              <w:spacing w:after="0"/>
              <w:rPr>
                <w:sz w:val="14"/>
                <w:szCs w:val="14"/>
                <w:color w:val="auto"/>
              </w:rPr>
            </w:pPr>
          </w:p>
        </w:tc>
        <w:tc>
          <w:tcPr>
            <w:tcW w:w="1040" w:type="dxa"/>
            <w:vAlign w:val="bottom"/>
            <w:tcBorders>
              <w:right w:val="single" w:sz="8" w:color="134A9C"/>
            </w:tcBorders>
          </w:tcPr>
          <w:p>
            <w:pPr>
              <w:spacing w:after="0"/>
              <w:rPr>
                <w:sz w:val="14"/>
                <w:szCs w:val="14"/>
                <w:color w:val="auto"/>
              </w:rPr>
            </w:pPr>
          </w:p>
        </w:tc>
        <w:tc>
          <w:tcPr>
            <w:tcW w:w="700" w:type="dxa"/>
            <w:vAlign w:val="bottom"/>
            <w:tcBorders>
              <w:right w:val="single" w:sz="8" w:color="134A9C"/>
            </w:tcBorders>
          </w:tcPr>
          <w:p>
            <w:pPr>
              <w:spacing w:after="0"/>
              <w:rPr>
                <w:sz w:val="14"/>
                <w:szCs w:val="14"/>
                <w:color w:val="auto"/>
              </w:rPr>
            </w:pPr>
          </w:p>
        </w:tc>
        <w:tc>
          <w:tcPr>
            <w:tcW w:w="1160" w:type="dxa"/>
            <w:vAlign w:val="bottom"/>
            <w:tcBorders>
              <w:right w:val="single" w:sz="8" w:color="134A9C"/>
            </w:tcBorders>
          </w:tcPr>
          <w:p>
            <w:pPr>
              <w:spacing w:after="0"/>
              <w:rPr>
                <w:sz w:val="14"/>
                <w:szCs w:val="14"/>
                <w:color w:val="auto"/>
              </w:rPr>
            </w:pPr>
          </w:p>
        </w:tc>
        <w:tc>
          <w:tcPr>
            <w:tcW w:w="680" w:type="dxa"/>
            <w:vAlign w:val="bottom"/>
            <w:tcBorders>
              <w:right w:val="single" w:sz="8" w:color="134A9C"/>
            </w:tcBorders>
          </w:tcPr>
          <w:p>
            <w:pPr>
              <w:spacing w:after="0"/>
              <w:rPr>
                <w:sz w:val="14"/>
                <w:szCs w:val="14"/>
                <w:color w:val="auto"/>
              </w:rPr>
            </w:pPr>
          </w:p>
        </w:tc>
        <w:tc>
          <w:tcPr>
            <w:tcW w:w="1340" w:type="dxa"/>
            <w:vAlign w:val="bottom"/>
            <w:tcBorders>
              <w:right w:val="single" w:sz="8" w:color="134A9C"/>
            </w:tcBorders>
          </w:tcPr>
          <w:p>
            <w:pPr>
              <w:spacing w:after="0"/>
              <w:rPr>
                <w:sz w:val="14"/>
                <w:szCs w:val="14"/>
                <w:color w:val="auto"/>
              </w:rPr>
            </w:pPr>
          </w:p>
        </w:tc>
        <w:tc>
          <w:tcPr>
            <w:tcW w:w="1360" w:type="dxa"/>
            <w:vAlign w:val="bottom"/>
            <w:tcBorders>
              <w:right w:val="single" w:sz="8" w:color="134A9C"/>
            </w:tcBorders>
          </w:tcPr>
          <w:p>
            <w:pPr>
              <w:spacing w:after="0"/>
              <w:rPr>
                <w:sz w:val="14"/>
                <w:szCs w:val="14"/>
                <w:color w:val="auto"/>
              </w:rPr>
            </w:pPr>
          </w:p>
        </w:tc>
        <w:tc>
          <w:tcPr>
            <w:tcW w:w="1340" w:type="dxa"/>
            <w:vAlign w:val="bottom"/>
            <w:tcBorders>
              <w:right w:val="single" w:sz="8" w:color="134A9C"/>
            </w:tcBorders>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right w:val="single" w:sz="8" w:color="134A9C"/>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Financial Officer</w:t>
            </w:r>
          </w:p>
        </w:tc>
        <w:tc>
          <w:tcPr>
            <w:tcW w:w="580" w:type="dxa"/>
            <w:vAlign w:val="bottom"/>
            <w:tcBorders>
              <w:right w:val="single" w:sz="8" w:color="134A9C"/>
            </w:tcBorders>
          </w:tcPr>
          <w:p>
            <w:pPr>
              <w:spacing w:after="0"/>
              <w:rPr>
                <w:sz w:val="13"/>
                <w:szCs w:val="13"/>
                <w:color w:val="auto"/>
              </w:rPr>
            </w:pPr>
          </w:p>
        </w:tc>
        <w:tc>
          <w:tcPr>
            <w:tcW w:w="1040" w:type="dxa"/>
            <w:vAlign w:val="bottom"/>
            <w:tcBorders>
              <w:right w:val="single" w:sz="8" w:color="134A9C"/>
            </w:tcBorders>
          </w:tcPr>
          <w:p>
            <w:pPr>
              <w:spacing w:after="0"/>
              <w:rPr>
                <w:sz w:val="13"/>
                <w:szCs w:val="13"/>
                <w:color w:val="auto"/>
              </w:rPr>
            </w:pPr>
          </w:p>
        </w:tc>
        <w:tc>
          <w:tcPr>
            <w:tcW w:w="700" w:type="dxa"/>
            <w:vAlign w:val="bottom"/>
            <w:tcBorders>
              <w:right w:val="single" w:sz="8" w:color="134A9C"/>
            </w:tcBorders>
          </w:tcPr>
          <w:p>
            <w:pPr>
              <w:spacing w:after="0"/>
              <w:rPr>
                <w:sz w:val="13"/>
                <w:szCs w:val="13"/>
                <w:color w:val="auto"/>
              </w:rPr>
            </w:pPr>
          </w:p>
        </w:tc>
        <w:tc>
          <w:tcPr>
            <w:tcW w:w="1160" w:type="dxa"/>
            <w:vAlign w:val="bottom"/>
            <w:tcBorders>
              <w:right w:val="single" w:sz="8" w:color="134A9C"/>
            </w:tcBorders>
          </w:tcPr>
          <w:p>
            <w:pPr>
              <w:spacing w:after="0"/>
              <w:rPr>
                <w:sz w:val="13"/>
                <w:szCs w:val="13"/>
                <w:color w:val="auto"/>
              </w:rPr>
            </w:pPr>
          </w:p>
        </w:tc>
        <w:tc>
          <w:tcPr>
            <w:tcW w:w="680" w:type="dxa"/>
            <w:vAlign w:val="bottom"/>
            <w:tcBorders>
              <w:right w:val="single" w:sz="8" w:color="134A9C"/>
            </w:tcBorders>
          </w:tcPr>
          <w:p>
            <w:pPr>
              <w:spacing w:after="0"/>
              <w:rPr>
                <w:sz w:val="13"/>
                <w:szCs w:val="13"/>
                <w:color w:val="auto"/>
              </w:rPr>
            </w:pPr>
          </w:p>
        </w:tc>
        <w:tc>
          <w:tcPr>
            <w:tcW w:w="1340" w:type="dxa"/>
            <w:vAlign w:val="bottom"/>
            <w:tcBorders>
              <w:right w:val="single" w:sz="8" w:color="134A9C"/>
            </w:tcBorders>
          </w:tcPr>
          <w:p>
            <w:pPr>
              <w:spacing w:after="0"/>
              <w:rPr>
                <w:sz w:val="13"/>
                <w:szCs w:val="13"/>
                <w:color w:val="auto"/>
              </w:rPr>
            </w:pPr>
          </w:p>
        </w:tc>
        <w:tc>
          <w:tcPr>
            <w:tcW w:w="1360" w:type="dxa"/>
            <w:vAlign w:val="bottom"/>
            <w:tcBorders>
              <w:right w:val="single" w:sz="8" w:color="134A9C"/>
            </w:tcBorders>
          </w:tcPr>
          <w:p>
            <w:pPr>
              <w:spacing w:after="0"/>
              <w:rPr>
                <w:sz w:val="13"/>
                <w:szCs w:val="13"/>
                <w:color w:val="auto"/>
              </w:rPr>
            </w:pPr>
          </w:p>
        </w:tc>
        <w:tc>
          <w:tcPr>
            <w:tcW w:w="1340" w:type="dxa"/>
            <w:vAlign w:val="bottom"/>
            <w:tcBorders>
              <w:right w:val="single" w:sz="8" w:color="134A9C"/>
            </w:tcBorders>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Borders>
              <w:right w:val="single" w:sz="8" w:color="134A9C"/>
            </w:tcBorders>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100" w:type="dxa"/>
            <w:vAlign w:val="bottom"/>
            <w:tcBorders>
              <w:left w:val="single" w:sz="8" w:color="134A9C"/>
              <w:bottom w:val="single" w:sz="8" w:color="134A9C"/>
              <w:right w:val="single" w:sz="8" w:color="134A9C"/>
            </w:tcBorders>
          </w:tcPr>
          <w:p>
            <w:pPr>
              <w:spacing w:after="0"/>
              <w:rPr>
                <w:sz w:val="21"/>
                <w:szCs w:val="21"/>
                <w:color w:val="auto"/>
              </w:rPr>
            </w:pPr>
          </w:p>
        </w:tc>
        <w:tc>
          <w:tcPr>
            <w:tcW w:w="580" w:type="dxa"/>
            <w:vAlign w:val="bottom"/>
            <w:tcBorders>
              <w:bottom w:val="single" w:sz="8" w:color="134A9C"/>
              <w:right w:val="single" w:sz="8" w:color="134A9C"/>
            </w:tcBorders>
          </w:tcPr>
          <w:p>
            <w:pPr>
              <w:spacing w:after="0"/>
              <w:rPr>
                <w:sz w:val="21"/>
                <w:szCs w:val="21"/>
                <w:color w:val="auto"/>
              </w:rPr>
            </w:pPr>
          </w:p>
        </w:tc>
        <w:tc>
          <w:tcPr>
            <w:tcW w:w="1040" w:type="dxa"/>
            <w:vAlign w:val="bottom"/>
            <w:tcBorders>
              <w:bottom w:val="single" w:sz="8" w:color="134A9C"/>
              <w:right w:val="single" w:sz="8" w:color="134A9C"/>
            </w:tcBorders>
          </w:tcPr>
          <w:p>
            <w:pPr>
              <w:spacing w:after="0"/>
              <w:rPr>
                <w:sz w:val="21"/>
                <w:szCs w:val="21"/>
                <w:color w:val="auto"/>
              </w:rPr>
            </w:pPr>
          </w:p>
        </w:tc>
        <w:tc>
          <w:tcPr>
            <w:tcW w:w="700" w:type="dxa"/>
            <w:vAlign w:val="bottom"/>
            <w:tcBorders>
              <w:bottom w:val="single" w:sz="8" w:color="134A9C"/>
              <w:right w:val="single" w:sz="8" w:color="134A9C"/>
            </w:tcBorders>
          </w:tcPr>
          <w:p>
            <w:pPr>
              <w:spacing w:after="0"/>
              <w:rPr>
                <w:sz w:val="21"/>
                <w:szCs w:val="21"/>
                <w:color w:val="auto"/>
              </w:rPr>
            </w:pPr>
          </w:p>
        </w:tc>
        <w:tc>
          <w:tcPr>
            <w:tcW w:w="1160" w:type="dxa"/>
            <w:vAlign w:val="bottom"/>
            <w:tcBorders>
              <w:bottom w:val="single" w:sz="8" w:color="134A9C"/>
              <w:right w:val="single" w:sz="8" w:color="134A9C"/>
            </w:tcBorders>
          </w:tcPr>
          <w:p>
            <w:pPr>
              <w:spacing w:after="0"/>
              <w:rPr>
                <w:sz w:val="21"/>
                <w:szCs w:val="21"/>
                <w:color w:val="auto"/>
              </w:rPr>
            </w:pPr>
          </w:p>
        </w:tc>
        <w:tc>
          <w:tcPr>
            <w:tcW w:w="680" w:type="dxa"/>
            <w:vAlign w:val="bottom"/>
            <w:tcBorders>
              <w:bottom w:val="single" w:sz="8" w:color="134A9C"/>
              <w:right w:val="single" w:sz="8" w:color="134A9C"/>
            </w:tcBorders>
          </w:tcPr>
          <w:p>
            <w:pPr>
              <w:spacing w:after="0"/>
              <w:rPr>
                <w:sz w:val="21"/>
                <w:szCs w:val="21"/>
                <w:color w:val="auto"/>
              </w:rPr>
            </w:pPr>
          </w:p>
        </w:tc>
        <w:tc>
          <w:tcPr>
            <w:tcW w:w="1340" w:type="dxa"/>
            <w:vAlign w:val="bottom"/>
            <w:tcBorders>
              <w:bottom w:val="single" w:sz="8" w:color="134A9C"/>
              <w:right w:val="single" w:sz="8" w:color="134A9C"/>
            </w:tcBorders>
          </w:tcPr>
          <w:p>
            <w:pPr>
              <w:spacing w:after="0"/>
              <w:rPr>
                <w:sz w:val="21"/>
                <w:szCs w:val="21"/>
                <w:color w:val="auto"/>
              </w:rPr>
            </w:pPr>
          </w:p>
        </w:tc>
        <w:tc>
          <w:tcPr>
            <w:tcW w:w="1360" w:type="dxa"/>
            <w:vAlign w:val="bottom"/>
            <w:tcBorders>
              <w:bottom w:val="single" w:sz="8" w:color="134A9C"/>
              <w:right w:val="single" w:sz="8" w:color="134A9C"/>
            </w:tcBorders>
          </w:tcPr>
          <w:p>
            <w:pPr>
              <w:spacing w:after="0"/>
              <w:rPr>
                <w:sz w:val="21"/>
                <w:szCs w:val="21"/>
                <w:color w:val="auto"/>
              </w:rPr>
            </w:pPr>
          </w:p>
        </w:tc>
        <w:tc>
          <w:tcPr>
            <w:tcW w:w="1340" w:type="dxa"/>
            <w:vAlign w:val="bottom"/>
            <w:tcBorders>
              <w:bottom w:val="single" w:sz="8" w:color="134A9C"/>
              <w:right w:val="single" w:sz="8" w:color="134A9C"/>
            </w:tcBorders>
          </w:tcPr>
          <w:p>
            <w:pPr>
              <w:spacing w:after="0"/>
              <w:rPr>
                <w:sz w:val="21"/>
                <w:szCs w:val="21"/>
                <w:color w:val="auto"/>
              </w:rPr>
            </w:pPr>
          </w:p>
        </w:tc>
        <w:tc>
          <w:tcPr>
            <w:tcW w:w="360" w:type="dxa"/>
            <w:vAlign w:val="bottom"/>
            <w:tcBorders>
              <w:bottom w:val="single" w:sz="8" w:color="134A9C"/>
            </w:tcBorders>
          </w:tcPr>
          <w:p>
            <w:pPr>
              <w:spacing w:after="0"/>
              <w:rPr>
                <w:sz w:val="21"/>
                <w:szCs w:val="21"/>
                <w:color w:val="auto"/>
              </w:rPr>
            </w:pPr>
          </w:p>
        </w:tc>
        <w:tc>
          <w:tcPr>
            <w:tcW w:w="780" w:type="dxa"/>
            <w:vAlign w:val="bottom"/>
            <w:tcBorders>
              <w:bottom w:val="single" w:sz="8" w:color="134A9C"/>
              <w:right w:val="single" w:sz="8" w:color="134A9C"/>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Daniel Ammann</w:t>
            </w:r>
            <w:r>
              <w:rPr>
                <w:rFonts w:ascii="Arial" w:cs="Arial" w:eastAsia="Arial" w:hAnsi="Arial"/>
                <w:sz w:val="8"/>
                <w:szCs w:val="8"/>
                <w:color w:val="auto"/>
              </w:rPr>
              <w:t>(8)</w:t>
            </w:r>
          </w:p>
        </w:tc>
        <w:tc>
          <w:tcPr>
            <w:tcW w:w="580" w:type="dxa"/>
            <w:vAlign w:val="bottom"/>
            <w:tcBorders>
              <w:right w:val="single" w:sz="8" w:color="134A9C"/>
            </w:tcBorders>
          </w:tcPr>
          <w:p>
            <w:pPr>
              <w:jc w:val="center"/>
              <w:ind w:left="117"/>
              <w:spacing w:after="0"/>
              <w:rPr>
                <w:sz w:val="20"/>
                <w:szCs w:val="20"/>
                <w:color w:val="auto"/>
              </w:rPr>
            </w:pPr>
            <w:r>
              <w:rPr>
                <w:rFonts w:ascii="Arial" w:cs="Arial" w:eastAsia="Arial" w:hAnsi="Arial"/>
                <w:sz w:val="13"/>
                <w:szCs w:val="13"/>
                <w:color w:val="auto"/>
                <w:w w:val="96"/>
              </w:rPr>
              <w:t>2014</w:t>
            </w:r>
          </w:p>
        </w:tc>
        <w:tc>
          <w:tcPr>
            <w:tcW w:w="104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990,530</w:t>
            </w:r>
          </w:p>
        </w:tc>
        <w:tc>
          <w:tcPr>
            <w:tcW w:w="70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6,310,564</w:t>
            </w:r>
          </w:p>
        </w:tc>
        <w:tc>
          <w:tcPr>
            <w:tcW w:w="68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925,000</w:t>
            </w:r>
          </w:p>
        </w:tc>
        <w:tc>
          <w:tcPr>
            <w:tcW w:w="1360" w:type="dxa"/>
            <w:vAlign w:val="bottom"/>
            <w:tcBorders>
              <w:right w:val="single" w:sz="8" w:color="134A9C"/>
            </w:tcBorders>
          </w:tcPr>
          <w:p>
            <w:pPr>
              <w:jc w:val="right"/>
              <w:ind w:right="76"/>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263,252</w:t>
            </w:r>
          </w:p>
        </w:tc>
        <w:tc>
          <w:tcPr>
            <w:tcW w:w="360" w:type="dxa"/>
            <w:vAlign w:val="bottom"/>
          </w:tcPr>
          <w:p>
            <w:pPr>
              <w:spacing w:after="0"/>
              <w:rPr>
                <w:sz w:val="16"/>
                <w:szCs w:val="16"/>
                <w:color w:val="auto"/>
              </w:rPr>
            </w:pPr>
          </w:p>
        </w:tc>
        <w:tc>
          <w:tcPr>
            <w:tcW w:w="78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8,489,346</w:t>
            </w:r>
          </w:p>
        </w:tc>
        <w:tc>
          <w:tcPr>
            <w:tcW w:w="0" w:type="dxa"/>
            <w:vAlign w:val="bottom"/>
          </w:tcPr>
          <w:p>
            <w:pPr>
              <w:spacing w:after="0"/>
              <w:rPr>
                <w:sz w:val="1"/>
                <w:szCs w:val="1"/>
                <w:color w:val="auto"/>
              </w:rPr>
            </w:pPr>
          </w:p>
        </w:tc>
      </w:tr>
      <w:tr>
        <w:trPr>
          <w:trHeight w:val="172"/>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President and Former Executive</w:t>
            </w:r>
          </w:p>
        </w:tc>
        <w:tc>
          <w:tcPr>
            <w:tcW w:w="580" w:type="dxa"/>
            <w:vAlign w:val="bottom"/>
            <w:tcBorders>
              <w:right w:val="single" w:sz="8" w:color="134A9C"/>
            </w:tcBorders>
          </w:tcPr>
          <w:p>
            <w:pPr>
              <w:jc w:val="center"/>
              <w:ind w:left="117"/>
              <w:spacing w:after="0"/>
              <w:rPr>
                <w:sz w:val="20"/>
                <w:szCs w:val="20"/>
                <w:color w:val="auto"/>
              </w:rPr>
            </w:pPr>
            <w:r>
              <w:rPr>
                <w:rFonts w:ascii="Arial" w:cs="Arial" w:eastAsia="Arial" w:hAnsi="Arial"/>
                <w:sz w:val="13"/>
                <w:szCs w:val="13"/>
                <w:color w:val="auto"/>
                <w:w w:val="96"/>
              </w:rPr>
              <w:t>2013</w:t>
            </w:r>
          </w:p>
        </w:tc>
        <w:tc>
          <w:tcPr>
            <w:tcW w:w="104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750,000</w:t>
            </w:r>
          </w:p>
        </w:tc>
        <w:tc>
          <w:tcPr>
            <w:tcW w:w="70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4,481,562</w:t>
            </w:r>
          </w:p>
        </w:tc>
        <w:tc>
          <w:tcPr>
            <w:tcW w:w="68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134A9C"/>
            </w:tcBorders>
          </w:tcPr>
          <w:p>
            <w:pPr>
              <w:jc w:val="right"/>
              <w:ind w:right="76"/>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28,475</w:t>
            </w:r>
          </w:p>
        </w:tc>
        <w:tc>
          <w:tcPr>
            <w:tcW w:w="360" w:type="dxa"/>
            <w:vAlign w:val="bottom"/>
          </w:tcPr>
          <w:p>
            <w:pPr>
              <w:spacing w:after="0"/>
              <w:rPr>
                <w:sz w:val="14"/>
                <w:szCs w:val="14"/>
                <w:color w:val="auto"/>
              </w:rPr>
            </w:pPr>
          </w:p>
        </w:tc>
        <w:tc>
          <w:tcPr>
            <w:tcW w:w="78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5,260,037</w:t>
            </w:r>
          </w:p>
        </w:tc>
        <w:tc>
          <w:tcPr>
            <w:tcW w:w="0" w:type="dxa"/>
            <w:vAlign w:val="bottom"/>
          </w:tcPr>
          <w:p>
            <w:pPr>
              <w:spacing w:after="0"/>
              <w:rPr>
                <w:sz w:val="1"/>
                <w:szCs w:val="1"/>
                <w:color w:val="auto"/>
              </w:rPr>
            </w:pPr>
          </w:p>
        </w:tc>
      </w:tr>
      <w:tr>
        <w:trPr>
          <w:trHeight w:val="135"/>
        </w:trPr>
        <w:tc>
          <w:tcPr>
            <w:tcW w:w="2100" w:type="dxa"/>
            <w:vAlign w:val="bottom"/>
            <w:tcBorders>
              <w:left w:val="single" w:sz="8" w:color="134A9C"/>
              <w:right w:val="single" w:sz="8" w:color="134A9C"/>
            </w:tcBorders>
          </w:tcPr>
          <w:p>
            <w:pPr>
              <w:ind w:left="40"/>
              <w:spacing w:after="0" w:line="135" w:lineRule="exact"/>
              <w:rPr>
                <w:sz w:val="20"/>
                <w:szCs w:val="20"/>
                <w:color w:val="auto"/>
              </w:rPr>
            </w:pPr>
            <w:r>
              <w:rPr>
                <w:rFonts w:ascii="Arial" w:cs="Arial" w:eastAsia="Arial" w:hAnsi="Arial"/>
                <w:sz w:val="13"/>
                <w:szCs w:val="13"/>
                <w:color w:val="auto"/>
              </w:rPr>
              <w:t>Vice President &amp; Chief Financial</w:t>
            </w:r>
          </w:p>
        </w:tc>
        <w:tc>
          <w:tcPr>
            <w:tcW w:w="580" w:type="dxa"/>
            <w:vAlign w:val="bottom"/>
            <w:tcBorders>
              <w:right w:val="single" w:sz="8" w:color="134A9C"/>
            </w:tcBorders>
            <w:vMerge w:val="restart"/>
          </w:tcPr>
          <w:p>
            <w:pPr>
              <w:jc w:val="center"/>
              <w:ind w:left="117"/>
              <w:spacing w:after="0"/>
              <w:rPr>
                <w:sz w:val="20"/>
                <w:szCs w:val="20"/>
                <w:color w:val="auto"/>
              </w:rPr>
            </w:pPr>
            <w:r>
              <w:rPr>
                <w:rFonts w:ascii="Arial" w:cs="Arial" w:eastAsia="Arial" w:hAnsi="Arial"/>
                <w:sz w:val="13"/>
                <w:szCs w:val="13"/>
                <w:color w:val="auto"/>
                <w:w w:val="96"/>
              </w:rPr>
              <w:t>2012</w:t>
            </w:r>
          </w:p>
        </w:tc>
        <w:tc>
          <w:tcPr>
            <w:tcW w:w="1040" w:type="dxa"/>
            <w:vAlign w:val="bottom"/>
            <w:tcBorders>
              <w:right w:val="single" w:sz="8" w:color="134A9C"/>
            </w:tcBorders>
            <w:vMerge w:val="restart"/>
          </w:tcPr>
          <w:p>
            <w:pPr>
              <w:jc w:val="right"/>
              <w:ind w:right="77"/>
              <w:spacing w:after="0"/>
              <w:rPr>
                <w:sz w:val="20"/>
                <w:szCs w:val="20"/>
                <w:color w:val="auto"/>
              </w:rPr>
            </w:pPr>
            <w:r>
              <w:rPr>
                <w:rFonts w:ascii="Arial" w:cs="Arial" w:eastAsia="Arial" w:hAnsi="Arial"/>
                <w:sz w:val="13"/>
                <w:szCs w:val="13"/>
                <w:color w:val="auto"/>
              </w:rPr>
              <w:t>750,000</w:t>
            </w:r>
          </w:p>
        </w:tc>
        <w:tc>
          <w:tcPr>
            <w:tcW w:w="700" w:type="dxa"/>
            <w:vAlign w:val="bottom"/>
            <w:tcBorders>
              <w:right w:val="single" w:sz="8" w:color="134A9C"/>
            </w:tcBorders>
            <w:vMerge w:val="restart"/>
          </w:tcPr>
          <w:p>
            <w:pPr>
              <w:ind w:left="42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134A9C"/>
            </w:tcBorders>
            <w:vMerge w:val="restart"/>
          </w:tcPr>
          <w:p>
            <w:pPr>
              <w:jc w:val="right"/>
              <w:ind w:right="77"/>
              <w:spacing w:after="0"/>
              <w:rPr>
                <w:sz w:val="20"/>
                <w:szCs w:val="20"/>
                <w:color w:val="auto"/>
              </w:rPr>
            </w:pPr>
            <w:r>
              <w:rPr>
                <w:rFonts w:ascii="Arial" w:cs="Arial" w:eastAsia="Arial" w:hAnsi="Arial"/>
                <w:sz w:val="13"/>
                <w:szCs w:val="13"/>
                <w:color w:val="auto"/>
              </w:rPr>
              <w:t>4,007,056</w:t>
            </w:r>
          </w:p>
        </w:tc>
        <w:tc>
          <w:tcPr>
            <w:tcW w:w="680" w:type="dxa"/>
            <w:vAlign w:val="bottom"/>
            <w:tcBorders>
              <w:right w:val="single" w:sz="8" w:color="134A9C"/>
            </w:tcBorders>
            <w:vMerge w:val="restart"/>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vMerge w:val="restart"/>
          </w:tcPr>
          <w:p>
            <w:pPr>
              <w:jc w:val="right"/>
              <w:ind w:right="5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134A9C"/>
            </w:tcBorders>
            <w:vMerge w:val="restart"/>
          </w:tcPr>
          <w:p>
            <w:pPr>
              <w:jc w:val="right"/>
              <w:ind w:right="76"/>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vMerge w:val="restart"/>
          </w:tcPr>
          <w:p>
            <w:pPr>
              <w:jc w:val="right"/>
              <w:ind w:right="57"/>
              <w:spacing w:after="0"/>
              <w:rPr>
                <w:sz w:val="20"/>
                <w:szCs w:val="20"/>
                <w:color w:val="auto"/>
              </w:rPr>
            </w:pPr>
            <w:r>
              <w:rPr>
                <w:rFonts w:ascii="Arial" w:cs="Arial" w:eastAsia="Arial" w:hAnsi="Arial"/>
                <w:sz w:val="13"/>
                <w:szCs w:val="13"/>
                <w:color w:val="auto"/>
              </w:rPr>
              <w:t>31,810</w:t>
            </w:r>
          </w:p>
        </w:tc>
        <w:tc>
          <w:tcPr>
            <w:tcW w:w="360" w:type="dxa"/>
            <w:vAlign w:val="bottom"/>
          </w:tcPr>
          <w:p>
            <w:pPr>
              <w:spacing w:after="0"/>
              <w:rPr>
                <w:sz w:val="11"/>
                <w:szCs w:val="11"/>
                <w:color w:val="auto"/>
              </w:rPr>
            </w:pPr>
          </w:p>
        </w:tc>
        <w:tc>
          <w:tcPr>
            <w:tcW w:w="780" w:type="dxa"/>
            <w:vAlign w:val="bottom"/>
            <w:tcBorders>
              <w:right w:val="single" w:sz="8" w:color="134A9C"/>
            </w:tcBorders>
            <w:vMerge w:val="restart"/>
          </w:tcPr>
          <w:p>
            <w:pPr>
              <w:jc w:val="right"/>
              <w:ind w:right="57"/>
              <w:spacing w:after="0"/>
              <w:rPr>
                <w:sz w:val="20"/>
                <w:szCs w:val="20"/>
                <w:color w:val="auto"/>
              </w:rPr>
            </w:pPr>
            <w:r>
              <w:rPr>
                <w:rFonts w:ascii="Arial" w:cs="Arial" w:eastAsia="Arial" w:hAnsi="Arial"/>
                <w:sz w:val="13"/>
                <w:szCs w:val="13"/>
                <w:color w:val="auto"/>
              </w:rPr>
              <w:t>4,788,866</w:t>
            </w:r>
          </w:p>
        </w:tc>
        <w:tc>
          <w:tcPr>
            <w:tcW w:w="0" w:type="dxa"/>
            <w:vAlign w:val="bottom"/>
          </w:tcPr>
          <w:p>
            <w:pPr>
              <w:spacing w:after="0"/>
              <w:rPr>
                <w:sz w:val="1"/>
                <w:szCs w:val="1"/>
                <w:color w:val="auto"/>
              </w:rPr>
            </w:pPr>
          </w:p>
        </w:tc>
      </w:tr>
      <w:tr>
        <w:trPr>
          <w:trHeight w:val="112"/>
        </w:trPr>
        <w:tc>
          <w:tcPr>
            <w:tcW w:w="2100" w:type="dxa"/>
            <w:vAlign w:val="bottom"/>
            <w:tcBorders>
              <w:left w:val="single" w:sz="8" w:color="134A9C"/>
              <w:right w:val="single" w:sz="8" w:color="134A9C"/>
            </w:tcBorders>
            <w:vMerge w:val="restart"/>
          </w:tcPr>
          <w:p>
            <w:pPr>
              <w:ind w:left="40"/>
              <w:spacing w:after="0"/>
              <w:rPr>
                <w:sz w:val="20"/>
                <w:szCs w:val="20"/>
                <w:color w:val="auto"/>
              </w:rPr>
            </w:pPr>
            <w:r>
              <w:rPr>
                <w:rFonts w:ascii="Arial" w:cs="Arial" w:eastAsia="Arial" w:hAnsi="Arial"/>
                <w:sz w:val="13"/>
                <w:szCs w:val="13"/>
                <w:color w:val="auto"/>
              </w:rPr>
              <w:t>Officer</w:t>
            </w:r>
          </w:p>
        </w:tc>
        <w:tc>
          <w:tcPr>
            <w:tcW w:w="580" w:type="dxa"/>
            <w:vAlign w:val="bottom"/>
            <w:tcBorders>
              <w:right w:val="single" w:sz="8" w:color="134A9C"/>
            </w:tcBorders>
            <w:vMerge w:val="continue"/>
          </w:tcPr>
          <w:p>
            <w:pPr>
              <w:spacing w:after="0"/>
              <w:rPr>
                <w:sz w:val="9"/>
                <w:szCs w:val="9"/>
                <w:color w:val="auto"/>
              </w:rPr>
            </w:pPr>
          </w:p>
        </w:tc>
        <w:tc>
          <w:tcPr>
            <w:tcW w:w="1040" w:type="dxa"/>
            <w:vAlign w:val="bottom"/>
            <w:tcBorders>
              <w:right w:val="single" w:sz="8" w:color="134A9C"/>
            </w:tcBorders>
            <w:vMerge w:val="continue"/>
          </w:tcPr>
          <w:p>
            <w:pPr>
              <w:spacing w:after="0"/>
              <w:rPr>
                <w:sz w:val="9"/>
                <w:szCs w:val="9"/>
                <w:color w:val="auto"/>
              </w:rPr>
            </w:pPr>
          </w:p>
        </w:tc>
        <w:tc>
          <w:tcPr>
            <w:tcW w:w="700" w:type="dxa"/>
            <w:vAlign w:val="bottom"/>
            <w:tcBorders>
              <w:right w:val="single" w:sz="8" w:color="134A9C"/>
            </w:tcBorders>
            <w:vMerge w:val="continue"/>
          </w:tcPr>
          <w:p>
            <w:pPr>
              <w:spacing w:after="0"/>
              <w:rPr>
                <w:sz w:val="9"/>
                <w:szCs w:val="9"/>
                <w:color w:val="auto"/>
              </w:rPr>
            </w:pPr>
          </w:p>
        </w:tc>
        <w:tc>
          <w:tcPr>
            <w:tcW w:w="1160" w:type="dxa"/>
            <w:vAlign w:val="bottom"/>
            <w:tcBorders>
              <w:right w:val="single" w:sz="8" w:color="134A9C"/>
            </w:tcBorders>
            <w:vMerge w:val="continue"/>
          </w:tcPr>
          <w:p>
            <w:pPr>
              <w:spacing w:after="0"/>
              <w:rPr>
                <w:sz w:val="9"/>
                <w:szCs w:val="9"/>
                <w:color w:val="auto"/>
              </w:rPr>
            </w:pPr>
          </w:p>
        </w:tc>
        <w:tc>
          <w:tcPr>
            <w:tcW w:w="680" w:type="dxa"/>
            <w:vAlign w:val="bottom"/>
            <w:tcBorders>
              <w:right w:val="single" w:sz="8" w:color="134A9C"/>
            </w:tcBorders>
            <w:vMerge w:val="continue"/>
          </w:tcPr>
          <w:p>
            <w:pPr>
              <w:spacing w:after="0"/>
              <w:rPr>
                <w:sz w:val="9"/>
                <w:szCs w:val="9"/>
                <w:color w:val="auto"/>
              </w:rPr>
            </w:pPr>
          </w:p>
        </w:tc>
        <w:tc>
          <w:tcPr>
            <w:tcW w:w="1340" w:type="dxa"/>
            <w:vAlign w:val="bottom"/>
            <w:tcBorders>
              <w:right w:val="single" w:sz="8" w:color="134A9C"/>
            </w:tcBorders>
            <w:vMerge w:val="continue"/>
          </w:tcPr>
          <w:p>
            <w:pPr>
              <w:spacing w:after="0"/>
              <w:rPr>
                <w:sz w:val="9"/>
                <w:szCs w:val="9"/>
                <w:color w:val="auto"/>
              </w:rPr>
            </w:pPr>
          </w:p>
        </w:tc>
        <w:tc>
          <w:tcPr>
            <w:tcW w:w="1360" w:type="dxa"/>
            <w:vAlign w:val="bottom"/>
            <w:tcBorders>
              <w:right w:val="single" w:sz="8" w:color="134A9C"/>
            </w:tcBorders>
            <w:vMerge w:val="continue"/>
          </w:tcPr>
          <w:p>
            <w:pPr>
              <w:spacing w:after="0"/>
              <w:rPr>
                <w:sz w:val="9"/>
                <w:szCs w:val="9"/>
                <w:color w:val="auto"/>
              </w:rPr>
            </w:pPr>
          </w:p>
        </w:tc>
        <w:tc>
          <w:tcPr>
            <w:tcW w:w="1340" w:type="dxa"/>
            <w:vAlign w:val="bottom"/>
            <w:tcBorders>
              <w:right w:val="single" w:sz="8" w:color="134A9C"/>
            </w:tcBorders>
            <w:vMerge w:val="continue"/>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Borders>
              <w:right w:val="single" w:sz="8" w:color="134A9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100" w:type="dxa"/>
            <w:vAlign w:val="bottom"/>
            <w:tcBorders>
              <w:left w:val="single" w:sz="8" w:color="134A9C"/>
              <w:bottom w:val="single" w:sz="8" w:color="134A9C"/>
              <w:right w:val="single" w:sz="8" w:color="134A9C"/>
            </w:tcBorders>
            <w:vMerge w:val="continue"/>
          </w:tcPr>
          <w:p>
            <w:pPr>
              <w:spacing w:after="0"/>
              <w:rPr>
                <w:sz w:val="4"/>
                <w:szCs w:val="4"/>
                <w:color w:val="auto"/>
              </w:rPr>
            </w:pPr>
          </w:p>
        </w:tc>
        <w:tc>
          <w:tcPr>
            <w:tcW w:w="580" w:type="dxa"/>
            <w:vAlign w:val="bottom"/>
            <w:tcBorders>
              <w:bottom w:val="single" w:sz="8" w:color="134A9C"/>
              <w:right w:val="single" w:sz="8" w:color="134A9C"/>
            </w:tcBorders>
          </w:tcPr>
          <w:p>
            <w:pPr>
              <w:spacing w:after="0"/>
              <w:rPr>
                <w:sz w:val="4"/>
                <w:szCs w:val="4"/>
                <w:color w:val="auto"/>
              </w:rPr>
            </w:pPr>
          </w:p>
        </w:tc>
        <w:tc>
          <w:tcPr>
            <w:tcW w:w="1040" w:type="dxa"/>
            <w:vAlign w:val="bottom"/>
            <w:tcBorders>
              <w:bottom w:val="single" w:sz="8" w:color="134A9C"/>
              <w:right w:val="single" w:sz="8" w:color="134A9C"/>
            </w:tcBorders>
          </w:tcPr>
          <w:p>
            <w:pPr>
              <w:spacing w:after="0"/>
              <w:rPr>
                <w:sz w:val="4"/>
                <w:szCs w:val="4"/>
                <w:color w:val="auto"/>
              </w:rPr>
            </w:pPr>
          </w:p>
        </w:tc>
        <w:tc>
          <w:tcPr>
            <w:tcW w:w="700" w:type="dxa"/>
            <w:vAlign w:val="bottom"/>
            <w:tcBorders>
              <w:bottom w:val="single" w:sz="8" w:color="134A9C"/>
              <w:right w:val="single" w:sz="8" w:color="134A9C"/>
            </w:tcBorders>
          </w:tcPr>
          <w:p>
            <w:pPr>
              <w:spacing w:after="0"/>
              <w:rPr>
                <w:sz w:val="4"/>
                <w:szCs w:val="4"/>
                <w:color w:val="auto"/>
              </w:rPr>
            </w:pPr>
          </w:p>
        </w:tc>
        <w:tc>
          <w:tcPr>
            <w:tcW w:w="1160" w:type="dxa"/>
            <w:vAlign w:val="bottom"/>
            <w:tcBorders>
              <w:bottom w:val="single" w:sz="8" w:color="134A9C"/>
              <w:right w:val="single" w:sz="8" w:color="134A9C"/>
            </w:tcBorders>
          </w:tcPr>
          <w:p>
            <w:pPr>
              <w:spacing w:after="0"/>
              <w:rPr>
                <w:sz w:val="4"/>
                <w:szCs w:val="4"/>
                <w:color w:val="auto"/>
              </w:rPr>
            </w:pPr>
          </w:p>
        </w:tc>
        <w:tc>
          <w:tcPr>
            <w:tcW w:w="680" w:type="dxa"/>
            <w:vAlign w:val="bottom"/>
            <w:tcBorders>
              <w:bottom w:val="single" w:sz="8" w:color="134A9C"/>
              <w:right w:val="single" w:sz="8" w:color="134A9C"/>
            </w:tcBorders>
          </w:tcPr>
          <w:p>
            <w:pPr>
              <w:spacing w:after="0"/>
              <w:rPr>
                <w:sz w:val="4"/>
                <w:szCs w:val="4"/>
                <w:color w:val="auto"/>
              </w:rPr>
            </w:pPr>
          </w:p>
        </w:tc>
        <w:tc>
          <w:tcPr>
            <w:tcW w:w="1340" w:type="dxa"/>
            <w:vAlign w:val="bottom"/>
            <w:tcBorders>
              <w:bottom w:val="single" w:sz="8" w:color="134A9C"/>
              <w:right w:val="single" w:sz="8" w:color="134A9C"/>
            </w:tcBorders>
          </w:tcPr>
          <w:p>
            <w:pPr>
              <w:spacing w:after="0"/>
              <w:rPr>
                <w:sz w:val="4"/>
                <w:szCs w:val="4"/>
                <w:color w:val="auto"/>
              </w:rPr>
            </w:pPr>
          </w:p>
        </w:tc>
        <w:tc>
          <w:tcPr>
            <w:tcW w:w="1360" w:type="dxa"/>
            <w:vAlign w:val="bottom"/>
            <w:tcBorders>
              <w:bottom w:val="single" w:sz="8" w:color="134A9C"/>
              <w:right w:val="single" w:sz="8" w:color="134A9C"/>
            </w:tcBorders>
          </w:tcPr>
          <w:p>
            <w:pPr>
              <w:spacing w:after="0"/>
              <w:rPr>
                <w:sz w:val="4"/>
                <w:szCs w:val="4"/>
                <w:color w:val="auto"/>
              </w:rPr>
            </w:pPr>
          </w:p>
        </w:tc>
        <w:tc>
          <w:tcPr>
            <w:tcW w:w="1340" w:type="dxa"/>
            <w:vAlign w:val="bottom"/>
            <w:tcBorders>
              <w:bottom w:val="single" w:sz="8" w:color="134A9C"/>
              <w:right w:val="single" w:sz="8" w:color="134A9C"/>
            </w:tcBorders>
          </w:tcPr>
          <w:p>
            <w:pPr>
              <w:spacing w:after="0"/>
              <w:rPr>
                <w:sz w:val="4"/>
                <w:szCs w:val="4"/>
                <w:color w:val="auto"/>
              </w:rPr>
            </w:pPr>
          </w:p>
        </w:tc>
        <w:tc>
          <w:tcPr>
            <w:tcW w:w="360" w:type="dxa"/>
            <w:vAlign w:val="bottom"/>
            <w:tcBorders>
              <w:bottom w:val="single" w:sz="8" w:color="134A9C"/>
            </w:tcBorders>
          </w:tcPr>
          <w:p>
            <w:pPr>
              <w:spacing w:after="0"/>
              <w:rPr>
                <w:sz w:val="4"/>
                <w:szCs w:val="4"/>
                <w:color w:val="auto"/>
              </w:rPr>
            </w:pPr>
          </w:p>
        </w:tc>
        <w:tc>
          <w:tcPr>
            <w:tcW w:w="780" w:type="dxa"/>
            <w:vAlign w:val="bottom"/>
            <w:tcBorders>
              <w:bottom w:val="single" w:sz="8" w:color="134A9C"/>
              <w:right w:val="single" w:sz="8" w:color="134A9C"/>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Mark L. Reuss</w:t>
            </w:r>
          </w:p>
        </w:tc>
        <w:tc>
          <w:tcPr>
            <w:tcW w:w="580" w:type="dxa"/>
            <w:vAlign w:val="bottom"/>
            <w:tcBorders>
              <w:right w:val="single" w:sz="8" w:color="134A9C"/>
            </w:tcBorders>
          </w:tcPr>
          <w:p>
            <w:pPr>
              <w:jc w:val="center"/>
              <w:ind w:left="117"/>
              <w:spacing w:after="0"/>
              <w:rPr>
                <w:sz w:val="20"/>
                <w:szCs w:val="20"/>
                <w:color w:val="auto"/>
              </w:rPr>
            </w:pPr>
            <w:r>
              <w:rPr>
                <w:rFonts w:ascii="Arial" w:cs="Arial" w:eastAsia="Arial" w:hAnsi="Arial"/>
                <w:sz w:val="13"/>
                <w:szCs w:val="13"/>
                <w:color w:val="auto"/>
                <w:w w:val="96"/>
              </w:rPr>
              <w:t>2014</w:t>
            </w:r>
          </w:p>
        </w:tc>
        <w:tc>
          <w:tcPr>
            <w:tcW w:w="104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846,212</w:t>
            </w:r>
          </w:p>
        </w:tc>
        <w:tc>
          <w:tcPr>
            <w:tcW w:w="70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7,458,881</w:t>
            </w:r>
          </w:p>
        </w:tc>
        <w:tc>
          <w:tcPr>
            <w:tcW w:w="68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786,300</w:t>
            </w:r>
          </w:p>
        </w:tc>
        <w:tc>
          <w:tcPr>
            <w:tcW w:w="1360" w:type="dxa"/>
            <w:vAlign w:val="bottom"/>
            <w:tcBorders>
              <w:right w:val="single" w:sz="8" w:color="134A9C"/>
            </w:tcBorders>
          </w:tcPr>
          <w:p>
            <w:pPr>
              <w:jc w:val="right"/>
              <w:ind w:right="76"/>
              <w:spacing w:after="0"/>
              <w:rPr>
                <w:sz w:val="20"/>
                <w:szCs w:val="20"/>
                <w:color w:val="auto"/>
              </w:rPr>
            </w:pPr>
            <w:r>
              <w:rPr>
                <w:rFonts w:ascii="Arial" w:cs="Arial" w:eastAsia="Arial" w:hAnsi="Arial"/>
                <w:sz w:val="13"/>
                <w:szCs w:val="13"/>
                <w:color w:val="auto"/>
              </w:rPr>
              <w:t>275,588</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110,796</w:t>
            </w:r>
          </w:p>
        </w:tc>
        <w:tc>
          <w:tcPr>
            <w:tcW w:w="360" w:type="dxa"/>
            <w:vAlign w:val="bottom"/>
          </w:tcPr>
          <w:p>
            <w:pPr>
              <w:spacing w:after="0"/>
              <w:rPr>
                <w:sz w:val="17"/>
                <w:szCs w:val="17"/>
                <w:color w:val="auto"/>
              </w:rPr>
            </w:pPr>
          </w:p>
        </w:tc>
        <w:tc>
          <w:tcPr>
            <w:tcW w:w="78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9,477,777</w:t>
            </w:r>
          </w:p>
        </w:tc>
        <w:tc>
          <w:tcPr>
            <w:tcW w:w="0" w:type="dxa"/>
            <w:vAlign w:val="bottom"/>
          </w:tcPr>
          <w:p>
            <w:pPr>
              <w:spacing w:after="0"/>
              <w:rPr>
                <w:sz w:val="1"/>
                <w:szCs w:val="1"/>
                <w:color w:val="auto"/>
              </w:rPr>
            </w:pPr>
          </w:p>
        </w:tc>
      </w:tr>
      <w:tr>
        <w:trPr>
          <w:trHeight w:val="172"/>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Executive Vice President, Global</w:t>
            </w:r>
          </w:p>
        </w:tc>
        <w:tc>
          <w:tcPr>
            <w:tcW w:w="580" w:type="dxa"/>
            <w:vAlign w:val="bottom"/>
            <w:tcBorders>
              <w:right w:val="single" w:sz="8" w:color="134A9C"/>
            </w:tcBorders>
          </w:tcPr>
          <w:p>
            <w:pPr>
              <w:spacing w:after="0"/>
              <w:rPr>
                <w:sz w:val="14"/>
                <w:szCs w:val="14"/>
                <w:color w:val="auto"/>
              </w:rPr>
            </w:pPr>
          </w:p>
        </w:tc>
        <w:tc>
          <w:tcPr>
            <w:tcW w:w="1040" w:type="dxa"/>
            <w:vAlign w:val="bottom"/>
            <w:tcBorders>
              <w:right w:val="single" w:sz="8" w:color="134A9C"/>
            </w:tcBorders>
          </w:tcPr>
          <w:p>
            <w:pPr>
              <w:spacing w:after="0"/>
              <w:rPr>
                <w:sz w:val="14"/>
                <w:szCs w:val="14"/>
                <w:color w:val="auto"/>
              </w:rPr>
            </w:pPr>
          </w:p>
        </w:tc>
        <w:tc>
          <w:tcPr>
            <w:tcW w:w="700" w:type="dxa"/>
            <w:vAlign w:val="bottom"/>
            <w:tcBorders>
              <w:right w:val="single" w:sz="8" w:color="134A9C"/>
            </w:tcBorders>
          </w:tcPr>
          <w:p>
            <w:pPr>
              <w:spacing w:after="0"/>
              <w:rPr>
                <w:sz w:val="14"/>
                <w:szCs w:val="14"/>
                <w:color w:val="auto"/>
              </w:rPr>
            </w:pPr>
          </w:p>
        </w:tc>
        <w:tc>
          <w:tcPr>
            <w:tcW w:w="1160" w:type="dxa"/>
            <w:vAlign w:val="bottom"/>
            <w:tcBorders>
              <w:right w:val="single" w:sz="8" w:color="134A9C"/>
            </w:tcBorders>
          </w:tcPr>
          <w:p>
            <w:pPr>
              <w:spacing w:after="0"/>
              <w:rPr>
                <w:sz w:val="14"/>
                <w:szCs w:val="14"/>
                <w:color w:val="auto"/>
              </w:rPr>
            </w:pPr>
          </w:p>
        </w:tc>
        <w:tc>
          <w:tcPr>
            <w:tcW w:w="680" w:type="dxa"/>
            <w:vAlign w:val="bottom"/>
            <w:tcBorders>
              <w:right w:val="single" w:sz="8" w:color="134A9C"/>
            </w:tcBorders>
          </w:tcPr>
          <w:p>
            <w:pPr>
              <w:spacing w:after="0"/>
              <w:rPr>
                <w:sz w:val="14"/>
                <w:szCs w:val="14"/>
                <w:color w:val="auto"/>
              </w:rPr>
            </w:pPr>
          </w:p>
        </w:tc>
        <w:tc>
          <w:tcPr>
            <w:tcW w:w="1340" w:type="dxa"/>
            <w:vAlign w:val="bottom"/>
            <w:tcBorders>
              <w:right w:val="single" w:sz="8" w:color="134A9C"/>
            </w:tcBorders>
          </w:tcPr>
          <w:p>
            <w:pPr>
              <w:spacing w:after="0"/>
              <w:rPr>
                <w:sz w:val="14"/>
                <w:szCs w:val="14"/>
                <w:color w:val="auto"/>
              </w:rPr>
            </w:pPr>
          </w:p>
        </w:tc>
        <w:tc>
          <w:tcPr>
            <w:tcW w:w="1360" w:type="dxa"/>
            <w:vAlign w:val="bottom"/>
            <w:tcBorders>
              <w:right w:val="single" w:sz="8" w:color="134A9C"/>
            </w:tcBorders>
          </w:tcPr>
          <w:p>
            <w:pPr>
              <w:spacing w:after="0"/>
              <w:rPr>
                <w:sz w:val="14"/>
                <w:szCs w:val="14"/>
                <w:color w:val="auto"/>
              </w:rPr>
            </w:pPr>
          </w:p>
        </w:tc>
        <w:tc>
          <w:tcPr>
            <w:tcW w:w="1340" w:type="dxa"/>
            <w:vAlign w:val="bottom"/>
            <w:tcBorders>
              <w:right w:val="single" w:sz="8" w:color="134A9C"/>
            </w:tcBorders>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right w:val="single" w:sz="8" w:color="134A9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00" w:type="dxa"/>
            <w:vAlign w:val="bottom"/>
            <w:tcBorders>
              <w:left w:val="single" w:sz="8" w:color="134A9C"/>
              <w:right w:val="single" w:sz="8" w:color="134A9C"/>
            </w:tcBorders>
          </w:tcPr>
          <w:p>
            <w:pPr>
              <w:ind w:left="40"/>
              <w:spacing w:after="0" w:line="135" w:lineRule="exact"/>
              <w:rPr>
                <w:sz w:val="20"/>
                <w:szCs w:val="20"/>
                <w:color w:val="auto"/>
              </w:rPr>
            </w:pPr>
            <w:r>
              <w:rPr>
                <w:rFonts w:ascii="Arial" w:cs="Arial" w:eastAsia="Arial" w:hAnsi="Arial"/>
                <w:sz w:val="13"/>
                <w:szCs w:val="13"/>
                <w:color w:val="auto"/>
                <w:w w:val="98"/>
              </w:rPr>
              <w:t>Product Development Purchasing &amp;</w:t>
            </w:r>
          </w:p>
        </w:tc>
        <w:tc>
          <w:tcPr>
            <w:tcW w:w="580" w:type="dxa"/>
            <w:vAlign w:val="bottom"/>
            <w:tcBorders>
              <w:right w:val="single" w:sz="8" w:color="134A9C"/>
            </w:tcBorders>
          </w:tcPr>
          <w:p>
            <w:pPr>
              <w:spacing w:after="0"/>
              <w:rPr>
                <w:sz w:val="11"/>
                <w:szCs w:val="11"/>
                <w:color w:val="auto"/>
              </w:rPr>
            </w:pPr>
          </w:p>
        </w:tc>
        <w:tc>
          <w:tcPr>
            <w:tcW w:w="1040" w:type="dxa"/>
            <w:vAlign w:val="bottom"/>
            <w:tcBorders>
              <w:right w:val="single" w:sz="8" w:color="134A9C"/>
            </w:tcBorders>
          </w:tcPr>
          <w:p>
            <w:pPr>
              <w:spacing w:after="0"/>
              <w:rPr>
                <w:sz w:val="11"/>
                <w:szCs w:val="11"/>
                <w:color w:val="auto"/>
              </w:rPr>
            </w:pPr>
          </w:p>
        </w:tc>
        <w:tc>
          <w:tcPr>
            <w:tcW w:w="700" w:type="dxa"/>
            <w:vAlign w:val="bottom"/>
            <w:tcBorders>
              <w:right w:val="single" w:sz="8" w:color="134A9C"/>
            </w:tcBorders>
          </w:tcPr>
          <w:p>
            <w:pPr>
              <w:spacing w:after="0"/>
              <w:rPr>
                <w:sz w:val="11"/>
                <w:szCs w:val="11"/>
                <w:color w:val="auto"/>
              </w:rPr>
            </w:pPr>
          </w:p>
        </w:tc>
        <w:tc>
          <w:tcPr>
            <w:tcW w:w="1160" w:type="dxa"/>
            <w:vAlign w:val="bottom"/>
            <w:tcBorders>
              <w:right w:val="single" w:sz="8" w:color="134A9C"/>
            </w:tcBorders>
          </w:tcPr>
          <w:p>
            <w:pPr>
              <w:spacing w:after="0"/>
              <w:rPr>
                <w:sz w:val="11"/>
                <w:szCs w:val="11"/>
                <w:color w:val="auto"/>
              </w:rPr>
            </w:pPr>
          </w:p>
        </w:tc>
        <w:tc>
          <w:tcPr>
            <w:tcW w:w="680" w:type="dxa"/>
            <w:vAlign w:val="bottom"/>
            <w:tcBorders>
              <w:right w:val="single" w:sz="8" w:color="134A9C"/>
            </w:tcBorders>
          </w:tcPr>
          <w:p>
            <w:pPr>
              <w:spacing w:after="0"/>
              <w:rPr>
                <w:sz w:val="11"/>
                <w:szCs w:val="11"/>
                <w:color w:val="auto"/>
              </w:rPr>
            </w:pPr>
          </w:p>
        </w:tc>
        <w:tc>
          <w:tcPr>
            <w:tcW w:w="1340" w:type="dxa"/>
            <w:vAlign w:val="bottom"/>
            <w:tcBorders>
              <w:right w:val="single" w:sz="8" w:color="134A9C"/>
            </w:tcBorders>
          </w:tcPr>
          <w:p>
            <w:pPr>
              <w:spacing w:after="0"/>
              <w:rPr>
                <w:sz w:val="11"/>
                <w:szCs w:val="11"/>
                <w:color w:val="auto"/>
              </w:rPr>
            </w:pPr>
          </w:p>
        </w:tc>
        <w:tc>
          <w:tcPr>
            <w:tcW w:w="1360" w:type="dxa"/>
            <w:vAlign w:val="bottom"/>
            <w:tcBorders>
              <w:right w:val="single" w:sz="8" w:color="134A9C"/>
            </w:tcBorders>
          </w:tcPr>
          <w:p>
            <w:pPr>
              <w:spacing w:after="0"/>
              <w:rPr>
                <w:sz w:val="11"/>
                <w:szCs w:val="11"/>
                <w:color w:val="auto"/>
              </w:rPr>
            </w:pPr>
          </w:p>
        </w:tc>
        <w:tc>
          <w:tcPr>
            <w:tcW w:w="1340" w:type="dxa"/>
            <w:vAlign w:val="bottom"/>
            <w:tcBorders>
              <w:right w:val="single" w:sz="8" w:color="134A9C"/>
            </w:tcBorders>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Borders>
              <w:right w:val="single" w:sz="8" w:color="134A9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Supply Chain</w:t>
            </w:r>
          </w:p>
        </w:tc>
        <w:tc>
          <w:tcPr>
            <w:tcW w:w="580" w:type="dxa"/>
            <w:vAlign w:val="bottom"/>
            <w:tcBorders>
              <w:right w:val="single" w:sz="8" w:color="134A9C"/>
            </w:tcBorders>
          </w:tcPr>
          <w:p>
            <w:pPr>
              <w:spacing w:after="0"/>
              <w:rPr>
                <w:sz w:val="13"/>
                <w:szCs w:val="13"/>
                <w:color w:val="auto"/>
              </w:rPr>
            </w:pPr>
          </w:p>
        </w:tc>
        <w:tc>
          <w:tcPr>
            <w:tcW w:w="1040" w:type="dxa"/>
            <w:vAlign w:val="bottom"/>
            <w:tcBorders>
              <w:right w:val="single" w:sz="8" w:color="134A9C"/>
            </w:tcBorders>
          </w:tcPr>
          <w:p>
            <w:pPr>
              <w:spacing w:after="0"/>
              <w:rPr>
                <w:sz w:val="13"/>
                <w:szCs w:val="13"/>
                <w:color w:val="auto"/>
              </w:rPr>
            </w:pPr>
          </w:p>
        </w:tc>
        <w:tc>
          <w:tcPr>
            <w:tcW w:w="700" w:type="dxa"/>
            <w:vAlign w:val="bottom"/>
            <w:tcBorders>
              <w:right w:val="single" w:sz="8" w:color="134A9C"/>
            </w:tcBorders>
          </w:tcPr>
          <w:p>
            <w:pPr>
              <w:spacing w:after="0"/>
              <w:rPr>
                <w:sz w:val="13"/>
                <w:szCs w:val="13"/>
                <w:color w:val="auto"/>
              </w:rPr>
            </w:pPr>
          </w:p>
        </w:tc>
        <w:tc>
          <w:tcPr>
            <w:tcW w:w="1160" w:type="dxa"/>
            <w:vAlign w:val="bottom"/>
            <w:tcBorders>
              <w:right w:val="single" w:sz="8" w:color="134A9C"/>
            </w:tcBorders>
          </w:tcPr>
          <w:p>
            <w:pPr>
              <w:spacing w:after="0"/>
              <w:rPr>
                <w:sz w:val="13"/>
                <w:szCs w:val="13"/>
                <w:color w:val="auto"/>
              </w:rPr>
            </w:pPr>
          </w:p>
        </w:tc>
        <w:tc>
          <w:tcPr>
            <w:tcW w:w="680" w:type="dxa"/>
            <w:vAlign w:val="bottom"/>
            <w:tcBorders>
              <w:right w:val="single" w:sz="8" w:color="134A9C"/>
            </w:tcBorders>
          </w:tcPr>
          <w:p>
            <w:pPr>
              <w:spacing w:after="0"/>
              <w:rPr>
                <w:sz w:val="13"/>
                <w:szCs w:val="13"/>
                <w:color w:val="auto"/>
              </w:rPr>
            </w:pPr>
          </w:p>
        </w:tc>
        <w:tc>
          <w:tcPr>
            <w:tcW w:w="1340" w:type="dxa"/>
            <w:vAlign w:val="bottom"/>
            <w:tcBorders>
              <w:right w:val="single" w:sz="8" w:color="134A9C"/>
            </w:tcBorders>
          </w:tcPr>
          <w:p>
            <w:pPr>
              <w:spacing w:after="0"/>
              <w:rPr>
                <w:sz w:val="13"/>
                <w:szCs w:val="13"/>
                <w:color w:val="auto"/>
              </w:rPr>
            </w:pPr>
          </w:p>
        </w:tc>
        <w:tc>
          <w:tcPr>
            <w:tcW w:w="1360" w:type="dxa"/>
            <w:vAlign w:val="bottom"/>
            <w:tcBorders>
              <w:right w:val="single" w:sz="8" w:color="134A9C"/>
            </w:tcBorders>
          </w:tcPr>
          <w:p>
            <w:pPr>
              <w:spacing w:after="0"/>
              <w:rPr>
                <w:sz w:val="13"/>
                <w:szCs w:val="13"/>
                <w:color w:val="auto"/>
              </w:rPr>
            </w:pPr>
          </w:p>
        </w:tc>
        <w:tc>
          <w:tcPr>
            <w:tcW w:w="1340" w:type="dxa"/>
            <w:vAlign w:val="bottom"/>
            <w:tcBorders>
              <w:right w:val="single" w:sz="8" w:color="134A9C"/>
            </w:tcBorders>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Borders>
              <w:right w:val="single" w:sz="8" w:color="134A9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100" w:type="dxa"/>
            <w:vAlign w:val="bottom"/>
            <w:tcBorders>
              <w:left w:val="single" w:sz="8" w:color="134A9C"/>
              <w:bottom w:val="single" w:sz="8" w:color="134A9C"/>
              <w:right w:val="single" w:sz="8" w:color="134A9C"/>
            </w:tcBorders>
          </w:tcPr>
          <w:p>
            <w:pPr>
              <w:spacing w:after="0"/>
              <w:rPr>
                <w:sz w:val="19"/>
                <w:szCs w:val="19"/>
                <w:color w:val="auto"/>
              </w:rPr>
            </w:pPr>
          </w:p>
        </w:tc>
        <w:tc>
          <w:tcPr>
            <w:tcW w:w="580" w:type="dxa"/>
            <w:vAlign w:val="bottom"/>
            <w:tcBorders>
              <w:bottom w:val="single" w:sz="8" w:color="134A9C"/>
              <w:right w:val="single" w:sz="8" w:color="134A9C"/>
            </w:tcBorders>
          </w:tcPr>
          <w:p>
            <w:pPr>
              <w:spacing w:after="0"/>
              <w:rPr>
                <w:sz w:val="19"/>
                <w:szCs w:val="19"/>
                <w:color w:val="auto"/>
              </w:rPr>
            </w:pPr>
          </w:p>
        </w:tc>
        <w:tc>
          <w:tcPr>
            <w:tcW w:w="1040" w:type="dxa"/>
            <w:vAlign w:val="bottom"/>
            <w:tcBorders>
              <w:bottom w:val="single" w:sz="8" w:color="134A9C"/>
              <w:right w:val="single" w:sz="8" w:color="134A9C"/>
            </w:tcBorders>
          </w:tcPr>
          <w:p>
            <w:pPr>
              <w:spacing w:after="0"/>
              <w:rPr>
                <w:sz w:val="19"/>
                <w:szCs w:val="19"/>
                <w:color w:val="auto"/>
              </w:rPr>
            </w:pPr>
          </w:p>
        </w:tc>
        <w:tc>
          <w:tcPr>
            <w:tcW w:w="700" w:type="dxa"/>
            <w:vAlign w:val="bottom"/>
            <w:tcBorders>
              <w:bottom w:val="single" w:sz="8" w:color="134A9C"/>
              <w:right w:val="single" w:sz="8" w:color="134A9C"/>
            </w:tcBorders>
          </w:tcPr>
          <w:p>
            <w:pPr>
              <w:spacing w:after="0"/>
              <w:rPr>
                <w:sz w:val="19"/>
                <w:szCs w:val="19"/>
                <w:color w:val="auto"/>
              </w:rPr>
            </w:pPr>
          </w:p>
        </w:tc>
        <w:tc>
          <w:tcPr>
            <w:tcW w:w="1160" w:type="dxa"/>
            <w:vAlign w:val="bottom"/>
            <w:tcBorders>
              <w:bottom w:val="single" w:sz="8" w:color="134A9C"/>
              <w:right w:val="single" w:sz="8" w:color="134A9C"/>
            </w:tcBorders>
          </w:tcPr>
          <w:p>
            <w:pPr>
              <w:spacing w:after="0"/>
              <w:rPr>
                <w:sz w:val="19"/>
                <w:szCs w:val="19"/>
                <w:color w:val="auto"/>
              </w:rPr>
            </w:pPr>
          </w:p>
        </w:tc>
        <w:tc>
          <w:tcPr>
            <w:tcW w:w="680" w:type="dxa"/>
            <w:vAlign w:val="bottom"/>
            <w:tcBorders>
              <w:bottom w:val="single" w:sz="8" w:color="134A9C"/>
              <w:right w:val="single" w:sz="8" w:color="134A9C"/>
            </w:tcBorders>
          </w:tcPr>
          <w:p>
            <w:pPr>
              <w:spacing w:after="0"/>
              <w:rPr>
                <w:sz w:val="19"/>
                <w:szCs w:val="19"/>
                <w:color w:val="auto"/>
              </w:rPr>
            </w:pPr>
          </w:p>
        </w:tc>
        <w:tc>
          <w:tcPr>
            <w:tcW w:w="1340" w:type="dxa"/>
            <w:vAlign w:val="bottom"/>
            <w:tcBorders>
              <w:bottom w:val="single" w:sz="8" w:color="134A9C"/>
              <w:right w:val="single" w:sz="8" w:color="134A9C"/>
            </w:tcBorders>
          </w:tcPr>
          <w:p>
            <w:pPr>
              <w:spacing w:after="0"/>
              <w:rPr>
                <w:sz w:val="19"/>
                <w:szCs w:val="19"/>
                <w:color w:val="auto"/>
              </w:rPr>
            </w:pPr>
          </w:p>
        </w:tc>
        <w:tc>
          <w:tcPr>
            <w:tcW w:w="1360" w:type="dxa"/>
            <w:vAlign w:val="bottom"/>
            <w:tcBorders>
              <w:bottom w:val="single" w:sz="8" w:color="134A9C"/>
              <w:right w:val="single" w:sz="8" w:color="134A9C"/>
            </w:tcBorders>
          </w:tcPr>
          <w:p>
            <w:pPr>
              <w:spacing w:after="0"/>
              <w:rPr>
                <w:sz w:val="19"/>
                <w:szCs w:val="19"/>
                <w:color w:val="auto"/>
              </w:rPr>
            </w:pPr>
          </w:p>
        </w:tc>
        <w:tc>
          <w:tcPr>
            <w:tcW w:w="1340" w:type="dxa"/>
            <w:vAlign w:val="bottom"/>
            <w:tcBorders>
              <w:bottom w:val="single" w:sz="8" w:color="134A9C"/>
              <w:right w:val="single" w:sz="8" w:color="134A9C"/>
            </w:tcBorders>
          </w:tcPr>
          <w:p>
            <w:pPr>
              <w:spacing w:after="0"/>
              <w:rPr>
                <w:sz w:val="19"/>
                <w:szCs w:val="19"/>
                <w:color w:val="auto"/>
              </w:rPr>
            </w:pPr>
          </w:p>
        </w:tc>
        <w:tc>
          <w:tcPr>
            <w:tcW w:w="360" w:type="dxa"/>
            <w:vAlign w:val="bottom"/>
            <w:tcBorders>
              <w:bottom w:val="single" w:sz="8" w:color="134A9C"/>
            </w:tcBorders>
          </w:tcPr>
          <w:p>
            <w:pPr>
              <w:spacing w:after="0"/>
              <w:rPr>
                <w:sz w:val="19"/>
                <w:szCs w:val="19"/>
                <w:color w:val="auto"/>
              </w:rPr>
            </w:pPr>
          </w:p>
        </w:tc>
        <w:tc>
          <w:tcPr>
            <w:tcW w:w="780" w:type="dxa"/>
            <w:vAlign w:val="bottom"/>
            <w:tcBorders>
              <w:bottom w:val="single" w:sz="8" w:color="134A9C"/>
              <w:right w:val="single" w:sz="8" w:color="134A9C"/>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Michael P. Millikin</w:t>
            </w:r>
          </w:p>
        </w:tc>
        <w:tc>
          <w:tcPr>
            <w:tcW w:w="580" w:type="dxa"/>
            <w:vAlign w:val="bottom"/>
            <w:tcBorders>
              <w:right w:val="single" w:sz="8" w:color="134A9C"/>
            </w:tcBorders>
          </w:tcPr>
          <w:p>
            <w:pPr>
              <w:jc w:val="center"/>
              <w:ind w:left="117"/>
              <w:spacing w:after="0"/>
              <w:rPr>
                <w:sz w:val="20"/>
                <w:szCs w:val="20"/>
                <w:color w:val="auto"/>
              </w:rPr>
            </w:pPr>
            <w:r>
              <w:rPr>
                <w:rFonts w:ascii="Arial" w:cs="Arial" w:eastAsia="Arial" w:hAnsi="Arial"/>
                <w:sz w:val="13"/>
                <w:szCs w:val="13"/>
                <w:color w:val="auto"/>
                <w:w w:val="96"/>
              </w:rPr>
              <w:t>2014</w:t>
            </w:r>
          </w:p>
        </w:tc>
        <w:tc>
          <w:tcPr>
            <w:tcW w:w="104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692,235</w:t>
            </w:r>
          </w:p>
        </w:tc>
        <w:tc>
          <w:tcPr>
            <w:tcW w:w="70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4,127,946</w:t>
            </w:r>
          </w:p>
        </w:tc>
        <w:tc>
          <w:tcPr>
            <w:tcW w:w="68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647,500</w:t>
            </w:r>
          </w:p>
        </w:tc>
        <w:tc>
          <w:tcPr>
            <w:tcW w:w="1360" w:type="dxa"/>
            <w:vAlign w:val="bottom"/>
            <w:tcBorders>
              <w:right w:val="single" w:sz="8" w:color="134A9C"/>
            </w:tcBorders>
          </w:tcPr>
          <w:p>
            <w:pPr>
              <w:jc w:val="right"/>
              <w:ind w:right="76"/>
              <w:spacing w:after="0"/>
              <w:rPr>
                <w:sz w:val="20"/>
                <w:szCs w:val="20"/>
                <w:color w:val="auto"/>
              </w:rPr>
            </w:pPr>
            <w:r>
              <w:rPr>
                <w:rFonts w:ascii="Arial" w:cs="Arial" w:eastAsia="Arial" w:hAnsi="Arial"/>
                <w:sz w:val="13"/>
                <w:szCs w:val="13"/>
                <w:color w:val="auto"/>
              </w:rPr>
              <w:t>179,184</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118,666</w:t>
            </w:r>
          </w:p>
        </w:tc>
        <w:tc>
          <w:tcPr>
            <w:tcW w:w="360" w:type="dxa"/>
            <w:vAlign w:val="bottom"/>
          </w:tcPr>
          <w:p>
            <w:pPr>
              <w:spacing w:after="0"/>
              <w:rPr>
                <w:sz w:val="16"/>
                <w:szCs w:val="16"/>
                <w:color w:val="auto"/>
              </w:rPr>
            </w:pPr>
          </w:p>
        </w:tc>
        <w:tc>
          <w:tcPr>
            <w:tcW w:w="78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5,765,531</w:t>
            </w:r>
          </w:p>
        </w:tc>
        <w:tc>
          <w:tcPr>
            <w:tcW w:w="0" w:type="dxa"/>
            <w:vAlign w:val="bottom"/>
          </w:tcPr>
          <w:p>
            <w:pPr>
              <w:spacing w:after="0"/>
              <w:rPr>
                <w:sz w:val="1"/>
                <w:szCs w:val="1"/>
                <w:color w:val="auto"/>
              </w:rPr>
            </w:pPr>
          </w:p>
        </w:tc>
      </w:tr>
      <w:tr>
        <w:trPr>
          <w:trHeight w:val="402"/>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w w:val="98"/>
              </w:rPr>
              <w:t>Executive Vice President &amp; General</w:t>
            </w:r>
          </w:p>
        </w:tc>
        <w:tc>
          <w:tcPr>
            <w:tcW w:w="580" w:type="dxa"/>
            <w:vAlign w:val="bottom"/>
            <w:tcBorders>
              <w:right w:val="single" w:sz="8" w:color="134A9C"/>
            </w:tcBorders>
          </w:tcPr>
          <w:p>
            <w:pPr>
              <w:spacing w:after="0"/>
              <w:rPr>
                <w:sz w:val="24"/>
                <w:szCs w:val="24"/>
                <w:color w:val="auto"/>
              </w:rPr>
            </w:pPr>
          </w:p>
        </w:tc>
        <w:tc>
          <w:tcPr>
            <w:tcW w:w="1040" w:type="dxa"/>
            <w:vAlign w:val="bottom"/>
            <w:tcBorders>
              <w:right w:val="single" w:sz="8" w:color="134A9C"/>
            </w:tcBorders>
          </w:tcPr>
          <w:p>
            <w:pPr>
              <w:spacing w:after="0"/>
              <w:rPr>
                <w:sz w:val="24"/>
                <w:szCs w:val="24"/>
                <w:color w:val="auto"/>
              </w:rPr>
            </w:pPr>
          </w:p>
        </w:tc>
        <w:tc>
          <w:tcPr>
            <w:tcW w:w="700" w:type="dxa"/>
            <w:vAlign w:val="bottom"/>
            <w:tcBorders>
              <w:right w:val="single" w:sz="8" w:color="134A9C"/>
            </w:tcBorders>
          </w:tcPr>
          <w:p>
            <w:pPr>
              <w:spacing w:after="0"/>
              <w:rPr>
                <w:sz w:val="24"/>
                <w:szCs w:val="24"/>
                <w:color w:val="auto"/>
              </w:rPr>
            </w:pPr>
          </w:p>
        </w:tc>
        <w:tc>
          <w:tcPr>
            <w:tcW w:w="1160" w:type="dxa"/>
            <w:vAlign w:val="bottom"/>
            <w:tcBorders>
              <w:right w:val="single" w:sz="8" w:color="134A9C"/>
            </w:tcBorders>
          </w:tcPr>
          <w:p>
            <w:pPr>
              <w:spacing w:after="0"/>
              <w:rPr>
                <w:sz w:val="24"/>
                <w:szCs w:val="24"/>
                <w:color w:val="auto"/>
              </w:rPr>
            </w:pPr>
          </w:p>
        </w:tc>
        <w:tc>
          <w:tcPr>
            <w:tcW w:w="680" w:type="dxa"/>
            <w:vAlign w:val="bottom"/>
            <w:tcBorders>
              <w:right w:val="single" w:sz="8" w:color="134A9C"/>
            </w:tcBorders>
          </w:tcPr>
          <w:p>
            <w:pPr>
              <w:spacing w:after="0"/>
              <w:rPr>
                <w:sz w:val="24"/>
                <w:szCs w:val="24"/>
                <w:color w:val="auto"/>
              </w:rPr>
            </w:pPr>
          </w:p>
        </w:tc>
        <w:tc>
          <w:tcPr>
            <w:tcW w:w="1340" w:type="dxa"/>
            <w:vAlign w:val="bottom"/>
            <w:tcBorders>
              <w:right w:val="single" w:sz="8" w:color="134A9C"/>
            </w:tcBorders>
          </w:tcPr>
          <w:p>
            <w:pPr>
              <w:spacing w:after="0"/>
              <w:rPr>
                <w:sz w:val="24"/>
                <w:szCs w:val="24"/>
                <w:color w:val="auto"/>
              </w:rPr>
            </w:pPr>
          </w:p>
        </w:tc>
        <w:tc>
          <w:tcPr>
            <w:tcW w:w="1360" w:type="dxa"/>
            <w:vAlign w:val="bottom"/>
            <w:tcBorders>
              <w:right w:val="single" w:sz="8" w:color="134A9C"/>
            </w:tcBorders>
          </w:tcPr>
          <w:p>
            <w:pPr>
              <w:spacing w:after="0"/>
              <w:rPr>
                <w:sz w:val="24"/>
                <w:szCs w:val="24"/>
                <w:color w:val="auto"/>
              </w:rPr>
            </w:pPr>
          </w:p>
        </w:tc>
        <w:tc>
          <w:tcPr>
            <w:tcW w:w="1340" w:type="dxa"/>
            <w:vAlign w:val="bottom"/>
            <w:tcBorders>
              <w:right w:val="single" w:sz="8" w:color="134A9C"/>
            </w:tcBorders>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Borders>
              <w:right w:val="single" w:sz="8" w:color="134A9C"/>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Counsel</w:t>
            </w:r>
          </w:p>
        </w:tc>
        <w:tc>
          <w:tcPr>
            <w:tcW w:w="580" w:type="dxa"/>
            <w:vAlign w:val="bottom"/>
            <w:tcBorders>
              <w:bottom w:val="single" w:sz="8" w:color="134A9C"/>
              <w:right w:val="single" w:sz="8" w:color="134A9C"/>
            </w:tcBorders>
          </w:tcPr>
          <w:p>
            <w:pPr>
              <w:spacing w:after="0"/>
              <w:rPr>
                <w:sz w:val="14"/>
                <w:szCs w:val="14"/>
                <w:color w:val="auto"/>
              </w:rPr>
            </w:pPr>
          </w:p>
        </w:tc>
        <w:tc>
          <w:tcPr>
            <w:tcW w:w="1040" w:type="dxa"/>
            <w:vAlign w:val="bottom"/>
            <w:tcBorders>
              <w:bottom w:val="single" w:sz="8" w:color="134A9C"/>
              <w:right w:val="single" w:sz="8" w:color="134A9C"/>
            </w:tcBorders>
          </w:tcPr>
          <w:p>
            <w:pPr>
              <w:spacing w:after="0"/>
              <w:rPr>
                <w:sz w:val="14"/>
                <w:szCs w:val="14"/>
                <w:color w:val="auto"/>
              </w:rPr>
            </w:pPr>
          </w:p>
        </w:tc>
        <w:tc>
          <w:tcPr>
            <w:tcW w:w="700" w:type="dxa"/>
            <w:vAlign w:val="bottom"/>
            <w:tcBorders>
              <w:bottom w:val="single" w:sz="8" w:color="134A9C"/>
              <w:right w:val="single" w:sz="8" w:color="134A9C"/>
            </w:tcBorders>
          </w:tcPr>
          <w:p>
            <w:pPr>
              <w:spacing w:after="0"/>
              <w:rPr>
                <w:sz w:val="14"/>
                <w:szCs w:val="14"/>
                <w:color w:val="auto"/>
              </w:rPr>
            </w:pPr>
          </w:p>
        </w:tc>
        <w:tc>
          <w:tcPr>
            <w:tcW w:w="1160" w:type="dxa"/>
            <w:vAlign w:val="bottom"/>
            <w:tcBorders>
              <w:bottom w:val="single" w:sz="8" w:color="134A9C"/>
              <w:right w:val="single" w:sz="8" w:color="134A9C"/>
            </w:tcBorders>
          </w:tcPr>
          <w:p>
            <w:pPr>
              <w:spacing w:after="0"/>
              <w:rPr>
                <w:sz w:val="14"/>
                <w:szCs w:val="14"/>
                <w:color w:val="auto"/>
              </w:rPr>
            </w:pPr>
          </w:p>
        </w:tc>
        <w:tc>
          <w:tcPr>
            <w:tcW w:w="680" w:type="dxa"/>
            <w:vAlign w:val="bottom"/>
            <w:tcBorders>
              <w:bottom w:val="single" w:sz="8" w:color="134A9C"/>
              <w:right w:val="single" w:sz="8" w:color="134A9C"/>
            </w:tcBorders>
          </w:tcPr>
          <w:p>
            <w:pPr>
              <w:spacing w:after="0"/>
              <w:rPr>
                <w:sz w:val="14"/>
                <w:szCs w:val="14"/>
                <w:color w:val="auto"/>
              </w:rPr>
            </w:pPr>
          </w:p>
        </w:tc>
        <w:tc>
          <w:tcPr>
            <w:tcW w:w="1340" w:type="dxa"/>
            <w:vAlign w:val="bottom"/>
            <w:tcBorders>
              <w:bottom w:val="single" w:sz="8" w:color="134A9C"/>
              <w:right w:val="single" w:sz="8" w:color="134A9C"/>
            </w:tcBorders>
          </w:tcPr>
          <w:p>
            <w:pPr>
              <w:spacing w:after="0"/>
              <w:rPr>
                <w:sz w:val="14"/>
                <w:szCs w:val="14"/>
                <w:color w:val="auto"/>
              </w:rPr>
            </w:pPr>
          </w:p>
        </w:tc>
        <w:tc>
          <w:tcPr>
            <w:tcW w:w="1360" w:type="dxa"/>
            <w:vAlign w:val="bottom"/>
            <w:tcBorders>
              <w:bottom w:val="single" w:sz="8" w:color="134A9C"/>
              <w:right w:val="single" w:sz="8" w:color="134A9C"/>
            </w:tcBorders>
          </w:tcPr>
          <w:p>
            <w:pPr>
              <w:spacing w:after="0"/>
              <w:rPr>
                <w:sz w:val="14"/>
                <w:szCs w:val="14"/>
                <w:color w:val="auto"/>
              </w:rPr>
            </w:pPr>
          </w:p>
        </w:tc>
        <w:tc>
          <w:tcPr>
            <w:tcW w:w="1340" w:type="dxa"/>
            <w:vAlign w:val="bottom"/>
            <w:tcBorders>
              <w:bottom w:val="single" w:sz="8" w:color="134A9C"/>
              <w:right w:val="single" w:sz="8" w:color="134A9C"/>
            </w:tcBorders>
          </w:tcPr>
          <w:p>
            <w:pPr>
              <w:spacing w:after="0"/>
              <w:rPr>
                <w:sz w:val="14"/>
                <w:szCs w:val="14"/>
                <w:color w:val="auto"/>
              </w:rPr>
            </w:pPr>
          </w:p>
        </w:tc>
        <w:tc>
          <w:tcPr>
            <w:tcW w:w="360" w:type="dxa"/>
            <w:vAlign w:val="bottom"/>
            <w:tcBorders>
              <w:bottom w:val="single" w:sz="8" w:color="134A9C"/>
            </w:tcBorders>
          </w:tcPr>
          <w:p>
            <w:pPr>
              <w:spacing w:after="0"/>
              <w:rPr>
                <w:sz w:val="14"/>
                <w:szCs w:val="14"/>
                <w:color w:val="auto"/>
              </w:rPr>
            </w:pPr>
          </w:p>
        </w:tc>
        <w:tc>
          <w:tcPr>
            <w:tcW w:w="780" w:type="dxa"/>
            <w:vAlign w:val="bottom"/>
            <w:tcBorders>
              <w:bottom w:val="single" w:sz="8" w:color="134A9C"/>
              <w:right w:val="single" w:sz="8" w:color="134A9C"/>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Karl-Thomas Neumann</w:t>
            </w:r>
            <w:r>
              <w:rPr>
                <w:rFonts w:ascii="Arial" w:cs="Arial" w:eastAsia="Arial" w:hAnsi="Arial"/>
                <w:sz w:val="8"/>
                <w:szCs w:val="8"/>
                <w:color w:val="auto"/>
              </w:rPr>
              <w:t>(3)</w:t>
            </w:r>
          </w:p>
        </w:tc>
        <w:tc>
          <w:tcPr>
            <w:tcW w:w="580" w:type="dxa"/>
            <w:vAlign w:val="bottom"/>
            <w:tcBorders>
              <w:right w:val="single" w:sz="8" w:color="134A9C"/>
            </w:tcBorders>
          </w:tcPr>
          <w:p>
            <w:pPr>
              <w:jc w:val="center"/>
              <w:ind w:left="117"/>
              <w:spacing w:after="0"/>
              <w:rPr>
                <w:sz w:val="20"/>
                <w:szCs w:val="20"/>
                <w:color w:val="auto"/>
              </w:rPr>
            </w:pPr>
            <w:r>
              <w:rPr>
                <w:rFonts w:ascii="Arial" w:cs="Arial" w:eastAsia="Arial" w:hAnsi="Arial"/>
                <w:sz w:val="13"/>
                <w:szCs w:val="13"/>
                <w:color w:val="auto"/>
                <w:w w:val="96"/>
              </w:rPr>
              <w:t>2014</w:t>
            </w:r>
          </w:p>
        </w:tc>
        <w:tc>
          <w:tcPr>
            <w:tcW w:w="104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822,133</w:t>
            </w:r>
          </w:p>
        </w:tc>
        <w:tc>
          <w:tcPr>
            <w:tcW w:w="70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3,701,727</w:t>
            </w:r>
          </w:p>
        </w:tc>
        <w:tc>
          <w:tcPr>
            <w:tcW w:w="68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640,583</w:t>
            </w:r>
          </w:p>
        </w:tc>
        <w:tc>
          <w:tcPr>
            <w:tcW w:w="1360" w:type="dxa"/>
            <w:vAlign w:val="bottom"/>
            <w:tcBorders>
              <w:right w:val="single" w:sz="8" w:color="134A9C"/>
            </w:tcBorders>
          </w:tcPr>
          <w:p>
            <w:pPr>
              <w:jc w:val="right"/>
              <w:ind w:right="76"/>
              <w:spacing w:after="0"/>
              <w:rPr>
                <w:sz w:val="20"/>
                <w:szCs w:val="20"/>
                <w:color w:val="auto"/>
              </w:rPr>
            </w:pPr>
            <w:r>
              <w:rPr>
                <w:rFonts w:ascii="Arial" w:cs="Arial" w:eastAsia="Arial" w:hAnsi="Arial"/>
                <w:sz w:val="13"/>
                <w:szCs w:val="13"/>
                <w:color w:val="auto"/>
              </w:rPr>
              <w:t>83,216</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21,767</w:t>
            </w:r>
          </w:p>
        </w:tc>
        <w:tc>
          <w:tcPr>
            <w:tcW w:w="360" w:type="dxa"/>
            <w:vAlign w:val="bottom"/>
          </w:tcPr>
          <w:p>
            <w:pPr>
              <w:spacing w:after="0"/>
              <w:rPr>
                <w:sz w:val="17"/>
                <w:szCs w:val="17"/>
                <w:color w:val="auto"/>
              </w:rPr>
            </w:pPr>
          </w:p>
        </w:tc>
        <w:tc>
          <w:tcPr>
            <w:tcW w:w="78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5,269,426</w:t>
            </w:r>
          </w:p>
        </w:tc>
        <w:tc>
          <w:tcPr>
            <w:tcW w:w="0" w:type="dxa"/>
            <w:vAlign w:val="bottom"/>
          </w:tcPr>
          <w:p>
            <w:pPr>
              <w:spacing w:after="0"/>
              <w:rPr>
                <w:sz w:val="1"/>
                <w:szCs w:val="1"/>
                <w:color w:val="auto"/>
              </w:rPr>
            </w:pPr>
          </w:p>
        </w:tc>
      </w:tr>
      <w:tr>
        <w:trPr>
          <w:trHeight w:val="189"/>
        </w:trPr>
        <w:tc>
          <w:tcPr>
            <w:tcW w:w="2100" w:type="dxa"/>
            <w:vAlign w:val="bottom"/>
            <w:tcBorders>
              <w:left w:val="single" w:sz="8" w:color="134A9C"/>
              <w:right w:val="single" w:sz="8" w:color="134A9C"/>
            </w:tcBorders>
          </w:tcPr>
          <w:p>
            <w:pPr>
              <w:spacing w:after="0"/>
              <w:rPr>
                <w:sz w:val="16"/>
                <w:szCs w:val="16"/>
                <w:color w:val="auto"/>
              </w:rPr>
            </w:pPr>
          </w:p>
        </w:tc>
        <w:tc>
          <w:tcPr>
            <w:tcW w:w="580" w:type="dxa"/>
            <w:vAlign w:val="bottom"/>
            <w:tcBorders>
              <w:right w:val="single" w:sz="8" w:color="134A9C"/>
            </w:tcBorders>
          </w:tcPr>
          <w:p>
            <w:pPr>
              <w:jc w:val="center"/>
              <w:ind w:left="117"/>
              <w:spacing w:after="0"/>
              <w:rPr>
                <w:sz w:val="20"/>
                <w:szCs w:val="20"/>
                <w:color w:val="auto"/>
              </w:rPr>
            </w:pPr>
            <w:r>
              <w:rPr>
                <w:rFonts w:ascii="Arial" w:cs="Arial" w:eastAsia="Arial" w:hAnsi="Arial"/>
                <w:sz w:val="13"/>
                <w:szCs w:val="13"/>
                <w:color w:val="auto"/>
                <w:w w:val="96"/>
              </w:rPr>
              <w:t>2013</w:t>
            </w:r>
          </w:p>
        </w:tc>
        <w:tc>
          <w:tcPr>
            <w:tcW w:w="104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684,029</w:t>
            </w:r>
          </w:p>
        </w:tc>
        <w:tc>
          <w:tcPr>
            <w:tcW w:w="70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3,698,075</w:t>
            </w:r>
          </w:p>
        </w:tc>
        <w:tc>
          <w:tcPr>
            <w:tcW w:w="68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134A9C"/>
            </w:tcBorders>
          </w:tcPr>
          <w:p>
            <w:pPr>
              <w:jc w:val="right"/>
              <w:ind w:right="76"/>
              <w:spacing w:after="0"/>
              <w:rPr>
                <w:sz w:val="20"/>
                <w:szCs w:val="20"/>
                <w:color w:val="auto"/>
              </w:rPr>
            </w:pPr>
            <w:r>
              <w:rPr>
                <w:rFonts w:ascii="Arial" w:cs="Arial" w:eastAsia="Arial" w:hAnsi="Arial"/>
                <w:sz w:val="13"/>
                <w:szCs w:val="13"/>
                <w:color w:val="auto"/>
              </w:rPr>
              <w:t>75,754</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1,350,472</w:t>
            </w:r>
          </w:p>
        </w:tc>
        <w:tc>
          <w:tcPr>
            <w:tcW w:w="360" w:type="dxa"/>
            <w:vAlign w:val="bottom"/>
          </w:tcPr>
          <w:p>
            <w:pPr>
              <w:spacing w:after="0"/>
              <w:rPr>
                <w:sz w:val="16"/>
                <w:szCs w:val="16"/>
                <w:color w:val="auto"/>
              </w:rPr>
            </w:pPr>
          </w:p>
        </w:tc>
        <w:tc>
          <w:tcPr>
            <w:tcW w:w="78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5,808,330</w:t>
            </w:r>
          </w:p>
        </w:tc>
        <w:tc>
          <w:tcPr>
            <w:tcW w:w="0" w:type="dxa"/>
            <w:vAlign w:val="bottom"/>
          </w:tcPr>
          <w:p>
            <w:pPr>
              <w:spacing w:after="0"/>
              <w:rPr>
                <w:sz w:val="1"/>
                <w:szCs w:val="1"/>
                <w:color w:val="auto"/>
              </w:rPr>
            </w:pPr>
          </w:p>
        </w:tc>
      </w:tr>
      <w:tr>
        <w:trPr>
          <w:trHeight w:val="145"/>
        </w:trPr>
        <w:tc>
          <w:tcPr>
            <w:tcW w:w="2100" w:type="dxa"/>
            <w:vAlign w:val="bottom"/>
            <w:tcBorders>
              <w:left w:val="single" w:sz="8" w:color="134A9C"/>
              <w:right w:val="single" w:sz="8" w:color="134A9C"/>
            </w:tcBorders>
          </w:tcPr>
          <w:p>
            <w:pPr>
              <w:ind w:left="40"/>
              <w:spacing w:after="0" w:line="145" w:lineRule="exact"/>
              <w:rPr>
                <w:sz w:val="20"/>
                <w:szCs w:val="20"/>
                <w:color w:val="auto"/>
              </w:rPr>
            </w:pPr>
            <w:r>
              <w:rPr>
                <w:rFonts w:ascii="Arial" w:cs="Arial" w:eastAsia="Arial" w:hAnsi="Arial"/>
                <w:sz w:val="13"/>
                <w:szCs w:val="13"/>
                <w:color w:val="auto"/>
              </w:rPr>
              <w:t>Executive Vice President &amp;</w:t>
            </w:r>
          </w:p>
        </w:tc>
        <w:tc>
          <w:tcPr>
            <w:tcW w:w="580" w:type="dxa"/>
            <w:vAlign w:val="bottom"/>
            <w:tcBorders>
              <w:right w:val="single" w:sz="8" w:color="134A9C"/>
            </w:tcBorders>
          </w:tcPr>
          <w:p>
            <w:pPr>
              <w:spacing w:after="0"/>
              <w:rPr>
                <w:sz w:val="12"/>
                <w:szCs w:val="12"/>
                <w:color w:val="auto"/>
              </w:rPr>
            </w:pPr>
          </w:p>
        </w:tc>
        <w:tc>
          <w:tcPr>
            <w:tcW w:w="1040" w:type="dxa"/>
            <w:vAlign w:val="bottom"/>
            <w:tcBorders>
              <w:right w:val="single" w:sz="8" w:color="134A9C"/>
            </w:tcBorders>
          </w:tcPr>
          <w:p>
            <w:pPr>
              <w:spacing w:after="0"/>
              <w:rPr>
                <w:sz w:val="12"/>
                <w:szCs w:val="12"/>
                <w:color w:val="auto"/>
              </w:rPr>
            </w:pPr>
          </w:p>
        </w:tc>
        <w:tc>
          <w:tcPr>
            <w:tcW w:w="700" w:type="dxa"/>
            <w:vAlign w:val="bottom"/>
            <w:tcBorders>
              <w:right w:val="single" w:sz="8" w:color="134A9C"/>
            </w:tcBorders>
          </w:tcPr>
          <w:p>
            <w:pPr>
              <w:spacing w:after="0"/>
              <w:rPr>
                <w:sz w:val="12"/>
                <w:szCs w:val="12"/>
                <w:color w:val="auto"/>
              </w:rPr>
            </w:pPr>
          </w:p>
        </w:tc>
        <w:tc>
          <w:tcPr>
            <w:tcW w:w="1160" w:type="dxa"/>
            <w:vAlign w:val="bottom"/>
            <w:tcBorders>
              <w:right w:val="single" w:sz="8" w:color="134A9C"/>
            </w:tcBorders>
          </w:tcPr>
          <w:p>
            <w:pPr>
              <w:spacing w:after="0"/>
              <w:rPr>
                <w:sz w:val="12"/>
                <w:szCs w:val="12"/>
                <w:color w:val="auto"/>
              </w:rPr>
            </w:pPr>
          </w:p>
        </w:tc>
        <w:tc>
          <w:tcPr>
            <w:tcW w:w="680" w:type="dxa"/>
            <w:vAlign w:val="bottom"/>
            <w:tcBorders>
              <w:right w:val="single" w:sz="8" w:color="134A9C"/>
            </w:tcBorders>
          </w:tcPr>
          <w:p>
            <w:pPr>
              <w:spacing w:after="0"/>
              <w:rPr>
                <w:sz w:val="12"/>
                <w:szCs w:val="12"/>
                <w:color w:val="auto"/>
              </w:rPr>
            </w:pPr>
          </w:p>
        </w:tc>
        <w:tc>
          <w:tcPr>
            <w:tcW w:w="1340" w:type="dxa"/>
            <w:vAlign w:val="bottom"/>
            <w:tcBorders>
              <w:right w:val="single" w:sz="8" w:color="134A9C"/>
            </w:tcBorders>
          </w:tcPr>
          <w:p>
            <w:pPr>
              <w:spacing w:after="0"/>
              <w:rPr>
                <w:sz w:val="12"/>
                <w:szCs w:val="12"/>
                <w:color w:val="auto"/>
              </w:rPr>
            </w:pPr>
          </w:p>
        </w:tc>
        <w:tc>
          <w:tcPr>
            <w:tcW w:w="1360" w:type="dxa"/>
            <w:vAlign w:val="bottom"/>
            <w:tcBorders>
              <w:right w:val="single" w:sz="8" w:color="134A9C"/>
            </w:tcBorders>
          </w:tcPr>
          <w:p>
            <w:pPr>
              <w:spacing w:after="0"/>
              <w:rPr>
                <w:sz w:val="12"/>
                <w:szCs w:val="12"/>
                <w:color w:val="auto"/>
              </w:rPr>
            </w:pPr>
          </w:p>
        </w:tc>
        <w:tc>
          <w:tcPr>
            <w:tcW w:w="1340" w:type="dxa"/>
            <w:vAlign w:val="bottom"/>
            <w:tcBorders>
              <w:right w:val="single" w:sz="8" w:color="134A9C"/>
            </w:tcBorders>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right w:val="single" w:sz="8" w:color="134A9C"/>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President, Europe</w:t>
            </w:r>
          </w:p>
        </w:tc>
        <w:tc>
          <w:tcPr>
            <w:tcW w:w="580" w:type="dxa"/>
            <w:vAlign w:val="bottom"/>
            <w:tcBorders>
              <w:right w:val="single" w:sz="8" w:color="134A9C"/>
            </w:tcBorders>
          </w:tcPr>
          <w:p>
            <w:pPr>
              <w:spacing w:after="0"/>
              <w:rPr>
                <w:sz w:val="13"/>
                <w:szCs w:val="13"/>
                <w:color w:val="auto"/>
              </w:rPr>
            </w:pPr>
          </w:p>
        </w:tc>
        <w:tc>
          <w:tcPr>
            <w:tcW w:w="1040" w:type="dxa"/>
            <w:vAlign w:val="bottom"/>
            <w:tcBorders>
              <w:right w:val="single" w:sz="8" w:color="134A9C"/>
            </w:tcBorders>
          </w:tcPr>
          <w:p>
            <w:pPr>
              <w:spacing w:after="0"/>
              <w:rPr>
                <w:sz w:val="13"/>
                <w:szCs w:val="13"/>
                <w:color w:val="auto"/>
              </w:rPr>
            </w:pPr>
          </w:p>
        </w:tc>
        <w:tc>
          <w:tcPr>
            <w:tcW w:w="700" w:type="dxa"/>
            <w:vAlign w:val="bottom"/>
            <w:tcBorders>
              <w:right w:val="single" w:sz="8" w:color="134A9C"/>
            </w:tcBorders>
          </w:tcPr>
          <w:p>
            <w:pPr>
              <w:spacing w:after="0"/>
              <w:rPr>
                <w:sz w:val="13"/>
                <w:szCs w:val="13"/>
                <w:color w:val="auto"/>
              </w:rPr>
            </w:pPr>
          </w:p>
        </w:tc>
        <w:tc>
          <w:tcPr>
            <w:tcW w:w="1160" w:type="dxa"/>
            <w:vAlign w:val="bottom"/>
            <w:tcBorders>
              <w:right w:val="single" w:sz="8" w:color="134A9C"/>
            </w:tcBorders>
          </w:tcPr>
          <w:p>
            <w:pPr>
              <w:spacing w:after="0"/>
              <w:rPr>
                <w:sz w:val="13"/>
                <w:szCs w:val="13"/>
                <w:color w:val="auto"/>
              </w:rPr>
            </w:pPr>
          </w:p>
        </w:tc>
        <w:tc>
          <w:tcPr>
            <w:tcW w:w="680" w:type="dxa"/>
            <w:vAlign w:val="bottom"/>
            <w:tcBorders>
              <w:right w:val="single" w:sz="8" w:color="134A9C"/>
            </w:tcBorders>
          </w:tcPr>
          <w:p>
            <w:pPr>
              <w:spacing w:after="0"/>
              <w:rPr>
                <w:sz w:val="13"/>
                <w:szCs w:val="13"/>
                <w:color w:val="auto"/>
              </w:rPr>
            </w:pPr>
          </w:p>
        </w:tc>
        <w:tc>
          <w:tcPr>
            <w:tcW w:w="1340" w:type="dxa"/>
            <w:vAlign w:val="bottom"/>
            <w:tcBorders>
              <w:right w:val="single" w:sz="8" w:color="134A9C"/>
            </w:tcBorders>
          </w:tcPr>
          <w:p>
            <w:pPr>
              <w:spacing w:after="0"/>
              <w:rPr>
                <w:sz w:val="13"/>
                <w:szCs w:val="13"/>
                <w:color w:val="auto"/>
              </w:rPr>
            </w:pPr>
          </w:p>
        </w:tc>
        <w:tc>
          <w:tcPr>
            <w:tcW w:w="1360" w:type="dxa"/>
            <w:vAlign w:val="bottom"/>
            <w:tcBorders>
              <w:right w:val="single" w:sz="8" w:color="134A9C"/>
            </w:tcBorders>
          </w:tcPr>
          <w:p>
            <w:pPr>
              <w:spacing w:after="0"/>
              <w:rPr>
                <w:sz w:val="13"/>
                <w:szCs w:val="13"/>
                <w:color w:val="auto"/>
              </w:rPr>
            </w:pPr>
          </w:p>
        </w:tc>
        <w:tc>
          <w:tcPr>
            <w:tcW w:w="1340" w:type="dxa"/>
            <w:vAlign w:val="bottom"/>
            <w:tcBorders>
              <w:right w:val="single" w:sz="8" w:color="134A9C"/>
            </w:tcBorders>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Borders>
              <w:right w:val="single" w:sz="8" w:color="134A9C"/>
            </w:tcBorders>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Chairman of the Management</w:t>
            </w:r>
          </w:p>
        </w:tc>
        <w:tc>
          <w:tcPr>
            <w:tcW w:w="580" w:type="dxa"/>
            <w:vAlign w:val="bottom"/>
            <w:tcBorders>
              <w:right w:val="single" w:sz="8" w:color="134A9C"/>
            </w:tcBorders>
          </w:tcPr>
          <w:p>
            <w:pPr>
              <w:spacing w:after="0"/>
              <w:rPr>
                <w:sz w:val="22"/>
                <w:szCs w:val="22"/>
                <w:color w:val="auto"/>
              </w:rPr>
            </w:pPr>
          </w:p>
        </w:tc>
        <w:tc>
          <w:tcPr>
            <w:tcW w:w="1040" w:type="dxa"/>
            <w:vAlign w:val="bottom"/>
            <w:tcBorders>
              <w:right w:val="single" w:sz="8" w:color="134A9C"/>
            </w:tcBorders>
          </w:tcPr>
          <w:p>
            <w:pPr>
              <w:spacing w:after="0"/>
              <w:rPr>
                <w:sz w:val="22"/>
                <w:szCs w:val="22"/>
                <w:color w:val="auto"/>
              </w:rPr>
            </w:pPr>
          </w:p>
        </w:tc>
        <w:tc>
          <w:tcPr>
            <w:tcW w:w="700" w:type="dxa"/>
            <w:vAlign w:val="bottom"/>
            <w:tcBorders>
              <w:right w:val="single" w:sz="8" w:color="134A9C"/>
            </w:tcBorders>
          </w:tcPr>
          <w:p>
            <w:pPr>
              <w:spacing w:after="0"/>
              <w:rPr>
                <w:sz w:val="22"/>
                <w:szCs w:val="22"/>
                <w:color w:val="auto"/>
              </w:rPr>
            </w:pPr>
          </w:p>
        </w:tc>
        <w:tc>
          <w:tcPr>
            <w:tcW w:w="1160" w:type="dxa"/>
            <w:vAlign w:val="bottom"/>
            <w:tcBorders>
              <w:right w:val="single" w:sz="8" w:color="134A9C"/>
            </w:tcBorders>
          </w:tcPr>
          <w:p>
            <w:pPr>
              <w:spacing w:after="0"/>
              <w:rPr>
                <w:sz w:val="22"/>
                <w:szCs w:val="22"/>
                <w:color w:val="auto"/>
              </w:rPr>
            </w:pPr>
          </w:p>
        </w:tc>
        <w:tc>
          <w:tcPr>
            <w:tcW w:w="680" w:type="dxa"/>
            <w:vAlign w:val="bottom"/>
            <w:tcBorders>
              <w:right w:val="single" w:sz="8" w:color="134A9C"/>
            </w:tcBorders>
          </w:tcPr>
          <w:p>
            <w:pPr>
              <w:spacing w:after="0"/>
              <w:rPr>
                <w:sz w:val="22"/>
                <w:szCs w:val="22"/>
                <w:color w:val="auto"/>
              </w:rPr>
            </w:pPr>
          </w:p>
        </w:tc>
        <w:tc>
          <w:tcPr>
            <w:tcW w:w="1340" w:type="dxa"/>
            <w:vAlign w:val="bottom"/>
            <w:tcBorders>
              <w:right w:val="single" w:sz="8" w:color="134A9C"/>
            </w:tcBorders>
          </w:tcPr>
          <w:p>
            <w:pPr>
              <w:spacing w:after="0"/>
              <w:rPr>
                <w:sz w:val="22"/>
                <w:szCs w:val="22"/>
                <w:color w:val="auto"/>
              </w:rPr>
            </w:pPr>
          </w:p>
        </w:tc>
        <w:tc>
          <w:tcPr>
            <w:tcW w:w="1360" w:type="dxa"/>
            <w:vAlign w:val="bottom"/>
            <w:tcBorders>
              <w:right w:val="single" w:sz="8" w:color="134A9C"/>
            </w:tcBorders>
          </w:tcPr>
          <w:p>
            <w:pPr>
              <w:spacing w:after="0"/>
              <w:rPr>
                <w:sz w:val="22"/>
                <w:szCs w:val="22"/>
                <w:color w:val="auto"/>
              </w:rPr>
            </w:pPr>
          </w:p>
        </w:tc>
        <w:tc>
          <w:tcPr>
            <w:tcW w:w="1340" w:type="dxa"/>
            <w:vAlign w:val="bottom"/>
            <w:tcBorders>
              <w:right w:val="single" w:sz="8" w:color="134A9C"/>
            </w:tcBorders>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Borders>
              <w:right w:val="single" w:sz="8" w:color="134A9C"/>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Board of Opel Group GmbH</w:t>
            </w:r>
          </w:p>
        </w:tc>
        <w:tc>
          <w:tcPr>
            <w:tcW w:w="580" w:type="dxa"/>
            <w:vAlign w:val="bottom"/>
            <w:tcBorders>
              <w:bottom w:val="single" w:sz="8" w:color="134A9C"/>
              <w:right w:val="single" w:sz="8" w:color="134A9C"/>
            </w:tcBorders>
          </w:tcPr>
          <w:p>
            <w:pPr>
              <w:spacing w:after="0"/>
              <w:rPr>
                <w:sz w:val="14"/>
                <w:szCs w:val="14"/>
                <w:color w:val="auto"/>
              </w:rPr>
            </w:pPr>
          </w:p>
        </w:tc>
        <w:tc>
          <w:tcPr>
            <w:tcW w:w="1040" w:type="dxa"/>
            <w:vAlign w:val="bottom"/>
            <w:tcBorders>
              <w:bottom w:val="single" w:sz="8" w:color="134A9C"/>
              <w:right w:val="single" w:sz="8" w:color="134A9C"/>
            </w:tcBorders>
          </w:tcPr>
          <w:p>
            <w:pPr>
              <w:spacing w:after="0"/>
              <w:rPr>
                <w:sz w:val="14"/>
                <w:szCs w:val="14"/>
                <w:color w:val="auto"/>
              </w:rPr>
            </w:pPr>
          </w:p>
        </w:tc>
        <w:tc>
          <w:tcPr>
            <w:tcW w:w="700" w:type="dxa"/>
            <w:vAlign w:val="bottom"/>
            <w:tcBorders>
              <w:bottom w:val="single" w:sz="8" w:color="134A9C"/>
              <w:right w:val="single" w:sz="8" w:color="134A9C"/>
            </w:tcBorders>
          </w:tcPr>
          <w:p>
            <w:pPr>
              <w:spacing w:after="0"/>
              <w:rPr>
                <w:sz w:val="14"/>
                <w:szCs w:val="14"/>
                <w:color w:val="auto"/>
              </w:rPr>
            </w:pPr>
          </w:p>
        </w:tc>
        <w:tc>
          <w:tcPr>
            <w:tcW w:w="1160" w:type="dxa"/>
            <w:vAlign w:val="bottom"/>
            <w:tcBorders>
              <w:bottom w:val="single" w:sz="8" w:color="134A9C"/>
              <w:right w:val="single" w:sz="8" w:color="134A9C"/>
            </w:tcBorders>
          </w:tcPr>
          <w:p>
            <w:pPr>
              <w:spacing w:after="0"/>
              <w:rPr>
                <w:sz w:val="14"/>
                <w:szCs w:val="14"/>
                <w:color w:val="auto"/>
              </w:rPr>
            </w:pPr>
          </w:p>
        </w:tc>
        <w:tc>
          <w:tcPr>
            <w:tcW w:w="680" w:type="dxa"/>
            <w:vAlign w:val="bottom"/>
            <w:tcBorders>
              <w:bottom w:val="single" w:sz="8" w:color="134A9C"/>
              <w:right w:val="single" w:sz="8" w:color="134A9C"/>
            </w:tcBorders>
          </w:tcPr>
          <w:p>
            <w:pPr>
              <w:spacing w:after="0"/>
              <w:rPr>
                <w:sz w:val="14"/>
                <w:szCs w:val="14"/>
                <w:color w:val="auto"/>
              </w:rPr>
            </w:pPr>
          </w:p>
        </w:tc>
        <w:tc>
          <w:tcPr>
            <w:tcW w:w="1340" w:type="dxa"/>
            <w:vAlign w:val="bottom"/>
            <w:tcBorders>
              <w:bottom w:val="single" w:sz="8" w:color="134A9C"/>
              <w:right w:val="single" w:sz="8" w:color="134A9C"/>
            </w:tcBorders>
          </w:tcPr>
          <w:p>
            <w:pPr>
              <w:spacing w:after="0"/>
              <w:rPr>
                <w:sz w:val="14"/>
                <w:szCs w:val="14"/>
                <w:color w:val="auto"/>
              </w:rPr>
            </w:pPr>
          </w:p>
        </w:tc>
        <w:tc>
          <w:tcPr>
            <w:tcW w:w="1360" w:type="dxa"/>
            <w:vAlign w:val="bottom"/>
            <w:tcBorders>
              <w:bottom w:val="single" w:sz="8" w:color="134A9C"/>
              <w:right w:val="single" w:sz="8" w:color="134A9C"/>
            </w:tcBorders>
          </w:tcPr>
          <w:p>
            <w:pPr>
              <w:spacing w:after="0"/>
              <w:rPr>
                <w:sz w:val="14"/>
                <w:szCs w:val="14"/>
                <w:color w:val="auto"/>
              </w:rPr>
            </w:pPr>
          </w:p>
        </w:tc>
        <w:tc>
          <w:tcPr>
            <w:tcW w:w="1340" w:type="dxa"/>
            <w:vAlign w:val="bottom"/>
            <w:tcBorders>
              <w:bottom w:val="single" w:sz="8" w:color="134A9C"/>
              <w:right w:val="single" w:sz="8" w:color="134A9C"/>
            </w:tcBorders>
          </w:tcPr>
          <w:p>
            <w:pPr>
              <w:spacing w:after="0"/>
              <w:rPr>
                <w:sz w:val="14"/>
                <w:szCs w:val="14"/>
                <w:color w:val="auto"/>
              </w:rPr>
            </w:pPr>
          </w:p>
        </w:tc>
        <w:tc>
          <w:tcPr>
            <w:tcW w:w="360" w:type="dxa"/>
            <w:vAlign w:val="bottom"/>
            <w:tcBorders>
              <w:bottom w:val="single" w:sz="8" w:color="134A9C"/>
            </w:tcBorders>
          </w:tcPr>
          <w:p>
            <w:pPr>
              <w:spacing w:after="0"/>
              <w:rPr>
                <w:sz w:val="14"/>
                <w:szCs w:val="14"/>
                <w:color w:val="auto"/>
              </w:rPr>
            </w:pPr>
          </w:p>
        </w:tc>
        <w:tc>
          <w:tcPr>
            <w:tcW w:w="780" w:type="dxa"/>
            <w:vAlign w:val="bottom"/>
            <w:tcBorders>
              <w:bottom w:val="single" w:sz="8" w:color="134A9C"/>
              <w:right w:val="single" w:sz="8" w:color="134A9C"/>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Daniel F. Akerson</w:t>
            </w:r>
            <w:r>
              <w:rPr>
                <w:rFonts w:ascii="Arial" w:cs="Arial" w:eastAsia="Arial" w:hAnsi="Arial"/>
                <w:sz w:val="8"/>
                <w:szCs w:val="8"/>
                <w:color w:val="auto"/>
              </w:rPr>
              <w:t>(8)</w:t>
            </w:r>
          </w:p>
        </w:tc>
        <w:tc>
          <w:tcPr>
            <w:tcW w:w="580" w:type="dxa"/>
            <w:vAlign w:val="bottom"/>
            <w:tcBorders>
              <w:right w:val="single" w:sz="8" w:color="134A9C"/>
            </w:tcBorders>
          </w:tcPr>
          <w:p>
            <w:pPr>
              <w:jc w:val="center"/>
              <w:ind w:left="117"/>
              <w:spacing w:after="0"/>
              <w:rPr>
                <w:sz w:val="20"/>
                <w:szCs w:val="20"/>
                <w:color w:val="auto"/>
              </w:rPr>
            </w:pPr>
            <w:r>
              <w:rPr>
                <w:rFonts w:ascii="Arial" w:cs="Arial" w:eastAsia="Arial" w:hAnsi="Arial"/>
                <w:sz w:val="13"/>
                <w:szCs w:val="13"/>
                <w:color w:val="auto"/>
                <w:w w:val="96"/>
              </w:rPr>
              <w:t>2014</w:t>
            </w:r>
          </w:p>
        </w:tc>
        <w:tc>
          <w:tcPr>
            <w:tcW w:w="104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850,000</w:t>
            </w:r>
          </w:p>
        </w:tc>
        <w:tc>
          <w:tcPr>
            <w:tcW w:w="70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1,100,800</w:t>
            </w:r>
          </w:p>
        </w:tc>
        <w:tc>
          <w:tcPr>
            <w:tcW w:w="1360" w:type="dxa"/>
            <w:vAlign w:val="bottom"/>
            <w:tcBorders>
              <w:right w:val="single" w:sz="8" w:color="134A9C"/>
            </w:tcBorders>
          </w:tcPr>
          <w:p>
            <w:pPr>
              <w:jc w:val="right"/>
              <w:ind w:right="76"/>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148,453</w:t>
            </w:r>
          </w:p>
        </w:tc>
        <w:tc>
          <w:tcPr>
            <w:tcW w:w="360" w:type="dxa"/>
            <w:vAlign w:val="bottom"/>
          </w:tcPr>
          <w:p>
            <w:pPr>
              <w:spacing w:after="0"/>
              <w:rPr>
                <w:sz w:val="17"/>
                <w:szCs w:val="17"/>
                <w:color w:val="auto"/>
              </w:rPr>
            </w:pPr>
          </w:p>
        </w:tc>
        <w:tc>
          <w:tcPr>
            <w:tcW w:w="78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2,099,253</w:t>
            </w:r>
          </w:p>
        </w:tc>
        <w:tc>
          <w:tcPr>
            <w:tcW w:w="0" w:type="dxa"/>
            <w:vAlign w:val="bottom"/>
          </w:tcPr>
          <w:p>
            <w:pPr>
              <w:spacing w:after="0"/>
              <w:rPr>
                <w:sz w:val="1"/>
                <w:szCs w:val="1"/>
                <w:color w:val="auto"/>
              </w:rPr>
            </w:pPr>
          </w:p>
        </w:tc>
      </w:tr>
      <w:tr>
        <w:trPr>
          <w:trHeight w:val="172"/>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Former Chairman &amp; Chief</w:t>
            </w:r>
          </w:p>
        </w:tc>
        <w:tc>
          <w:tcPr>
            <w:tcW w:w="580" w:type="dxa"/>
            <w:vAlign w:val="bottom"/>
            <w:tcBorders>
              <w:right w:val="single" w:sz="8" w:color="134A9C"/>
            </w:tcBorders>
          </w:tcPr>
          <w:p>
            <w:pPr>
              <w:jc w:val="center"/>
              <w:ind w:left="117"/>
              <w:spacing w:after="0"/>
              <w:rPr>
                <w:sz w:val="20"/>
                <w:szCs w:val="20"/>
                <w:color w:val="auto"/>
              </w:rPr>
            </w:pPr>
            <w:r>
              <w:rPr>
                <w:rFonts w:ascii="Arial" w:cs="Arial" w:eastAsia="Arial" w:hAnsi="Arial"/>
                <w:sz w:val="13"/>
                <w:szCs w:val="13"/>
                <w:color w:val="auto"/>
                <w:w w:val="96"/>
              </w:rPr>
              <w:t>2013</w:t>
            </w:r>
          </w:p>
        </w:tc>
        <w:tc>
          <w:tcPr>
            <w:tcW w:w="104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1,700,000</w:t>
            </w:r>
          </w:p>
        </w:tc>
        <w:tc>
          <w:tcPr>
            <w:tcW w:w="70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134A9C"/>
            </w:tcBorders>
          </w:tcPr>
          <w:p>
            <w:pPr>
              <w:jc w:val="right"/>
              <w:ind w:right="77"/>
              <w:spacing w:after="0"/>
              <w:rPr>
                <w:sz w:val="20"/>
                <w:szCs w:val="20"/>
                <w:color w:val="auto"/>
              </w:rPr>
            </w:pPr>
            <w:r>
              <w:rPr>
                <w:rFonts w:ascii="Arial" w:cs="Arial" w:eastAsia="Arial" w:hAnsi="Arial"/>
                <w:sz w:val="13"/>
                <w:szCs w:val="13"/>
                <w:color w:val="auto"/>
              </w:rPr>
              <w:t>7,302,206</w:t>
            </w:r>
          </w:p>
        </w:tc>
        <w:tc>
          <w:tcPr>
            <w:tcW w:w="680" w:type="dxa"/>
            <w:vAlign w:val="bottom"/>
            <w:tcBorders>
              <w:right w:val="single" w:sz="8" w:color="134A9C"/>
            </w:tcBorders>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134A9C"/>
            </w:tcBorders>
          </w:tcPr>
          <w:p>
            <w:pPr>
              <w:jc w:val="right"/>
              <w:ind w:right="76"/>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66,270</w:t>
            </w:r>
          </w:p>
        </w:tc>
        <w:tc>
          <w:tcPr>
            <w:tcW w:w="360" w:type="dxa"/>
            <w:vAlign w:val="bottom"/>
          </w:tcPr>
          <w:p>
            <w:pPr>
              <w:spacing w:after="0"/>
              <w:rPr>
                <w:sz w:val="14"/>
                <w:szCs w:val="14"/>
                <w:color w:val="auto"/>
              </w:rPr>
            </w:pPr>
          </w:p>
        </w:tc>
        <w:tc>
          <w:tcPr>
            <w:tcW w:w="780" w:type="dxa"/>
            <w:vAlign w:val="bottom"/>
            <w:tcBorders>
              <w:right w:val="single" w:sz="8" w:color="134A9C"/>
            </w:tcBorders>
          </w:tcPr>
          <w:p>
            <w:pPr>
              <w:jc w:val="right"/>
              <w:ind w:right="57"/>
              <w:spacing w:after="0"/>
              <w:rPr>
                <w:sz w:val="20"/>
                <w:szCs w:val="20"/>
                <w:color w:val="auto"/>
              </w:rPr>
            </w:pPr>
            <w:r>
              <w:rPr>
                <w:rFonts w:ascii="Arial" w:cs="Arial" w:eastAsia="Arial" w:hAnsi="Arial"/>
                <w:sz w:val="13"/>
                <w:szCs w:val="13"/>
                <w:color w:val="auto"/>
              </w:rPr>
              <w:t>9,068,476</w:t>
            </w:r>
          </w:p>
        </w:tc>
        <w:tc>
          <w:tcPr>
            <w:tcW w:w="0" w:type="dxa"/>
            <w:vAlign w:val="bottom"/>
          </w:tcPr>
          <w:p>
            <w:pPr>
              <w:spacing w:after="0"/>
              <w:rPr>
                <w:sz w:val="1"/>
                <w:szCs w:val="1"/>
                <w:color w:val="auto"/>
              </w:rPr>
            </w:pPr>
          </w:p>
        </w:tc>
      </w:tr>
      <w:tr>
        <w:trPr>
          <w:trHeight w:val="152"/>
        </w:trPr>
        <w:tc>
          <w:tcPr>
            <w:tcW w:w="21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3"/>
                <w:szCs w:val="13"/>
                <w:color w:val="auto"/>
              </w:rPr>
              <w:t>Executive Officer</w:t>
            </w:r>
          </w:p>
        </w:tc>
        <w:tc>
          <w:tcPr>
            <w:tcW w:w="580" w:type="dxa"/>
            <w:vAlign w:val="bottom"/>
            <w:tcBorders>
              <w:right w:val="single" w:sz="8" w:color="134A9C"/>
            </w:tcBorders>
            <w:vMerge w:val="restart"/>
          </w:tcPr>
          <w:p>
            <w:pPr>
              <w:jc w:val="center"/>
              <w:ind w:left="117"/>
              <w:spacing w:after="0"/>
              <w:rPr>
                <w:sz w:val="20"/>
                <w:szCs w:val="20"/>
                <w:color w:val="auto"/>
              </w:rPr>
            </w:pPr>
            <w:r>
              <w:rPr>
                <w:rFonts w:ascii="Arial" w:cs="Arial" w:eastAsia="Arial" w:hAnsi="Arial"/>
                <w:sz w:val="13"/>
                <w:szCs w:val="13"/>
                <w:color w:val="auto"/>
                <w:w w:val="96"/>
              </w:rPr>
              <w:t>2012</w:t>
            </w:r>
          </w:p>
        </w:tc>
        <w:tc>
          <w:tcPr>
            <w:tcW w:w="1040" w:type="dxa"/>
            <w:vAlign w:val="bottom"/>
            <w:tcBorders>
              <w:right w:val="single" w:sz="8" w:color="134A9C"/>
            </w:tcBorders>
            <w:vMerge w:val="restart"/>
          </w:tcPr>
          <w:p>
            <w:pPr>
              <w:jc w:val="right"/>
              <w:ind w:right="77"/>
              <w:spacing w:after="0"/>
              <w:rPr>
                <w:sz w:val="20"/>
                <w:szCs w:val="20"/>
                <w:color w:val="auto"/>
              </w:rPr>
            </w:pPr>
            <w:r>
              <w:rPr>
                <w:rFonts w:ascii="Arial" w:cs="Arial" w:eastAsia="Arial" w:hAnsi="Arial"/>
                <w:sz w:val="13"/>
                <w:szCs w:val="13"/>
                <w:color w:val="auto"/>
              </w:rPr>
              <w:t>1,700,000</w:t>
            </w:r>
          </w:p>
        </w:tc>
        <w:tc>
          <w:tcPr>
            <w:tcW w:w="700" w:type="dxa"/>
            <w:vAlign w:val="bottom"/>
            <w:tcBorders>
              <w:right w:val="single" w:sz="8" w:color="134A9C"/>
            </w:tcBorders>
            <w:vMerge w:val="restart"/>
          </w:tcPr>
          <w:p>
            <w:pPr>
              <w:ind w:left="42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134A9C"/>
            </w:tcBorders>
            <w:vMerge w:val="restart"/>
          </w:tcPr>
          <w:p>
            <w:pPr>
              <w:jc w:val="right"/>
              <w:ind w:right="77"/>
              <w:spacing w:after="0"/>
              <w:rPr>
                <w:sz w:val="20"/>
                <w:szCs w:val="20"/>
                <w:color w:val="auto"/>
              </w:rPr>
            </w:pPr>
            <w:r>
              <w:rPr>
                <w:rFonts w:ascii="Arial" w:cs="Arial" w:eastAsia="Arial" w:hAnsi="Arial"/>
                <w:sz w:val="13"/>
                <w:szCs w:val="13"/>
                <w:color w:val="auto"/>
              </w:rPr>
              <w:t>9,332,659</w:t>
            </w:r>
          </w:p>
        </w:tc>
        <w:tc>
          <w:tcPr>
            <w:tcW w:w="680" w:type="dxa"/>
            <w:vAlign w:val="bottom"/>
            <w:tcBorders>
              <w:right w:val="single" w:sz="8" w:color="134A9C"/>
            </w:tcBorders>
            <w:vMerge w:val="restart"/>
          </w:tcPr>
          <w:p>
            <w:pPr>
              <w:ind w:left="420"/>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vMerge w:val="restart"/>
          </w:tcPr>
          <w:p>
            <w:pPr>
              <w:jc w:val="right"/>
              <w:ind w:right="57"/>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134A9C"/>
            </w:tcBorders>
            <w:vMerge w:val="restart"/>
          </w:tcPr>
          <w:p>
            <w:pPr>
              <w:jc w:val="right"/>
              <w:ind w:right="76"/>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134A9C"/>
            </w:tcBorders>
            <w:vMerge w:val="restart"/>
          </w:tcPr>
          <w:p>
            <w:pPr>
              <w:jc w:val="right"/>
              <w:ind w:right="57"/>
              <w:spacing w:after="0"/>
              <w:rPr>
                <w:sz w:val="20"/>
                <w:szCs w:val="20"/>
                <w:color w:val="auto"/>
              </w:rPr>
            </w:pPr>
            <w:r>
              <w:rPr>
                <w:rFonts w:ascii="Arial" w:cs="Arial" w:eastAsia="Arial" w:hAnsi="Arial"/>
                <w:sz w:val="13"/>
                <w:szCs w:val="13"/>
                <w:color w:val="auto"/>
              </w:rPr>
              <w:t>70,149</w:t>
            </w:r>
          </w:p>
        </w:tc>
        <w:tc>
          <w:tcPr>
            <w:tcW w:w="360" w:type="dxa"/>
            <w:vAlign w:val="bottom"/>
          </w:tcPr>
          <w:p>
            <w:pPr>
              <w:spacing w:after="0"/>
              <w:rPr>
                <w:sz w:val="13"/>
                <w:szCs w:val="13"/>
                <w:color w:val="auto"/>
              </w:rPr>
            </w:pPr>
          </w:p>
        </w:tc>
        <w:tc>
          <w:tcPr>
            <w:tcW w:w="780" w:type="dxa"/>
            <w:vAlign w:val="bottom"/>
            <w:tcBorders>
              <w:right w:val="single" w:sz="8" w:color="134A9C"/>
            </w:tcBorders>
            <w:vMerge w:val="restart"/>
          </w:tcPr>
          <w:p>
            <w:pPr>
              <w:jc w:val="right"/>
              <w:ind w:right="57"/>
              <w:spacing w:after="0"/>
              <w:rPr>
                <w:sz w:val="20"/>
                <w:szCs w:val="20"/>
                <w:color w:val="auto"/>
              </w:rPr>
            </w:pPr>
            <w:r>
              <w:rPr>
                <w:rFonts w:ascii="Arial" w:cs="Arial" w:eastAsia="Arial" w:hAnsi="Arial"/>
                <w:sz w:val="13"/>
                <w:szCs w:val="13"/>
                <w:color w:val="auto"/>
                <w:w w:val="98"/>
              </w:rPr>
              <w:t>11,102,808</w:t>
            </w:r>
          </w:p>
        </w:tc>
        <w:tc>
          <w:tcPr>
            <w:tcW w:w="0" w:type="dxa"/>
            <w:vAlign w:val="bottom"/>
          </w:tcPr>
          <w:p>
            <w:pPr>
              <w:spacing w:after="0"/>
              <w:rPr>
                <w:sz w:val="1"/>
                <w:szCs w:val="1"/>
                <w:color w:val="auto"/>
              </w:rPr>
            </w:pPr>
          </w:p>
        </w:tc>
      </w:tr>
      <w:tr>
        <w:trPr>
          <w:trHeight w:val="81"/>
        </w:trPr>
        <w:tc>
          <w:tcPr>
            <w:tcW w:w="2100" w:type="dxa"/>
            <w:vAlign w:val="bottom"/>
            <w:tcBorders>
              <w:left w:val="single" w:sz="8" w:color="134A9C"/>
              <w:right w:val="single" w:sz="8" w:color="134A9C"/>
            </w:tcBorders>
          </w:tcPr>
          <w:p>
            <w:pPr>
              <w:spacing w:after="0"/>
              <w:rPr>
                <w:sz w:val="7"/>
                <w:szCs w:val="7"/>
                <w:color w:val="auto"/>
              </w:rPr>
            </w:pPr>
          </w:p>
        </w:tc>
        <w:tc>
          <w:tcPr>
            <w:tcW w:w="580" w:type="dxa"/>
            <w:vAlign w:val="bottom"/>
            <w:tcBorders>
              <w:right w:val="single" w:sz="8" w:color="134A9C"/>
            </w:tcBorders>
            <w:vMerge w:val="continue"/>
          </w:tcPr>
          <w:p>
            <w:pPr>
              <w:spacing w:after="0"/>
              <w:rPr>
                <w:sz w:val="7"/>
                <w:szCs w:val="7"/>
                <w:color w:val="auto"/>
              </w:rPr>
            </w:pPr>
          </w:p>
        </w:tc>
        <w:tc>
          <w:tcPr>
            <w:tcW w:w="1040" w:type="dxa"/>
            <w:vAlign w:val="bottom"/>
            <w:tcBorders>
              <w:right w:val="single" w:sz="8" w:color="134A9C"/>
            </w:tcBorders>
            <w:vMerge w:val="continue"/>
          </w:tcPr>
          <w:p>
            <w:pPr>
              <w:spacing w:after="0"/>
              <w:rPr>
                <w:sz w:val="7"/>
                <w:szCs w:val="7"/>
                <w:color w:val="auto"/>
              </w:rPr>
            </w:pPr>
          </w:p>
        </w:tc>
        <w:tc>
          <w:tcPr>
            <w:tcW w:w="700" w:type="dxa"/>
            <w:vAlign w:val="bottom"/>
            <w:tcBorders>
              <w:right w:val="single" w:sz="8" w:color="134A9C"/>
            </w:tcBorders>
            <w:vMerge w:val="continue"/>
          </w:tcPr>
          <w:p>
            <w:pPr>
              <w:spacing w:after="0"/>
              <w:rPr>
                <w:sz w:val="7"/>
                <w:szCs w:val="7"/>
                <w:color w:val="auto"/>
              </w:rPr>
            </w:pPr>
          </w:p>
        </w:tc>
        <w:tc>
          <w:tcPr>
            <w:tcW w:w="1160" w:type="dxa"/>
            <w:vAlign w:val="bottom"/>
            <w:tcBorders>
              <w:right w:val="single" w:sz="8" w:color="134A9C"/>
            </w:tcBorders>
            <w:vMerge w:val="continue"/>
          </w:tcPr>
          <w:p>
            <w:pPr>
              <w:spacing w:after="0"/>
              <w:rPr>
                <w:sz w:val="7"/>
                <w:szCs w:val="7"/>
                <w:color w:val="auto"/>
              </w:rPr>
            </w:pPr>
          </w:p>
        </w:tc>
        <w:tc>
          <w:tcPr>
            <w:tcW w:w="680" w:type="dxa"/>
            <w:vAlign w:val="bottom"/>
            <w:tcBorders>
              <w:right w:val="single" w:sz="8" w:color="134A9C"/>
            </w:tcBorders>
            <w:vMerge w:val="continue"/>
          </w:tcPr>
          <w:p>
            <w:pPr>
              <w:spacing w:after="0"/>
              <w:rPr>
                <w:sz w:val="7"/>
                <w:szCs w:val="7"/>
                <w:color w:val="auto"/>
              </w:rPr>
            </w:pPr>
          </w:p>
        </w:tc>
        <w:tc>
          <w:tcPr>
            <w:tcW w:w="1340" w:type="dxa"/>
            <w:vAlign w:val="bottom"/>
            <w:tcBorders>
              <w:right w:val="single" w:sz="8" w:color="134A9C"/>
            </w:tcBorders>
            <w:vMerge w:val="continue"/>
          </w:tcPr>
          <w:p>
            <w:pPr>
              <w:spacing w:after="0"/>
              <w:rPr>
                <w:sz w:val="7"/>
                <w:szCs w:val="7"/>
                <w:color w:val="auto"/>
              </w:rPr>
            </w:pPr>
          </w:p>
        </w:tc>
        <w:tc>
          <w:tcPr>
            <w:tcW w:w="1360" w:type="dxa"/>
            <w:vAlign w:val="bottom"/>
            <w:tcBorders>
              <w:right w:val="single" w:sz="8" w:color="134A9C"/>
            </w:tcBorders>
            <w:vMerge w:val="continue"/>
          </w:tcPr>
          <w:p>
            <w:pPr>
              <w:spacing w:after="0"/>
              <w:rPr>
                <w:sz w:val="7"/>
                <w:szCs w:val="7"/>
                <w:color w:val="auto"/>
              </w:rPr>
            </w:pPr>
          </w:p>
        </w:tc>
        <w:tc>
          <w:tcPr>
            <w:tcW w:w="1340" w:type="dxa"/>
            <w:vAlign w:val="bottom"/>
            <w:tcBorders>
              <w:right w:val="single" w:sz="8" w:color="134A9C"/>
            </w:tcBorders>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Borders>
              <w:right w:val="single" w:sz="8" w:color="134A9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100" w:type="dxa"/>
            <w:vAlign w:val="bottom"/>
            <w:tcBorders>
              <w:left w:val="single" w:sz="8" w:color="134A9C"/>
              <w:bottom w:val="single" w:sz="8" w:color="134A9C"/>
              <w:right w:val="single" w:sz="8" w:color="134A9C"/>
            </w:tcBorders>
          </w:tcPr>
          <w:p>
            <w:pPr>
              <w:spacing w:after="0"/>
              <w:rPr>
                <w:sz w:val="3"/>
                <w:szCs w:val="3"/>
                <w:color w:val="auto"/>
              </w:rPr>
            </w:pPr>
          </w:p>
        </w:tc>
        <w:tc>
          <w:tcPr>
            <w:tcW w:w="580" w:type="dxa"/>
            <w:vAlign w:val="bottom"/>
            <w:tcBorders>
              <w:bottom w:val="single" w:sz="8" w:color="134A9C"/>
              <w:right w:val="single" w:sz="8" w:color="134A9C"/>
            </w:tcBorders>
          </w:tcPr>
          <w:p>
            <w:pPr>
              <w:spacing w:after="0"/>
              <w:rPr>
                <w:sz w:val="3"/>
                <w:szCs w:val="3"/>
                <w:color w:val="auto"/>
              </w:rPr>
            </w:pPr>
          </w:p>
        </w:tc>
        <w:tc>
          <w:tcPr>
            <w:tcW w:w="1040" w:type="dxa"/>
            <w:vAlign w:val="bottom"/>
            <w:tcBorders>
              <w:bottom w:val="single" w:sz="8" w:color="134A9C"/>
              <w:right w:val="single" w:sz="8" w:color="134A9C"/>
            </w:tcBorders>
          </w:tcPr>
          <w:p>
            <w:pPr>
              <w:spacing w:after="0"/>
              <w:rPr>
                <w:sz w:val="3"/>
                <w:szCs w:val="3"/>
                <w:color w:val="auto"/>
              </w:rPr>
            </w:pPr>
          </w:p>
        </w:tc>
        <w:tc>
          <w:tcPr>
            <w:tcW w:w="700" w:type="dxa"/>
            <w:vAlign w:val="bottom"/>
            <w:tcBorders>
              <w:bottom w:val="single" w:sz="8" w:color="134A9C"/>
              <w:right w:val="single" w:sz="8" w:color="134A9C"/>
            </w:tcBorders>
          </w:tcPr>
          <w:p>
            <w:pPr>
              <w:spacing w:after="0"/>
              <w:rPr>
                <w:sz w:val="3"/>
                <w:szCs w:val="3"/>
                <w:color w:val="auto"/>
              </w:rPr>
            </w:pPr>
          </w:p>
        </w:tc>
        <w:tc>
          <w:tcPr>
            <w:tcW w:w="1160" w:type="dxa"/>
            <w:vAlign w:val="bottom"/>
            <w:tcBorders>
              <w:bottom w:val="single" w:sz="8" w:color="134A9C"/>
              <w:right w:val="single" w:sz="8" w:color="134A9C"/>
            </w:tcBorders>
          </w:tcPr>
          <w:p>
            <w:pPr>
              <w:spacing w:after="0"/>
              <w:rPr>
                <w:sz w:val="3"/>
                <w:szCs w:val="3"/>
                <w:color w:val="auto"/>
              </w:rPr>
            </w:pPr>
          </w:p>
        </w:tc>
        <w:tc>
          <w:tcPr>
            <w:tcW w:w="680" w:type="dxa"/>
            <w:vAlign w:val="bottom"/>
            <w:tcBorders>
              <w:bottom w:val="single" w:sz="8" w:color="134A9C"/>
              <w:right w:val="single" w:sz="8" w:color="134A9C"/>
            </w:tcBorders>
          </w:tcPr>
          <w:p>
            <w:pPr>
              <w:spacing w:after="0"/>
              <w:rPr>
                <w:sz w:val="3"/>
                <w:szCs w:val="3"/>
                <w:color w:val="auto"/>
              </w:rPr>
            </w:pPr>
          </w:p>
        </w:tc>
        <w:tc>
          <w:tcPr>
            <w:tcW w:w="1340" w:type="dxa"/>
            <w:vAlign w:val="bottom"/>
            <w:tcBorders>
              <w:bottom w:val="single" w:sz="8" w:color="134A9C"/>
              <w:right w:val="single" w:sz="8" w:color="134A9C"/>
            </w:tcBorders>
          </w:tcPr>
          <w:p>
            <w:pPr>
              <w:spacing w:after="0"/>
              <w:rPr>
                <w:sz w:val="3"/>
                <w:szCs w:val="3"/>
                <w:color w:val="auto"/>
              </w:rPr>
            </w:pPr>
          </w:p>
        </w:tc>
        <w:tc>
          <w:tcPr>
            <w:tcW w:w="1360" w:type="dxa"/>
            <w:vAlign w:val="bottom"/>
            <w:tcBorders>
              <w:bottom w:val="single" w:sz="8" w:color="134A9C"/>
              <w:right w:val="single" w:sz="8" w:color="134A9C"/>
            </w:tcBorders>
          </w:tcPr>
          <w:p>
            <w:pPr>
              <w:spacing w:after="0"/>
              <w:rPr>
                <w:sz w:val="3"/>
                <w:szCs w:val="3"/>
                <w:color w:val="auto"/>
              </w:rPr>
            </w:pPr>
          </w:p>
        </w:tc>
        <w:tc>
          <w:tcPr>
            <w:tcW w:w="1340" w:type="dxa"/>
            <w:vAlign w:val="bottom"/>
            <w:tcBorders>
              <w:bottom w:val="single" w:sz="8" w:color="134A9C"/>
              <w:right w:val="single" w:sz="8" w:color="134A9C"/>
            </w:tcBorders>
          </w:tcPr>
          <w:p>
            <w:pPr>
              <w:spacing w:after="0"/>
              <w:rPr>
                <w:sz w:val="3"/>
                <w:szCs w:val="3"/>
                <w:color w:val="auto"/>
              </w:rPr>
            </w:pPr>
          </w:p>
        </w:tc>
        <w:tc>
          <w:tcPr>
            <w:tcW w:w="360" w:type="dxa"/>
            <w:vAlign w:val="bottom"/>
            <w:tcBorders>
              <w:bottom w:val="single" w:sz="8" w:color="134A9C"/>
            </w:tcBorders>
          </w:tcPr>
          <w:p>
            <w:pPr>
              <w:spacing w:after="0"/>
              <w:rPr>
                <w:sz w:val="3"/>
                <w:szCs w:val="3"/>
                <w:color w:val="auto"/>
              </w:rPr>
            </w:pPr>
          </w:p>
        </w:tc>
        <w:tc>
          <w:tcPr>
            <w:tcW w:w="780" w:type="dxa"/>
            <w:vAlign w:val="bottom"/>
            <w:tcBorders>
              <w:bottom w:val="single" w:sz="8" w:color="134A9C"/>
              <w:right w:val="single" w:sz="8" w:color="134A9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ind w:left="340" w:right="20" w:hanging="332"/>
        <w:spacing w:after="0" w:line="24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Titles in the table reflect the NEO's positions as of December 31, 2014. On January 15, 2014, Mr. Akerson stepped down from his position as Chairman &amp; CEO and then served as a Senior Advisor until he left the Company in July 2014. Ms. Barra was named CEO, replacing Mr. Akerson. At the same time, Mr. Ammann was appointed President and Mr. Stevens replaced Mr. Ammann as Executive Vice President &amp; Chief Financial Officer.</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Messrs. Stevens, Reuss, and Millikin were not NEOs in 2012 or 2013, and Dr. Neumann was not a NEO in 2012.</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Dr. Neumann’s salary, which is paid in Euros, has been converted to U.S. dollars, applying an average foreign exchange rate for the period from January 1, 2014 to December 31, 2014 during which compensation was earned €1 = $1.3291.</w:t>
      </w:r>
    </w:p>
    <w:p>
      <w:pPr>
        <w:jc w:val="both"/>
        <w:ind w:left="340" w:right="20" w:hanging="332"/>
        <w:spacing w:after="0" w:line="250"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Stock awards display the grant date fair market value and include TARP RSUs, RSUs, and PSUs at target. The maximum award for PSUs for the 2014 - 2016 performance period is 200% of grant, the value at the time of grant was $36.12 per share. The table below shows the maximum PSU grant and value based on the grant date value of $36.12 per share. Mr. Akerson did not receive any equity awards in 2014.</w:t>
      </w:r>
    </w:p>
    <w:p>
      <w:pPr>
        <w:spacing w:after="0" w:line="113" w:lineRule="exact"/>
        <w:rPr>
          <w:sz w:val="20"/>
          <w:szCs w:val="20"/>
          <w:color w:val="auto"/>
        </w:rPr>
      </w:pPr>
    </w:p>
    <w:tbl>
      <w:tblPr>
        <w:tblLayout w:type="fixed"/>
        <w:tblInd w:w="2810" w:type="dxa"/>
        <w:tblCellMar>
          <w:top w:w="0" w:type="dxa"/>
          <w:left w:w="0" w:type="dxa"/>
          <w:bottom w:w="0" w:type="dxa"/>
          <w:right w:w="0" w:type="dxa"/>
        </w:tblCellMar>
      </w:tblPr>
      <w:tr>
        <w:trPr>
          <w:trHeight w:val="189"/>
        </w:trPr>
        <w:tc>
          <w:tcPr>
            <w:tcW w:w="2620" w:type="dxa"/>
            <w:vAlign w:val="bottom"/>
            <w:tcBorders>
              <w:left w:val="single" w:sz="8" w:color="134A9C"/>
              <w:right w:val="single" w:sz="8" w:color="134A9C"/>
            </w:tcBorders>
            <w:shd w:val="clear" w:color="auto" w:fill="134A9C"/>
          </w:tcPr>
          <w:p>
            <w:pPr>
              <w:spacing w:after="0"/>
              <w:rPr>
                <w:sz w:val="16"/>
                <w:szCs w:val="16"/>
                <w:color w:val="auto"/>
              </w:rPr>
            </w:pPr>
          </w:p>
        </w:tc>
        <w:tc>
          <w:tcPr>
            <w:tcW w:w="2020" w:type="dxa"/>
            <w:vAlign w:val="bottom"/>
            <w:tcBorders>
              <w:right w:val="single" w:sz="8" w:color="134A9C"/>
            </w:tcBorders>
            <w:shd w:val="clear" w:color="auto" w:fill="134A9C"/>
          </w:tcPr>
          <w:p>
            <w:pPr>
              <w:jc w:val="right"/>
              <w:ind w:right="628"/>
              <w:spacing w:after="0"/>
              <w:rPr>
                <w:sz w:val="20"/>
                <w:szCs w:val="20"/>
                <w:color w:val="auto"/>
              </w:rPr>
            </w:pPr>
            <w:r>
              <w:rPr>
                <w:rFonts w:ascii="Arial" w:cs="Arial" w:eastAsia="Arial" w:hAnsi="Arial"/>
                <w:sz w:val="14"/>
                <w:szCs w:val="14"/>
                <w:b w:val="1"/>
                <w:bCs w:val="1"/>
                <w:color w:val="FFFFFF"/>
              </w:rPr>
              <w:t>Maximum</w:t>
            </w:r>
          </w:p>
        </w:tc>
        <w:tc>
          <w:tcPr>
            <w:tcW w:w="1860" w:type="dxa"/>
            <w:vAlign w:val="bottom"/>
            <w:tcBorders>
              <w:right w:val="single" w:sz="8" w:color="134A9C"/>
            </w:tcBorders>
            <w:shd w:val="clear" w:color="auto" w:fill="134A9C"/>
          </w:tcPr>
          <w:p>
            <w:pPr>
              <w:jc w:val="right"/>
              <w:ind w:right="168"/>
              <w:spacing w:after="0"/>
              <w:rPr>
                <w:sz w:val="20"/>
                <w:szCs w:val="20"/>
                <w:color w:val="auto"/>
              </w:rPr>
            </w:pPr>
            <w:r>
              <w:rPr>
                <w:rFonts w:ascii="Arial" w:cs="Arial" w:eastAsia="Arial" w:hAnsi="Arial"/>
                <w:sz w:val="14"/>
                <w:szCs w:val="14"/>
                <w:b w:val="1"/>
                <w:bCs w:val="1"/>
                <w:color w:val="FFFFFF"/>
              </w:rPr>
              <w:t>Maximum PSU Grant</w:t>
            </w:r>
          </w:p>
        </w:tc>
      </w:tr>
      <w:tr>
        <w:trPr>
          <w:trHeight w:val="196"/>
        </w:trPr>
        <w:tc>
          <w:tcPr>
            <w:tcW w:w="2620" w:type="dxa"/>
            <w:vAlign w:val="bottom"/>
            <w:tcBorders>
              <w:left w:val="single" w:sz="8" w:color="134A9C"/>
              <w:bottom w:val="single" w:sz="8" w:color="134A9C"/>
              <w:right w:val="single" w:sz="8" w:color="134A9C"/>
            </w:tcBorders>
            <w:shd w:val="clear" w:color="auto" w:fill="134A9C"/>
          </w:tcPr>
          <w:p>
            <w:pPr>
              <w:ind w:left="1100"/>
              <w:spacing w:after="0"/>
              <w:rPr>
                <w:sz w:val="20"/>
                <w:szCs w:val="20"/>
                <w:color w:val="auto"/>
              </w:rPr>
            </w:pPr>
            <w:r>
              <w:rPr>
                <w:rFonts w:ascii="Arial" w:cs="Arial" w:eastAsia="Arial" w:hAnsi="Arial"/>
                <w:sz w:val="14"/>
                <w:szCs w:val="14"/>
                <w:b w:val="1"/>
                <w:bCs w:val="1"/>
                <w:color w:val="FFFFFF"/>
              </w:rPr>
              <w:t>Name</w:t>
            </w:r>
          </w:p>
        </w:tc>
        <w:tc>
          <w:tcPr>
            <w:tcW w:w="2020" w:type="dxa"/>
            <w:vAlign w:val="bottom"/>
            <w:tcBorders>
              <w:bottom w:val="single" w:sz="8" w:color="134A9C"/>
              <w:right w:val="single" w:sz="8" w:color="134A9C"/>
            </w:tcBorders>
            <w:shd w:val="clear" w:color="auto" w:fill="134A9C"/>
          </w:tcPr>
          <w:p>
            <w:pPr>
              <w:jc w:val="right"/>
              <w:ind w:right="488"/>
              <w:spacing w:after="0"/>
              <w:rPr>
                <w:sz w:val="20"/>
                <w:szCs w:val="20"/>
                <w:color w:val="auto"/>
              </w:rPr>
            </w:pPr>
            <w:r>
              <w:rPr>
                <w:rFonts w:ascii="Arial" w:cs="Arial" w:eastAsia="Arial" w:hAnsi="Arial"/>
                <w:sz w:val="14"/>
                <w:szCs w:val="14"/>
                <w:b w:val="1"/>
                <w:bCs w:val="1"/>
                <w:color w:val="FFFFFF"/>
              </w:rPr>
              <w:t>PSU Grant (#)</w:t>
            </w:r>
          </w:p>
        </w:tc>
        <w:tc>
          <w:tcPr>
            <w:tcW w:w="1860" w:type="dxa"/>
            <w:vAlign w:val="bottom"/>
            <w:tcBorders>
              <w:bottom w:val="single" w:sz="8" w:color="134A9C"/>
              <w:right w:val="single" w:sz="8" w:color="134A9C"/>
            </w:tcBorders>
            <w:shd w:val="clear" w:color="auto" w:fill="134A9C"/>
          </w:tcPr>
          <w:p>
            <w:pPr>
              <w:jc w:val="right"/>
              <w:ind w:right="568"/>
              <w:spacing w:after="0"/>
              <w:rPr>
                <w:sz w:val="20"/>
                <w:szCs w:val="20"/>
                <w:color w:val="auto"/>
              </w:rPr>
            </w:pPr>
            <w:r>
              <w:rPr>
                <w:rFonts w:ascii="Arial" w:cs="Arial" w:eastAsia="Arial" w:hAnsi="Arial"/>
                <w:sz w:val="14"/>
                <w:szCs w:val="14"/>
                <w:b w:val="1"/>
                <w:bCs w:val="1"/>
                <w:color w:val="FFFFFF"/>
              </w:rPr>
              <w:t>Value ($)</w:t>
            </w:r>
          </w:p>
        </w:tc>
      </w:tr>
      <w:tr>
        <w:trPr>
          <w:trHeight w:val="210"/>
        </w:trPr>
        <w:tc>
          <w:tcPr>
            <w:tcW w:w="26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Mary T. Barra</w:t>
            </w:r>
          </w:p>
        </w:tc>
        <w:tc>
          <w:tcPr>
            <w:tcW w:w="2020" w:type="dxa"/>
            <w:vAlign w:val="bottom"/>
            <w:tcBorders>
              <w:bottom w:val="single" w:sz="8" w:color="134A9C"/>
              <w:right w:val="single" w:sz="8" w:color="134A9C"/>
            </w:tcBorders>
          </w:tcPr>
          <w:p>
            <w:pPr>
              <w:jc w:val="right"/>
              <w:ind w:right="428"/>
              <w:spacing w:after="0"/>
              <w:rPr>
                <w:sz w:val="20"/>
                <w:szCs w:val="20"/>
                <w:color w:val="auto"/>
              </w:rPr>
            </w:pPr>
            <w:r>
              <w:rPr>
                <w:rFonts w:ascii="Arial" w:cs="Arial" w:eastAsia="Arial" w:hAnsi="Arial"/>
                <w:sz w:val="14"/>
                <w:szCs w:val="14"/>
                <w:color w:val="auto"/>
              </w:rPr>
              <w:t>415,284</w:t>
            </w:r>
          </w:p>
        </w:tc>
        <w:tc>
          <w:tcPr>
            <w:tcW w:w="186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4"/>
                <w:szCs w:val="14"/>
                <w:color w:val="auto"/>
              </w:rPr>
              <w:t>15,000,058</w:t>
            </w:r>
          </w:p>
        </w:tc>
      </w:tr>
      <w:tr>
        <w:trPr>
          <w:trHeight w:val="210"/>
        </w:trPr>
        <w:tc>
          <w:tcPr>
            <w:tcW w:w="26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Charles K. Stevens, III</w:t>
            </w:r>
          </w:p>
        </w:tc>
        <w:tc>
          <w:tcPr>
            <w:tcW w:w="2020" w:type="dxa"/>
            <w:vAlign w:val="bottom"/>
            <w:tcBorders>
              <w:bottom w:val="single" w:sz="8" w:color="134A9C"/>
              <w:right w:val="single" w:sz="8" w:color="134A9C"/>
            </w:tcBorders>
          </w:tcPr>
          <w:p>
            <w:pPr>
              <w:jc w:val="right"/>
              <w:ind w:right="428"/>
              <w:spacing w:after="0"/>
              <w:rPr>
                <w:sz w:val="20"/>
                <w:szCs w:val="20"/>
                <w:color w:val="auto"/>
              </w:rPr>
            </w:pPr>
            <w:r>
              <w:rPr>
                <w:rFonts w:ascii="Arial" w:cs="Arial" w:eastAsia="Arial" w:hAnsi="Arial"/>
                <w:sz w:val="14"/>
                <w:szCs w:val="14"/>
                <w:color w:val="auto"/>
              </w:rPr>
              <w:t>100,706</w:t>
            </w:r>
          </w:p>
        </w:tc>
        <w:tc>
          <w:tcPr>
            <w:tcW w:w="186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4"/>
                <w:szCs w:val="14"/>
                <w:color w:val="auto"/>
              </w:rPr>
              <w:t>3,637,501</w:t>
            </w:r>
          </w:p>
        </w:tc>
      </w:tr>
      <w:tr>
        <w:trPr>
          <w:trHeight w:val="210"/>
        </w:trPr>
        <w:tc>
          <w:tcPr>
            <w:tcW w:w="26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Ammann</w:t>
            </w:r>
          </w:p>
        </w:tc>
        <w:tc>
          <w:tcPr>
            <w:tcW w:w="2020" w:type="dxa"/>
            <w:vAlign w:val="bottom"/>
            <w:tcBorders>
              <w:bottom w:val="single" w:sz="8" w:color="134A9C"/>
              <w:right w:val="single" w:sz="8" w:color="134A9C"/>
            </w:tcBorders>
          </w:tcPr>
          <w:p>
            <w:pPr>
              <w:jc w:val="right"/>
              <w:ind w:right="428"/>
              <w:spacing w:after="0"/>
              <w:rPr>
                <w:sz w:val="20"/>
                <w:szCs w:val="20"/>
                <w:color w:val="auto"/>
              </w:rPr>
            </w:pPr>
            <w:r>
              <w:rPr>
                <w:rFonts w:ascii="Arial" w:cs="Arial" w:eastAsia="Arial" w:hAnsi="Arial"/>
                <w:sz w:val="14"/>
                <w:szCs w:val="14"/>
                <w:color w:val="auto"/>
              </w:rPr>
              <w:t>188,954</w:t>
            </w:r>
          </w:p>
        </w:tc>
        <w:tc>
          <w:tcPr>
            <w:tcW w:w="186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4"/>
                <w:szCs w:val="14"/>
                <w:color w:val="auto"/>
              </w:rPr>
              <w:t>6,825,018</w:t>
            </w:r>
          </w:p>
        </w:tc>
      </w:tr>
      <w:tr>
        <w:trPr>
          <w:trHeight w:val="210"/>
        </w:trPr>
        <w:tc>
          <w:tcPr>
            <w:tcW w:w="26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Mark L. Reuss</w:t>
            </w:r>
          </w:p>
        </w:tc>
        <w:tc>
          <w:tcPr>
            <w:tcW w:w="2020" w:type="dxa"/>
            <w:vAlign w:val="bottom"/>
            <w:tcBorders>
              <w:bottom w:val="single" w:sz="8" w:color="134A9C"/>
              <w:right w:val="single" w:sz="8" w:color="134A9C"/>
            </w:tcBorders>
          </w:tcPr>
          <w:p>
            <w:pPr>
              <w:jc w:val="right"/>
              <w:ind w:right="428"/>
              <w:spacing w:after="0"/>
              <w:rPr>
                <w:sz w:val="20"/>
                <w:szCs w:val="20"/>
                <w:color w:val="auto"/>
              </w:rPr>
            </w:pPr>
            <w:r>
              <w:rPr>
                <w:rFonts w:ascii="Arial" w:cs="Arial" w:eastAsia="Arial" w:hAnsi="Arial"/>
                <w:sz w:val="14"/>
                <w:szCs w:val="14"/>
                <w:color w:val="auto"/>
              </w:rPr>
              <w:t>161,442</w:t>
            </w:r>
          </w:p>
        </w:tc>
        <w:tc>
          <w:tcPr>
            <w:tcW w:w="186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4"/>
                <w:szCs w:val="14"/>
                <w:color w:val="auto"/>
              </w:rPr>
              <w:t>5,831,285</w:t>
            </w:r>
          </w:p>
        </w:tc>
      </w:tr>
      <w:tr>
        <w:trPr>
          <w:trHeight w:val="210"/>
        </w:trPr>
        <w:tc>
          <w:tcPr>
            <w:tcW w:w="26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Michael P. Millikin</w:t>
            </w:r>
          </w:p>
        </w:tc>
        <w:tc>
          <w:tcPr>
            <w:tcW w:w="2020" w:type="dxa"/>
            <w:vAlign w:val="bottom"/>
            <w:tcBorders>
              <w:bottom w:val="single" w:sz="8" w:color="134A9C"/>
              <w:right w:val="single" w:sz="8" w:color="134A9C"/>
            </w:tcBorders>
          </w:tcPr>
          <w:p>
            <w:pPr>
              <w:jc w:val="right"/>
              <w:ind w:right="428"/>
              <w:spacing w:after="0"/>
              <w:rPr>
                <w:sz w:val="20"/>
                <w:szCs w:val="20"/>
                <w:color w:val="auto"/>
              </w:rPr>
            </w:pPr>
            <w:r>
              <w:rPr>
                <w:rFonts w:ascii="Arial" w:cs="Arial" w:eastAsia="Arial" w:hAnsi="Arial"/>
                <w:sz w:val="14"/>
                <w:szCs w:val="14"/>
                <w:color w:val="auto"/>
              </w:rPr>
              <w:t>88,248</w:t>
            </w:r>
          </w:p>
        </w:tc>
        <w:tc>
          <w:tcPr>
            <w:tcW w:w="186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4"/>
                <w:szCs w:val="14"/>
                <w:color w:val="auto"/>
              </w:rPr>
              <w:t>3,187,518</w:t>
            </w:r>
          </w:p>
        </w:tc>
      </w:tr>
      <w:tr>
        <w:trPr>
          <w:trHeight w:val="210"/>
        </w:trPr>
        <w:tc>
          <w:tcPr>
            <w:tcW w:w="26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Karl-Thomas Neumann</w:t>
            </w:r>
          </w:p>
        </w:tc>
        <w:tc>
          <w:tcPr>
            <w:tcW w:w="2020" w:type="dxa"/>
            <w:vAlign w:val="bottom"/>
            <w:tcBorders>
              <w:bottom w:val="single" w:sz="8" w:color="134A9C"/>
              <w:right w:val="single" w:sz="8" w:color="134A9C"/>
            </w:tcBorders>
          </w:tcPr>
          <w:p>
            <w:pPr>
              <w:jc w:val="right"/>
              <w:ind w:right="428"/>
              <w:spacing w:after="0"/>
              <w:rPr>
                <w:sz w:val="20"/>
                <w:szCs w:val="20"/>
                <w:color w:val="auto"/>
              </w:rPr>
            </w:pPr>
            <w:r>
              <w:rPr>
                <w:rFonts w:ascii="Arial" w:cs="Arial" w:eastAsia="Arial" w:hAnsi="Arial"/>
                <w:sz w:val="14"/>
                <w:szCs w:val="14"/>
                <w:color w:val="auto"/>
              </w:rPr>
              <w:t>112,128</w:t>
            </w:r>
          </w:p>
        </w:tc>
        <w:tc>
          <w:tcPr>
            <w:tcW w:w="186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4"/>
                <w:szCs w:val="14"/>
                <w:color w:val="auto"/>
              </w:rPr>
              <w:t>4,050,063</w:t>
            </w:r>
          </w:p>
        </w:tc>
      </w:tr>
    </w:tbl>
    <w:p>
      <w:pPr>
        <w:spacing w:after="0" w:line="167" w:lineRule="exact"/>
        <w:rPr>
          <w:sz w:val="20"/>
          <w:szCs w:val="20"/>
          <w:color w:val="auto"/>
        </w:rPr>
      </w:pPr>
    </w:p>
    <w:p>
      <w:pPr>
        <w:ind w:left="660" w:right="20" w:hanging="652"/>
        <w:spacing w:after="0" w:line="241" w:lineRule="auto"/>
        <w:tabs>
          <w:tab w:leader="none" w:pos="336" w:val="left"/>
        </w:tabs>
        <w:numPr>
          <w:ilvl w:val="0"/>
          <w:numId w:val="68"/>
        </w:numPr>
        <w:rPr>
          <w:rFonts w:ascii="Arial" w:cs="Arial" w:eastAsia="Arial" w:hAnsi="Arial"/>
          <w:sz w:val="14"/>
          <w:szCs w:val="14"/>
          <w:color w:val="auto"/>
        </w:rPr>
      </w:pPr>
      <w:r>
        <w:rPr>
          <w:rFonts w:ascii="Arial" w:cs="Arial" w:eastAsia="Arial" w:hAnsi="Arial"/>
          <w:sz w:val="14"/>
          <w:szCs w:val="14"/>
          <w:color w:val="auto"/>
        </w:rPr>
        <w:t>Each NEO was eligible for a payment under the STIP for 2014 performance. Based on Company performance each NEO received 74% of target. Mr. Akerson received a pro-rata STIP award for 2014. The payment for Dr. Neumann was made in Euros and converted using the exchange rate on the date of payment (February 27, 2015) which was €1 = $1.1195.</w:t>
      </w:r>
    </w:p>
    <w:p>
      <w:pPr>
        <w:spacing w:after="0" w:line="1" w:lineRule="exact"/>
        <w:rPr>
          <w:rFonts w:ascii="Arial" w:cs="Arial" w:eastAsia="Arial" w:hAnsi="Arial"/>
          <w:sz w:val="14"/>
          <w:szCs w:val="14"/>
          <w:color w:val="auto"/>
        </w:rPr>
      </w:pPr>
    </w:p>
    <w:p>
      <w:pPr>
        <w:ind w:left="660" w:right="40" w:hanging="652"/>
        <w:spacing w:after="0" w:line="258" w:lineRule="auto"/>
        <w:tabs>
          <w:tab w:leader="none" w:pos="336"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These amounts represent the actuarial change in the present value of the executive's accrued benefit for 2014 attributed to year-over-year variances in applicable discount rates, lump sum interest rate, mortality rates, and employer contributions to tax-qualified</w:t>
      </w:r>
    </w:p>
    <w:p>
      <w:pPr>
        <w:spacing w:after="0" w:line="378"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52</w:t>
      </w:r>
      <w:r>
        <w:rPr>
          <w:sz w:val="20"/>
          <w:szCs w:val="20"/>
          <w:color w:val="auto"/>
        </w:rPr>
        <w:tab/>
      </w:r>
      <w:r>
        <w:rPr>
          <w:sz w:val="1"/>
          <w:szCs w:val="1"/>
          <w:color w:val="auto"/>
        </w:rPr>
        <w:drawing>
          <wp:inline distT="0" distB="0" distL="0" distR="0">
            <wp:extent cx="120015" cy="12001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sectPr>
      </w:pPr>
    </w:p>
    <w:bookmarkStart w:id="56" w:name="page57"/>
    <w:bookmarkEnd w:id="56"/>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40" w:right="20"/>
        <w:spacing w:after="0" w:line="352" w:lineRule="auto"/>
        <w:rPr>
          <w:sz w:val="20"/>
          <w:szCs w:val="20"/>
          <w:color w:val="auto"/>
        </w:rPr>
      </w:pPr>
      <w:r>
        <w:rPr>
          <w:rFonts w:ascii="Arial" w:cs="Arial" w:eastAsia="Arial" w:hAnsi="Arial"/>
          <w:sz w:val="14"/>
          <w:szCs w:val="14"/>
          <w:color w:val="auto"/>
        </w:rPr>
        <w:t>and non-qualified plans as described in the section entitled "Pension Benefits and Retirement Programs Applicable to Executive Officers" on page 56. The Company does not credit interest at above-market rates to any deferred accounts and no interest amounts are included in these totals.</w:t>
      </w: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Totals for amounts included as “All Other Compensation” are described in the table below.</w:t>
      </w:r>
    </w:p>
    <w:p>
      <w:pPr>
        <w:spacing w:after="0" w:line="1" w:lineRule="exact"/>
        <w:rPr>
          <w:rFonts w:ascii="Arial" w:cs="Arial" w:eastAsia="Arial" w:hAnsi="Arial"/>
          <w:sz w:val="14"/>
          <w:szCs w:val="14"/>
          <w:color w:val="auto"/>
        </w:rPr>
      </w:pPr>
    </w:p>
    <w:p>
      <w:pPr>
        <w:ind w:left="660" w:right="20" w:hanging="652"/>
        <w:spacing w:after="0" w:line="250" w:lineRule="auto"/>
        <w:tabs>
          <w:tab w:leader="none" w:pos="336" w:val="left"/>
        </w:tabs>
        <w:numPr>
          <w:ilvl w:val="0"/>
          <w:numId w:val="69"/>
        </w:numPr>
        <w:rPr>
          <w:rFonts w:ascii="Arial" w:cs="Arial" w:eastAsia="Arial" w:hAnsi="Arial"/>
          <w:sz w:val="14"/>
          <w:szCs w:val="14"/>
          <w:color w:val="auto"/>
        </w:rPr>
      </w:pPr>
      <w:r>
        <w:rPr>
          <w:rFonts w:ascii="Arial" w:cs="Arial" w:eastAsia="Arial" w:hAnsi="Arial"/>
          <w:sz w:val="14"/>
          <w:szCs w:val="14"/>
          <w:color w:val="auto"/>
        </w:rPr>
        <w:t>Mr. Ammann and Mr. Akerson were eligible to participate only in qualified and non-qualified defined contribution plans offered by the Company based on their hire dates. As such, the 2012 and 2013 amounts previously under “change in pension value” have been adjusted to $0 and the total compensation decreased for Mr. Ammann in the amount of $1,844 in 2013 and $799 in 2012. The total compensation for Mr. Akerson decreased $2,883 in 2013, the 2012 amount for Mr. Akerson remained unchanged.</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All Other Compensation</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900" w:type="dxa"/>
            <w:vAlign w:val="bottom"/>
            <w:tcBorders>
              <w:left w:val="single" w:sz="8" w:color="134A9C"/>
              <w:right w:val="single" w:sz="8" w:color="134A9C"/>
            </w:tcBorders>
            <w:shd w:val="clear" w:color="auto" w:fill="134A9C"/>
          </w:tcPr>
          <w:p>
            <w:pPr>
              <w:spacing w:after="0"/>
              <w:rPr>
                <w:sz w:val="16"/>
                <w:szCs w:val="16"/>
                <w:color w:val="auto"/>
              </w:rPr>
            </w:pPr>
          </w:p>
        </w:tc>
        <w:tc>
          <w:tcPr>
            <w:tcW w:w="1160" w:type="dxa"/>
            <w:vAlign w:val="bottom"/>
            <w:tcBorders>
              <w:right w:val="single" w:sz="8" w:color="134A9C"/>
            </w:tcBorders>
            <w:vMerge w:val="restart"/>
            <w:shd w:val="clear" w:color="auto" w:fill="134A9C"/>
          </w:tcPr>
          <w:p>
            <w:pPr>
              <w:jc w:val="right"/>
              <w:ind w:right="168"/>
              <w:spacing w:after="0"/>
              <w:rPr>
                <w:sz w:val="20"/>
                <w:szCs w:val="20"/>
                <w:color w:val="auto"/>
              </w:rPr>
            </w:pPr>
            <w:r>
              <w:rPr>
                <w:rFonts w:ascii="Arial" w:cs="Arial" w:eastAsia="Arial" w:hAnsi="Arial"/>
                <w:sz w:val="14"/>
                <w:szCs w:val="14"/>
                <w:b w:val="1"/>
                <w:bCs w:val="1"/>
                <w:color w:val="FFFFFF"/>
              </w:rPr>
              <w:t>M. T. Barra</w:t>
            </w:r>
          </w:p>
        </w:tc>
        <w:tc>
          <w:tcPr>
            <w:tcW w:w="1160" w:type="dxa"/>
            <w:vAlign w:val="bottom"/>
            <w:tcBorders>
              <w:right w:val="single" w:sz="8" w:color="134A9C"/>
            </w:tcBorders>
            <w:vMerge w:val="restart"/>
            <w:shd w:val="clear" w:color="auto" w:fill="134A9C"/>
          </w:tcPr>
          <w:p>
            <w:pPr>
              <w:jc w:val="right"/>
              <w:ind w:right="68"/>
              <w:spacing w:after="0"/>
              <w:rPr>
                <w:sz w:val="20"/>
                <w:szCs w:val="20"/>
                <w:color w:val="auto"/>
              </w:rPr>
            </w:pPr>
            <w:r>
              <w:rPr>
                <w:rFonts w:ascii="Arial" w:cs="Arial" w:eastAsia="Arial" w:hAnsi="Arial"/>
                <w:sz w:val="14"/>
                <w:szCs w:val="14"/>
                <w:b w:val="1"/>
                <w:bCs w:val="1"/>
                <w:color w:val="FFFFFF"/>
              </w:rPr>
              <w:t>C. K. Stevens</w:t>
            </w:r>
          </w:p>
        </w:tc>
        <w:tc>
          <w:tcPr>
            <w:tcW w:w="12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w w:val="99"/>
              </w:rPr>
              <w:t>D.</w:t>
            </w:r>
          </w:p>
        </w:tc>
        <w:tc>
          <w:tcPr>
            <w:tcW w:w="1240" w:type="dxa"/>
            <w:vAlign w:val="bottom"/>
            <w:tcBorders>
              <w:right w:val="single" w:sz="8" w:color="134A9C"/>
            </w:tcBorders>
            <w:shd w:val="clear" w:color="auto" w:fill="134A9C"/>
          </w:tcPr>
          <w:p>
            <w:pPr>
              <w:jc w:val="right"/>
              <w:ind w:right="408"/>
              <w:spacing w:after="0"/>
              <w:rPr>
                <w:sz w:val="20"/>
                <w:szCs w:val="20"/>
                <w:color w:val="auto"/>
              </w:rPr>
            </w:pPr>
            <w:r>
              <w:rPr>
                <w:rFonts w:ascii="Arial" w:cs="Arial" w:eastAsia="Arial" w:hAnsi="Arial"/>
                <w:sz w:val="14"/>
                <w:szCs w:val="14"/>
                <w:b w:val="1"/>
                <w:bCs w:val="1"/>
                <w:color w:val="FFFFFF"/>
              </w:rPr>
              <w:t>M. L.</w:t>
            </w:r>
          </w:p>
        </w:tc>
        <w:tc>
          <w:tcPr>
            <w:tcW w:w="1140" w:type="dxa"/>
            <w:vAlign w:val="bottom"/>
            <w:tcBorders>
              <w:right w:val="single" w:sz="8" w:color="134A9C"/>
            </w:tcBorders>
            <w:vMerge w:val="restart"/>
            <w:shd w:val="clear" w:color="auto" w:fill="134A9C"/>
          </w:tcPr>
          <w:p>
            <w:pPr>
              <w:jc w:val="right"/>
              <w:ind w:right="88"/>
              <w:spacing w:after="0"/>
              <w:rPr>
                <w:sz w:val="20"/>
                <w:szCs w:val="20"/>
                <w:color w:val="auto"/>
              </w:rPr>
            </w:pPr>
            <w:r>
              <w:rPr>
                <w:rFonts w:ascii="Arial" w:cs="Arial" w:eastAsia="Arial" w:hAnsi="Arial"/>
                <w:sz w:val="14"/>
                <w:szCs w:val="14"/>
                <w:b w:val="1"/>
                <w:bCs w:val="1"/>
                <w:color w:val="FFFFFF"/>
              </w:rPr>
              <w:t>M. P. Millikin</w:t>
            </w:r>
          </w:p>
        </w:tc>
        <w:tc>
          <w:tcPr>
            <w:tcW w:w="146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w w:val="98"/>
              </w:rPr>
              <w:t>K. T.</w:t>
            </w:r>
          </w:p>
        </w:tc>
        <w:tc>
          <w:tcPr>
            <w:tcW w:w="1140" w:type="dxa"/>
            <w:vAlign w:val="bottom"/>
            <w:tcBorders>
              <w:right w:val="single" w:sz="8" w:color="134A9C"/>
            </w:tcBorders>
            <w:vMerge w:val="restart"/>
            <w:shd w:val="clear" w:color="auto" w:fill="134A9C"/>
          </w:tcPr>
          <w:p>
            <w:pPr>
              <w:jc w:val="right"/>
              <w:ind w:right="48"/>
              <w:spacing w:after="0"/>
              <w:rPr>
                <w:sz w:val="20"/>
                <w:szCs w:val="20"/>
                <w:color w:val="auto"/>
              </w:rPr>
            </w:pPr>
            <w:r>
              <w:rPr>
                <w:rFonts w:ascii="Arial" w:cs="Arial" w:eastAsia="Arial" w:hAnsi="Arial"/>
                <w:sz w:val="14"/>
                <w:szCs w:val="14"/>
                <w:b w:val="1"/>
                <w:bCs w:val="1"/>
                <w:color w:val="FFFFFF"/>
              </w:rPr>
              <w:t>D. F. Akerson</w:t>
            </w:r>
          </w:p>
        </w:tc>
        <w:tc>
          <w:tcPr>
            <w:tcW w:w="0" w:type="dxa"/>
            <w:vAlign w:val="bottom"/>
          </w:tcPr>
          <w:p>
            <w:pPr>
              <w:spacing w:after="0"/>
              <w:rPr>
                <w:sz w:val="1"/>
                <w:szCs w:val="1"/>
                <w:color w:val="auto"/>
              </w:rPr>
            </w:pPr>
          </w:p>
        </w:tc>
      </w:tr>
      <w:tr>
        <w:trPr>
          <w:trHeight w:val="148"/>
        </w:trPr>
        <w:tc>
          <w:tcPr>
            <w:tcW w:w="2900" w:type="dxa"/>
            <w:vAlign w:val="bottom"/>
            <w:tcBorders>
              <w:left w:val="single" w:sz="8" w:color="134A9C"/>
              <w:right w:val="single" w:sz="8" w:color="134A9C"/>
            </w:tcBorders>
            <w:shd w:val="clear" w:color="auto" w:fill="134A9C"/>
          </w:tcPr>
          <w:p>
            <w:pPr>
              <w:spacing w:after="0"/>
              <w:rPr>
                <w:sz w:val="12"/>
                <w:szCs w:val="12"/>
                <w:color w:val="auto"/>
              </w:rPr>
            </w:pPr>
          </w:p>
        </w:tc>
        <w:tc>
          <w:tcPr>
            <w:tcW w:w="1160" w:type="dxa"/>
            <w:vAlign w:val="bottom"/>
            <w:tcBorders>
              <w:right w:val="single" w:sz="8" w:color="134A9C"/>
            </w:tcBorders>
            <w:vMerge w:val="continue"/>
            <w:shd w:val="clear" w:color="auto" w:fill="134A9C"/>
          </w:tcPr>
          <w:p>
            <w:pPr>
              <w:spacing w:after="0"/>
              <w:rPr>
                <w:sz w:val="12"/>
                <w:szCs w:val="12"/>
                <w:color w:val="auto"/>
              </w:rPr>
            </w:pPr>
          </w:p>
        </w:tc>
        <w:tc>
          <w:tcPr>
            <w:tcW w:w="1160" w:type="dxa"/>
            <w:vAlign w:val="bottom"/>
            <w:tcBorders>
              <w:right w:val="single" w:sz="8" w:color="134A9C"/>
            </w:tcBorders>
            <w:vMerge w:val="continue"/>
            <w:shd w:val="clear" w:color="auto" w:fill="134A9C"/>
          </w:tcPr>
          <w:p>
            <w:pPr>
              <w:spacing w:after="0"/>
              <w:rPr>
                <w:sz w:val="12"/>
                <w:szCs w:val="12"/>
                <w:color w:val="auto"/>
              </w:rPr>
            </w:pPr>
          </w:p>
        </w:tc>
        <w:tc>
          <w:tcPr>
            <w:tcW w:w="1240" w:type="dxa"/>
            <w:vAlign w:val="bottom"/>
            <w:tcBorders>
              <w:right w:val="single" w:sz="8" w:color="134A9C"/>
            </w:tcBorders>
            <w:shd w:val="clear" w:color="auto" w:fill="134A9C"/>
          </w:tcPr>
          <w:p>
            <w:pPr>
              <w:jc w:val="center"/>
              <w:spacing w:after="0" w:line="149" w:lineRule="exact"/>
              <w:rPr>
                <w:sz w:val="20"/>
                <w:szCs w:val="20"/>
                <w:color w:val="auto"/>
              </w:rPr>
            </w:pPr>
            <w:r>
              <w:rPr>
                <w:rFonts w:ascii="Arial" w:cs="Arial" w:eastAsia="Arial" w:hAnsi="Arial"/>
                <w:sz w:val="14"/>
                <w:szCs w:val="14"/>
                <w:b w:val="1"/>
                <w:bCs w:val="1"/>
                <w:color w:val="FFFFFF"/>
              </w:rPr>
              <w:t>Ammann</w:t>
            </w:r>
          </w:p>
        </w:tc>
        <w:tc>
          <w:tcPr>
            <w:tcW w:w="1240" w:type="dxa"/>
            <w:vAlign w:val="bottom"/>
            <w:tcBorders>
              <w:right w:val="single" w:sz="8" w:color="134A9C"/>
            </w:tcBorders>
            <w:shd w:val="clear" w:color="auto" w:fill="134A9C"/>
          </w:tcPr>
          <w:p>
            <w:pPr>
              <w:jc w:val="right"/>
              <w:ind w:right="328"/>
              <w:spacing w:after="0" w:line="149" w:lineRule="exact"/>
              <w:rPr>
                <w:sz w:val="20"/>
                <w:szCs w:val="20"/>
                <w:color w:val="auto"/>
              </w:rPr>
            </w:pPr>
            <w:r>
              <w:rPr>
                <w:rFonts w:ascii="Arial" w:cs="Arial" w:eastAsia="Arial" w:hAnsi="Arial"/>
                <w:sz w:val="14"/>
                <w:szCs w:val="14"/>
                <w:b w:val="1"/>
                <w:bCs w:val="1"/>
                <w:color w:val="FFFFFF"/>
              </w:rPr>
              <w:t>Reuss</w:t>
            </w:r>
          </w:p>
        </w:tc>
        <w:tc>
          <w:tcPr>
            <w:tcW w:w="1140" w:type="dxa"/>
            <w:vAlign w:val="bottom"/>
            <w:tcBorders>
              <w:right w:val="single" w:sz="8" w:color="134A9C"/>
            </w:tcBorders>
            <w:vMerge w:val="continue"/>
            <w:shd w:val="clear" w:color="auto" w:fill="134A9C"/>
          </w:tcPr>
          <w:p>
            <w:pPr>
              <w:spacing w:after="0"/>
              <w:rPr>
                <w:sz w:val="12"/>
                <w:szCs w:val="12"/>
                <w:color w:val="auto"/>
              </w:rPr>
            </w:pPr>
          </w:p>
        </w:tc>
        <w:tc>
          <w:tcPr>
            <w:tcW w:w="1460" w:type="dxa"/>
            <w:vAlign w:val="bottom"/>
            <w:tcBorders>
              <w:right w:val="single" w:sz="8" w:color="134A9C"/>
            </w:tcBorders>
            <w:shd w:val="clear" w:color="auto" w:fill="134A9C"/>
          </w:tcPr>
          <w:p>
            <w:pPr>
              <w:jc w:val="center"/>
              <w:spacing w:after="0" w:line="149" w:lineRule="exact"/>
              <w:rPr>
                <w:sz w:val="20"/>
                <w:szCs w:val="20"/>
                <w:color w:val="auto"/>
              </w:rPr>
            </w:pPr>
            <w:r>
              <w:rPr>
                <w:rFonts w:ascii="Arial" w:cs="Arial" w:eastAsia="Arial" w:hAnsi="Arial"/>
                <w:sz w:val="14"/>
                <w:szCs w:val="14"/>
                <w:b w:val="1"/>
                <w:bCs w:val="1"/>
                <w:color w:val="FFFFFF"/>
                <w:w w:val="97"/>
              </w:rPr>
              <w:t>Neumann</w:t>
            </w:r>
            <w:r>
              <w:rPr>
                <w:rFonts w:ascii="Arial" w:cs="Arial" w:eastAsia="Arial" w:hAnsi="Arial"/>
                <w:sz w:val="17"/>
                <w:szCs w:val="17"/>
                <w:b w:val="1"/>
                <w:bCs w:val="1"/>
                <w:color w:val="FFFFFF"/>
                <w:w w:val="97"/>
                <w:vertAlign w:val="superscript"/>
              </w:rPr>
              <w:t>(5)</w:t>
            </w:r>
          </w:p>
        </w:tc>
        <w:tc>
          <w:tcPr>
            <w:tcW w:w="1140" w:type="dxa"/>
            <w:vAlign w:val="bottom"/>
            <w:tcBorders>
              <w:right w:val="single" w:sz="8" w:color="134A9C"/>
            </w:tcBorders>
            <w:vMerge w:val="continue"/>
            <w:shd w:val="clear" w:color="auto" w:fill="134A9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00" w:type="dxa"/>
            <w:vAlign w:val="bottom"/>
            <w:tcBorders>
              <w:left w:val="single" w:sz="8" w:color="134A9C"/>
              <w:right w:val="single" w:sz="8" w:color="134A9C"/>
            </w:tcBorders>
            <w:shd w:val="clear" w:color="auto" w:fill="134A9C"/>
          </w:tcPr>
          <w:p>
            <w:pPr>
              <w:spacing w:after="0"/>
              <w:rPr>
                <w:sz w:val="14"/>
                <w:szCs w:val="14"/>
                <w:color w:val="auto"/>
              </w:rPr>
            </w:pPr>
          </w:p>
        </w:tc>
        <w:tc>
          <w:tcPr>
            <w:tcW w:w="1160" w:type="dxa"/>
            <w:vAlign w:val="bottom"/>
            <w:tcBorders>
              <w:right w:val="single" w:sz="8" w:color="134A9C"/>
            </w:tcBorders>
            <w:shd w:val="clear" w:color="auto" w:fill="134A9C"/>
          </w:tcPr>
          <w:p>
            <w:pPr>
              <w:jc w:val="right"/>
              <w:ind w:right="428"/>
              <w:spacing w:after="0"/>
              <w:rPr>
                <w:sz w:val="20"/>
                <w:szCs w:val="20"/>
                <w:color w:val="auto"/>
              </w:rPr>
            </w:pPr>
            <w:r>
              <w:rPr>
                <w:rFonts w:ascii="Arial" w:cs="Arial" w:eastAsia="Arial" w:hAnsi="Arial"/>
                <w:sz w:val="14"/>
                <w:szCs w:val="14"/>
                <w:b w:val="1"/>
                <w:bCs w:val="1"/>
                <w:color w:val="FFFFFF"/>
              </w:rPr>
              <w:t>($)</w:t>
            </w:r>
          </w:p>
        </w:tc>
        <w:tc>
          <w:tcPr>
            <w:tcW w:w="1160" w:type="dxa"/>
            <w:vAlign w:val="bottom"/>
            <w:tcBorders>
              <w:right w:val="single" w:sz="8" w:color="134A9C"/>
            </w:tcBorders>
            <w:shd w:val="clear" w:color="auto" w:fill="134A9C"/>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right w:val="single" w:sz="8" w:color="134A9C"/>
            </w:tcBorders>
            <w:vMerge w:val="restart"/>
            <w:shd w:val="clear" w:color="auto" w:fill="134A9C"/>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right w:val="single" w:sz="8" w:color="134A9C"/>
            </w:tcBorders>
            <w:vMerge w:val="restart"/>
            <w:shd w:val="clear" w:color="auto" w:fill="134A9C"/>
          </w:tcPr>
          <w:p>
            <w:pPr>
              <w:jc w:val="right"/>
              <w:ind w:right="468"/>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right w:val="single" w:sz="8" w:color="134A9C"/>
            </w:tcBorders>
            <w:shd w:val="clear" w:color="auto" w:fill="134A9C"/>
          </w:tcPr>
          <w:p>
            <w:pPr>
              <w:jc w:val="right"/>
              <w:ind w:right="428"/>
              <w:spacing w:after="0"/>
              <w:rPr>
                <w:sz w:val="20"/>
                <w:szCs w:val="20"/>
                <w:color w:val="auto"/>
              </w:rPr>
            </w:pPr>
            <w:r>
              <w:rPr>
                <w:rFonts w:ascii="Arial" w:cs="Arial" w:eastAsia="Arial" w:hAnsi="Arial"/>
                <w:sz w:val="14"/>
                <w:szCs w:val="14"/>
                <w:b w:val="1"/>
                <w:bCs w:val="1"/>
                <w:color w:val="FFFFFF"/>
              </w:rPr>
              <w:t>($)</w:t>
            </w:r>
          </w:p>
        </w:tc>
        <w:tc>
          <w:tcPr>
            <w:tcW w:w="1460" w:type="dxa"/>
            <w:vAlign w:val="bottom"/>
            <w:tcBorders>
              <w:right w:val="single" w:sz="8" w:color="134A9C"/>
            </w:tcBorders>
            <w:vMerge w:val="restart"/>
            <w:shd w:val="clear" w:color="auto" w:fill="134A9C"/>
          </w:tcPr>
          <w:p>
            <w:pPr>
              <w:jc w:val="center"/>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right w:val="single" w:sz="8" w:color="134A9C"/>
            </w:tcBorders>
            <w:shd w:val="clear" w:color="auto" w:fill="134A9C"/>
          </w:tcPr>
          <w:p>
            <w:pPr>
              <w:jc w:val="right"/>
              <w:ind w:right="42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48"/>
        </w:trPr>
        <w:tc>
          <w:tcPr>
            <w:tcW w:w="2900" w:type="dxa"/>
            <w:vAlign w:val="bottom"/>
            <w:tcBorders>
              <w:left w:val="single" w:sz="8" w:color="134A9C"/>
              <w:bottom w:val="single" w:sz="8" w:color="134A9C"/>
              <w:right w:val="single" w:sz="8" w:color="134A9C"/>
            </w:tcBorders>
            <w:shd w:val="clear" w:color="auto" w:fill="134A9C"/>
          </w:tcPr>
          <w:p>
            <w:pPr>
              <w:spacing w:after="0"/>
              <w:rPr>
                <w:sz w:val="4"/>
                <w:szCs w:val="4"/>
                <w:color w:val="auto"/>
              </w:rPr>
            </w:pPr>
          </w:p>
        </w:tc>
        <w:tc>
          <w:tcPr>
            <w:tcW w:w="1160" w:type="dxa"/>
            <w:vAlign w:val="bottom"/>
            <w:tcBorders>
              <w:bottom w:val="single" w:sz="8" w:color="134A9C"/>
              <w:right w:val="single" w:sz="8" w:color="134A9C"/>
            </w:tcBorders>
            <w:shd w:val="clear" w:color="auto" w:fill="134A9C"/>
          </w:tcPr>
          <w:p>
            <w:pPr>
              <w:spacing w:after="0"/>
              <w:rPr>
                <w:sz w:val="4"/>
                <w:szCs w:val="4"/>
                <w:color w:val="auto"/>
              </w:rPr>
            </w:pPr>
          </w:p>
        </w:tc>
        <w:tc>
          <w:tcPr>
            <w:tcW w:w="1160" w:type="dxa"/>
            <w:vAlign w:val="bottom"/>
            <w:tcBorders>
              <w:bottom w:val="single" w:sz="8" w:color="134A9C"/>
              <w:right w:val="single" w:sz="8" w:color="134A9C"/>
            </w:tcBorders>
            <w:shd w:val="clear" w:color="auto" w:fill="134A9C"/>
          </w:tcPr>
          <w:p>
            <w:pPr>
              <w:spacing w:after="0"/>
              <w:rPr>
                <w:sz w:val="4"/>
                <w:szCs w:val="4"/>
                <w:color w:val="auto"/>
              </w:rPr>
            </w:pPr>
          </w:p>
        </w:tc>
        <w:tc>
          <w:tcPr>
            <w:tcW w:w="1240" w:type="dxa"/>
            <w:vAlign w:val="bottom"/>
            <w:tcBorders>
              <w:bottom w:val="single" w:sz="8" w:color="134A9C"/>
              <w:right w:val="single" w:sz="8" w:color="134A9C"/>
            </w:tcBorders>
            <w:vMerge w:val="continue"/>
            <w:shd w:val="clear" w:color="auto" w:fill="134A9C"/>
          </w:tcPr>
          <w:p>
            <w:pPr>
              <w:spacing w:after="0"/>
              <w:rPr>
                <w:sz w:val="4"/>
                <w:szCs w:val="4"/>
                <w:color w:val="auto"/>
              </w:rPr>
            </w:pPr>
          </w:p>
        </w:tc>
        <w:tc>
          <w:tcPr>
            <w:tcW w:w="1240" w:type="dxa"/>
            <w:vAlign w:val="bottom"/>
            <w:tcBorders>
              <w:bottom w:val="single" w:sz="8" w:color="134A9C"/>
              <w:right w:val="single" w:sz="8" w:color="134A9C"/>
            </w:tcBorders>
            <w:vMerge w:val="continue"/>
            <w:shd w:val="clear" w:color="auto" w:fill="134A9C"/>
          </w:tcPr>
          <w:p>
            <w:pPr>
              <w:spacing w:after="0"/>
              <w:rPr>
                <w:sz w:val="4"/>
                <w:szCs w:val="4"/>
                <w:color w:val="auto"/>
              </w:rPr>
            </w:pPr>
          </w:p>
        </w:tc>
        <w:tc>
          <w:tcPr>
            <w:tcW w:w="1140" w:type="dxa"/>
            <w:vAlign w:val="bottom"/>
            <w:tcBorders>
              <w:bottom w:val="single" w:sz="8" w:color="134A9C"/>
              <w:right w:val="single" w:sz="8" w:color="134A9C"/>
            </w:tcBorders>
            <w:shd w:val="clear" w:color="auto" w:fill="134A9C"/>
          </w:tcPr>
          <w:p>
            <w:pPr>
              <w:spacing w:after="0"/>
              <w:rPr>
                <w:sz w:val="4"/>
                <w:szCs w:val="4"/>
                <w:color w:val="auto"/>
              </w:rPr>
            </w:pPr>
          </w:p>
        </w:tc>
        <w:tc>
          <w:tcPr>
            <w:tcW w:w="1460" w:type="dxa"/>
            <w:vAlign w:val="bottom"/>
            <w:tcBorders>
              <w:bottom w:val="single" w:sz="8" w:color="134A9C"/>
              <w:right w:val="single" w:sz="8" w:color="134A9C"/>
            </w:tcBorders>
            <w:vMerge w:val="continue"/>
            <w:shd w:val="clear" w:color="auto" w:fill="134A9C"/>
          </w:tcPr>
          <w:p>
            <w:pPr>
              <w:spacing w:after="0"/>
              <w:rPr>
                <w:sz w:val="4"/>
                <w:szCs w:val="4"/>
                <w:color w:val="auto"/>
              </w:rPr>
            </w:pPr>
          </w:p>
        </w:tc>
        <w:tc>
          <w:tcPr>
            <w:tcW w:w="1140" w:type="dxa"/>
            <w:vAlign w:val="bottom"/>
            <w:tcBorders>
              <w:bottom w:val="single" w:sz="8" w:color="134A9C"/>
              <w:right w:val="single" w:sz="8" w:color="134A9C"/>
            </w:tcBorders>
            <w:shd w:val="clear" w:color="auto" w:fill="134A9C"/>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29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Perquisites &amp; Other Personal Benefits</w:t>
            </w:r>
            <w:r>
              <w:rPr>
                <w:rFonts w:ascii="Arial" w:cs="Arial" w:eastAsia="Arial" w:hAnsi="Arial"/>
                <w:sz w:val="17"/>
                <w:szCs w:val="17"/>
                <w:color w:val="auto"/>
                <w:vertAlign w:val="superscript"/>
              </w:rPr>
              <w:t>(1)</w:t>
            </w:r>
          </w:p>
        </w:tc>
        <w:tc>
          <w:tcPr>
            <w:tcW w:w="116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246,695</w:t>
            </w:r>
          </w:p>
        </w:tc>
        <w:tc>
          <w:tcPr>
            <w:tcW w:w="116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21,114</w:t>
            </w:r>
          </w:p>
        </w:tc>
        <w:tc>
          <w:tcPr>
            <w:tcW w:w="1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121,208</w:t>
            </w:r>
          </w:p>
        </w:tc>
        <w:tc>
          <w:tcPr>
            <w:tcW w:w="12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22,725</w:t>
            </w:r>
          </w:p>
        </w:tc>
        <w:tc>
          <w:tcPr>
            <w:tcW w:w="11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32,104</w:t>
            </w:r>
          </w:p>
        </w:tc>
        <w:tc>
          <w:tcPr>
            <w:tcW w:w="146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18,150</w:t>
            </w:r>
          </w:p>
        </w:tc>
        <w:tc>
          <w:tcPr>
            <w:tcW w:w="11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59,538</w:t>
            </w:r>
          </w:p>
        </w:tc>
        <w:tc>
          <w:tcPr>
            <w:tcW w:w="0" w:type="dxa"/>
            <w:vAlign w:val="bottom"/>
          </w:tcPr>
          <w:p>
            <w:pPr>
              <w:spacing w:after="0"/>
              <w:rPr>
                <w:sz w:val="1"/>
                <w:szCs w:val="1"/>
                <w:color w:val="auto"/>
              </w:rPr>
            </w:pPr>
          </w:p>
        </w:tc>
      </w:tr>
      <w:tr>
        <w:trPr>
          <w:trHeight w:val="338"/>
        </w:trPr>
        <w:tc>
          <w:tcPr>
            <w:tcW w:w="29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Employer Contributions to Savings Plans</w:t>
            </w:r>
            <w:r>
              <w:rPr>
                <w:rFonts w:ascii="Arial" w:cs="Arial" w:eastAsia="Arial" w:hAnsi="Arial"/>
                <w:sz w:val="17"/>
                <w:szCs w:val="17"/>
                <w:color w:val="auto"/>
                <w:vertAlign w:val="superscript"/>
              </w:rPr>
              <w:t>(2)</w:t>
            </w:r>
          </w:p>
        </w:tc>
        <w:tc>
          <w:tcPr>
            <w:tcW w:w="116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156,780</w:t>
            </w:r>
          </w:p>
        </w:tc>
        <w:tc>
          <w:tcPr>
            <w:tcW w:w="116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88,235</w:t>
            </w:r>
          </w:p>
        </w:tc>
        <w:tc>
          <w:tcPr>
            <w:tcW w:w="1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75,171</w:t>
            </w:r>
          </w:p>
        </w:tc>
        <w:tc>
          <w:tcPr>
            <w:tcW w:w="12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84,621</w:t>
            </w:r>
          </w:p>
        </w:tc>
        <w:tc>
          <w:tcPr>
            <w:tcW w:w="11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69,224</w:t>
            </w:r>
          </w:p>
        </w:tc>
        <w:tc>
          <w:tcPr>
            <w:tcW w:w="146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68,000</w:t>
            </w:r>
          </w:p>
        </w:tc>
        <w:tc>
          <w:tcPr>
            <w:tcW w:w="0" w:type="dxa"/>
            <w:vAlign w:val="bottom"/>
          </w:tcPr>
          <w:p>
            <w:pPr>
              <w:spacing w:after="0"/>
              <w:rPr>
                <w:sz w:val="1"/>
                <w:szCs w:val="1"/>
                <w:color w:val="auto"/>
              </w:rPr>
            </w:pPr>
          </w:p>
        </w:tc>
      </w:tr>
      <w:tr>
        <w:trPr>
          <w:trHeight w:val="324"/>
        </w:trPr>
        <w:tc>
          <w:tcPr>
            <w:tcW w:w="290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Life and Other Insurance Benefits</w:t>
            </w:r>
            <w:r>
              <w:rPr>
                <w:rFonts w:ascii="Arial" w:cs="Arial" w:eastAsia="Arial" w:hAnsi="Arial"/>
                <w:sz w:val="17"/>
                <w:szCs w:val="17"/>
                <w:color w:val="auto"/>
                <w:vertAlign w:val="superscript"/>
              </w:rPr>
              <w:t>(3)</w:t>
            </w:r>
          </w:p>
        </w:tc>
        <w:tc>
          <w:tcPr>
            <w:tcW w:w="116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6,382</w:t>
            </w:r>
          </w:p>
        </w:tc>
        <w:tc>
          <w:tcPr>
            <w:tcW w:w="116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3,761</w:t>
            </w:r>
          </w:p>
        </w:tc>
        <w:tc>
          <w:tcPr>
            <w:tcW w:w="1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1,789</w:t>
            </w:r>
          </w:p>
        </w:tc>
        <w:tc>
          <w:tcPr>
            <w:tcW w:w="12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3,450</w:t>
            </w:r>
          </w:p>
        </w:tc>
        <w:tc>
          <w:tcPr>
            <w:tcW w:w="11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17,338</w:t>
            </w:r>
          </w:p>
        </w:tc>
        <w:tc>
          <w:tcPr>
            <w:tcW w:w="146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3,617</w:t>
            </w:r>
          </w:p>
        </w:tc>
        <w:tc>
          <w:tcPr>
            <w:tcW w:w="11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20,377</w:t>
            </w:r>
          </w:p>
        </w:tc>
        <w:tc>
          <w:tcPr>
            <w:tcW w:w="0" w:type="dxa"/>
            <w:vAlign w:val="bottom"/>
          </w:tcPr>
          <w:p>
            <w:pPr>
              <w:spacing w:after="0"/>
              <w:rPr>
                <w:sz w:val="1"/>
                <w:szCs w:val="1"/>
                <w:color w:val="auto"/>
              </w:rPr>
            </w:pPr>
          </w:p>
        </w:tc>
      </w:tr>
      <w:tr>
        <w:trPr>
          <w:trHeight w:val="189"/>
        </w:trPr>
        <w:tc>
          <w:tcPr>
            <w:tcW w:w="2900" w:type="dxa"/>
            <w:vAlign w:val="bottom"/>
            <w:tcBorders>
              <w:left w:val="single" w:sz="8" w:color="134A9C"/>
              <w:bottom w:val="single" w:sz="8" w:color="134A9C"/>
              <w:right w:val="single" w:sz="8" w:color="134A9C"/>
            </w:tcBorders>
          </w:tcPr>
          <w:p>
            <w:pPr>
              <w:ind w:left="40"/>
              <w:spacing w:after="0" w:line="189" w:lineRule="exact"/>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(4)</w:t>
            </w:r>
          </w:p>
        </w:tc>
        <w:tc>
          <w:tcPr>
            <w:tcW w:w="11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2,675</w:t>
            </w:r>
          </w:p>
        </w:tc>
        <w:tc>
          <w:tcPr>
            <w:tcW w:w="11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65,084</w:t>
            </w:r>
          </w:p>
        </w:tc>
        <w:tc>
          <w:tcPr>
            <w:tcW w:w="12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204"/>
        </w:trPr>
        <w:tc>
          <w:tcPr>
            <w:tcW w:w="290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Total All Other Compensation</w:t>
            </w:r>
          </w:p>
        </w:tc>
        <w:tc>
          <w:tcPr>
            <w:tcW w:w="11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412,532</w:t>
            </w:r>
          </w:p>
        </w:tc>
        <w:tc>
          <w:tcPr>
            <w:tcW w:w="11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113,110</w:t>
            </w:r>
          </w:p>
        </w:tc>
        <w:tc>
          <w:tcPr>
            <w:tcW w:w="1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263,252</w:t>
            </w:r>
          </w:p>
        </w:tc>
        <w:tc>
          <w:tcPr>
            <w:tcW w:w="12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110,796</w:t>
            </w:r>
          </w:p>
        </w:tc>
        <w:tc>
          <w:tcPr>
            <w:tcW w:w="11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118,666</w:t>
            </w:r>
          </w:p>
        </w:tc>
        <w:tc>
          <w:tcPr>
            <w:tcW w:w="146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21,767</w:t>
            </w:r>
          </w:p>
        </w:tc>
        <w:tc>
          <w:tcPr>
            <w:tcW w:w="11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148,453</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See Perquisites and Other Personal Benefits table below for additional information.</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employer contributions to tax-qualified savings and retirement plans during 2014 in addition to employer contributions for non-qualified savings and retirement plans for NEOs during 2014.</w:t>
      </w:r>
    </w:p>
    <w:p>
      <w:pPr>
        <w:jc w:val="both"/>
        <w:ind w:left="340" w:right="20" w:hanging="332"/>
        <w:spacing w:after="0" w:line="24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premiums paid by the Company for GVUL insurance for executives. Employees are responsible for any ordinary income taxes resulting from the cost of the GM-paid premiums. Amounts also include the Company's cost of premiums for providing personal accident insurance for members of the Board for Ms. Barra and Mr. Akerson, and executive physical evaluations for Dr. Neumann under the plan for Opel Management Board members.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Totals for Ms. Barra and Mr. Akerson include incremental costs for event tickets. Totals for Mr. Ammann include $65,084 for relocation costs incurred in 2014.</w:t>
      </w:r>
    </w:p>
    <w:p>
      <w:pPr>
        <w:spacing w:after="0" w:line="1" w:lineRule="exact"/>
        <w:rPr>
          <w:rFonts w:ascii="Arial" w:cs="Arial" w:eastAsia="Arial" w:hAnsi="Arial"/>
          <w:sz w:val="14"/>
          <w:szCs w:val="14"/>
          <w:color w:val="auto"/>
        </w:rPr>
      </w:pPr>
    </w:p>
    <w:p>
      <w:pPr>
        <w:ind w:left="340" w:right="40" w:hanging="332"/>
        <w:spacing w:after="0" w:line="258"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Totals for Dr. Neumann were converted to U.S. dollars, applying an average foreign exchange rate for the period from January 1, 2014 to December 31, 2014 during which compensation was earned €1 = $1.3291.</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Perquisites and Other Personal Benefits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660" w:type="dxa"/>
            <w:vAlign w:val="bottom"/>
            <w:tcBorders>
              <w:left w:val="single" w:sz="8" w:color="134A9C"/>
              <w:right w:val="single" w:sz="8" w:color="134A9C"/>
            </w:tcBorders>
            <w:shd w:val="clear" w:color="auto" w:fill="134A9C"/>
          </w:tcPr>
          <w:p>
            <w:pPr>
              <w:spacing w:after="0"/>
              <w:rPr>
                <w:sz w:val="16"/>
                <w:szCs w:val="16"/>
                <w:color w:val="auto"/>
              </w:rPr>
            </w:pPr>
          </w:p>
        </w:tc>
        <w:tc>
          <w:tcPr>
            <w:tcW w:w="128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M. T.</w:t>
            </w:r>
          </w:p>
        </w:tc>
        <w:tc>
          <w:tcPr>
            <w:tcW w:w="1260" w:type="dxa"/>
            <w:vAlign w:val="bottom"/>
            <w:tcBorders>
              <w:right w:val="single" w:sz="8" w:color="134A9C"/>
            </w:tcBorders>
            <w:vMerge w:val="restart"/>
            <w:shd w:val="clear" w:color="auto" w:fill="134A9C"/>
          </w:tcPr>
          <w:p>
            <w:pPr>
              <w:jc w:val="right"/>
              <w:ind w:right="108"/>
              <w:spacing w:after="0"/>
              <w:rPr>
                <w:sz w:val="20"/>
                <w:szCs w:val="20"/>
                <w:color w:val="auto"/>
              </w:rPr>
            </w:pPr>
            <w:r>
              <w:rPr>
                <w:rFonts w:ascii="Arial" w:cs="Arial" w:eastAsia="Arial" w:hAnsi="Arial"/>
                <w:sz w:val="14"/>
                <w:szCs w:val="14"/>
                <w:b w:val="1"/>
                <w:bCs w:val="1"/>
                <w:color w:val="FFFFFF"/>
              </w:rPr>
              <w:t>C. K. Stevens</w:t>
            </w:r>
          </w:p>
        </w:tc>
        <w:tc>
          <w:tcPr>
            <w:tcW w:w="128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w w:val="99"/>
              </w:rPr>
              <w:t>D.</w:t>
            </w:r>
          </w:p>
        </w:tc>
        <w:tc>
          <w:tcPr>
            <w:tcW w:w="12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rPr>
              <w:t>M. L.</w:t>
            </w:r>
          </w:p>
        </w:tc>
        <w:tc>
          <w:tcPr>
            <w:tcW w:w="12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b w:val="1"/>
                <w:bCs w:val="1"/>
                <w:color w:val="FFFFFF"/>
                <w:w w:val="97"/>
              </w:rPr>
              <w:t>M. P.</w:t>
            </w:r>
          </w:p>
        </w:tc>
        <w:tc>
          <w:tcPr>
            <w:tcW w:w="1240" w:type="dxa"/>
            <w:vAlign w:val="bottom"/>
            <w:tcBorders>
              <w:right w:val="single" w:sz="8" w:color="134A9C"/>
            </w:tcBorders>
            <w:shd w:val="clear" w:color="auto" w:fill="134A9C"/>
          </w:tcPr>
          <w:p>
            <w:pPr>
              <w:spacing w:after="0"/>
              <w:rPr>
                <w:sz w:val="16"/>
                <w:szCs w:val="16"/>
                <w:color w:val="auto"/>
              </w:rPr>
            </w:pPr>
          </w:p>
        </w:tc>
        <w:tc>
          <w:tcPr>
            <w:tcW w:w="1240" w:type="dxa"/>
            <w:vAlign w:val="bottom"/>
            <w:tcBorders>
              <w:right w:val="single" w:sz="8" w:color="134A9C"/>
            </w:tcBorders>
            <w:shd w:val="clear" w:color="auto" w:fill="134A9C"/>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134A9C"/>
              <w:right w:val="single" w:sz="8" w:color="134A9C"/>
            </w:tcBorders>
            <w:shd w:val="clear" w:color="auto" w:fill="134A9C"/>
          </w:tcPr>
          <w:p>
            <w:pPr>
              <w:spacing w:after="0"/>
              <w:rPr>
                <w:sz w:val="7"/>
                <w:szCs w:val="7"/>
                <w:color w:val="auto"/>
              </w:rPr>
            </w:pPr>
          </w:p>
        </w:tc>
        <w:tc>
          <w:tcPr>
            <w:tcW w:w="1280" w:type="dxa"/>
            <w:vAlign w:val="bottom"/>
            <w:tcBorders>
              <w:right w:val="single" w:sz="8" w:color="134A9C"/>
            </w:tcBorders>
            <w:vMerge w:val="restart"/>
            <w:shd w:val="clear" w:color="auto" w:fill="134A9C"/>
          </w:tcPr>
          <w:p>
            <w:pPr>
              <w:jc w:val="center"/>
              <w:spacing w:after="0"/>
              <w:rPr>
                <w:sz w:val="20"/>
                <w:szCs w:val="20"/>
                <w:color w:val="auto"/>
              </w:rPr>
            </w:pPr>
            <w:r>
              <w:rPr>
                <w:rFonts w:ascii="Arial" w:cs="Arial" w:eastAsia="Arial" w:hAnsi="Arial"/>
                <w:sz w:val="14"/>
                <w:szCs w:val="14"/>
                <w:b w:val="1"/>
                <w:bCs w:val="1"/>
                <w:color w:val="FFFFFF"/>
              </w:rPr>
              <w:t>Barra</w:t>
            </w:r>
          </w:p>
        </w:tc>
        <w:tc>
          <w:tcPr>
            <w:tcW w:w="1260" w:type="dxa"/>
            <w:vAlign w:val="bottom"/>
            <w:tcBorders>
              <w:right w:val="single" w:sz="8" w:color="134A9C"/>
            </w:tcBorders>
            <w:vMerge w:val="continue"/>
            <w:shd w:val="clear" w:color="auto" w:fill="134A9C"/>
          </w:tcPr>
          <w:p>
            <w:pPr>
              <w:spacing w:after="0"/>
              <w:rPr>
                <w:sz w:val="7"/>
                <w:szCs w:val="7"/>
                <w:color w:val="auto"/>
              </w:rPr>
            </w:pPr>
          </w:p>
        </w:tc>
        <w:tc>
          <w:tcPr>
            <w:tcW w:w="1280" w:type="dxa"/>
            <w:vAlign w:val="bottom"/>
            <w:tcBorders>
              <w:right w:val="single" w:sz="8" w:color="134A9C"/>
            </w:tcBorders>
            <w:vMerge w:val="restart"/>
            <w:shd w:val="clear" w:color="auto" w:fill="134A9C"/>
          </w:tcPr>
          <w:p>
            <w:pPr>
              <w:jc w:val="center"/>
              <w:spacing w:after="0"/>
              <w:rPr>
                <w:sz w:val="20"/>
                <w:szCs w:val="20"/>
                <w:color w:val="auto"/>
              </w:rPr>
            </w:pPr>
            <w:r>
              <w:rPr>
                <w:rFonts w:ascii="Arial" w:cs="Arial" w:eastAsia="Arial" w:hAnsi="Arial"/>
                <w:sz w:val="14"/>
                <w:szCs w:val="14"/>
                <w:b w:val="1"/>
                <w:bCs w:val="1"/>
                <w:color w:val="FFFFFF"/>
              </w:rPr>
              <w:t>Ammann</w:t>
            </w:r>
          </w:p>
        </w:tc>
        <w:tc>
          <w:tcPr>
            <w:tcW w:w="1240" w:type="dxa"/>
            <w:vAlign w:val="bottom"/>
            <w:tcBorders>
              <w:right w:val="single" w:sz="8" w:color="134A9C"/>
            </w:tcBorders>
            <w:vMerge w:val="restart"/>
            <w:shd w:val="clear" w:color="auto" w:fill="134A9C"/>
          </w:tcPr>
          <w:p>
            <w:pPr>
              <w:jc w:val="center"/>
              <w:spacing w:after="0"/>
              <w:rPr>
                <w:sz w:val="20"/>
                <w:szCs w:val="20"/>
                <w:color w:val="auto"/>
              </w:rPr>
            </w:pPr>
            <w:r>
              <w:rPr>
                <w:rFonts w:ascii="Arial" w:cs="Arial" w:eastAsia="Arial" w:hAnsi="Arial"/>
                <w:sz w:val="14"/>
                <w:szCs w:val="14"/>
                <w:b w:val="1"/>
                <w:bCs w:val="1"/>
                <w:color w:val="FFFFFF"/>
              </w:rPr>
              <w:t>Reuss</w:t>
            </w:r>
          </w:p>
        </w:tc>
        <w:tc>
          <w:tcPr>
            <w:tcW w:w="1240" w:type="dxa"/>
            <w:vAlign w:val="bottom"/>
            <w:tcBorders>
              <w:right w:val="single" w:sz="8" w:color="134A9C"/>
            </w:tcBorders>
            <w:vMerge w:val="restart"/>
            <w:shd w:val="clear" w:color="auto" w:fill="134A9C"/>
          </w:tcPr>
          <w:p>
            <w:pPr>
              <w:jc w:val="center"/>
              <w:spacing w:after="0"/>
              <w:rPr>
                <w:sz w:val="20"/>
                <w:szCs w:val="20"/>
                <w:color w:val="auto"/>
              </w:rPr>
            </w:pPr>
            <w:r>
              <w:rPr>
                <w:rFonts w:ascii="Arial" w:cs="Arial" w:eastAsia="Arial" w:hAnsi="Arial"/>
                <w:sz w:val="14"/>
                <w:szCs w:val="14"/>
                <w:b w:val="1"/>
                <w:bCs w:val="1"/>
                <w:color w:val="FFFFFF"/>
              </w:rPr>
              <w:t>Millikin</w:t>
            </w:r>
          </w:p>
        </w:tc>
        <w:tc>
          <w:tcPr>
            <w:tcW w:w="1240" w:type="dxa"/>
            <w:vAlign w:val="bottom"/>
            <w:tcBorders>
              <w:right w:val="single" w:sz="8" w:color="134A9C"/>
            </w:tcBorders>
            <w:vMerge w:val="restart"/>
            <w:shd w:val="clear" w:color="auto" w:fill="134A9C"/>
          </w:tcPr>
          <w:p>
            <w:pPr>
              <w:jc w:val="right"/>
              <w:spacing w:after="0"/>
              <w:rPr>
                <w:sz w:val="20"/>
                <w:szCs w:val="20"/>
                <w:color w:val="auto"/>
              </w:rPr>
            </w:pPr>
            <w:r>
              <w:rPr>
                <w:rFonts w:ascii="Arial" w:cs="Arial" w:eastAsia="Arial" w:hAnsi="Arial"/>
                <w:sz w:val="14"/>
                <w:szCs w:val="14"/>
                <w:b w:val="1"/>
                <w:bCs w:val="1"/>
                <w:color w:val="FFFFFF"/>
              </w:rPr>
              <w:t>K.T. Neumann ($)</w:t>
            </w:r>
          </w:p>
        </w:tc>
        <w:tc>
          <w:tcPr>
            <w:tcW w:w="1240" w:type="dxa"/>
            <w:vAlign w:val="bottom"/>
            <w:tcBorders>
              <w:right w:val="single" w:sz="8" w:color="134A9C"/>
            </w:tcBorders>
            <w:vMerge w:val="restart"/>
            <w:shd w:val="clear" w:color="auto" w:fill="134A9C"/>
          </w:tcPr>
          <w:p>
            <w:pPr>
              <w:jc w:val="right"/>
              <w:ind w:right="28"/>
              <w:spacing w:after="0"/>
              <w:rPr>
                <w:sz w:val="20"/>
                <w:szCs w:val="20"/>
                <w:color w:val="auto"/>
              </w:rPr>
            </w:pPr>
            <w:r>
              <w:rPr>
                <w:rFonts w:ascii="Arial" w:cs="Arial" w:eastAsia="Arial" w:hAnsi="Arial"/>
                <w:sz w:val="14"/>
                <w:szCs w:val="14"/>
                <w:b w:val="1"/>
                <w:bCs w:val="1"/>
                <w:color w:val="FFFFFF"/>
              </w:rPr>
              <w:t>D.F. Akerson ($)</w:t>
            </w:r>
          </w:p>
        </w:tc>
        <w:tc>
          <w:tcPr>
            <w:tcW w:w="0" w:type="dxa"/>
            <w:vAlign w:val="bottom"/>
          </w:tcPr>
          <w:p>
            <w:pPr>
              <w:spacing w:after="0"/>
              <w:rPr>
                <w:sz w:val="1"/>
                <w:szCs w:val="1"/>
                <w:color w:val="auto"/>
              </w:rPr>
            </w:pPr>
          </w:p>
        </w:tc>
      </w:tr>
      <w:tr>
        <w:trPr>
          <w:trHeight w:val="81"/>
        </w:trPr>
        <w:tc>
          <w:tcPr>
            <w:tcW w:w="2660" w:type="dxa"/>
            <w:vAlign w:val="bottom"/>
            <w:tcBorders>
              <w:left w:val="single" w:sz="8" w:color="134A9C"/>
              <w:right w:val="single" w:sz="8" w:color="134A9C"/>
            </w:tcBorders>
            <w:shd w:val="clear" w:color="auto" w:fill="134A9C"/>
          </w:tcPr>
          <w:p>
            <w:pPr>
              <w:spacing w:after="0"/>
              <w:rPr>
                <w:sz w:val="7"/>
                <w:szCs w:val="7"/>
                <w:color w:val="auto"/>
              </w:rPr>
            </w:pPr>
          </w:p>
        </w:tc>
        <w:tc>
          <w:tcPr>
            <w:tcW w:w="1280" w:type="dxa"/>
            <w:vAlign w:val="bottom"/>
            <w:tcBorders>
              <w:right w:val="single" w:sz="8" w:color="134A9C"/>
            </w:tcBorders>
            <w:vMerge w:val="continue"/>
            <w:shd w:val="clear" w:color="auto" w:fill="134A9C"/>
          </w:tcPr>
          <w:p>
            <w:pPr>
              <w:spacing w:after="0"/>
              <w:rPr>
                <w:sz w:val="7"/>
                <w:szCs w:val="7"/>
                <w:color w:val="auto"/>
              </w:rPr>
            </w:pPr>
          </w:p>
        </w:tc>
        <w:tc>
          <w:tcPr>
            <w:tcW w:w="1260" w:type="dxa"/>
            <w:vAlign w:val="bottom"/>
            <w:tcBorders>
              <w:right w:val="single" w:sz="8" w:color="134A9C"/>
            </w:tcBorders>
            <w:vMerge w:val="restart"/>
            <w:shd w:val="clear" w:color="auto" w:fill="134A9C"/>
          </w:tcPr>
          <w:p>
            <w:pPr>
              <w:jc w:val="right"/>
              <w:ind w:right="488"/>
              <w:spacing w:after="0"/>
              <w:rPr>
                <w:sz w:val="20"/>
                <w:szCs w:val="20"/>
                <w:color w:val="auto"/>
              </w:rPr>
            </w:pPr>
            <w:r>
              <w:rPr>
                <w:rFonts w:ascii="Arial" w:cs="Arial" w:eastAsia="Arial" w:hAnsi="Arial"/>
                <w:sz w:val="14"/>
                <w:szCs w:val="14"/>
                <w:b w:val="1"/>
                <w:bCs w:val="1"/>
                <w:color w:val="FFFFFF"/>
              </w:rPr>
              <w:t>($)</w:t>
            </w:r>
          </w:p>
        </w:tc>
        <w:tc>
          <w:tcPr>
            <w:tcW w:w="1280" w:type="dxa"/>
            <w:vAlign w:val="bottom"/>
            <w:tcBorders>
              <w:right w:val="single" w:sz="8" w:color="134A9C"/>
            </w:tcBorders>
            <w:vMerge w:val="continue"/>
            <w:shd w:val="clear" w:color="auto" w:fill="134A9C"/>
          </w:tcPr>
          <w:p>
            <w:pPr>
              <w:spacing w:after="0"/>
              <w:rPr>
                <w:sz w:val="7"/>
                <w:szCs w:val="7"/>
                <w:color w:val="auto"/>
              </w:rPr>
            </w:pPr>
          </w:p>
        </w:tc>
        <w:tc>
          <w:tcPr>
            <w:tcW w:w="1240" w:type="dxa"/>
            <w:vAlign w:val="bottom"/>
            <w:tcBorders>
              <w:right w:val="single" w:sz="8" w:color="134A9C"/>
            </w:tcBorders>
            <w:vMerge w:val="continue"/>
            <w:shd w:val="clear" w:color="auto" w:fill="134A9C"/>
          </w:tcPr>
          <w:p>
            <w:pPr>
              <w:spacing w:after="0"/>
              <w:rPr>
                <w:sz w:val="7"/>
                <w:szCs w:val="7"/>
                <w:color w:val="auto"/>
              </w:rPr>
            </w:pPr>
          </w:p>
        </w:tc>
        <w:tc>
          <w:tcPr>
            <w:tcW w:w="1240" w:type="dxa"/>
            <w:vAlign w:val="bottom"/>
            <w:tcBorders>
              <w:right w:val="single" w:sz="8" w:color="134A9C"/>
            </w:tcBorders>
            <w:vMerge w:val="continue"/>
            <w:shd w:val="clear" w:color="auto" w:fill="134A9C"/>
          </w:tcPr>
          <w:p>
            <w:pPr>
              <w:spacing w:after="0"/>
              <w:rPr>
                <w:sz w:val="7"/>
                <w:szCs w:val="7"/>
                <w:color w:val="auto"/>
              </w:rPr>
            </w:pPr>
          </w:p>
        </w:tc>
        <w:tc>
          <w:tcPr>
            <w:tcW w:w="1240" w:type="dxa"/>
            <w:vAlign w:val="bottom"/>
            <w:tcBorders>
              <w:right w:val="single" w:sz="8" w:color="134A9C"/>
            </w:tcBorders>
            <w:vMerge w:val="continue"/>
            <w:shd w:val="clear" w:color="auto" w:fill="134A9C"/>
          </w:tcPr>
          <w:p>
            <w:pPr>
              <w:spacing w:after="0"/>
              <w:rPr>
                <w:sz w:val="7"/>
                <w:szCs w:val="7"/>
                <w:color w:val="auto"/>
              </w:rPr>
            </w:pPr>
          </w:p>
        </w:tc>
        <w:tc>
          <w:tcPr>
            <w:tcW w:w="1240" w:type="dxa"/>
            <w:vAlign w:val="bottom"/>
            <w:tcBorders>
              <w:right w:val="single" w:sz="8" w:color="134A9C"/>
            </w:tcBorders>
            <w:vMerge w:val="continue"/>
            <w:shd w:val="clear" w:color="auto" w:fill="134A9C"/>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660" w:type="dxa"/>
            <w:vAlign w:val="bottom"/>
            <w:tcBorders>
              <w:left w:val="single" w:sz="8" w:color="134A9C"/>
              <w:right w:val="single" w:sz="8" w:color="134A9C"/>
            </w:tcBorders>
            <w:shd w:val="clear" w:color="auto" w:fill="134A9C"/>
          </w:tcPr>
          <w:p>
            <w:pPr>
              <w:spacing w:after="0"/>
              <w:rPr>
                <w:sz w:val="9"/>
                <w:szCs w:val="9"/>
                <w:color w:val="auto"/>
              </w:rPr>
            </w:pPr>
          </w:p>
        </w:tc>
        <w:tc>
          <w:tcPr>
            <w:tcW w:w="1280" w:type="dxa"/>
            <w:vAlign w:val="bottom"/>
            <w:tcBorders>
              <w:right w:val="single" w:sz="8" w:color="134A9C"/>
            </w:tcBorders>
            <w:vMerge w:val="restart"/>
            <w:shd w:val="clear" w:color="auto" w:fill="134A9C"/>
          </w:tcPr>
          <w:p>
            <w:pPr>
              <w:jc w:val="center"/>
              <w:spacing w:after="0"/>
              <w:rPr>
                <w:sz w:val="20"/>
                <w:szCs w:val="20"/>
                <w:color w:val="auto"/>
              </w:rPr>
            </w:pPr>
            <w:r>
              <w:rPr>
                <w:rFonts w:ascii="Arial" w:cs="Arial" w:eastAsia="Arial" w:hAnsi="Arial"/>
                <w:sz w:val="14"/>
                <w:szCs w:val="14"/>
                <w:b w:val="1"/>
                <w:bCs w:val="1"/>
                <w:color w:val="FFFFFF"/>
              </w:rPr>
              <w:t>($)</w:t>
            </w:r>
          </w:p>
        </w:tc>
        <w:tc>
          <w:tcPr>
            <w:tcW w:w="1260" w:type="dxa"/>
            <w:vAlign w:val="bottom"/>
            <w:tcBorders>
              <w:right w:val="single" w:sz="8" w:color="134A9C"/>
            </w:tcBorders>
            <w:vMerge w:val="continue"/>
            <w:shd w:val="clear" w:color="auto" w:fill="134A9C"/>
          </w:tcPr>
          <w:p>
            <w:pPr>
              <w:spacing w:after="0"/>
              <w:rPr>
                <w:sz w:val="9"/>
                <w:szCs w:val="9"/>
                <w:color w:val="auto"/>
              </w:rPr>
            </w:pPr>
          </w:p>
        </w:tc>
        <w:tc>
          <w:tcPr>
            <w:tcW w:w="1280" w:type="dxa"/>
            <w:vAlign w:val="bottom"/>
            <w:tcBorders>
              <w:right w:val="single" w:sz="8" w:color="134A9C"/>
            </w:tcBorders>
            <w:vMerge w:val="restart"/>
            <w:shd w:val="clear" w:color="auto" w:fill="134A9C"/>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right w:val="single" w:sz="8" w:color="134A9C"/>
            </w:tcBorders>
            <w:vMerge w:val="restart"/>
            <w:shd w:val="clear" w:color="auto" w:fill="134A9C"/>
          </w:tcPr>
          <w:p>
            <w:pPr>
              <w:jc w:val="center"/>
              <w:spacing w:after="0"/>
              <w:rPr>
                <w:sz w:val="20"/>
                <w:szCs w:val="20"/>
                <w:color w:val="auto"/>
              </w:rPr>
            </w:pPr>
            <w:r>
              <w:rPr>
                <w:rFonts w:ascii="Arial" w:cs="Arial" w:eastAsia="Arial" w:hAnsi="Arial"/>
                <w:sz w:val="14"/>
                <w:szCs w:val="14"/>
                <w:b w:val="1"/>
                <w:bCs w:val="1"/>
                <w:color w:val="FFFFFF"/>
                <w:w w:val="93"/>
              </w:rPr>
              <w:t>($)</w:t>
            </w:r>
          </w:p>
        </w:tc>
        <w:tc>
          <w:tcPr>
            <w:tcW w:w="1240" w:type="dxa"/>
            <w:vAlign w:val="bottom"/>
            <w:tcBorders>
              <w:right w:val="single" w:sz="8" w:color="134A9C"/>
            </w:tcBorders>
            <w:vMerge w:val="restart"/>
            <w:shd w:val="clear" w:color="auto" w:fill="134A9C"/>
          </w:tcPr>
          <w:p>
            <w:pPr>
              <w:jc w:val="center"/>
              <w:spacing w:after="0"/>
              <w:rPr>
                <w:sz w:val="20"/>
                <w:szCs w:val="20"/>
                <w:color w:val="auto"/>
              </w:rPr>
            </w:pPr>
            <w:r>
              <w:rPr>
                <w:rFonts w:ascii="Arial" w:cs="Arial" w:eastAsia="Arial" w:hAnsi="Arial"/>
                <w:sz w:val="14"/>
                <w:szCs w:val="14"/>
                <w:b w:val="1"/>
                <w:bCs w:val="1"/>
                <w:color w:val="FFFFFF"/>
                <w:w w:val="93"/>
              </w:rPr>
              <w:t>($)</w:t>
            </w:r>
          </w:p>
        </w:tc>
        <w:tc>
          <w:tcPr>
            <w:tcW w:w="1240" w:type="dxa"/>
            <w:vAlign w:val="bottom"/>
            <w:tcBorders>
              <w:right w:val="single" w:sz="8" w:color="134A9C"/>
            </w:tcBorders>
            <w:shd w:val="clear" w:color="auto" w:fill="134A9C"/>
          </w:tcPr>
          <w:p>
            <w:pPr>
              <w:spacing w:after="0"/>
              <w:rPr>
                <w:sz w:val="9"/>
                <w:szCs w:val="9"/>
                <w:color w:val="auto"/>
              </w:rPr>
            </w:pPr>
          </w:p>
        </w:tc>
        <w:tc>
          <w:tcPr>
            <w:tcW w:w="1240" w:type="dxa"/>
            <w:vAlign w:val="bottom"/>
            <w:tcBorders>
              <w:right w:val="single" w:sz="8" w:color="134A9C"/>
            </w:tcBorders>
            <w:shd w:val="clear" w:color="auto" w:fill="134A9C"/>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134A9C"/>
              <w:bottom w:val="single" w:sz="8" w:color="134A9C"/>
              <w:right w:val="single" w:sz="8" w:color="134A9C"/>
            </w:tcBorders>
            <w:shd w:val="clear" w:color="auto" w:fill="134A9C"/>
          </w:tcPr>
          <w:p>
            <w:pPr>
              <w:spacing w:after="0"/>
              <w:rPr>
                <w:sz w:val="7"/>
                <w:szCs w:val="7"/>
                <w:color w:val="auto"/>
              </w:rPr>
            </w:pPr>
          </w:p>
        </w:tc>
        <w:tc>
          <w:tcPr>
            <w:tcW w:w="1280" w:type="dxa"/>
            <w:vAlign w:val="bottom"/>
            <w:tcBorders>
              <w:bottom w:val="single" w:sz="8" w:color="134A9C"/>
              <w:right w:val="single" w:sz="8" w:color="134A9C"/>
            </w:tcBorders>
            <w:vMerge w:val="continue"/>
            <w:shd w:val="clear" w:color="auto" w:fill="134A9C"/>
          </w:tcPr>
          <w:p>
            <w:pPr>
              <w:spacing w:after="0"/>
              <w:rPr>
                <w:sz w:val="7"/>
                <w:szCs w:val="7"/>
                <w:color w:val="auto"/>
              </w:rPr>
            </w:pPr>
          </w:p>
        </w:tc>
        <w:tc>
          <w:tcPr>
            <w:tcW w:w="1260" w:type="dxa"/>
            <w:vAlign w:val="bottom"/>
            <w:tcBorders>
              <w:bottom w:val="single" w:sz="8" w:color="134A9C"/>
              <w:right w:val="single" w:sz="8" w:color="134A9C"/>
            </w:tcBorders>
            <w:shd w:val="clear" w:color="auto" w:fill="134A9C"/>
          </w:tcPr>
          <w:p>
            <w:pPr>
              <w:spacing w:after="0"/>
              <w:rPr>
                <w:sz w:val="7"/>
                <w:szCs w:val="7"/>
                <w:color w:val="auto"/>
              </w:rPr>
            </w:pPr>
          </w:p>
        </w:tc>
        <w:tc>
          <w:tcPr>
            <w:tcW w:w="1280" w:type="dxa"/>
            <w:vAlign w:val="bottom"/>
            <w:tcBorders>
              <w:bottom w:val="single" w:sz="8" w:color="134A9C"/>
              <w:right w:val="single" w:sz="8" w:color="134A9C"/>
            </w:tcBorders>
            <w:vMerge w:val="continue"/>
            <w:shd w:val="clear" w:color="auto" w:fill="134A9C"/>
          </w:tcPr>
          <w:p>
            <w:pPr>
              <w:spacing w:after="0"/>
              <w:rPr>
                <w:sz w:val="7"/>
                <w:szCs w:val="7"/>
                <w:color w:val="auto"/>
              </w:rPr>
            </w:pPr>
          </w:p>
        </w:tc>
        <w:tc>
          <w:tcPr>
            <w:tcW w:w="1240" w:type="dxa"/>
            <w:vAlign w:val="bottom"/>
            <w:tcBorders>
              <w:bottom w:val="single" w:sz="8" w:color="134A9C"/>
              <w:right w:val="single" w:sz="8" w:color="134A9C"/>
            </w:tcBorders>
            <w:vMerge w:val="continue"/>
            <w:shd w:val="clear" w:color="auto" w:fill="134A9C"/>
          </w:tcPr>
          <w:p>
            <w:pPr>
              <w:spacing w:after="0"/>
              <w:rPr>
                <w:sz w:val="7"/>
                <w:szCs w:val="7"/>
                <w:color w:val="auto"/>
              </w:rPr>
            </w:pPr>
          </w:p>
        </w:tc>
        <w:tc>
          <w:tcPr>
            <w:tcW w:w="1240" w:type="dxa"/>
            <w:vAlign w:val="bottom"/>
            <w:tcBorders>
              <w:bottom w:val="single" w:sz="8" w:color="134A9C"/>
              <w:right w:val="single" w:sz="8" w:color="134A9C"/>
            </w:tcBorders>
            <w:vMerge w:val="continue"/>
            <w:shd w:val="clear" w:color="auto" w:fill="134A9C"/>
          </w:tcPr>
          <w:p>
            <w:pPr>
              <w:spacing w:after="0"/>
              <w:rPr>
                <w:sz w:val="7"/>
                <w:szCs w:val="7"/>
                <w:color w:val="auto"/>
              </w:rPr>
            </w:pPr>
          </w:p>
        </w:tc>
        <w:tc>
          <w:tcPr>
            <w:tcW w:w="1240" w:type="dxa"/>
            <w:vAlign w:val="bottom"/>
            <w:tcBorders>
              <w:bottom w:val="single" w:sz="8" w:color="134A9C"/>
              <w:right w:val="single" w:sz="8" w:color="134A9C"/>
            </w:tcBorders>
            <w:shd w:val="clear" w:color="auto" w:fill="134A9C"/>
          </w:tcPr>
          <w:p>
            <w:pPr>
              <w:spacing w:after="0"/>
              <w:rPr>
                <w:sz w:val="7"/>
                <w:szCs w:val="7"/>
                <w:color w:val="auto"/>
              </w:rPr>
            </w:pPr>
          </w:p>
        </w:tc>
        <w:tc>
          <w:tcPr>
            <w:tcW w:w="1240" w:type="dxa"/>
            <w:vAlign w:val="bottom"/>
            <w:tcBorders>
              <w:bottom w:val="single" w:sz="8" w:color="134A9C"/>
              <w:right w:val="single" w:sz="8" w:color="134A9C"/>
            </w:tcBorders>
            <w:shd w:val="clear" w:color="auto" w:fill="134A9C"/>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Personal Travel</w:t>
            </w:r>
            <w:r>
              <w:rPr>
                <w:rFonts w:ascii="Arial" w:cs="Arial" w:eastAsia="Arial" w:hAnsi="Arial"/>
                <w:sz w:val="17"/>
                <w:szCs w:val="17"/>
                <w:color w:val="auto"/>
                <w:vertAlign w:val="superscript"/>
              </w:rPr>
              <w:t>(1)</w:t>
            </w:r>
          </w:p>
        </w:tc>
        <w:tc>
          <w:tcPr>
            <w:tcW w:w="1280" w:type="dxa"/>
            <w:vAlign w:val="bottom"/>
            <w:tcBorders>
              <w:right w:val="single" w:sz="8" w:color="134A9C"/>
            </w:tcBorders>
          </w:tcPr>
          <w:p>
            <w:pPr>
              <w:jc w:val="right"/>
              <w:ind w:right="88"/>
              <w:spacing w:after="0"/>
              <w:rPr>
                <w:sz w:val="20"/>
                <w:szCs w:val="20"/>
                <w:color w:val="auto"/>
              </w:rPr>
            </w:pPr>
            <w:r>
              <w:rPr>
                <w:rFonts w:ascii="Arial" w:cs="Arial" w:eastAsia="Arial" w:hAnsi="Arial"/>
                <w:sz w:val="14"/>
                <w:szCs w:val="14"/>
                <w:color w:val="auto"/>
              </w:rPr>
              <w:t>189,936</w:t>
            </w:r>
          </w:p>
        </w:tc>
        <w:tc>
          <w:tcPr>
            <w:tcW w:w="126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134A9C"/>
            </w:tcBorders>
          </w:tcPr>
          <w:p>
            <w:pPr>
              <w:jc w:val="right"/>
              <w:ind w:right="88"/>
              <w:spacing w:after="0"/>
              <w:rPr>
                <w:sz w:val="20"/>
                <w:szCs w:val="20"/>
                <w:color w:val="auto"/>
              </w:rPr>
            </w:pPr>
            <w:r>
              <w:rPr>
                <w:rFonts w:ascii="Arial" w:cs="Arial" w:eastAsia="Arial" w:hAnsi="Arial"/>
                <w:sz w:val="14"/>
                <w:szCs w:val="14"/>
                <w:color w:val="auto"/>
              </w:rPr>
              <w:t>90,787</w:t>
            </w:r>
          </w:p>
        </w:tc>
        <w:tc>
          <w:tcPr>
            <w:tcW w:w="1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51,300</w:t>
            </w:r>
          </w:p>
        </w:tc>
        <w:tc>
          <w:tcPr>
            <w:tcW w:w="0" w:type="dxa"/>
            <w:vAlign w:val="bottom"/>
          </w:tcPr>
          <w:p>
            <w:pPr>
              <w:spacing w:after="0"/>
              <w:rPr>
                <w:sz w:val="1"/>
                <w:szCs w:val="1"/>
                <w:color w:val="auto"/>
              </w:rPr>
            </w:pPr>
          </w:p>
        </w:tc>
      </w:tr>
      <w:tr>
        <w:trPr>
          <w:trHeight w:val="216"/>
        </w:trPr>
        <w:tc>
          <w:tcPr>
            <w:tcW w:w="26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Security</w:t>
            </w:r>
            <w:r>
              <w:rPr>
                <w:rFonts w:ascii="Arial" w:cs="Arial" w:eastAsia="Arial" w:hAnsi="Arial"/>
                <w:sz w:val="17"/>
                <w:szCs w:val="17"/>
                <w:color w:val="auto"/>
                <w:vertAlign w:val="superscript"/>
              </w:rPr>
              <w:t>(2)</w:t>
            </w:r>
          </w:p>
        </w:tc>
        <w:tc>
          <w:tcPr>
            <w:tcW w:w="1280" w:type="dxa"/>
            <w:vAlign w:val="bottom"/>
            <w:tcBorders>
              <w:right w:val="single" w:sz="8" w:color="134A9C"/>
            </w:tcBorders>
          </w:tcPr>
          <w:p>
            <w:pPr>
              <w:jc w:val="right"/>
              <w:ind w:right="88"/>
              <w:spacing w:after="0"/>
              <w:rPr>
                <w:sz w:val="20"/>
                <w:szCs w:val="20"/>
                <w:color w:val="auto"/>
              </w:rPr>
            </w:pPr>
            <w:r>
              <w:rPr>
                <w:rFonts w:ascii="Arial" w:cs="Arial" w:eastAsia="Arial" w:hAnsi="Arial"/>
                <w:sz w:val="14"/>
                <w:szCs w:val="14"/>
                <w:color w:val="auto"/>
              </w:rPr>
              <w:t>24,975</w:t>
            </w:r>
          </w:p>
        </w:tc>
        <w:tc>
          <w:tcPr>
            <w:tcW w:w="126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134A9C"/>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6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Company Vehicle Programs</w:t>
            </w:r>
            <w:r>
              <w:rPr>
                <w:rFonts w:ascii="Arial" w:cs="Arial" w:eastAsia="Arial" w:hAnsi="Arial"/>
                <w:sz w:val="17"/>
                <w:szCs w:val="17"/>
                <w:color w:val="auto"/>
                <w:vertAlign w:val="superscript"/>
              </w:rPr>
              <w:t>(3)</w:t>
            </w:r>
          </w:p>
        </w:tc>
        <w:tc>
          <w:tcPr>
            <w:tcW w:w="1280" w:type="dxa"/>
            <w:vAlign w:val="bottom"/>
            <w:tcBorders>
              <w:right w:val="single" w:sz="8" w:color="134A9C"/>
            </w:tcBorders>
          </w:tcPr>
          <w:p>
            <w:pPr>
              <w:jc w:val="right"/>
              <w:ind w:right="88"/>
              <w:spacing w:after="0"/>
              <w:rPr>
                <w:sz w:val="20"/>
                <w:szCs w:val="20"/>
                <w:color w:val="auto"/>
              </w:rPr>
            </w:pPr>
            <w:r>
              <w:rPr>
                <w:rFonts w:ascii="Arial" w:cs="Arial" w:eastAsia="Arial" w:hAnsi="Arial"/>
                <w:sz w:val="14"/>
                <w:szCs w:val="14"/>
                <w:color w:val="auto"/>
              </w:rPr>
              <w:t>22,424</w:t>
            </w:r>
          </w:p>
        </w:tc>
        <w:tc>
          <w:tcPr>
            <w:tcW w:w="126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11,838</w:t>
            </w:r>
          </w:p>
        </w:tc>
        <w:tc>
          <w:tcPr>
            <w:tcW w:w="1280" w:type="dxa"/>
            <w:vAlign w:val="bottom"/>
            <w:tcBorders>
              <w:right w:val="single" w:sz="8" w:color="134A9C"/>
            </w:tcBorders>
          </w:tcPr>
          <w:p>
            <w:pPr>
              <w:jc w:val="right"/>
              <w:ind w:right="88"/>
              <w:spacing w:after="0"/>
              <w:rPr>
                <w:sz w:val="20"/>
                <w:szCs w:val="20"/>
                <w:color w:val="auto"/>
              </w:rPr>
            </w:pPr>
            <w:r>
              <w:rPr>
                <w:rFonts w:ascii="Arial" w:cs="Arial" w:eastAsia="Arial" w:hAnsi="Arial"/>
                <w:sz w:val="14"/>
                <w:szCs w:val="14"/>
                <w:color w:val="auto"/>
              </w:rPr>
              <w:t>24,979</w:t>
            </w:r>
          </w:p>
        </w:tc>
        <w:tc>
          <w:tcPr>
            <w:tcW w:w="1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12,700</w:t>
            </w:r>
          </w:p>
        </w:tc>
        <w:tc>
          <w:tcPr>
            <w:tcW w:w="1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22,744</w:t>
            </w:r>
          </w:p>
        </w:tc>
        <w:tc>
          <w:tcPr>
            <w:tcW w:w="1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18,150</w:t>
            </w:r>
          </w:p>
        </w:tc>
        <w:tc>
          <w:tcPr>
            <w:tcW w:w="12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8,238</w:t>
            </w:r>
          </w:p>
        </w:tc>
        <w:tc>
          <w:tcPr>
            <w:tcW w:w="0" w:type="dxa"/>
            <w:vAlign w:val="bottom"/>
          </w:tcPr>
          <w:p>
            <w:pPr>
              <w:spacing w:after="0"/>
              <w:rPr>
                <w:sz w:val="1"/>
                <w:szCs w:val="1"/>
                <w:color w:val="auto"/>
              </w:rPr>
            </w:pPr>
          </w:p>
        </w:tc>
      </w:tr>
      <w:tr>
        <w:trPr>
          <w:trHeight w:val="189"/>
        </w:trPr>
        <w:tc>
          <w:tcPr>
            <w:tcW w:w="2660" w:type="dxa"/>
            <w:vAlign w:val="bottom"/>
            <w:tcBorders>
              <w:left w:val="single" w:sz="8" w:color="134A9C"/>
              <w:bottom w:val="single" w:sz="8" w:color="134A9C"/>
              <w:right w:val="single" w:sz="8" w:color="134A9C"/>
            </w:tcBorders>
          </w:tcPr>
          <w:p>
            <w:pPr>
              <w:ind w:left="40"/>
              <w:spacing w:after="0" w:line="189" w:lineRule="exact"/>
              <w:rPr>
                <w:sz w:val="20"/>
                <w:szCs w:val="20"/>
                <w:color w:val="auto"/>
              </w:rPr>
            </w:pPr>
            <w:r>
              <w:rPr>
                <w:rFonts w:ascii="Arial" w:cs="Arial" w:eastAsia="Arial" w:hAnsi="Arial"/>
                <w:sz w:val="14"/>
                <w:szCs w:val="14"/>
                <w:color w:val="auto"/>
              </w:rPr>
              <w:t>Financial Counseling</w:t>
            </w:r>
            <w:r>
              <w:rPr>
                <w:rFonts w:ascii="Arial" w:cs="Arial" w:eastAsia="Arial" w:hAnsi="Arial"/>
                <w:sz w:val="17"/>
                <w:szCs w:val="17"/>
                <w:color w:val="auto"/>
                <w:vertAlign w:val="superscript"/>
              </w:rPr>
              <w:t>(4)</w:t>
            </w:r>
          </w:p>
        </w:tc>
        <w:tc>
          <w:tcPr>
            <w:tcW w:w="1280" w:type="dxa"/>
            <w:vAlign w:val="bottom"/>
            <w:tcBorders>
              <w:bottom w:val="single" w:sz="8" w:color="134A9C"/>
              <w:right w:val="single" w:sz="8" w:color="134A9C"/>
            </w:tcBorders>
          </w:tcPr>
          <w:p>
            <w:pPr>
              <w:jc w:val="right"/>
              <w:ind w:right="88"/>
              <w:spacing w:after="0"/>
              <w:rPr>
                <w:sz w:val="20"/>
                <w:szCs w:val="20"/>
                <w:color w:val="auto"/>
              </w:rPr>
            </w:pPr>
            <w:r>
              <w:rPr>
                <w:rFonts w:ascii="Arial" w:cs="Arial" w:eastAsia="Arial" w:hAnsi="Arial"/>
                <w:sz w:val="14"/>
                <w:szCs w:val="14"/>
                <w:color w:val="auto"/>
              </w:rPr>
              <w:t>9,360</w:t>
            </w:r>
          </w:p>
        </w:tc>
        <w:tc>
          <w:tcPr>
            <w:tcW w:w="12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9,276</w:t>
            </w:r>
          </w:p>
        </w:tc>
        <w:tc>
          <w:tcPr>
            <w:tcW w:w="1280" w:type="dxa"/>
            <w:vAlign w:val="bottom"/>
            <w:tcBorders>
              <w:bottom w:val="single" w:sz="8" w:color="134A9C"/>
              <w:right w:val="single" w:sz="8" w:color="134A9C"/>
            </w:tcBorders>
          </w:tcPr>
          <w:p>
            <w:pPr>
              <w:jc w:val="right"/>
              <w:ind w:right="88"/>
              <w:spacing w:after="0"/>
              <w:rPr>
                <w:sz w:val="20"/>
                <w:szCs w:val="20"/>
                <w:color w:val="auto"/>
              </w:rPr>
            </w:pPr>
            <w:r>
              <w:rPr>
                <w:rFonts w:ascii="Arial" w:cs="Arial" w:eastAsia="Arial" w:hAnsi="Arial"/>
                <w:sz w:val="14"/>
                <w:szCs w:val="14"/>
                <w:color w:val="auto"/>
              </w:rPr>
              <w:t>5,442</w:t>
            </w:r>
          </w:p>
        </w:tc>
        <w:tc>
          <w:tcPr>
            <w:tcW w:w="1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10,025</w:t>
            </w:r>
          </w:p>
        </w:tc>
        <w:tc>
          <w:tcPr>
            <w:tcW w:w="1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9,360</w:t>
            </w:r>
          </w:p>
        </w:tc>
        <w:tc>
          <w:tcPr>
            <w:tcW w:w="1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66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Total All Other Compensation</w:t>
            </w:r>
          </w:p>
        </w:tc>
        <w:tc>
          <w:tcPr>
            <w:tcW w:w="1280" w:type="dxa"/>
            <w:vAlign w:val="bottom"/>
            <w:tcBorders>
              <w:bottom w:val="single" w:sz="8" w:color="134A9C"/>
              <w:right w:val="single" w:sz="8" w:color="134A9C"/>
            </w:tcBorders>
          </w:tcPr>
          <w:p>
            <w:pPr>
              <w:jc w:val="right"/>
              <w:ind w:right="88"/>
              <w:spacing w:after="0"/>
              <w:rPr>
                <w:sz w:val="20"/>
                <w:szCs w:val="20"/>
                <w:color w:val="auto"/>
              </w:rPr>
            </w:pPr>
            <w:r>
              <w:rPr>
                <w:rFonts w:ascii="Arial" w:cs="Arial" w:eastAsia="Arial" w:hAnsi="Arial"/>
                <w:sz w:val="14"/>
                <w:szCs w:val="14"/>
                <w:color w:val="auto"/>
              </w:rPr>
              <w:t>246,695</w:t>
            </w:r>
          </w:p>
        </w:tc>
        <w:tc>
          <w:tcPr>
            <w:tcW w:w="12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21,114</w:t>
            </w:r>
          </w:p>
        </w:tc>
        <w:tc>
          <w:tcPr>
            <w:tcW w:w="1280" w:type="dxa"/>
            <w:vAlign w:val="bottom"/>
            <w:tcBorders>
              <w:bottom w:val="single" w:sz="8" w:color="134A9C"/>
              <w:right w:val="single" w:sz="8" w:color="134A9C"/>
            </w:tcBorders>
          </w:tcPr>
          <w:p>
            <w:pPr>
              <w:jc w:val="right"/>
              <w:ind w:right="88"/>
              <w:spacing w:after="0"/>
              <w:rPr>
                <w:sz w:val="20"/>
                <w:szCs w:val="20"/>
                <w:color w:val="auto"/>
              </w:rPr>
            </w:pPr>
            <w:r>
              <w:rPr>
                <w:rFonts w:ascii="Arial" w:cs="Arial" w:eastAsia="Arial" w:hAnsi="Arial"/>
                <w:sz w:val="14"/>
                <w:szCs w:val="14"/>
                <w:color w:val="auto"/>
              </w:rPr>
              <w:t>121,208</w:t>
            </w:r>
          </w:p>
        </w:tc>
        <w:tc>
          <w:tcPr>
            <w:tcW w:w="1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22,725</w:t>
            </w:r>
          </w:p>
        </w:tc>
        <w:tc>
          <w:tcPr>
            <w:tcW w:w="1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32,104</w:t>
            </w:r>
          </w:p>
        </w:tc>
        <w:tc>
          <w:tcPr>
            <w:tcW w:w="1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18,150</w:t>
            </w:r>
          </w:p>
        </w:tc>
        <w:tc>
          <w:tcPr>
            <w:tcW w:w="12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59,538</w:t>
            </w: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ind w:left="240" w:right="20" w:hanging="232"/>
        <w:spacing w:after="0" w:line="241" w:lineRule="auto"/>
        <w:tabs>
          <w:tab w:leader="none" w:pos="2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Ms. Barra had $189,936 attributed to the use of charter aircraft for personal travel. Mr. Ammann had $68,250 attributed to the use of charter aircraft for personal travel, including a portion for his relocation. Additionally, Mr. Ammann had $22,537 in commercial air travel during his relocation to Detroit. Mr. Akerson has $51,300 attributed to the use of charter aircraft for personal travel.</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Amounts include the actual costs of residential security systems maintenance and monitoring for Ms. Barra.</w:t>
      </w:r>
    </w:p>
    <w:p>
      <w:pPr>
        <w:spacing w:after="0" w:line="1" w:lineRule="exact"/>
        <w:rPr>
          <w:rFonts w:ascii="Arial" w:cs="Arial" w:eastAsia="Arial" w:hAnsi="Arial"/>
          <w:sz w:val="14"/>
          <w:szCs w:val="14"/>
          <w:color w:val="auto"/>
        </w:rPr>
      </w:pPr>
    </w:p>
    <w:p>
      <w:pPr>
        <w:jc w:val="both"/>
        <w:ind w:left="240" w:right="20" w:hanging="232"/>
        <w:spacing w:after="0" w:line="241" w:lineRule="auto"/>
        <w:tabs>
          <w:tab w:leader="none" w:pos="2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Company vehicle programs include the incremental cost of cars and drivers provided by the Company for various events and incremental costs to maintain the Executive Company Vehicle Program fleet. Participants in the program evaluate the vehicles they drive, thus providing feedback about our products. Participants are charged imputed income based on the value of the vehicle they choose to drive. Taxes assessed on imputed income are the responsibility of the participant. Mr. Akerson's vehicle was provided under the provisions of the vehicle program for the Board and is described on page 29.</w:t>
      </w:r>
    </w:p>
    <w:p>
      <w:pPr>
        <w:spacing w:after="0" w:line="1" w:lineRule="exact"/>
        <w:rPr>
          <w:rFonts w:ascii="Arial" w:cs="Arial" w:eastAsia="Arial" w:hAnsi="Arial"/>
          <w:sz w:val="14"/>
          <w:szCs w:val="14"/>
          <w:color w:val="auto"/>
        </w:rPr>
      </w:pPr>
    </w:p>
    <w:p>
      <w:pPr>
        <w:ind w:left="240" w:right="20" w:hanging="232"/>
        <w:spacing w:after="0" w:line="258" w:lineRule="auto"/>
        <w:tabs>
          <w:tab w:leader="none" w:pos="2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Costs associated with financial counseling and estate planning services with approved providers. The amount for Mr. Reuss includes additional advisory services in connection with previous international assignments.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53</w:t>
      </w:r>
      <w:r>
        <w:rPr>
          <w:sz w:val="20"/>
          <w:szCs w:val="20"/>
          <w:color w:val="auto"/>
        </w:rPr>
        <w:tab/>
      </w:r>
      <w:r>
        <w:rPr>
          <w:sz w:val="1"/>
          <w:szCs w:val="1"/>
          <w:color w:val="auto"/>
        </w:rPr>
        <w:drawing>
          <wp:inline distT="0" distB="0" distL="0" distR="0">
            <wp:extent cx="120015" cy="12001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sectPr>
      </w:pPr>
    </w:p>
    <w:bookmarkStart w:id="57" w:name="page58"/>
    <w:bookmarkEnd w:id="57"/>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2014 Grants of Plan Based Awards</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TARP RSUs were awarded to Ms. Barra, Mr. Ammann, and Mr. Reuss on February 13, 2014 under the General Motors Company 2009 Long-Term Incentive Plan (the "2009 LTIP") based on the average of the high and low trading price of Common Stock on the NYSE on each grant date. Awards are subject to forfeiture until vested and settlement is conditioned upon the repayment of TARP obligations. On the second anniversary date of the grant, two-thirds of the awards will vest and settle ratably with each 25 percent of the TARP obligations that have been repaid. On the third anniversary date of the grant, one-third of the awards will vest and settle ratably with each 25 percent of the TARP obligations that have been repaid. In December 2013, the UST sold its remaining shares and subsequently determined that 25 percent of the outstanding shares remaining for TARP related RSU grants would be forfeited.</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Stevens’ RSU grants received on February 13, 2014 were awarded under the 2009 LTIP based on the high and low trading price of Common Stock on the NYSE on the grant date. His RSUs were awarded based on his 2013 performance and are contingent on his continued service on each vesting date. The RSUs for 2013 performance awarded to Mr. Stevens are not conditioned upon repayment of GM’s TARP obligations. For Mr. Stevens’ first grant of 17,148 shares, two-thirds of the award will vest on the second anniversary of the grant date and the final one-third will vest on the third anniversary of the grant date. The second grant of 4,225 shares vested on the first anniversary of the grant date.</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RSUs for retention purposes were awarded to Mr. Reuss (57,160 units granted on February 13, 2014), Mr. Millikin (58,191 units granted on March 31, 2014), and Dr. Neumann (27,587 units granted on February 18, 2014). Each RSU award was subject to continued employment. Mr. Reuss’ RSU grant vests on the third anniversary of the grant date, Mr. Millikin’s RSU grant vested on December 31, 2014, and Dr. Neumann’s RSU vests on the third anniversary of the grant date.</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 transition to a performance-based compensation approach, grants were made to each NEO with the exception of Mr. Akerson under the 2014 LTIP once the Company received stockholder approval at last year's annual meeting. Grants consisted of PSUs and RSUs for each NEO. PSUs, which vest and deliver at the end of the performance period, will be earned at a level between 0 to 200 percent of target. PSUs are based on the achievement of performance conditions relating to ROIC and Global Market Share over a three-year performance period from January 1, 2014 to December 31, 2016. The RSUs will vest ratably over the three-year period.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54</w:t>
      </w:r>
      <w:r>
        <w:rPr>
          <w:sz w:val="20"/>
          <w:szCs w:val="20"/>
          <w:color w:val="auto"/>
        </w:rPr>
        <w:tab/>
      </w:r>
      <w:r>
        <w:rPr>
          <w:sz w:val="1"/>
          <w:szCs w:val="1"/>
          <w:color w:val="auto"/>
        </w:rPr>
        <w:drawing>
          <wp:inline distT="0" distB="0" distL="0" distR="0">
            <wp:extent cx="120015" cy="12001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58" w:name="page59"/>
    <w:bookmarkEnd w:id="58"/>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1280" w:type="dxa"/>
            <w:vAlign w:val="bottom"/>
            <w:tcBorders>
              <w:left w:val="single" w:sz="8" w:color="134A9C"/>
              <w:right w:val="single" w:sz="8" w:color="134A9C"/>
            </w:tcBorders>
            <w:shd w:val="clear" w:color="auto" w:fill="134A9C"/>
          </w:tcPr>
          <w:p>
            <w:pPr>
              <w:spacing w:after="0"/>
              <w:rPr>
                <w:sz w:val="13"/>
                <w:szCs w:val="13"/>
                <w:color w:val="auto"/>
              </w:rPr>
            </w:pPr>
          </w:p>
        </w:tc>
        <w:tc>
          <w:tcPr>
            <w:tcW w:w="580" w:type="dxa"/>
            <w:vAlign w:val="bottom"/>
            <w:tcBorders>
              <w:right w:val="single" w:sz="8" w:color="134A9C"/>
            </w:tcBorders>
            <w:shd w:val="clear" w:color="auto" w:fill="134A9C"/>
          </w:tcPr>
          <w:p>
            <w:pPr>
              <w:spacing w:after="0"/>
              <w:rPr>
                <w:sz w:val="13"/>
                <w:szCs w:val="13"/>
                <w:color w:val="auto"/>
              </w:rPr>
            </w:pPr>
          </w:p>
        </w:tc>
        <w:tc>
          <w:tcPr>
            <w:tcW w:w="920" w:type="dxa"/>
            <w:vAlign w:val="bottom"/>
            <w:tcBorders>
              <w:right w:val="single" w:sz="8" w:color="134A9C"/>
            </w:tcBorders>
            <w:shd w:val="clear" w:color="auto" w:fill="134A9C"/>
          </w:tcPr>
          <w:p>
            <w:pPr>
              <w:spacing w:after="0"/>
              <w:rPr>
                <w:sz w:val="13"/>
                <w:szCs w:val="13"/>
                <w:color w:val="auto"/>
              </w:rPr>
            </w:pPr>
          </w:p>
        </w:tc>
        <w:tc>
          <w:tcPr>
            <w:tcW w:w="820" w:type="dxa"/>
            <w:vAlign w:val="bottom"/>
            <w:tcBorders>
              <w:right w:val="single" w:sz="8" w:color="134A9C"/>
            </w:tcBorders>
            <w:shd w:val="clear" w:color="auto" w:fill="134A9C"/>
          </w:tcPr>
          <w:p>
            <w:pPr>
              <w:spacing w:after="0"/>
              <w:rPr>
                <w:sz w:val="13"/>
                <w:szCs w:val="13"/>
                <w:color w:val="auto"/>
              </w:rPr>
            </w:pPr>
          </w:p>
        </w:tc>
        <w:tc>
          <w:tcPr>
            <w:tcW w:w="2400" w:type="dxa"/>
            <w:vAlign w:val="bottom"/>
            <w:tcBorders>
              <w:right w:val="single" w:sz="8" w:color="134A9C"/>
            </w:tcBorders>
            <w:gridSpan w:val="3"/>
            <w:vMerge w:val="restart"/>
            <w:shd w:val="clear" w:color="auto" w:fill="134A9C"/>
          </w:tcPr>
          <w:p>
            <w:pPr>
              <w:jc w:val="center"/>
              <w:ind w:right="6"/>
              <w:spacing w:after="0"/>
              <w:rPr>
                <w:sz w:val="20"/>
                <w:szCs w:val="20"/>
                <w:color w:val="auto"/>
              </w:rPr>
            </w:pPr>
            <w:r>
              <w:rPr>
                <w:rFonts w:ascii="Arial" w:cs="Arial" w:eastAsia="Arial" w:hAnsi="Arial"/>
                <w:sz w:val="11"/>
                <w:szCs w:val="11"/>
                <w:color w:val="FFFFFF"/>
                <w:w w:val="98"/>
              </w:rPr>
              <w:t>Estimated Future Payouts Under Non-Equity</w:t>
            </w:r>
          </w:p>
        </w:tc>
        <w:tc>
          <w:tcPr>
            <w:tcW w:w="2260" w:type="dxa"/>
            <w:vAlign w:val="bottom"/>
            <w:tcBorders>
              <w:right w:val="single" w:sz="8" w:color="134A9C"/>
            </w:tcBorders>
            <w:gridSpan w:val="3"/>
            <w:vMerge w:val="restart"/>
            <w:shd w:val="clear" w:color="auto" w:fill="134A9C"/>
          </w:tcPr>
          <w:p>
            <w:pPr>
              <w:jc w:val="center"/>
              <w:spacing w:after="0"/>
              <w:rPr>
                <w:sz w:val="20"/>
                <w:szCs w:val="20"/>
                <w:color w:val="auto"/>
              </w:rPr>
            </w:pPr>
            <w:r>
              <w:rPr>
                <w:rFonts w:ascii="Arial" w:cs="Arial" w:eastAsia="Arial" w:hAnsi="Arial"/>
                <w:sz w:val="11"/>
                <w:szCs w:val="11"/>
                <w:color w:val="FFFFFF"/>
                <w:w w:val="98"/>
              </w:rPr>
              <w:t>Estimated Future Payouts Under Equity</w:t>
            </w:r>
          </w:p>
        </w:tc>
        <w:tc>
          <w:tcPr>
            <w:tcW w:w="780" w:type="dxa"/>
            <w:vAlign w:val="bottom"/>
            <w:shd w:val="clear" w:color="auto" w:fill="134A9C"/>
          </w:tcPr>
          <w:p>
            <w:pPr>
              <w:jc w:val="center"/>
              <w:spacing w:after="0"/>
              <w:rPr>
                <w:sz w:val="20"/>
                <w:szCs w:val="20"/>
                <w:color w:val="auto"/>
              </w:rPr>
            </w:pPr>
            <w:r>
              <w:rPr>
                <w:rFonts w:ascii="Arial" w:cs="Arial" w:eastAsia="Arial" w:hAnsi="Arial"/>
                <w:sz w:val="11"/>
                <w:szCs w:val="11"/>
                <w:color w:val="FFFFFF"/>
                <w:w w:val="98"/>
              </w:rPr>
              <w:t>All Other Stock</w:t>
            </w:r>
          </w:p>
        </w:tc>
        <w:tc>
          <w:tcPr>
            <w:tcW w:w="920" w:type="dxa"/>
            <w:vAlign w:val="bottom"/>
            <w:shd w:val="clear" w:color="auto" w:fill="134A9C"/>
          </w:tcPr>
          <w:p>
            <w:pPr>
              <w:spacing w:after="0"/>
              <w:rPr>
                <w:sz w:val="13"/>
                <w:szCs w:val="13"/>
                <w:color w:val="auto"/>
              </w:rPr>
            </w:pPr>
          </w:p>
        </w:tc>
        <w:tc>
          <w:tcPr>
            <w:tcW w:w="680" w:type="dxa"/>
            <w:vAlign w:val="bottom"/>
            <w:tcBorders>
              <w:right w:val="single" w:sz="8" w:color="134A9C"/>
            </w:tcBorders>
            <w:shd w:val="clear" w:color="auto" w:fill="134A9C"/>
          </w:tcPr>
          <w:p>
            <w:pPr>
              <w:spacing w:after="0"/>
              <w:rPr>
                <w:sz w:val="13"/>
                <w:szCs w:val="13"/>
                <w:color w:val="auto"/>
              </w:rPr>
            </w:pPr>
          </w:p>
        </w:tc>
        <w:tc>
          <w:tcPr>
            <w:tcW w:w="80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1"/>
                <w:szCs w:val="11"/>
                <w:color w:val="FFFFFF"/>
                <w:w w:val="96"/>
              </w:rPr>
              <w:t>Grant Date</w:t>
            </w:r>
          </w:p>
        </w:tc>
        <w:tc>
          <w:tcPr>
            <w:tcW w:w="0" w:type="dxa"/>
            <w:vAlign w:val="bottom"/>
          </w:tcPr>
          <w:p>
            <w:pPr>
              <w:spacing w:after="0"/>
              <w:rPr>
                <w:sz w:val="1"/>
                <w:szCs w:val="1"/>
                <w:color w:val="auto"/>
              </w:rPr>
            </w:pPr>
          </w:p>
        </w:tc>
      </w:tr>
      <w:tr>
        <w:trPr>
          <w:trHeight w:val="98"/>
        </w:trPr>
        <w:tc>
          <w:tcPr>
            <w:tcW w:w="1280" w:type="dxa"/>
            <w:vAlign w:val="bottom"/>
            <w:tcBorders>
              <w:left w:val="single" w:sz="8" w:color="134A9C"/>
              <w:right w:val="single" w:sz="8" w:color="134A9C"/>
            </w:tcBorders>
            <w:shd w:val="clear" w:color="auto" w:fill="134A9C"/>
          </w:tcPr>
          <w:p>
            <w:pPr>
              <w:spacing w:after="0"/>
              <w:rPr>
                <w:sz w:val="8"/>
                <w:szCs w:val="8"/>
                <w:color w:val="auto"/>
              </w:rPr>
            </w:pPr>
          </w:p>
        </w:tc>
        <w:tc>
          <w:tcPr>
            <w:tcW w:w="580" w:type="dxa"/>
            <w:vAlign w:val="bottom"/>
            <w:tcBorders>
              <w:right w:val="single" w:sz="8" w:color="134A9C"/>
            </w:tcBorders>
            <w:shd w:val="clear" w:color="auto" w:fill="134A9C"/>
          </w:tcPr>
          <w:p>
            <w:pPr>
              <w:spacing w:after="0"/>
              <w:rPr>
                <w:sz w:val="8"/>
                <w:szCs w:val="8"/>
                <w:color w:val="auto"/>
              </w:rPr>
            </w:pPr>
          </w:p>
        </w:tc>
        <w:tc>
          <w:tcPr>
            <w:tcW w:w="920" w:type="dxa"/>
            <w:vAlign w:val="bottom"/>
            <w:tcBorders>
              <w:right w:val="single" w:sz="8" w:color="134A9C"/>
            </w:tcBorders>
            <w:shd w:val="clear" w:color="auto" w:fill="134A9C"/>
          </w:tcPr>
          <w:p>
            <w:pPr>
              <w:spacing w:after="0"/>
              <w:rPr>
                <w:sz w:val="8"/>
                <w:szCs w:val="8"/>
                <w:color w:val="auto"/>
              </w:rPr>
            </w:pPr>
          </w:p>
        </w:tc>
        <w:tc>
          <w:tcPr>
            <w:tcW w:w="820" w:type="dxa"/>
            <w:vAlign w:val="bottom"/>
            <w:tcBorders>
              <w:right w:val="single" w:sz="8" w:color="134A9C"/>
            </w:tcBorders>
            <w:shd w:val="clear" w:color="auto" w:fill="134A9C"/>
          </w:tcPr>
          <w:p>
            <w:pPr>
              <w:spacing w:after="0"/>
              <w:rPr>
                <w:sz w:val="8"/>
                <w:szCs w:val="8"/>
                <w:color w:val="auto"/>
              </w:rPr>
            </w:pPr>
          </w:p>
        </w:tc>
        <w:tc>
          <w:tcPr>
            <w:tcW w:w="2400" w:type="dxa"/>
            <w:vAlign w:val="bottom"/>
            <w:tcBorders>
              <w:right w:val="single" w:sz="8" w:color="134A9C"/>
            </w:tcBorders>
            <w:gridSpan w:val="3"/>
            <w:vMerge w:val="continue"/>
            <w:shd w:val="clear" w:color="auto" w:fill="134A9C"/>
          </w:tcPr>
          <w:p>
            <w:pPr>
              <w:spacing w:after="0"/>
              <w:rPr>
                <w:sz w:val="8"/>
                <w:szCs w:val="8"/>
                <w:color w:val="auto"/>
              </w:rPr>
            </w:pPr>
          </w:p>
        </w:tc>
        <w:tc>
          <w:tcPr>
            <w:tcW w:w="2260" w:type="dxa"/>
            <w:vAlign w:val="bottom"/>
            <w:tcBorders>
              <w:right w:val="single" w:sz="8" w:color="134A9C"/>
            </w:tcBorders>
            <w:gridSpan w:val="3"/>
            <w:vMerge w:val="continue"/>
            <w:shd w:val="clear" w:color="auto" w:fill="134A9C"/>
          </w:tcPr>
          <w:p>
            <w:pPr>
              <w:spacing w:after="0"/>
              <w:rPr>
                <w:sz w:val="8"/>
                <w:szCs w:val="8"/>
                <w:color w:val="auto"/>
              </w:rPr>
            </w:pPr>
          </w:p>
        </w:tc>
        <w:tc>
          <w:tcPr>
            <w:tcW w:w="780" w:type="dxa"/>
            <w:vAlign w:val="bottom"/>
            <w:shd w:val="clear" w:color="auto" w:fill="134A9C"/>
          </w:tcPr>
          <w:p>
            <w:pPr>
              <w:jc w:val="center"/>
              <w:spacing w:after="0" w:line="98" w:lineRule="exact"/>
              <w:rPr>
                <w:sz w:val="20"/>
                <w:szCs w:val="20"/>
                <w:color w:val="auto"/>
              </w:rPr>
            </w:pPr>
            <w:r>
              <w:rPr>
                <w:rFonts w:ascii="Arial" w:cs="Arial" w:eastAsia="Arial" w:hAnsi="Arial"/>
                <w:sz w:val="11"/>
                <w:szCs w:val="11"/>
                <w:color w:val="FFFFFF"/>
                <w:w w:val="95"/>
              </w:rPr>
              <w:t>Awards:</w:t>
            </w:r>
          </w:p>
        </w:tc>
        <w:tc>
          <w:tcPr>
            <w:tcW w:w="920" w:type="dxa"/>
            <w:vAlign w:val="bottom"/>
            <w:shd w:val="clear" w:color="auto" w:fill="134A9C"/>
          </w:tcPr>
          <w:p>
            <w:pPr>
              <w:jc w:val="center"/>
              <w:spacing w:after="0" w:line="98" w:lineRule="exact"/>
              <w:rPr>
                <w:sz w:val="20"/>
                <w:szCs w:val="20"/>
                <w:color w:val="auto"/>
              </w:rPr>
            </w:pPr>
            <w:r>
              <w:rPr>
                <w:rFonts w:ascii="Arial" w:cs="Arial" w:eastAsia="Arial" w:hAnsi="Arial"/>
                <w:sz w:val="11"/>
                <w:szCs w:val="11"/>
                <w:color w:val="FFFFFF"/>
                <w:w w:val="97"/>
              </w:rPr>
              <w:t>All Other Option</w:t>
            </w:r>
          </w:p>
        </w:tc>
        <w:tc>
          <w:tcPr>
            <w:tcW w:w="680" w:type="dxa"/>
            <w:vAlign w:val="bottom"/>
            <w:tcBorders>
              <w:right w:val="single" w:sz="8" w:color="134A9C"/>
            </w:tcBorders>
            <w:shd w:val="clear" w:color="auto" w:fill="134A9C"/>
          </w:tcPr>
          <w:p>
            <w:pPr>
              <w:jc w:val="center"/>
              <w:spacing w:after="0" w:line="98" w:lineRule="exact"/>
              <w:rPr>
                <w:sz w:val="20"/>
                <w:szCs w:val="20"/>
                <w:color w:val="auto"/>
              </w:rPr>
            </w:pPr>
            <w:r>
              <w:rPr>
                <w:rFonts w:ascii="Arial" w:cs="Arial" w:eastAsia="Arial" w:hAnsi="Arial"/>
                <w:sz w:val="11"/>
                <w:szCs w:val="11"/>
                <w:color w:val="FFFFFF"/>
                <w:w w:val="98"/>
              </w:rPr>
              <w:t>Exercise or</w:t>
            </w:r>
          </w:p>
        </w:tc>
        <w:tc>
          <w:tcPr>
            <w:tcW w:w="800" w:type="dxa"/>
            <w:vAlign w:val="bottom"/>
            <w:tcBorders>
              <w:right w:val="single" w:sz="8" w:color="134A9C"/>
            </w:tcBorders>
            <w:shd w:val="clear" w:color="auto" w:fill="134A9C"/>
          </w:tcPr>
          <w:p>
            <w:pPr>
              <w:jc w:val="center"/>
              <w:spacing w:after="0" w:line="98" w:lineRule="exact"/>
              <w:rPr>
                <w:sz w:val="20"/>
                <w:szCs w:val="20"/>
                <w:color w:val="auto"/>
              </w:rPr>
            </w:pPr>
            <w:r>
              <w:rPr>
                <w:rFonts w:ascii="Arial" w:cs="Arial" w:eastAsia="Arial" w:hAnsi="Arial"/>
                <w:sz w:val="11"/>
                <w:szCs w:val="11"/>
                <w:color w:val="FFFFFF"/>
                <w:w w:val="96"/>
              </w:rPr>
              <w:t>Fair Value of</w:t>
            </w:r>
          </w:p>
        </w:tc>
        <w:tc>
          <w:tcPr>
            <w:tcW w:w="0" w:type="dxa"/>
            <w:vAlign w:val="bottom"/>
          </w:tcPr>
          <w:p>
            <w:pPr>
              <w:spacing w:after="0"/>
              <w:rPr>
                <w:sz w:val="1"/>
                <w:szCs w:val="1"/>
                <w:color w:val="auto"/>
              </w:rPr>
            </w:pPr>
          </w:p>
        </w:tc>
      </w:tr>
      <w:tr>
        <w:trPr>
          <w:trHeight w:val="145"/>
        </w:trPr>
        <w:tc>
          <w:tcPr>
            <w:tcW w:w="1280" w:type="dxa"/>
            <w:vAlign w:val="bottom"/>
            <w:tcBorders>
              <w:left w:val="single" w:sz="8" w:color="134A9C"/>
              <w:right w:val="single" w:sz="8" w:color="134A9C"/>
            </w:tcBorders>
            <w:shd w:val="clear" w:color="auto" w:fill="134A9C"/>
          </w:tcPr>
          <w:p>
            <w:pPr>
              <w:spacing w:after="0"/>
              <w:rPr>
                <w:sz w:val="12"/>
                <w:szCs w:val="12"/>
                <w:color w:val="auto"/>
              </w:rPr>
            </w:pPr>
          </w:p>
        </w:tc>
        <w:tc>
          <w:tcPr>
            <w:tcW w:w="580" w:type="dxa"/>
            <w:vAlign w:val="bottom"/>
            <w:tcBorders>
              <w:right w:val="single" w:sz="8" w:color="134A9C"/>
            </w:tcBorders>
            <w:shd w:val="clear" w:color="auto" w:fill="134A9C"/>
          </w:tcPr>
          <w:p>
            <w:pPr>
              <w:spacing w:after="0"/>
              <w:rPr>
                <w:sz w:val="12"/>
                <w:szCs w:val="12"/>
                <w:color w:val="auto"/>
              </w:rPr>
            </w:pPr>
          </w:p>
        </w:tc>
        <w:tc>
          <w:tcPr>
            <w:tcW w:w="920" w:type="dxa"/>
            <w:vAlign w:val="bottom"/>
            <w:tcBorders>
              <w:right w:val="single" w:sz="8" w:color="134A9C"/>
            </w:tcBorders>
            <w:shd w:val="clear" w:color="auto" w:fill="134A9C"/>
          </w:tcPr>
          <w:p>
            <w:pPr>
              <w:spacing w:after="0"/>
              <w:rPr>
                <w:sz w:val="12"/>
                <w:szCs w:val="12"/>
                <w:color w:val="auto"/>
              </w:rPr>
            </w:pPr>
          </w:p>
        </w:tc>
        <w:tc>
          <w:tcPr>
            <w:tcW w:w="820" w:type="dxa"/>
            <w:vAlign w:val="bottom"/>
            <w:tcBorders>
              <w:right w:val="single" w:sz="8" w:color="134A9C"/>
            </w:tcBorders>
            <w:shd w:val="clear" w:color="auto" w:fill="134A9C"/>
          </w:tcPr>
          <w:p>
            <w:pPr>
              <w:spacing w:after="0"/>
              <w:rPr>
                <w:sz w:val="12"/>
                <w:szCs w:val="12"/>
                <w:color w:val="auto"/>
              </w:rPr>
            </w:pPr>
          </w:p>
        </w:tc>
        <w:tc>
          <w:tcPr>
            <w:tcW w:w="1720" w:type="dxa"/>
            <w:vAlign w:val="bottom"/>
            <w:gridSpan w:val="2"/>
            <w:shd w:val="clear" w:color="auto" w:fill="134A9C"/>
          </w:tcPr>
          <w:p>
            <w:pPr>
              <w:jc w:val="center"/>
              <w:ind w:left="566"/>
              <w:spacing w:after="0"/>
              <w:rPr>
                <w:sz w:val="20"/>
                <w:szCs w:val="20"/>
                <w:color w:val="auto"/>
              </w:rPr>
            </w:pPr>
            <w:r>
              <w:rPr>
                <w:rFonts w:ascii="Arial" w:cs="Arial" w:eastAsia="Arial" w:hAnsi="Arial"/>
                <w:sz w:val="11"/>
                <w:szCs w:val="11"/>
                <w:color w:val="FFFFFF"/>
                <w:w w:val="97"/>
              </w:rPr>
              <w:t>Incentive Plan Awards</w:t>
            </w:r>
          </w:p>
        </w:tc>
        <w:tc>
          <w:tcPr>
            <w:tcW w:w="680" w:type="dxa"/>
            <w:vAlign w:val="bottom"/>
            <w:tcBorders>
              <w:right w:val="single" w:sz="8" w:color="134A9C"/>
            </w:tcBorders>
            <w:shd w:val="clear" w:color="auto" w:fill="134A9C"/>
          </w:tcPr>
          <w:p>
            <w:pPr>
              <w:spacing w:after="0"/>
              <w:rPr>
                <w:sz w:val="12"/>
                <w:szCs w:val="12"/>
                <w:color w:val="auto"/>
              </w:rPr>
            </w:pPr>
          </w:p>
        </w:tc>
        <w:tc>
          <w:tcPr>
            <w:tcW w:w="2260" w:type="dxa"/>
            <w:vAlign w:val="bottom"/>
            <w:tcBorders>
              <w:right w:val="single" w:sz="8" w:color="134A9C"/>
            </w:tcBorders>
            <w:gridSpan w:val="3"/>
            <w:shd w:val="clear" w:color="auto" w:fill="134A9C"/>
          </w:tcPr>
          <w:p>
            <w:pPr>
              <w:jc w:val="center"/>
              <w:spacing w:after="0"/>
              <w:rPr>
                <w:sz w:val="20"/>
                <w:szCs w:val="20"/>
                <w:color w:val="auto"/>
              </w:rPr>
            </w:pPr>
            <w:r>
              <w:rPr>
                <w:rFonts w:ascii="Arial" w:cs="Arial" w:eastAsia="Arial" w:hAnsi="Arial"/>
                <w:sz w:val="11"/>
                <w:szCs w:val="11"/>
                <w:color w:val="FFFFFF"/>
                <w:w w:val="97"/>
              </w:rPr>
              <w:t>Incentive Plan Awards</w:t>
            </w:r>
          </w:p>
        </w:tc>
        <w:tc>
          <w:tcPr>
            <w:tcW w:w="780" w:type="dxa"/>
            <w:vAlign w:val="bottom"/>
            <w:shd w:val="clear" w:color="auto" w:fill="134A9C"/>
          </w:tcPr>
          <w:p>
            <w:pPr>
              <w:jc w:val="center"/>
              <w:spacing w:after="0"/>
              <w:rPr>
                <w:sz w:val="20"/>
                <w:szCs w:val="20"/>
                <w:color w:val="auto"/>
              </w:rPr>
            </w:pPr>
            <w:r>
              <w:rPr>
                <w:rFonts w:ascii="Arial" w:cs="Arial" w:eastAsia="Arial" w:hAnsi="Arial"/>
                <w:sz w:val="11"/>
                <w:szCs w:val="11"/>
                <w:color w:val="FFFFFF"/>
                <w:w w:val="97"/>
              </w:rPr>
              <w:t>Number of</w:t>
            </w:r>
          </w:p>
        </w:tc>
        <w:tc>
          <w:tcPr>
            <w:tcW w:w="920" w:type="dxa"/>
            <w:vAlign w:val="bottom"/>
            <w:shd w:val="clear" w:color="auto" w:fill="134A9C"/>
          </w:tcPr>
          <w:p>
            <w:pPr>
              <w:jc w:val="center"/>
              <w:spacing w:after="0"/>
              <w:rPr>
                <w:sz w:val="20"/>
                <w:szCs w:val="20"/>
                <w:color w:val="auto"/>
              </w:rPr>
            </w:pPr>
            <w:r>
              <w:rPr>
                <w:rFonts w:ascii="Arial" w:cs="Arial" w:eastAsia="Arial" w:hAnsi="Arial"/>
                <w:sz w:val="11"/>
                <w:szCs w:val="11"/>
                <w:color w:val="FFFFFF"/>
                <w:w w:val="97"/>
              </w:rPr>
              <w:t>Awards: Number</w:t>
            </w:r>
          </w:p>
        </w:tc>
        <w:tc>
          <w:tcPr>
            <w:tcW w:w="68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1"/>
                <w:szCs w:val="11"/>
                <w:color w:val="FFFFFF"/>
                <w:w w:val="97"/>
              </w:rPr>
              <w:t>Base Price</w:t>
            </w:r>
          </w:p>
        </w:tc>
        <w:tc>
          <w:tcPr>
            <w:tcW w:w="80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1"/>
                <w:szCs w:val="11"/>
                <w:color w:val="FFFFFF"/>
                <w:w w:val="98"/>
              </w:rPr>
              <w:t>Stock and</w:t>
            </w:r>
          </w:p>
        </w:tc>
        <w:tc>
          <w:tcPr>
            <w:tcW w:w="0" w:type="dxa"/>
            <w:vAlign w:val="bottom"/>
          </w:tcPr>
          <w:p>
            <w:pPr>
              <w:spacing w:after="0"/>
              <w:rPr>
                <w:sz w:val="1"/>
                <w:szCs w:val="1"/>
                <w:color w:val="auto"/>
              </w:rPr>
            </w:pPr>
          </w:p>
        </w:tc>
      </w:tr>
      <w:tr>
        <w:trPr>
          <w:trHeight w:val="122"/>
        </w:trPr>
        <w:tc>
          <w:tcPr>
            <w:tcW w:w="1280" w:type="dxa"/>
            <w:vAlign w:val="bottom"/>
            <w:tcBorders>
              <w:left w:val="single" w:sz="8" w:color="134A9C"/>
              <w:right w:val="single" w:sz="8" w:color="134A9C"/>
            </w:tcBorders>
            <w:shd w:val="clear" w:color="auto" w:fill="134A9C"/>
          </w:tcPr>
          <w:p>
            <w:pPr>
              <w:spacing w:after="0"/>
              <w:rPr>
                <w:sz w:val="10"/>
                <w:szCs w:val="10"/>
                <w:color w:val="auto"/>
              </w:rPr>
            </w:pPr>
          </w:p>
        </w:tc>
        <w:tc>
          <w:tcPr>
            <w:tcW w:w="580" w:type="dxa"/>
            <w:vAlign w:val="bottom"/>
            <w:tcBorders>
              <w:right w:val="single" w:sz="8" w:color="134A9C"/>
            </w:tcBorders>
            <w:shd w:val="clear" w:color="auto" w:fill="134A9C"/>
          </w:tcPr>
          <w:p>
            <w:pPr>
              <w:spacing w:after="0"/>
              <w:rPr>
                <w:sz w:val="10"/>
                <w:szCs w:val="10"/>
                <w:color w:val="auto"/>
              </w:rPr>
            </w:pPr>
          </w:p>
        </w:tc>
        <w:tc>
          <w:tcPr>
            <w:tcW w:w="920" w:type="dxa"/>
            <w:vAlign w:val="bottom"/>
            <w:tcBorders>
              <w:right w:val="single" w:sz="8" w:color="134A9C"/>
            </w:tcBorders>
            <w:shd w:val="clear" w:color="auto" w:fill="134A9C"/>
          </w:tcPr>
          <w:p>
            <w:pPr>
              <w:spacing w:after="0"/>
              <w:rPr>
                <w:sz w:val="10"/>
                <w:szCs w:val="10"/>
                <w:color w:val="auto"/>
              </w:rPr>
            </w:pPr>
          </w:p>
        </w:tc>
        <w:tc>
          <w:tcPr>
            <w:tcW w:w="820" w:type="dxa"/>
            <w:vAlign w:val="bottom"/>
            <w:tcBorders>
              <w:right w:val="single" w:sz="8" w:color="134A9C"/>
            </w:tcBorders>
            <w:shd w:val="clear" w:color="auto" w:fill="134A9C"/>
          </w:tcPr>
          <w:p>
            <w:pPr>
              <w:spacing w:after="0"/>
              <w:rPr>
                <w:sz w:val="10"/>
                <w:szCs w:val="10"/>
                <w:color w:val="auto"/>
              </w:rPr>
            </w:pPr>
          </w:p>
        </w:tc>
        <w:tc>
          <w:tcPr>
            <w:tcW w:w="840" w:type="dxa"/>
            <w:vAlign w:val="bottom"/>
            <w:shd w:val="clear" w:color="auto" w:fill="134A9C"/>
          </w:tcPr>
          <w:p>
            <w:pPr>
              <w:spacing w:after="0"/>
              <w:rPr>
                <w:sz w:val="10"/>
                <w:szCs w:val="10"/>
                <w:color w:val="auto"/>
              </w:rPr>
            </w:pPr>
          </w:p>
        </w:tc>
        <w:tc>
          <w:tcPr>
            <w:tcW w:w="880" w:type="dxa"/>
            <w:vAlign w:val="bottom"/>
            <w:shd w:val="clear" w:color="auto" w:fill="134A9C"/>
          </w:tcPr>
          <w:p>
            <w:pPr>
              <w:spacing w:after="0"/>
              <w:rPr>
                <w:sz w:val="10"/>
                <w:szCs w:val="10"/>
                <w:color w:val="auto"/>
              </w:rPr>
            </w:pPr>
          </w:p>
        </w:tc>
        <w:tc>
          <w:tcPr>
            <w:tcW w:w="680" w:type="dxa"/>
            <w:vAlign w:val="bottom"/>
            <w:tcBorders>
              <w:right w:val="single" w:sz="8" w:color="134A9C"/>
            </w:tcBorders>
            <w:shd w:val="clear" w:color="auto" w:fill="134A9C"/>
          </w:tcPr>
          <w:p>
            <w:pPr>
              <w:spacing w:after="0"/>
              <w:rPr>
                <w:sz w:val="10"/>
                <w:szCs w:val="10"/>
                <w:color w:val="auto"/>
              </w:rPr>
            </w:pPr>
          </w:p>
        </w:tc>
        <w:tc>
          <w:tcPr>
            <w:tcW w:w="860" w:type="dxa"/>
            <w:vAlign w:val="bottom"/>
            <w:shd w:val="clear" w:color="auto" w:fill="134A9C"/>
          </w:tcPr>
          <w:p>
            <w:pPr>
              <w:spacing w:after="0"/>
              <w:rPr>
                <w:sz w:val="10"/>
                <w:szCs w:val="10"/>
                <w:color w:val="auto"/>
              </w:rPr>
            </w:pPr>
          </w:p>
        </w:tc>
        <w:tc>
          <w:tcPr>
            <w:tcW w:w="660" w:type="dxa"/>
            <w:vAlign w:val="bottom"/>
            <w:shd w:val="clear" w:color="auto" w:fill="134A9C"/>
          </w:tcPr>
          <w:p>
            <w:pPr>
              <w:spacing w:after="0"/>
              <w:rPr>
                <w:sz w:val="10"/>
                <w:szCs w:val="10"/>
                <w:color w:val="auto"/>
              </w:rPr>
            </w:pPr>
          </w:p>
        </w:tc>
        <w:tc>
          <w:tcPr>
            <w:tcW w:w="740" w:type="dxa"/>
            <w:vAlign w:val="bottom"/>
            <w:tcBorders>
              <w:right w:val="single" w:sz="8" w:color="134A9C"/>
            </w:tcBorders>
            <w:shd w:val="clear" w:color="auto" w:fill="134A9C"/>
          </w:tcPr>
          <w:p>
            <w:pPr>
              <w:spacing w:after="0"/>
              <w:rPr>
                <w:sz w:val="10"/>
                <w:szCs w:val="10"/>
                <w:color w:val="auto"/>
              </w:rPr>
            </w:pPr>
          </w:p>
        </w:tc>
        <w:tc>
          <w:tcPr>
            <w:tcW w:w="780" w:type="dxa"/>
            <w:vAlign w:val="bottom"/>
            <w:shd w:val="clear" w:color="auto" w:fill="134A9C"/>
          </w:tcPr>
          <w:p>
            <w:pPr>
              <w:jc w:val="center"/>
              <w:spacing w:after="0" w:line="122" w:lineRule="exact"/>
              <w:rPr>
                <w:sz w:val="20"/>
                <w:szCs w:val="20"/>
                <w:color w:val="auto"/>
              </w:rPr>
            </w:pPr>
            <w:r>
              <w:rPr>
                <w:rFonts w:ascii="Arial" w:cs="Arial" w:eastAsia="Arial" w:hAnsi="Arial"/>
                <w:sz w:val="11"/>
                <w:szCs w:val="11"/>
                <w:color w:val="FFFFFF"/>
                <w:w w:val="97"/>
              </w:rPr>
              <w:t>Shares of</w:t>
            </w:r>
          </w:p>
        </w:tc>
        <w:tc>
          <w:tcPr>
            <w:tcW w:w="920" w:type="dxa"/>
            <w:vAlign w:val="bottom"/>
            <w:shd w:val="clear" w:color="auto" w:fill="134A9C"/>
          </w:tcPr>
          <w:p>
            <w:pPr>
              <w:jc w:val="center"/>
              <w:spacing w:after="0" w:line="122" w:lineRule="exact"/>
              <w:rPr>
                <w:sz w:val="20"/>
                <w:szCs w:val="20"/>
                <w:color w:val="auto"/>
              </w:rPr>
            </w:pPr>
            <w:r>
              <w:rPr>
                <w:rFonts w:ascii="Arial" w:cs="Arial" w:eastAsia="Arial" w:hAnsi="Arial"/>
                <w:sz w:val="11"/>
                <w:szCs w:val="11"/>
                <w:color w:val="FFFFFF"/>
                <w:w w:val="99"/>
              </w:rPr>
              <w:t>of Securities</w:t>
            </w:r>
          </w:p>
        </w:tc>
        <w:tc>
          <w:tcPr>
            <w:tcW w:w="680" w:type="dxa"/>
            <w:vAlign w:val="bottom"/>
            <w:tcBorders>
              <w:right w:val="single" w:sz="8" w:color="134A9C"/>
            </w:tcBorders>
            <w:shd w:val="clear" w:color="auto" w:fill="134A9C"/>
          </w:tcPr>
          <w:p>
            <w:pPr>
              <w:jc w:val="center"/>
              <w:spacing w:after="0" w:line="122" w:lineRule="exact"/>
              <w:rPr>
                <w:sz w:val="20"/>
                <w:szCs w:val="20"/>
                <w:color w:val="auto"/>
              </w:rPr>
            </w:pPr>
            <w:r>
              <w:rPr>
                <w:rFonts w:ascii="Arial" w:cs="Arial" w:eastAsia="Arial" w:hAnsi="Arial"/>
                <w:sz w:val="11"/>
                <w:szCs w:val="11"/>
                <w:color w:val="FFFFFF"/>
                <w:w w:val="98"/>
              </w:rPr>
              <w:t>of Option</w:t>
            </w:r>
          </w:p>
        </w:tc>
        <w:tc>
          <w:tcPr>
            <w:tcW w:w="800" w:type="dxa"/>
            <w:vAlign w:val="bottom"/>
            <w:tcBorders>
              <w:right w:val="single" w:sz="8" w:color="134A9C"/>
            </w:tcBorders>
            <w:shd w:val="clear" w:color="auto" w:fill="134A9C"/>
          </w:tcPr>
          <w:p>
            <w:pPr>
              <w:jc w:val="center"/>
              <w:spacing w:after="0" w:line="122" w:lineRule="exact"/>
              <w:rPr>
                <w:sz w:val="20"/>
                <w:szCs w:val="20"/>
                <w:color w:val="auto"/>
              </w:rPr>
            </w:pPr>
            <w:r>
              <w:rPr>
                <w:rFonts w:ascii="Arial" w:cs="Arial" w:eastAsia="Arial" w:hAnsi="Arial"/>
                <w:sz w:val="11"/>
                <w:szCs w:val="11"/>
                <w:color w:val="FFFFFF"/>
                <w:w w:val="98"/>
              </w:rPr>
              <w:t>Option</w:t>
            </w:r>
          </w:p>
        </w:tc>
        <w:tc>
          <w:tcPr>
            <w:tcW w:w="0" w:type="dxa"/>
            <w:vAlign w:val="bottom"/>
          </w:tcPr>
          <w:p>
            <w:pPr>
              <w:spacing w:after="0"/>
              <w:rPr>
                <w:sz w:val="1"/>
                <w:szCs w:val="1"/>
                <w:color w:val="auto"/>
              </w:rPr>
            </w:pPr>
          </w:p>
        </w:tc>
      </w:tr>
      <w:tr>
        <w:trPr>
          <w:trHeight w:val="122"/>
        </w:trPr>
        <w:tc>
          <w:tcPr>
            <w:tcW w:w="1280" w:type="dxa"/>
            <w:vAlign w:val="bottom"/>
            <w:tcBorders>
              <w:left w:val="single" w:sz="8" w:color="134A9C"/>
              <w:right w:val="single" w:sz="8" w:color="134A9C"/>
            </w:tcBorders>
            <w:shd w:val="clear" w:color="auto" w:fill="134A9C"/>
          </w:tcPr>
          <w:p>
            <w:pPr>
              <w:spacing w:after="0"/>
              <w:rPr>
                <w:sz w:val="10"/>
                <w:szCs w:val="10"/>
                <w:color w:val="auto"/>
              </w:rPr>
            </w:pPr>
          </w:p>
        </w:tc>
        <w:tc>
          <w:tcPr>
            <w:tcW w:w="580" w:type="dxa"/>
            <w:vAlign w:val="bottom"/>
            <w:tcBorders>
              <w:right w:val="single" w:sz="8" w:color="134A9C"/>
            </w:tcBorders>
            <w:shd w:val="clear" w:color="auto" w:fill="134A9C"/>
          </w:tcPr>
          <w:p>
            <w:pPr>
              <w:jc w:val="center"/>
              <w:spacing w:after="0" w:line="122" w:lineRule="exact"/>
              <w:rPr>
                <w:sz w:val="20"/>
                <w:szCs w:val="20"/>
                <w:color w:val="auto"/>
              </w:rPr>
            </w:pPr>
            <w:r>
              <w:rPr>
                <w:rFonts w:ascii="Arial" w:cs="Arial" w:eastAsia="Arial" w:hAnsi="Arial"/>
                <w:sz w:val="11"/>
                <w:szCs w:val="11"/>
                <w:color w:val="FFFFFF"/>
                <w:w w:val="96"/>
              </w:rPr>
              <w:t>Award</w:t>
            </w:r>
          </w:p>
        </w:tc>
        <w:tc>
          <w:tcPr>
            <w:tcW w:w="920" w:type="dxa"/>
            <w:vAlign w:val="bottom"/>
            <w:tcBorders>
              <w:right w:val="single" w:sz="8" w:color="134A9C"/>
            </w:tcBorders>
            <w:shd w:val="clear" w:color="auto" w:fill="134A9C"/>
          </w:tcPr>
          <w:p>
            <w:pPr>
              <w:spacing w:after="0"/>
              <w:rPr>
                <w:sz w:val="10"/>
                <w:szCs w:val="10"/>
                <w:color w:val="auto"/>
              </w:rPr>
            </w:pPr>
          </w:p>
        </w:tc>
        <w:tc>
          <w:tcPr>
            <w:tcW w:w="820" w:type="dxa"/>
            <w:vAlign w:val="bottom"/>
            <w:tcBorders>
              <w:right w:val="single" w:sz="8" w:color="134A9C"/>
            </w:tcBorders>
            <w:shd w:val="clear" w:color="auto" w:fill="134A9C"/>
          </w:tcPr>
          <w:p>
            <w:pPr>
              <w:spacing w:after="0"/>
              <w:rPr>
                <w:sz w:val="10"/>
                <w:szCs w:val="10"/>
                <w:color w:val="auto"/>
              </w:rPr>
            </w:pPr>
          </w:p>
        </w:tc>
        <w:tc>
          <w:tcPr>
            <w:tcW w:w="840" w:type="dxa"/>
            <w:vAlign w:val="bottom"/>
            <w:shd w:val="clear" w:color="auto" w:fill="134A9C"/>
          </w:tcPr>
          <w:p>
            <w:pPr>
              <w:jc w:val="center"/>
              <w:ind w:right="26"/>
              <w:spacing w:after="0" w:line="122" w:lineRule="exact"/>
              <w:rPr>
                <w:sz w:val="20"/>
                <w:szCs w:val="20"/>
                <w:color w:val="auto"/>
              </w:rPr>
            </w:pPr>
            <w:r>
              <w:rPr>
                <w:rFonts w:ascii="Arial" w:cs="Arial" w:eastAsia="Arial" w:hAnsi="Arial"/>
                <w:sz w:val="11"/>
                <w:szCs w:val="11"/>
                <w:color w:val="FFFFFF"/>
                <w:w w:val="98"/>
              </w:rPr>
              <w:t>Threshold</w:t>
            </w:r>
          </w:p>
        </w:tc>
        <w:tc>
          <w:tcPr>
            <w:tcW w:w="880" w:type="dxa"/>
            <w:vAlign w:val="bottom"/>
            <w:shd w:val="clear" w:color="auto" w:fill="134A9C"/>
          </w:tcPr>
          <w:p>
            <w:pPr>
              <w:jc w:val="center"/>
              <w:ind w:right="126"/>
              <w:spacing w:after="0" w:line="122" w:lineRule="exact"/>
              <w:rPr>
                <w:sz w:val="20"/>
                <w:szCs w:val="20"/>
                <w:color w:val="auto"/>
              </w:rPr>
            </w:pPr>
            <w:r>
              <w:rPr>
                <w:rFonts w:ascii="Arial" w:cs="Arial" w:eastAsia="Arial" w:hAnsi="Arial"/>
                <w:sz w:val="11"/>
                <w:szCs w:val="11"/>
                <w:color w:val="FFFFFF"/>
                <w:w w:val="94"/>
              </w:rPr>
              <w:t>Target</w:t>
            </w:r>
          </w:p>
        </w:tc>
        <w:tc>
          <w:tcPr>
            <w:tcW w:w="680" w:type="dxa"/>
            <w:vAlign w:val="bottom"/>
            <w:tcBorders>
              <w:right w:val="single" w:sz="8" w:color="134A9C"/>
            </w:tcBorders>
            <w:shd w:val="clear" w:color="auto" w:fill="134A9C"/>
          </w:tcPr>
          <w:p>
            <w:pPr>
              <w:jc w:val="right"/>
              <w:ind w:right="126"/>
              <w:spacing w:after="0" w:line="122" w:lineRule="exact"/>
              <w:rPr>
                <w:sz w:val="20"/>
                <w:szCs w:val="20"/>
                <w:color w:val="auto"/>
              </w:rPr>
            </w:pPr>
            <w:r>
              <w:rPr>
                <w:rFonts w:ascii="Arial" w:cs="Arial" w:eastAsia="Arial" w:hAnsi="Arial"/>
                <w:sz w:val="11"/>
                <w:szCs w:val="11"/>
                <w:color w:val="FFFFFF"/>
              </w:rPr>
              <w:t>Maximum</w:t>
            </w:r>
          </w:p>
        </w:tc>
        <w:tc>
          <w:tcPr>
            <w:tcW w:w="860" w:type="dxa"/>
            <w:vAlign w:val="bottom"/>
            <w:shd w:val="clear" w:color="auto" w:fill="134A9C"/>
          </w:tcPr>
          <w:p>
            <w:pPr>
              <w:jc w:val="right"/>
              <w:ind w:right="186"/>
              <w:spacing w:after="0" w:line="122" w:lineRule="exact"/>
              <w:rPr>
                <w:sz w:val="20"/>
                <w:szCs w:val="20"/>
                <w:color w:val="auto"/>
              </w:rPr>
            </w:pPr>
            <w:r>
              <w:rPr>
                <w:rFonts w:ascii="Arial" w:cs="Arial" w:eastAsia="Arial" w:hAnsi="Arial"/>
                <w:sz w:val="11"/>
                <w:szCs w:val="11"/>
                <w:color w:val="FFFFFF"/>
              </w:rPr>
              <w:t>Threshold</w:t>
            </w:r>
          </w:p>
        </w:tc>
        <w:tc>
          <w:tcPr>
            <w:tcW w:w="660" w:type="dxa"/>
            <w:vAlign w:val="bottom"/>
            <w:shd w:val="clear" w:color="auto" w:fill="134A9C"/>
          </w:tcPr>
          <w:p>
            <w:pPr>
              <w:jc w:val="center"/>
              <w:ind w:right="106"/>
              <w:spacing w:after="0" w:line="122" w:lineRule="exact"/>
              <w:rPr>
                <w:sz w:val="20"/>
                <w:szCs w:val="20"/>
                <w:color w:val="auto"/>
              </w:rPr>
            </w:pPr>
            <w:r>
              <w:rPr>
                <w:rFonts w:ascii="Arial" w:cs="Arial" w:eastAsia="Arial" w:hAnsi="Arial"/>
                <w:sz w:val="11"/>
                <w:szCs w:val="11"/>
                <w:color w:val="FFFFFF"/>
                <w:w w:val="94"/>
              </w:rPr>
              <w:t>Target</w:t>
            </w:r>
          </w:p>
        </w:tc>
        <w:tc>
          <w:tcPr>
            <w:tcW w:w="740" w:type="dxa"/>
            <w:vAlign w:val="bottom"/>
            <w:tcBorders>
              <w:right w:val="single" w:sz="8" w:color="134A9C"/>
            </w:tcBorders>
            <w:shd w:val="clear" w:color="auto" w:fill="134A9C"/>
          </w:tcPr>
          <w:p>
            <w:pPr>
              <w:jc w:val="right"/>
              <w:ind w:right="126"/>
              <w:spacing w:after="0" w:line="122" w:lineRule="exact"/>
              <w:rPr>
                <w:sz w:val="20"/>
                <w:szCs w:val="20"/>
                <w:color w:val="auto"/>
              </w:rPr>
            </w:pPr>
            <w:r>
              <w:rPr>
                <w:rFonts w:ascii="Arial" w:cs="Arial" w:eastAsia="Arial" w:hAnsi="Arial"/>
                <w:sz w:val="11"/>
                <w:szCs w:val="11"/>
                <w:color w:val="FFFFFF"/>
              </w:rPr>
              <w:t>Maximum</w:t>
            </w:r>
          </w:p>
        </w:tc>
        <w:tc>
          <w:tcPr>
            <w:tcW w:w="780" w:type="dxa"/>
            <w:vAlign w:val="bottom"/>
            <w:shd w:val="clear" w:color="auto" w:fill="134A9C"/>
          </w:tcPr>
          <w:p>
            <w:pPr>
              <w:jc w:val="center"/>
              <w:spacing w:after="0" w:line="122" w:lineRule="exact"/>
              <w:rPr>
                <w:sz w:val="20"/>
                <w:szCs w:val="20"/>
                <w:color w:val="auto"/>
              </w:rPr>
            </w:pPr>
            <w:r>
              <w:rPr>
                <w:rFonts w:ascii="Arial" w:cs="Arial" w:eastAsia="Arial" w:hAnsi="Arial"/>
                <w:sz w:val="11"/>
                <w:szCs w:val="11"/>
                <w:color w:val="FFFFFF"/>
                <w:w w:val="99"/>
              </w:rPr>
              <w:t>Stock or Units</w:t>
            </w:r>
          </w:p>
        </w:tc>
        <w:tc>
          <w:tcPr>
            <w:tcW w:w="920" w:type="dxa"/>
            <w:vAlign w:val="bottom"/>
            <w:shd w:val="clear" w:color="auto" w:fill="134A9C"/>
          </w:tcPr>
          <w:p>
            <w:pPr>
              <w:jc w:val="center"/>
              <w:spacing w:after="0" w:line="122" w:lineRule="exact"/>
              <w:rPr>
                <w:sz w:val="20"/>
                <w:szCs w:val="20"/>
                <w:color w:val="auto"/>
              </w:rPr>
            </w:pPr>
            <w:r>
              <w:rPr>
                <w:rFonts w:ascii="Arial" w:cs="Arial" w:eastAsia="Arial" w:hAnsi="Arial"/>
                <w:sz w:val="11"/>
                <w:szCs w:val="11"/>
                <w:color w:val="FFFFFF"/>
                <w:w w:val="98"/>
              </w:rPr>
              <w:t>Underlying</w:t>
            </w:r>
          </w:p>
        </w:tc>
        <w:tc>
          <w:tcPr>
            <w:tcW w:w="680" w:type="dxa"/>
            <w:vAlign w:val="bottom"/>
            <w:tcBorders>
              <w:right w:val="single" w:sz="8" w:color="134A9C"/>
            </w:tcBorders>
            <w:shd w:val="clear" w:color="auto" w:fill="134A9C"/>
          </w:tcPr>
          <w:p>
            <w:pPr>
              <w:jc w:val="center"/>
              <w:spacing w:after="0" w:line="122" w:lineRule="exact"/>
              <w:rPr>
                <w:sz w:val="20"/>
                <w:szCs w:val="20"/>
                <w:color w:val="auto"/>
              </w:rPr>
            </w:pPr>
            <w:r>
              <w:rPr>
                <w:rFonts w:ascii="Arial" w:cs="Arial" w:eastAsia="Arial" w:hAnsi="Arial"/>
                <w:sz w:val="11"/>
                <w:szCs w:val="11"/>
                <w:color w:val="FFFFFF"/>
                <w:w w:val="98"/>
              </w:rPr>
              <w:t>Awards</w:t>
            </w:r>
          </w:p>
        </w:tc>
        <w:tc>
          <w:tcPr>
            <w:tcW w:w="800" w:type="dxa"/>
            <w:vAlign w:val="bottom"/>
            <w:tcBorders>
              <w:right w:val="single" w:sz="8" w:color="134A9C"/>
            </w:tcBorders>
            <w:shd w:val="clear" w:color="auto" w:fill="134A9C"/>
          </w:tcPr>
          <w:p>
            <w:pPr>
              <w:jc w:val="center"/>
              <w:spacing w:after="0" w:line="122" w:lineRule="exact"/>
              <w:rPr>
                <w:sz w:val="20"/>
                <w:szCs w:val="20"/>
                <w:color w:val="auto"/>
              </w:rPr>
            </w:pPr>
            <w:r>
              <w:rPr>
                <w:rFonts w:ascii="Arial" w:cs="Arial" w:eastAsia="Arial" w:hAnsi="Arial"/>
                <w:sz w:val="11"/>
                <w:szCs w:val="11"/>
                <w:color w:val="FFFFFF"/>
                <w:w w:val="97"/>
              </w:rPr>
              <w:t>Awards</w:t>
            </w:r>
            <w:r>
              <w:rPr>
                <w:rFonts w:ascii="Arial" w:cs="Arial" w:eastAsia="Arial" w:hAnsi="Arial"/>
                <w:sz w:val="7"/>
                <w:szCs w:val="7"/>
                <w:color w:val="FFFFFF"/>
                <w:w w:val="97"/>
              </w:rPr>
              <w:t>(1)</w:t>
            </w:r>
          </w:p>
        </w:tc>
        <w:tc>
          <w:tcPr>
            <w:tcW w:w="0" w:type="dxa"/>
            <w:vAlign w:val="bottom"/>
          </w:tcPr>
          <w:p>
            <w:pPr>
              <w:spacing w:after="0"/>
              <w:rPr>
                <w:sz w:val="1"/>
                <w:szCs w:val="1"/>
                <w:color w:val="auto"/>
              </w:rPr>
            </w:pPr>
          </w:p>
        </w:tc>
      </w:tr>
      <w:tr>
        <w:trPr>
          <w:trHeight w:val="145"/>
        </w:trPr>
        <w:tc>
          <w:tcPr>
            <w:tcW w:w="1280" w:type="dxa"/>
            <w:vAlign w:val="bottom"/>
            <w:tcBorders>
              <w:left w:val="single" w:sz="8" w:color="134A9C"/>
              <w:bottom w:val="single" w:sz="8" w:color="134A9C"/>
              <w:right w:val="single" w:sz="8" w:color="134A9C"/>
            </w:tcBorders>
            <w:shd w:val="clear" w:color="auto" w:fill="134A9C"/>
          </w:tcPr>
          <w:p>
            <w:pPr>
              <w:ind w:left="500"/>
              <w:spacing w:after="0"/>
              <w:rPr>
                <w:sz w:val="20"/>
                <w:szCs w:val="20"/>
                <w:color w:val="auto"/>
              </w:rPr>
            </w:pPr>
            <w:r>
              <w:rPr>
                <w:rFonts w:ascii="Arial" w:cs="Arial" w:eastAsia="Arial" w:hAnsi="Arial"/>
                <w:sz w:val="11"/>
                <w:szCs w:val="11"/>
                <w:color w:val="FFFFFF"/>
              </w:rPr>
              <w:t>Name</w:t>
            </w:r>
          </w:p>
        </w:tc>
        <w:tc>
          <w:tcPr>
            <w:tcW w:w="58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1"/>
                <w:szCs w:val="11"/>
                <w:color w:val="FFFFFF"/>
                <w:w w:val="97"/>
              </w:rPr>
              <w:t>Type</w:t>
            </w:r>
          </w:p>
        </w:tc>
        <w:tc>
          <w:tcPr>
            <w:tcW w:w="920" w:type="dxa"/>
            <w:vAlign w:val="bottom"/>
            <w:tcBorders>
              <w:bottom w:val="single" w:sz="8" w:color="134A9C"/>
              <w:right w:val="single" w:sz="8" w:color="134A9C"/>
            </w:tcBorders>
            <w:shd w:val="clear" w:color="auto" w:fill="134A9C"/>
          </w:tcPr>
          <w:p>
            <w:pPr>
              <w:jc w:val="right"/>
              <w:ind w:right="166"/>
              <w:spacing w:after="0"/>
              <w:rPr>
                <w:sz w:val="20"/>
                <w:szCs w:val="20"/>
                <w:color w:val="auto"/>
              </w:rPr>
            </w:pPr>
            <w:r>
              <w:rPr>
                <w:rFonts w:ascii="Arial" w:cs="Arial" w:eastAsia="Arial" w:hAnsi="Arial"/>
                <w:sz w:val="11"/>
                <w:szCs w:val="11"/>
                <w:color w:val="FFFFFF"/>
              </w:rPr>
              <w:t>Grant Date</w:t>
            </w:r>
          </w:p>
        </w:tc>
        <w:tc>
          <w:tcPr>
            <w:tcW w:w="820" w:type="dxa"/>
            <w:vAlign w:val="bottom"/>
            <w:tcBorders>
              <w:bottom w:val="single" w:sz="8" w:color="134A9C"/>
              <w:right w:val="single" w:sz="8" w:color="134A9C"/>
            </w:tcBorders>
            <w:shd w:val="clear" w:color="auto" w:fill="134A9C"/>
          </w:tcPr>
          <w:p>
            <w:pPr>
              <w:jc w:val="right"/>
              <w:ind w:right="26"/>
              <w:spacing w:after="0"/>
              <w:rPr>
                <w:sz w:val="20"/>
                <w:szCs w:val="20"/>
                <w:color w:val="auto"/>
              </w:rPr>
            </w:pPr>
            <w:r>
              <w:rPr>
                <w:rFonts w:ascii="Arial" w:cs="Arial" w:eastAsia="Arial" w:hAnsi="Arial"/>
                <w:sz w:val="11"/>
                <w:szCs w:val="11"/>
                <w:color w:val="FFFFFF"/>
              </w:rPr>
              <w:t>Approval Date</w:t>
            </w:r>
          </w:p>
        </w:tc>
        <w:tc>
          <w:tcPr>
            <w:tcW w:w="840" w:type="dxa"/>
            <w:vAlign w:val="bottom"/>
            <w:tcBorders>
              <w:bottom w:val="single" w:sz="8" w:color="134A9C"/>
            </w:tcBorders>
            <w:shd w:val="clear" w:color="auto" w:fill="134A9C"/>
          </w:tcPr>
          <w:p>
            <w:pPr>
              <w:jc w:val="center"/>
              <w:ind w:right="26"/>
              <w:spacing w:after="0"/>
              <w:rPr>
                <w:sz w:val="20"/>
                <w:szCs w:val="20"/>
                <w:color w:val="auto"/>
              </w:rPr>
            </w:pPr>
            <w:r>
              <w:rPr>
                <w:rFonts w:ascii="Arial" w:cs="Arial" w:eastAsia="Arial" w:hAnsi="Arial"/>
                <w:sz w:val="11"/>
                <w:szCs w:val="11"/>
                <w:color w:val="FFFFFF"/>
                <w:w w:val="88"/>
              </w:rPr>
              <w:t>($)</w:t>
            </w:r>
          </w:p>
        </w:tc>
        <w:tc>
          <w:tcPr>
            <w:tcW w:w="880" w:type="dxa"/>
            <w:vAlign w:val="bottom"/>
            <w:tcBorders>
              <w:bottom w:val="single" w:sz="8" w:color="134A9C"/>
            </w:tcBorders>
            <w:shd w:val="clear" w:color="auto" w:fill="134A9C"/>
          </w:tcPr>
          <w:p>
            <w:pPr>
              <w:jc w:val="center"/>
              <w:ind w:right="146"/>
              <w:spacing w:after="0"/>
              <w:rPr>
                <w:sz w:val="20"/>
                <w:szCs w:val="20"/>
                <w:color w:val="auto"/>
              </w:rPr>
            </w:pPr>
            <w:r>
              <w:rPr>
                <w:rFonts w:ascii="Arial" w:cs="Arial" w:eastAsia="Arial" w:hAnsi="Arial"/>
                <w:sz w:val="11"/>
                <w:szCs w:val="11"/>
                <w:color w:val="FFFFFF"/>
                <w:w w:val="88"/>
              </w:rPr>
              <w:t>($)</w:t>
            </w:r>
          </w:p>
        </w:tc>
        <w:tc>
          <w:tcPr>
            <w:tcW w:w="680" w:type="dxa"/>
            <w:vAlign w:val="bottom"/>
            <w:tcBorders>
              <w:bottom w:val="single" w:sz="8" w:color="134A9C"/>
              <w:right w:val="single" w:sz="8" w:color="134A9C"/>
            </w:tcBorders>
            <w:shd w:val="clear" w:color="auto" w:fill="134A9C"/>
          </w:tcPr>
          <w:p>
            <w:pPr>
              <w:jc w:val="center"/>
              <w:ind w:right="106"/>
              <w:spacing w:after="0"/>
              <w:rPr>
                <w:sz w:val="20"/>
                <w:szCs w:val="20"/>
                <w:color w:val="auto"/>
              </w:rPr>
            </w:pPr>
            <w:r>
              <w:rPr>
                <w:rFonts w:ascii="Arial" w:cs="Arial" w:eastAsia="Arial" w:hAnsi="Arial"/>
                <w:sz w:val="11"/>
                <w:szCs w:val="11"/>
                <w:color w:val="FFFFFF"/>
                <w:w w:val="88"/>
              </w:rPr>
              <w:t>($)</w:t>
            </w:r>
          </w:p>
        </w:tc>
        <w:tc>
          <w:tcPr>
            <w:tcW w:w="860" w:type="dxa"/>
            <w:vAlign w:val="bottom"/>
            <w:tcBorders>
              <w:bottom w:val="single" w:sz="8" w:color="134A9C"/>
            </w:tcBorders>
            <w:shd w:val="clear" w:color="auto" w:fill="134A9C"/>
          </w:tcPr>
          <w:p>
            <w:pPr>
              <w:jc w:val="right"/>
              <w:ind w:right="366"/>
              <w:spacing w:after="0"/>
              <w:rPr>
                <w:sz w:val="20"/>
                <w:szCs w:val="20"/>
                <w:color w:val="auto"/>
              </w:rPr>
            </w:pPr>
            <w:r>
              <w:rPr>
                <w:rFonts w:ascii="Arial" w:cs="Arial" w:eastAsia="Arial" w:hAnsi="Arial"/>
                <w:sz w:val="11"/>
                <w:szCs w:val="11"/>
                <w:color w:val="FFFFFF"/>
              </w:rPr>
              <w:t>(#)</w:t>
            </w:r>
          </w:p>
        </w:tc>
        <w:tc>
          <w:tcPr>
            <w:tcW w:w="660" w:type="dxa"/>
            <w:vAlign w:val="bottom"/>
            <w:tcBorders>
              <w:bottom w:val="single" w:sz="8" w:color="134A9C"/>
            </w:tcBorders>
            <w:shd w:val="clear" w:color="auto" w:fill="134A9C"/>
          </w:tcPr>
          <w:p>
            <w:pPr>
              <w:jc w:val="center"/>
              <w:ind w:right="106"/>
              <w:spacing w:after="0"/>
              <w:rPr>
                <w:sz w:val="20"/>
                <w:szCs w:val="20"/>
                <w:color w:val="auto"/>
              </w:rPr>
            </w:pPr>
            <w:r>
              <w:rPr>
                <w:rFonts w:ascii="Arial" w:cs="Arial" w:eastAsia="Arial" w:hAnsi="Arial"/>
                <w:sz w:val="11"/>
                <w:szCs w:val="11"/>
                <w:color w:val="FFFFFF"/>
              </w:rPr>
              <w:t>(#)</w:t>
            </w:r>
          </w:p>
        </w:tc>
        <w:tc>
          <w:tcPr>
            <w:tcW w:w="740" w:type="dxa"/>
            <w:vAlign w:val="bottom"/>
            <w:tcBorders>
              <w:bottom w:val="single" w:sz="8" w:color="134A9C"/>
              <w:right w:val="single" w:sz="8" w:color="134A9C"/>
            </w:tcBorders>
            <w:shd w:val="clear" w:color="auto" w:fill="134A9C"/>
          </w:tcPr>
          <w:p>
            <w:pPr>
              <w:jc w:val="right"/>
              <w:ind w:right="286"/>
              <w:spacing w:after="0"/>
              <w:rPr>
                <w:sz w:val="20"/>
                <w:szCs w:val="20"/>
                <w:color w:val="auto"/>
              </w:rPr>
            </w:pPr>
            <w:r>
              <w:rPr>
                <w:rFonts w:ascii="Arial" w:cs="Arial" w:eastAsia="Arial" w:hAnsi="Arial"/>
                <w:sz w:val="11"/>
                <w:szCs w:val="11"/>
                <w:color w:val="FFFFFF"/>
              </w:rPr>
              <w:t>(#)</w:t>
            </w:r>
          </w:p>
        </w:tc>
        <w:tc>
          <w:tcPr>
            <w:tcW w:w="780" w:type="dxa"/>
            <w:vAlign w:val="bottom"/>
            <w:tcBorders>
              <w:bottom w:val="single" w:sz="8" w:color="134A9C"/>
            </w:tcBorders>
            <w:shd w:val="clear" w:color="auto" w:fill="134A9C"/>
          </w:tcPr>
          <w:p>
            <w:pPr>
              <w:jc w:val="center"/>
              <w:spacing w:after="0"/>
              <w:rPr>
                <w:sz w:val="20"/>
                <w:szCs w:val="20"/>
                <w:color w:val="auto"/>
              </w:rPr>
            </w:pPr>
            <w:r>
              <w:rPr>
                <w:rFonts w:ascii="Arial" w:cs="Arial" w:eastAsia="Arial" w:hAnsi="Arial"/>
                <w:sz w:val="11"/>
                <w:szCs w:val="11"/>
                <w:color w:val="FFFFFF"/>
              </w:rPr>
              <w:t>(#)</w:t>
            </w:r>
          </w:p>
        </w:tc>
        <w:tc>
          <w:tcPr>
            <w:tcW w:w="920" w:type="dxa"/>
            <w:vAlign w:val="bottom"/>
            <w:tcBorders>
              <w:bottom w:val="single" w:sz="8" w:color="134A9C"/>
            </w:tcBorders>
            <w:shd w:val="clear" w:color="auto" w:fill="134A9C"/>
          </w:tcPr>
          <w:p>
            <w:pPr>
              <w:jc w:val="center"/>
              <w:spacing w:after="0"/>
              <w:rPr>
                <w:sz w:val="20"/>
                <w:szCs w:val="20"/>
                <w:color w:val="auto"/>
              </w:rPr>
            </w:pPr>
            <w:r>
              <w:rPr>
                <w:rFonts w:ascii="Arial" w:cs="Arial" w:eastAsia="Arial" w:hAnsi="Arial"/>
                <w:sz w:val="11"/>
                <w:szCs w:val="11"/>
                <w:color w:val="FFFFFF"/>
                <w:w w:val="99"/>
              </w:rPr>
              <w:t>Options (#)</w:t>
            </w:r>
          </w:p>
        </w:tc>
        <w:tc>
          <w:tcPr>
            <w:tcW w:w="68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1"/>
                <w:szCs w:val="11"/>
                <w:color w:val="FFFFFF"/>
              </w:rPr>
              <w:t>($/Share)</w:t>
            </w:r>
          </w:p>
        </w:tc>
        <w:tc>
          <w:tcPr>
            <w:tcW w:w="80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1"/>
                <w:szCs w:val="11"/>
                <w:color w:val="FFFFFF"/>
                <w:w w:val="88"/>
              </w:rPr>
              <w:t>($)</w:t>
            </w:r>
          </w:p>
        </w:tc>
        <w:tc>
          <w:tcPr>
            <w:tcW w:w="0" w:type="dxa"/>
            <w:vAlign w:val="bottom"/>
          </w:tcPr>
          <w:p>
            <w:pPr>
              <w:spacing w:after="0"/>
              <w:rPr>
                <w:sz w:val="1"/>
                <w:szCs w:val="1"/>
                <w:color w:val="auto"/>
              </w:rPr>
            </w:pPr>
          </w:p>
        </w:tc>
      </w:tr>
      <w:tr>
        <w:trPr>
          <w:trHeight w:val="145"/>
        </w:trPr>
        <w:tc>
          <w:tcPr>
            <w:tcW w:w="12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Mary T.</w:t>
            </w: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STIP</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1/13/2014</w:t>
            </w:r>
          </w:p>
        </w:tc>
        <w:tc>
          <w:tcPr>
            <w:tcW w:w="820" w:type="dxa"/>
            <w:vAlign w:val="bottom"/>
            <w:tcBorders>
              <w:right w:val="single" w:sz="8" w:color="134A9C"/>
            </w:tcBorders>
          </w:tcPr>
          <w:p>
            <w:pPr>
              <w:jc w:val="right"/>
              <w:ind w:right="126"/>
              <w:spacing w:after="0"/>
              <w:rPr>
                <w:sz w:val="20"/>
                <w:szCs w:val="20"/>
                <w:color w:val="auto"/>
              </w:rPr>
            </w:pPr>
            <w:r>
              <w:rPr>
                <w:rFonts w:ascii="Arial" w:cs="Arial" w:eastAsia="Arial" w:hAnsi="Arial"/>
                <w:sz w:val="11"/>
                <w:szCs w:val="11"/>
                <w:color w:val="auto"/>
              </w:rPr>
              <w:t>1/13/2014</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350,000</w:t>
            </w: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2,800,000</w:t>
            </w:r>
          </w:p>
        </w:tc>
        <w:tc>
          <w:tcPr>
            <w:tcW w:w="68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5,600,000</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Borders>
              <w:right w:val="single" w:sz="8" w:color="134A9C"/>
            </w:tcBorders>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Borders>
              <w:right w:val="single" w:sz="8" w:color="134A9C"/>
            </w:tcBorders>
          </w:tcPr>
          <w:p>
            <w:pPr>
              <w:spacing w:after="0"/>
              <w:rPr>
                <w:sz w:val="12"/>
                <w:szCs w:val="12"/>
                <w:color w:val="auto"/>
              </w:rPr>
            </w:pPr>
          </w:p>
        </w:tc>
        <w:tc>
          <w:tcPr>
            <w:tcW w:w="800" w:type="dxa"/>
            <w:vAlign w:val="bottom"/>
            <w:tcBorders>
              <w:right w:val="single" w:sz="8" w:color="134A9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Barra</w:t>
            </w:r>
          </w:p>
        </w:tc>
        <w:tc>
          <w:tcPr>
            <w:tcW w:w="580" w:type="dxa"/>
            <w:vAlign w:val="bottom"/>
            <w:tcBorders>
              <w:right w:val="single" w:sz="8" w:color="134A9C"/>
            </w:tcBorders>
          </w:tcPr>
          <w:p>
            <w:pPr>
              <w:spacing w:after="0"/>
              <w:rPr>
                <w:sz w:val="11"/>
                <w:szCs w:val="11"/>
                <w:color w:val="auto"/>
              </w:rPr>
            </w:pPr>
          </w:p>
        </w:tc>
        <w:tc>
          <w:tcPr>
            <w:tcW w:w="920" w:type="dxa"/>
            <w:vAlign w:val="bottom"/>
            <w:tcBorders>
              <w:right w:val="single" w:sz="8" w:color="134A9C"/>
            </w:tcBorders>
          </w:tcPr>
          <w:p>
            <w:pPr>
              <w:spacing w:after="0"/>
              <w:rPr>
                <w:sz w:val="11"/>
                <w:szCs w:val="11"/>
                <w:color w:val="auto"/>
              </w:rPr>
            </w:pPr>
          </w:p>
        </w:tc>
        <w:tc>
          <w:tcPr>
            <w:tcW w:w="820" w:type="dxa"/>
            <w:vAlign w:val="bottom"/>
            <w:tcBorders>
              <w:right w:val="single" w:sz="8" w:color="134A9C"/>
            </w:tcBorders>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Borders>
              <w:right w:val="single" w:sz="8" w:color="134A9C"/>
            </w:tcBorders>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Borders>
              <w:right w:val="single" w:sz="8" w:color="134A9C"/>
            </w:tcBorders>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Borders>
              <w:right w:val="single" w:sz="8" w:color="134A9C"/>
            </w:tcBorders>
          </w:tcPr>
          <w:p>
            <w:pPr>
              <w:spacing w:after="0"/>
              <w:rPr>
                <w:sz w:val="11"/>
                <w:szCs w:val="11"/>
                <w:color w:val="auto"/>
              </w:rPr>
            </w:pPr>
          </w:p>
        </w:tc>
        <w:tc>
          <w:tcPr>
            <w:tcW w:w="800" w:type="dxa"/>
            <w:vAlign w:val="bottom"/>
            <w:tcBorders>
              <w:right w:val="single" w:sz="8" w:color="134A9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80" w:type="dxa"/>
            <w:vAlign w:val="bottom"/>
            <w:tcBorders>
              <w:left w:val="single" w:sz="8" w:color="134A9C"/>
              <w:right w:val="single" w:sz="8" w:color="134A9C"/>
            </w:tcBorders>
          </w:tcPr>
          <w:p>
            <w:pPr>
              <w:spacing w:after="0"/>
              <w:rPr>
                <w:sz w:val="12"/>
                <w:szCs w:val="12"/>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5"/>
              </w:rPr>
              <w:t>TARP</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2/13/2014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1/13/2014</w:t>
            </w: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Borders>
              <w:right w:val="single" w:sz="8" w:color="134A9C"/>
            </w:tcBorders>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50,015</w:t>
            </w:r>
          </w:p>
        </w:tc>
        <w:tc>
          <w:tcPr>
            <w:tcW w:w="74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50,015</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Borders>
              <w:right w:val="single" w:sz="8" w:color="134A9C"/>
            </w:tcBorders>
          </w:tcPr>
          <w:p>
            <w:pPr>
              <w:spacing w:after="0"/>
              <w:rPr>
                <w:sz w:val="12"/>
                <w:szCs w:val="12"/>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1,760,528</w:t>
            </w:r>
          </w:p>
        </w:tc>
        <w:tc>
          <w:tcPr>
            <w:tcW w:w="0" w:type="dxa"/>
            <w:vAlign w:val="bottom"/>
          </w:tcPr>
          <w:p>
            <w:pPr>
              <w:spacing w:after="0"/>
              <w:rPr>
                <w:sz w:val="1"/>
                <w:szCs w:val="1"/>
                <w:color w:val="auto"/>
              </w:rPr>
            </w:pPr>
          </w:p>
        </w:tc>
      </w:tr>
      <w:tr>
        <w:trPr>
          <w:trHeight w:val="130"/>
        </w:trPr>
        <w:tc>
          <w:tcPr>
            <w:tcW w:w="1280" w:type="dxa"/>
            <w:vAlign w:val="bottom"/>
            <w:tcBorders>
              <w:left w:val="single" w:sz="8" w:color="134A9C"/>
              <w:right w:val="single" w:sz="8" w:color="134A9C"/>
            </w:tcBorders>
          </w:tcPr>
          <w:p>
            <w:pPr>
              <w:spacing w:after="0"/>
              <w:rPr>
                <w:sz w:val="11"/>
                <w:szCs w:val="11"/>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rPr>
              <w:t>RSU</w:t>
            </w:r>
          </w:p>
        </w:tc>
        <w:tc>
          <w:tcPr>
            <w:tcW w:w="920" w:type="dxa"/>
            <w:vAlign w:val="bottom"/>
            <w:tcBorders>
              <w:right w:val="single" w:sz="8" w:color="134A9C"/>
            </w:tcBorders>
          </w:tcPr>
          <w:p>
            <w:pPr>
              <w:spacing w:after="0"/>
              <w:rPr>
                <w:sz w:val="11"/>
                <w:szCs w:val="11"/>
                <w:color w:val="auto"/>
              </w:rPr>
            </w:pPr>
          </w:p>
        </w:tc>
        <w:tc>
          <w:tcPr>
            <w:tcW w:w="820" w:type="dxa"/>
            <w:vAlign w:val="bottom"/>
            <w:tcBorders>
              <w:right w:val="single" w:sz="8" w:color="134A9C"/>
            </w:tcBorders>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Borders>
              <w:right w:val="single" w:sz="8" w:color="134A9C"/>
            </w:tcBorders>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Borders>
              <w:right w:val="single" w:sz="8" w:color="134A9C"/>
            </w:tcBorders>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Borders>
              <w:right w:val="single" w:sz="8" w:color="134A9C"/>
            </w:tcBorders>
          </w:tcPr>
          <w:p>
            <w:pPr>
              <w:spacing w:after="0"/>
              <w:rPr>
                <w:sz w:val="11"/>
                <w:szCs w:val="11"/>
                <w:color w:val="auto"/>
              </w:rPr>
            </w:pPr>
          </w:p>
        </w:tc>
        <w:tc>
          <w:tcPr>
            <w:tcW w:w="800" w:type="dxa"/>
            <w:vAlign w:val="bottom"/>
            <w:tcBorders>
              <w:right w:val="single" w:sz="8" w:color="134A9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280" w:type="dxa"/>
            <w:vAlign w:val="bottom"/>
            <w:tcBorders>
              <w:left w:val="single" w:sz="8" w:color="134A9C"/>
              <w:right w:val="single" w:sz="8" w:color="134A9C"/>
            </w:tcBorders>
          </w:tcPr>
          <w:p>
            <w:pPr>
              <w:spacing w:after="0"/>
              <w:rPr>
                <w:sz w:val="15"/>
                <w:szCs w:val="15"/>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rPr>
              <w:t>RSU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6/11/2014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6/10/2014</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Borders>
              <w:right w:val="single" w:sz="8" w:color="134A9C"/>
            </w:tcBorders>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right w:val="single" w:sz="8" w:color="134A9C"/>
            </w:tcBorders>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69,214</w:t>
            </w:r>
          </w:p>
        </w:tc>
        <w:tc>
          <w:tcPr>
            <w:tcW w:w="920" w:type="dxa"/>
            <w:vAlign w:val="bottom"/>
          </w:tcPr>
          <w:p>
            <w:pPr>
              <w:spacing w:after="0"/>
              <w:rPr>
                <w:sz w:val="15"/>
                <w:szCs w:val="15"/>
                <w:color w:val="auto"/>
              </w:rPr>
            </w:pPr>
          </w:p>
        </w:tc>
        <w:tc>
          <w:tcPr>
            <w:tcW w:w="680" w:type="dxa"/>
            <w:vAlign w:val="bottom"/>
            <w:tcBorders>
              <w:right w:val="single" w:sz="8" w:color="134A9C"/>
            </w:tcBorders>
          </w:tcPr>
          <w:p>
            <w:pPr>
              <w:spacing w:after="0"/>
              <w:rPr>
                <w:sz w:val="15"/>
                <w:szCs w:val="15"/>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2,500,010</w:t>
            </w:r>
          </w:p>
        </w:tc>
        <w:tc>
          <w:tcPr>
            <w:tcW w:w="0" w:type="dxa"/>
            <w:vAlign w:val="bottom"/>
          </w:tcPr>
          <w:p>
            <w:pPr>
              <w:spacing w:after="0"/>
              <w:rPr>
                <w:sz w:val="1"/>
                <w:szCs w:val="1"/>
                <w:color w:val="auto"/>
              </w:rPr>
            </w:pPr>
          </w:p>
        </w:tc>
      </w:tr>
      <w:tr>
        <w:trPr>
          <w:trHeight w:val="270"/>
        </w:trPr>
        <w:tc>
          <w:tcPr>
            <w:tcW w:w="1280" w:type="dxa"/>
            <w:vAlign w:val="bottom"/>
            <w:tcBorders>
              <w:left w:val="single" w:sz="8" w:color="134A9C"/>
              <w:right w:val="single" w:sz="8" w:color="134A9C"/>
            </w:tcBorders>
          </w:tcPr>
          <w:p>
            <w:pPr>
              <w:spacing w:after="0"/>
              <w:rPr>
                <w:sz w:val="23"/>
                <w:szCs w:val="23"/>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PSU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6/11/2014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6/10/2014</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51,911</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207,642</w:t>
            </w:r>
          </w:p>
        </w:tc>
        <w:tc>
          <w:tcPr>
            <w:tcW w:w="74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415,284</w:t>
            </w: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7,500,029</w:t>
            </w:r>
          </w:p>
        </w:tc>
        <w:tc>
          <w:tcPr>
            <w:tcW w:w="0" w:type="dxa"/>
            <w:vAlign w:val="bottom"/>
          </w:tcPr>
          <w:p>
            <w:pPr>
              <w:spacing w:after="0"/>
              <w:rPr>
                <w:sz w:val="1"/>
                <w:szCs w:val="1"/>
                <w:color w:val="auto"/>
              </w:rPr>
            </w:pPr>
          </w:p>
        </w:tc>
      </w:tr>
      <w:tr>
        <w:trPr>
          <w:trHeight w:val="117"/>
        </w:trPr>
        <w:tc>
          <w:tcPr>
            <w:tcW w:w="1280" w:type="dxa"/>
            <w:vAlign w:val="bottom"/>
            <w:tcBorders>
              <w:left w:val="single" w:sz="8" w:color="134A9C"/>
              <w:bottom w:val="single" w:sz="8" w:color="134A9C"/>
              <w:right w:val="single" w:sz="8" w:color="134A9C"/>
            </w:tcBorders>
          </w:tcPr>
          <w:p>
            <w:pPr>
              <w:spacing w:after="0"/>
              <w:rPr>
                <w:sz w:val="10"/>
                <w:szCs w:val="10"/>
                <w:color w:val="auto"/>
              </w:rPr>
            </w:pPr>
          </w:p>
        </w:tc>
        <w:tc>
          <w:tcPr>
            <w:tcW w:w="580" w:type="dxa"/>
            <w:vAlign w:val="bottom"/>
            <w:tcBorders>
              <w:bottom w:val="single" w:sz="8" w:color="134A9C"/>
              <w:right w:val="single" w:sz="8" w:color="134A9C"/>
            </w:tcBorders>
          </w:tcPr>
          <w:p>
            <w:pPr>
              <w:spacing w:after="0"/>
              <w:rPr>
                <w:sz w:val="10"/>
                <w:szCs w:val="10"/>
                <w:color w:val="auto"/>
              </w:rPr>
            </w:pPr>
          </w:p>
        </w:tc>
        <w:tc>
          <w:tcPr>
            <w:tcW w:w="920" w:type="dxa"/>
            <w:vAlign w:val="bottom"/>
            <w:tcBorders>
              <w:bottom w:val="single" w:sz="8" w:color="134A9C"/>
              <w:right w:val="single" w:sz="8" w:color="134A9C"/>
            </w:tcBorders>
          </w:tcPr>
          <w:p>
            <w:pPr>
              <w:spacing w:after="0"/>
              <w:rPr>
                <w:sz w:val="10"/>
                <w:szCs w:val="10"/>
                <w:color w:val="auto"/>
              </w:rPr>
            </w:pPr>
          </w:p>
        </w:tc>
        <w:tc>
          <w:tcPr>
            <w:tcW w:w="820" w:type="dxa"/>
            <w:vAlign w:val="bottom"/>
            <w:tcBorders>
              <w:bottom w:val="single" w:sz="8" w:color="134A9C"/>
              <w:right w:val="single" w:sz="8" w:color="134A9C"/>
            </w:tcBorders>
          </w:tcPr>
          <w:p>
            <w:pPr>
              <w:spacing w:after="0"/>
              <w:rPr>
                <w:sz w:val="10"/>
                <w:szCs w:val="10"/>
                <w:color w:val="auto"/>
              </w:rPr>
            </w:pPr>
          </w:p>
        </w:tc>
        <w:tc>
          <w:tcPr>
            <w:tcW w:w="840" w:type="dxa"/>
            <w:vAlign w:val="bottom"/>
            <w:tcBorders>
              <w:bottom w:val="single" w:sz="8" w:color="134A9C"/>
            </w:tcBorders>
          </w:tcPr>
          <w:p>
            <w:pPr>
              <w:spacing w:after="0"/>
              <w:rPr>
                <w:sz w:val="10"/>
                <w:szCs w:val="10"/>
                <w:color w:val="auto"/>
              </w:rPr>
            </w:pPr>
          </w:p>
        </w:tc>
        <w:tc>
          <w:tcPr>
            <w:tcW w:w="880" w:type="dxa"/>
            <w:vAlign w:val="bottom"/>
            <w:tcBorders>
              <w:bottom w:val="single" w:sz="8" w:color="134A9C"/>
            </w:tcBorders>
          </w:tcPr>
          <w:p>
            <w:pPr>
              <w:spacing w:after="0"/>
              <w:rPr>
                <w:sz w:val="10"/>
                <w:szCs w:val="10"/>
                <w:color w:val="auto"/>
              </w:rPr>
            </w:pPr>
          </w:p>
        </w:tc>
        <w:tc>
          <w:tcPr>
            <w:tcW w:w="680" w:type="dxa"/>
            <w:vAlign w:val="bottom"/>
            <w:tcBorders>
              <w:bottom w:val="single" w:sz="8" w:color="134A9C"/>
              <w:right w:val="single" w:sz="8" w:color="134A9C"/>
            </w:tcBorders>
          </w:tcPr>
          <w:p>
            <w:pPr>
              <w:spacing w:after="0"/>
              <w:rPr>
                <w:sz w:val="10"/>
                <w:szCs w:val="10"/>
                <w:color w:val="auto"/>
              </w:rPr>
            </w:pPr>
          </w:p>
        </w:tc>
        <w:tc>
          <w:tcPr>
            <w:tcW w:w="860" w:type="dxa"/>
            <w:vAlign w:val="bottom"/>
            <w:tcBorders>
              <w:bottom w:val="single" w:sz="8" w:color="134A9C"/>
            </w:tcBorders>
          </w:tcPr>
          <w:p>
            <w:pPr>
              <w:spacing w:after="0"/>
              <w:rPr>
                <w:sz w:val="10"/>
                <w:szCs w:val="10"/>
                <w:color w:val="auto"/>
              </w:rPr>
            </w:pPr>
          </w:p>
        </w:tc>
        <w:tc>
          <w:tcPr>
            <w:tcW w:w="660" w:type="dxa"/>
            <w:vAlign w:val="bottom"/>
            <w:tcBorders>
              <w:bottom w:val="single" w:sz="8" w:color="134A9C"/>
            </w:tcBorders>
          </w:tcPr>
          <w:p>
            <w:pPr>
              <w:spacing w:after="0"/>
              <w:rPr>
                <w:sz w:val="10"/>
                <w:szCs w:val="10"/>
                <w:color w:val="auto"/>
              </w:rPr>
            </w:pPr>
          </w:p>
        </w:tc>
        <w:tc>
          <w:tcPr>
            <w:tcW w:w="740" w:type="dxa"/>
            <w:vAlign w:val="bottom"/>
            <w:tcBorders>
              <w:bottom w:val="single" w:sz="8" w:color="134A9C"/>
              <w:right w:val="single" w:sz="8" w:color="134A9C"/>
            </w:tcBorders>
          </w:tcPr>
          <w:p>
            <w:pPr>
              <w:spacing w:after="0"/>
              <w:rPr>
                <w:sz w:val="10"/>
                <w:szCs w:val="10"/>
                <w:color w:val="auto"/>
              </w:rPr>
            </w:pPr>
          </w:p>
        </w:tc>
        <w:tc>
          <w:tcPr>
            <w:tcW w:w="780" w:type="dxa"/>
            <w:vAlign w:val="bottom"/>
            <w:tcBorders>
              <w:bottom w:val="single" w:sz="8" w:color="134A9C"/>
            </w:tcBorders>
          </w:tcPr>
          <w:p>
            <w:pPr>
              <w:spacing w:after="0"/>
              <w:rPr>
                <w:sz w:val="10"/>
                <w:szCs w:val="10"/>
                <w:color w:val="auto"/>
              </w:rPr>
            </w:pPr>
          </w:p>
        </w:tc>
        <w:tc>
          <w:tcPr>
            <w:tcW w:w="920" w:type="dxa"/>
            <w:vAlign w:val="bottom"/>
            <w:tcBorders>
              <w:bottom w:val="single" w:sz="8" w:color="134A9C"/>
            </w:tcBorders>
          </w:tcPr>
          <w:p>
            <w:pPr>
              <w:spacing w:after="0"/>
              <w:rPr>
                <w:sz w:val="10"/>
                <w:szCs w:val="10"/>
                <w:color w:val="auto"/>
              </w:rPr>
            </w:pPr>
          </w:p>
        </w:tc>
        <w:tc>
          <w:tcPr>
            <w:tcW w:w="680" w:type="dxa"/>
            <w:vAlign w:val="bottom"/>
            <w:tcBorders>
              <w:bottom w:val="single" w:sz="8" w:color="134A9C"/>
              <w:right w:val="single" w:sz="8" w:color="134A9C"/>
            </w:tcBorders>
          </w:tcPr>
          <w:p>
            <w:pPr>
              <w:spacing w:after="0"/>
              <w:rPr>
                <w:sz w:val="10"/>
                <w:szCs w:val="10"/>
                <w:color w:val="auto"/>
              </w:rPr>
            </w:pPr>
          </w:p>
        </w:tc>
        <w:tc>
          <w:tcPr>
            <w:tcW w:w="800" w:type="dxa"/>
            <w:vAlign w:val="bottom"/>
            <w:tcBorders>
              <w:bottom w:val="single" w:sz="8" w:color="134A9C"/>
              <w:right w:val="single" w:sz="8" w:color="134A9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2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Charles K. Stevens, III</w:t>
            </w: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STIP</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1/13/2014</w:t>
            </w:r>
          </w:p>
        </w:tc>
        <w:tc>
          <w:tcPr>
            <w:tcW w:w="820" w:type="dxa"/>
            <w:vAlign w:val="bottom"/>
            <w:tcBorders>
              <w:right w:val="single" w:sz="8" w:color="134A9C"/>
            </w:tcBorders>
          </w:tcPr>
          <w:p>
            <w:pPr>
              <w:jc w:val="right"/>
              <w:ind w:right="126"/>
              <w:spacing w:after="0"/>
              <w:rPr>
                <w:sz w:val="20"/>
                <w:szCs w:val="20"/>
                <w:color w:val="auto"/>
              </w:rPr>
            </w:pPr>
            <w:r>
              <w:rPr>
                <w:rFonts w:ascii="Arial" w:cs="Arial" w:eastAsia="Arial" w:hAnsi="Arial"/>
                <w:sz w:val="11"/>
                <w:szCs w:val="11"/>
                <w:color w:val="auto"/>
              </w:rPr>
              <w:t>1/13/2014</w:t>
            </w:r>
          </w:p>
        </w:tc>
        <w:tc>
          <w:tcPr>
            <w:tcW w:w="840" w:type="dxa"/>
            <w:vAlign w:val="bottom"/>
          </w:tcPr>
          <w:p>
            <w:pPr>
              <w:jc w:val="center"/>
              <w:ind w:right="6"/>
              <w:spacing w:after="0"/>
              <w:rPr>
                <w:sz w:val="20"/>
                <w:szCs w:val="20"/>
                <w:color w:val="auto"/>
              </w:rPr>
            </w:pPr>
            <w:r>
              <w:rPr>
                <w:rFonts w:ascii="Arial" w:cs="Arial" w:eastAsia="Arial" w:hAnsi="Arial"/>
                <w:sz w:val="11"/>
                <w:szCs w:val="11"/>
                <w:color w:val="auto"/>
                <w:w w:val="95"/>
              </w:rPr>
              <w:t>109,375</w:t>
            </w:r>
          </w:p>
        </w:tc>
        <w:tc>
          <w:tcPr>
            <w:tcW w:w="880" w:type="dxa"/>
            <w:vAlign w:val="bottom"/>
          </w:tcPr>
          <w:p>
            <w:pPr>
              <w:jc w:val="center"/>
              <w:ind w:right="146"/>
              <w:spacing w:after="0"/>
              <w:rPr>
                <w:sz w:val="20"/>
                <w:szCs w:val="20"/>
                <w:color w:val="auto"/>
              </w:rPr>
            </w:pPr>
            <w:r>
              <w:rPr>
                <w:rFonts w:ascii="Arial" w:cs="Arial" w:eastAsia="Arial" w:hAnsi="Arial"/>
                <w:sz w:val="11"/>
                <w:szCs w:val="11"/>
                <w:color w:val="auto"/>
              </w:rPr>
              <w:t>875,000</w:t>
            </w:r>
          </w:p>
        </w:tc>
        <w:tc>
          <w:tcPr>
            <w:tcW w:w="680" w:type="dxa"/>
            <w:vAlign w:val="bottom"/>
            <w:tcBorders>
              <w:right w:val="single" w:sz="8" w:color="134A9C"/>
            </w:tcBorders>
          </w:tcPr>
          <w:p>
            <w:pPr>
              <w:jc w:val="center"/>
              <w:ind w:right="106"/>
              <w:spacing w:after="0"/>
              <w:rPr>
                <w:sz w:val="20"/>
                <w:szCs w:val="20"/>
                <w:color w:val="auto"/>
              </w:rPr>
            </w:pPr>
            <w:r>
              <w:rPr>
                <w:rFonts w:ascii="Arial" w:cs="Arial" w:eastAsia="Arial" w:hAnsi="Arial"/>
                <w:sz w:val="11"/>
                <w:szCs w:val="11"/>
                <w:color w:val="auto"/>
                <w:w w:val="97"/>
              </w:rPr>
              <w:t>1,750,000</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Borders>
              <w:right w:val="single" w:sz="8" w:color="134A9C"/>
            </w:tcBorders>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Borders>
              <w:right w:val="single" w:sz="8" w:color="134A9C"/>
            </w:tcBorders>
          </w:tcPr>
          <w:p>
            <w:pPr>
              <w:spacing w:after="0"/>
              <w:rPr>
                <w:sz w:val="12"/>
                <w:szCs w:val="12"/>
                <w:color w:val="auto"/>
              </w:rPr>
            </w:pPr>
          </w:p>
        </w:tc>
        <w:tc>
          <w:tcPr>
            <w:tcW w:w="800" w:type="dxa"/>
            <w:vAlign w:val="bottom"/>
            <w:tcBorders>
              <w:right w:val="single" w:sz="8" w:color="134A9C"/>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280" w:type="dxa"/>
            <w:vAlign w:val="bottom"/>
            <w:tcBorders>
              <w:left w:val="single" w:sz="8" w:color="134A9C"/>
              <w:right w:val="single" w:sz="8" w:color="134A9C"/>
            </w:tcBorders>
          </w:tcPr>
          <w:p>
            <w:pPr>
              <w:spacing w:after="0"/>
              <w:rPr>
                <w:sz w:val="23"/>
                <w:szCs w:val="23"/>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rPr>
              <w:t>RSU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2/13/2014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1/13/2014</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Borders>
              <w:right w:val="single" w:sz="8" w:color="134A9C"/>
            </w:tcBorders>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17,148</w:t>
            </w:r>
          </w:p>
        </w:tc>
        <w:tc>
          <w:tcPr>
            <w:tcW w:w="92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603,610</w:t>
            </w:r>
          </w:p>
        </w:tc>
        <w:tc>
          <w:tcPr>
            <w:tcW w:w="0" w:type="dxa"/>
            <w:vAlign w:val="bottom"/>
          </w:tcPr>
          <w:p>
            <w:pPr>
              <w:spacing w:after="0"/>
              <w:rPr>
                <w:sz w:val="1"/>
                <w:szCs w:val="1"/>
                <w:color w:val="auto"/>
              </w:rPr>
            </w:pPr>
          </w:p>
        </w:tc>
      </w:tr>
      <w:tr>
        <w:trPr>
          <w:trHeight w:val="270"/>
        </w:trPr>
        <w:tc>
          <w:tcPr>
            <w:tcW w:w="1280" w:type="dxa"/>
            <w:vAlign w:val="bottom"/>
            <w:tcBorders>
              <w:left w:val="single" w:sz="8" w:color="134A9C"/>
              <w:right w:val="single" w:sz="8" w:color="134A9C"/>
            </w:tcBorders>
          </w:tcPr>
          <w:p>
            <w:pPr>
              <w:spacing w:after="0"/>
              <w:rPr>
                <w:sz w:val="23"/>
                <w:szCs w:val="23"/>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rPr>
              <w:t>RSU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2/13/2014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1/13/2014</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Borders>
              <w:right w:val="single" w:sz="8" w:color="134A9C"/>
            </w:tcBorders>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4,225</w:t>
            </w:r>
          </w:p>
        </w:tc>
        <w:tc>
          <w:tcPr>
            <w:tcW w:w="92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148,720</w:t>
            </w:r>
          </w:p>
        </w:tc>
        <w:tc>
          <w:tcPr>
            <w:tcW w:w="0" w:type="dxa"/>
            <w:vAlign w:val="bottom"/>
          </w:tcPr>
          <w:p>
            <w:pPr>
              <w:spacing w:after="0"/>
              <w:rPr>
                <w:sz w:val="1"/>
                <w:szCs w:val="1"/>
                <w:color w:val="auto"/>
              </w:rPr>
            </w:pPr>
          </w:p>
        </w:tc>
      </w:tr>
      <w:tr>
        <w:trPr>
          <w:trHeight w:val="270"/>
        </w:trPr>
        <w:tc>
          <w:tcPr>
            <w:tcW w:w="1280" w:type="dxa"/>
            <w:vAlign w:val="bottom"/>
            <w:tcBorders>
              <w:left w:val="single" w:sz="8" w:color="134A9C"/>
              <w:right w:val="single" w:sz="8" w:color="134A9C"/>
            </w:tcBorders>
          </w:tcPr>
          <w:p>
            <w:pPr>
              <w:spacing w:after="0"/>
              <w:rPr>
                <w:sz w:val="23"/>
                <w:szCs w:val="23"/>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rPr>
              <w:t>RSU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6/11/2014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6/10/2014</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Borders>
              <w:right w:val="single" w:sz="8" w:color="134A9C"/>
            </w:tcBorders>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16,785</w:t>
            </w:r>
          </w:p>
        </w:tc>
        <w:tc>
          <w:tcPr>
            <w:tcW w:w="92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606,274</w:t>
            </w:r>
          </w:p>
        </w:tc>
        <w:tc>
          <w:tcPr>
            <w:tcW w:w="0" w:type="dxa"/>
            <w:vAlign w:val="bottom"/>
          </w:tcPr>
          <w:p>
            <w:pPr>
              <w:spacing w:after="0"/>
              <w:rPr>
                <w:sz w:val="1"/>
                <w:szCs w:val="1"/>
                <w:color w:val="auto"/>
              </w:rPr>
            </w:pPr>
          </w:p>
        </w:tc>
      </w:tr>
      <w:tr>
        <w:trPr>
          <w:trHeight w:val="270"/>
        </w:trPr>
        <w:tc>
          <w:tcPr>
            <w:tcW w:w="1280" w:type="dxa"/>
            <w:vAlign w:val="bottom"/>
            <w:tcBorders>
              <w:left w:val="single" w:sz="8" w:color="134A9C"/>
              <w:right w:val="single" w:sz="8" w:color="134A9C"/>
            </w:tcBorders>
          </w:tcPr>
          <w:p>
            <w:pPr>
              <w:spacing w:after="0"/>
              <w:rPr>
                <w:sz w:val="23"/>
                <w:szCs w:val="23"/>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PSU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6/11/2014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6/10/2014</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12,588</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50,353</w:t>
            </w:r>
          </w:p>
        </w:tc>
        <w:tc>
          <w:tcPr>
            <w:tcW w:w="74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100,706</w:t>
            </w: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1,818,750</w:t>
            </w:r>
          </w:p>
        </w:tc>
        <w:tc>
          <w:tcPr>
            <w:tcW w:w="0" w:type="dxa"/>
            <w:vAlign w:val="bottom"/>
          </w:tcPr>
          <w:p>
            <w:pPr>
              <w:spacing w:after="0"/>
              <w:rPr>
                <w:sz w:val="1"/>
                <w:szCs w:val="1"/>
                <w:color w:val="auto"/>
              </w:rPr>
            </w:pPr>
          </w:p>
        </w:tc>
      </w:tr>
      <w:tr>
        <w:trPr>
          <w:trHeight w:val="117"/>
        </w:trPr>
        <w:tc>
          <w:tcPr>
            <w:tcW w:w="1280" w:type="dxa"/>
            <w:vAlign w:val="bottom"/>
            <w:tcBorders>
              <w:left w:val="single" w:sz="8" w:color="134A9C"/>
              <w:bottom w:val="single" w:sz="8" w:color="134A9C"/>
              <w:right w:val="single" w:sz="8" w:color="134A9C"/>
            </w:tcBorders>
          </w:tcPr>
          <w:p>
            <w:pPr>
              <w:spacing w:after="0"/>
              <w:rPr>
                <w:sz w:val="10"/>
                <w:szCs w:val="10"/>
                <w:color w:val="auto"/>
              </w:rPr>
            </w:pPr>
          </w:p>
        </w:tc>
        <w:tc>
          <w:tcPr>
            <w:tcW w:w="580" w:type="dxa"/>
            <w:vAlign w:val="bottom"/>
            <w:tcBorders>
              <w:bottom w:val="single" w:sz="8" w:color="134A9C"/>
              <w:right w:val="single" w:sz="8" w:color="134A9C"/>
            </w:tcBorders>
          </w:tcPr>
          <w:p>
            <w:pPr>
              <w:spacing w:after="0"/>
              <w:rPr>
                <w:sz w:val="10"/>
                <w:szCs w:val="10"/>
                <w:color w:val="auto"/>
              </w:rPr>
            </w:pPr>
          </w:p>
        </w:tc>
        <w:tc>
          <w:tcPr>
            <w:tcW w:w="920" w:type="dxa"/>
            <w:vAlign w:val="bottom"/>
            <w:tcBorders>
              <w:bottom w:val="single" w:sz="8" w:color="134A9C"/>
              <w:right w:val="single" w:sz="8" w:color="134A9C"/>
            </w:tcBorders>
          </w:tcPr>
          <w:p>
            <w:pPr>
              <w:spacing w:after="0"/>
              <w:rPr>
                <w:sz w:val="10"/>
                <w:szCs w:val="10"/>
                <w:color w:val="auto"/>
              </w:rPr>
            </w:pPr>
          </w:p>
        </w:tc>
        <w:tc>
          <w:tcPr>
            <w:tcW w:w="820" w:type="dxa"/>
            <w:vAlign w:val="bottom"/>
            <w:tcBorders>
              <w:bottom w:val="single" w:sz="8" w:color="134A9C"/>
              <w:right w:val="single" w:sz="8" w:color="134A9C"/>
            </w:tcBorders>
          </w:tcPr>
          <w:p>
            <w:pPr>
              <w:spacing w:after="0"/>
              <w:rPr>
                <w:sz w:val="10"/>
                <w:szCs w:val="10"/>
                <w:color w:val="auto"/>
              </w:rPr>
            </w:pPr>
          </w:p>
        </w:tc>
        <w:tc>
          <w:tcPr>
            <w:tcW w:w="840" w:type="dxa"/>
            <w:vAlign w:val="bottom"/>
            <w:tcBorders>
              <w:bottom w:val="single" w:sz="8" w:color="134A9C"/>
            </w:tcBorders>
          </w:tcPr>
          <w:p>
            <w:pPr>
              <w:spacing w:after="0"/>
              <w:rPr>
                <w:sz w:val="10"/>
                <w:szCs w:val="10"/>
                <w:color w:val="auto"/>
              </w:rPr>
            </w:pPr>
          </w:p>
        </w:tc>
        <w:tc>
          <w:tcPr>
            <w:tcW w:w="880" w:type="dxa"/>
            <w:vAlign w:val="bottom"/>
            <w:tcBorders>
              <w:bottom w:val="single" w:sz="8" w:color="134A9C"/>
            </w:tcBorders>
          </w:tcPr>
          <w:p>
            <w:pPr>
              <w:spacing w:after="0"/>
              <w:rPr>
                <w:sz w:val="10"/>
                <w:szCs w:val="10"/>
                <w:color w:val="auto"/>
              </w:rPr>
            </w:pPr>
          </w:p>
        </w:tc>
        <w:tc>
          <w:tcPr>
            <w:tcW w:w="680" w:type="dxa"/>
            <w:vAlign w:val="bottom"/>
            <w:tcBorders>
              <w:bottom w:val="single" w:sz="8" w:color="134A9C"/>
              <w:right w:val="single" w:sz="8" w:color="134A9C"/>
            </w:tcBorders>
          </w:tcPr>
          <w:p>
            <w:pPr>
              <w:spacing w:after="0"/>
              <w:rPr>
                <w:sz w:val="10"/>
                <w:szCs w:val="10"/>
                <w:color w:val="auto"/>
              </w:rPr>
            </w:pPr>
          </w:p>
        </w:tc>
        <w:tc>
          <w:tcPr>
            <w:tcW w:w="860" w:type="dxa"/>
            <w:vAlign w:val="bottom"/>
            <w:tcBorders>
              <w:bottom w:val="single" w:sz="8" w:color="134A9C"/>
            </w:tcBorders>
          </w:tcPr>
          <w:p>
            <w:pPr>
              <w:spacing w:after="0"/>
              <w:rPr>
                <w:sz w:val="10"/>
                <w:szCs w:val="10"/>
                <w:color w:val="auto"/>
              </w:rPr>
            </w:pPr>
          </w:p>
        </w:tc>
        <w:tc>
          <w:tcPr>
            <w:tcW w:w="660" w:type="dxa"/>
            <w:vAlign w:val="bottom"/>
            <w:tcBorders>
              <w:bottom w:val="single" w:sz="8" w:color="134A9C"/>
            </w:tcBorders>
          </w:tcPr>
          <w:p>
            <w:pPr>
              <w:spacing w:after="0"/>
              <w:rPr>
                <w:sz w:val="10"/>
                <w:szCs w:val="10"/>
                <w:color w:val="auto"/>
              </w:rPr>
            </w:pPr>
          </w:p>
        </w:tc>
        <w:tc>
          <w:tcPr>
            <w:tcW w:w="740" w:type="dxa"/>
            <w:vAlign w:val="bottom"/>
            <w:tcBorders>
              <w:bottom w:val="single" w:sz="8" w:color="134A9C"/>
              <w:right w:val="single" w:sz="8" w:color="134A9C"/>
            </w:tcBorders>
          </w:tcPr>
          <w:p>
            <w:pPr>
              <w:spacing w:after="0"/>
              <w:rPr>
                <w:sz w:val="10"/>
                <w:szCs w:val="10"/>
                <w:color w:val="auto"/>
              </w:rPr>
            </w:pPr>
          </w:p>
        </w:tc>
        <w:tc>
          <w:tcPr>
            <w:tcW w:w="780" w:type="dxa"/>
            <w:vAlign w:val="bottom"/>
            <w:tcBorders>
              <w:bottom w:val="single" w:sz="8" w:color="134A9C"/>
            </w:tcBorders>
          </w:tcPr>
          <w:p>
            <w:pPr>
              <w:spacing w:after="0"/>
              <w:rPr>
                <w:sz w:val="10"/>
                <w:szCs w:val="10"/>
                <w:color w:val="auto"/>
              </w:rPr>
            </w:pPr>
          </w:p>
        </w:tc>
        <w:tc>
          <w:tcPr>
            <w:tcW w:w="920" w:type="dxa"/>
            <w:vAlign w:val="bottom"/>
            <w:tcBorders>
              <w:bottom w:val="single" w:sz="8" w:color="134A9C"/>
            </w:tcBorders>
          </w:tcPr>
          <w:p>
            <w:pPr>
              <w:spacing w:after="0"/>
              <w:rPr>
                <w:sz w:val="10"/>
                <w:szCs w:val="10"/>
                <w:color w:val="auto"/>
              </w:rPr>
            </w:pPr>
          </w:p>
        </w:tc>
        <w:tc>
          <w:tcPr>
            <w:tcW w:w="680" w:type="dxa"/>
            <w:vAlign w:val="bottom"/>
            <w:tcBorders>
              <w:bottom w:val="single" w:sz="8" w:color="134A9C"/>
              <w:right w:val="single" w:sz="8" w:color="134A9C"/>
            </w:tcBorders>
          </w:tcPr>
          <w:p>
            <w:pPr>
              <w:spacing w:after="0"/>
              <w:rPr>
                <w:sz w:val="10"/>
                <w:szCs w:val="10"/>
                <w:color w:val="auto"/>
              </w:rPr>
            </w:pPr>
          </w:p>
        </w:tc>
        <w:tc>
          <w:tcPr>
            <w:tcW w:w="800" w:type="dxa"/>
            <w:vAlign w:val="bottom"/>
            <w:tcBorders>
              <w:bottom w:val="single" w:sz="8" w:color="134A9C"/>
              <w:right w:val="single" w:sz="8" w:color="134A9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2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Daniel Ammann</w:t>
            </w: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STIP</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1/13/2014</w:t>
            </w:r>
          </w:p>
        </w:tc>
        <w:tc>
          <w:tcPr>
            <w:tcW w:w="820" w:type="dxa"/>
            <w:vAlign w:val="bottom"/>
            <w:tcBorders>
              <w:right w:val="single" w:sz="8" w:color="134A9C"/>
            </w:tcBorders>
          </w:tcPr>
          <w:p>
            <w:pPr>
              <w:jc w:val="right"/>
              <w:ind w:right="126"/>
              <w:spacing w:after="0"/>
              <w:rPr>
                <w:sz w:val="20"/>
                <w:szCs w:val="20"/>
                <w:color w:val="auto"/>
              </w:rPr>
            </w:pPr>
            <w:r>
              <w:rPr>
                <w:rFonts w:ascii="Arial" w:cs="Arial" w:eastAsia="Arial" w:hAnsi="Arial"/>
                <w:sz w:val="11"/>
                <w:szCs w:val="11"/>
                <w:color w:val="auto"/>
              </w:rPr>
              <w:t>1/13/2014</w:t>
            </w:r>
          </w:p>
        </w:tc>
        <w:tc>
          <w:tcPr>
            <w:tcW w:w="840" w:type="dxa"/>
            <w:vAlign w:val="bottom"/>
          </w:tcPr>
          <w:p>
            <w:pPr>
              <w:jc w:val="center"/>
              <w:ind w:right="6"/>
              <w:spacing w:after="0"/>
              <w:rPr>
                <w:sz w:val="20"/>
                <w:szCs w:val="20"/>
                <w:color w:val="auto"/>
              </w:rPr>
            </w:pPr>
            <w:r>
              <w:rPr>
                <w:rFonts w:ascii="Arial" w:cs="Arial" w:eastAsia="Arial" w:hAnsi="Arial"/>
                <w:sz w:val="11"/>
                <w:szCs w:val="11"/>
                <w:color w:val="auto"/>
                <w:w w:val="95"/>
              </w:rPr>
              <w:t>156,250</w:t>
            </w:r>
          </w:p>
        </w:tc>
        <w:tc>
          <w:tcPr>
            <w:tcW w:w="880" w:type="dxa"/>
            <w:vAlign w:val="bottom"/>
          </w:tcPr>
          <w:p>
            <w:pPr>
              <w:jc w:val="center"/>
              <w:ind w:right="146"/>
              <w:spacing w:after="0"/>
              <w:rPr>
                <w:sz w:val="20"/>
                <w:szCs w:val="20"/>
                <w:color w:val="auto"/>
              </w:rPr>
            </w:pPr>
            <w:r>
              <w:rPr>
                <w:rFonts w:ascii="Arial" w:cs="Arial" w:eastAsia="Arial" w:hAnsi="Arial"/>
                <w:sz w:val="11"/>
                <w:szCs w:val="11"/>
                <w:color w:val="auto"/>
                <w:w w:val="97"/>
              </w:rPr>
              <w:t>1,250,000</w:t>
            </w:r>
          </w:p>
        </w:tc>
        <w:tc>
          <w:tcPr>
            <w:tcW w:w="680" w:type="dxa"/>
            <w:vAlign w:val="bottom"/>
            <w:tcBorders>
              <w:right w:val="single" w:sz="8" w:color="134A9C"/>
            </w:tcBorders>
          </w:tcPr>
          <w:p>
            <w:pPr>
              <w:jc w:val="center"/>
              <w:ind w:right="106"/>
              <w:spacing w:after="0"/>
              <w:rPr>
                <w:sz w:val="20"/>
                <w:szCs w:val="20"/>
                <w:color w:val="auto"/>
              </w:rPr>
            </w:pPr>
            <w:r>
              <w:rPr>
                <w:rFonts w:ascii="Arial" w:cs="Arial" w:eastAsia="Arial" w:hAnsi="Arial"/>
                <w:sz w:val="11"/>
                <w:szCs w:val="11"/>
                <w:color w:val="auto"/>
                <w:w w:val="97"/>
              </w:rPr>
              <w:t>2,500,000</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Borders>
              <w:right w:val="single" w:sz="8" w:color="134A9C"/>
            </w:tcBorders>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Borders>
              <w:right w:val="single" w:sz="8" w:color="134A9C"/>
            </w:tcBorders>
          </w:tcPr>
          <w:p>
            <w:pPr>
              <w:spacing w:after="0"/>
              <w:rPr>
                <w:sz w:val="12"/>
                <w:szCs w:val="12"/>
                <w:color w:val="auto"/>
              </w:rPr>
            </w:pPr>
          </w:p>
        </w:tc>
        <w:tc>
          <w:tcPr>
            <w:tcW w:w="800" w:type="dxa"/>
            <w:vAlign w:val="bottom"/>
            <w:tcBorders>
              <w:right w:val="single" w:sz="8" w:color="134A9C"/>
            </w:tcBorders>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1280" w:type="dxa"/>
            <w:vAlign w:val="bottom"/>
            <w:tcBorders>
              <w:left w:val="single" w:sz="8" w:color="134A9C"/>
              <w:right w:val="single" w:sz="8" w:color="134A9C"/>
            </w:tcBorders>
          </w:tcPr>
          <w:p>
            <w:pPr>
              <w:spacing w:after="0"/>
              <w:rPr>
                <w:sz w:val="22"/>
                <w:szCs w:val="22"/>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5"/>
              </w:rPr>
              <w:t>TARP</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2/13/2014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1/13/2014</w:t>
            </w:r>
          </w:p>
        </w:tc>
        <w:tc>
          <w:tcPr>
            <w:tcW w:w="8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0" w:type="dxa"/>
            <w:vAlign w:val="bottom"/>
            <w:tcBorders>
              <w:right w:val="single" w:sz="8" w:color="134A9C"/>
            </w:tcBorders>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50,015</w:t>
            </w:r>
          </w:p>
        </w:tc>
        <w:tc>
          <w:tcPr>
            <w:tcW w:w="74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50,015</w:t>
            </w: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Borders>
              <w:right w:val="single" w:sz="8" w:color="134A9C"/>
            </w:tcBorders>
          </w:tcPr>
          <w:p>
            <w:pPr>
              <w:spacing w:after="0"/>
              <w:rPr>
                <w:sz w:val="22"/>
                <w:szCs w:val="22"/>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1,760,528</w:t>
            </w:r>
          </w:p>
        </w:tc>
        <w:tc>
          <w:tcPr>
            <w:tcW w:w="0" w:type="dxa"/>
            <w:vAlign w:val="bottom"/>
          </w:tcPr>
          <w:p>
            <w:pPr>
              <w:spacing w:after="0"/>
              <w:rPr>
                <w:sz w:val="1"/>
                <w:szCs w:val="1"/>
                <w:color w:val="auto"/>
              </w:rPr>
            </w:pPr>
          </w:p>
        </w:tc>
      </w:tr>
      <w:tr>
        <w:trPr>
          <w:trHeight w:val="130"/>
        </w:trPr>
        <w:tc>
          <w:tcPr>
            <w:tcW w:w="1280" w:type="dxa"/>
            <w:vAlign w:val="bottom"/>
            <w:tcBorders>
              <w:left w:val="single" w:sz="8" w:color="134A9C"/>
              <w:right w:val="single" w:sz="8" w:color="134A9C"/>
            </w:tcBorders>
          </w:tcPr>
          <w:p>
            <w:pPr>
              <w:spacing w:after="0"/>
              <w:rPr>
                <w:sz w:val="11"/>
                <w:szCs w:val="11"/>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rPr>
              <w:t>RSU</w:t>
            </w:r>
          </w:p>
        </w:tc>
        <w:tc>
          <w:tcPr>
            <w:tcW w:w="920" w:type="dxa"/>
            <w:vAlign w:val="bottom"/>
            <w:tcBorders>
              <w:right w:val="single" w:sz="8" w:color="134A9C"/>
            </w:tcBorders>
          </w:tcPr>
          <w:p>
            <w:pPr>
              <w:spacing w:after="0"/>
              <w:rPr>
                <w:sz w:val="11"/>
                <w:szCs w:val="11"/>
                <w:color w:val="auto"/>
              </w:rPr>
            </w:pPr>
          </w:p>
        </w:tc>
        <w:tc>
          <w:tcPr>
            <w:tcW w:w="820" w:type="dxa"/>
            <w:vAlign w:val="bottom"/>
            <w:tcBorders>
              <w:right w:val="single" w:sz="8" w:color="134A9C"/>
            </w:tcBorders>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Borders>
              <w:right w:val="single" w:sz="8" w:color="134A9C"/>
            </w:tcBorders>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Borders>
              <w:right w:val="single" w:sz="8" w:color="134A9C"/>
            </w:tcBorders>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Borders>
              <w:right w:val="single" w:sz="8" w:color="134A9C"/>
            </w:tcBorders>
          </w:tcPr>
          <w:p>
            <w:pPr>
              <w:spacing w:after="0"/>
              <w:rPr>
                <w:sz w:val="11"/>
                <w:szCs w:val="11"/>
                <w:color w:val="auto"/>
              </w:rPr>
            </w:pPr>
          </w:p>
        </w:tc>
        <w:tc>
          <w:tcPr>
            <w:tcW w:w="800" w:type="dxa"/>
            <w:vAlign w:val="bottom"/>
            <w:tcBorders>
              <w:right w:val="single" w:sz="8" w:color="134A9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280" w:type="dxa"/>
            <w:vAlign w:val="bottom"/>
            <w:tcBorders>
              <w:left w:val="single" w:sz="8" w:color="134A9C"/>
              <w:right w:val="single" w:sz="8" w:color="134A9C"/>
            </w:tcBorders>
          </w:tcPr>
          <w:p>
            <w:pPr>
              <w:spacing w:after="0"/>
              <w:rPr>
                <w:sz w:val="15"/>
                <w:szCs w:val="15"/>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rPr>
              <w:t>RSU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6/11/2014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6/10/2014</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Borders>
              <w:right w:val="single" w:sz="8" w:color="134A9C"/>
            </w:tcBorders>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right w:val="single" w:sz="8" w:color="134A9C"/>
            </w:tcBorders>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31,493</w:t>
            </w:r>
          </w:p>
        </w:tc>
        <w:tc>
          <w:tcPr>
            <w:tcW w:w="920" w:type="dxa"/>
            <w:vAlign w:val="bottom"/>
          </w:tcPr>
          <w:p>
            <w:pPr>
              <w:spacing w:after="0"/>
              <w:rPr>
                <w:sz w:val="15"/>
                <w:szCs w:val="15"/>
                <w:color w:val="auto"/>
              </w:rPr>
            </w:pPr>
          </w:p>
        </w:tc>
        <w:tc>
          <w:tcPr>
            <w:tcW w:w="680" w:type="dxa"/>
            <w:vAlign w:val="bottom"/>
            <w:tcBorders>
              <w:right w:val="single" w:sz="8" w:color="134A9C"/>
            </w:tcBorders>
          </w:tcPr>
          <w:p>
            <w:pPr>
              <w:spacing w:after="0"/>
              <w:rPr>
                <w:sz w:val="15"/>
                <w:szCs w:val="15"/>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1,137,527</w:t>
            </w:r>
          </w:p>
        </w:tc>
        <w:tc>
          <w:tcPr>
            <w:tcW w:w="0" w:type="dxa"/>
            <w:vAlign w:val="bottom"/>
          </w:tcPr>
          <w:p>
            <w:pPr>
              <w:spacing w:after="0"/>
              <w:rPr>
                <w:sz w:val="1"/>
                <w:szCs w:val="1"/>
                <w:color w:val="auto"/>
              </w:rPr>
            </w:pPr>
          </w:p>
        </w:tc>
      </w:tr>
      <w:tr>
        <w:trPr>
          <w:trHeight w:val="270"/>
        </w:trPr>
        <w:tc>
          <w:tcPr>
            <w:tcW w:w="1280" w:type="dxa"/>
            <w:vAlign w:val="bottom"/>
            <w:tcBorders>
              <w:left w:val="single" w:sz="8" w:color="134A9C"/>
              <w:right w:val="single" w:sz="8" w:color="134A9C"/>
            </w:tcBorders>
          </w:tcPr>
          <w:p>
            <w:pPr>
              <w:spacing w:after="0"/>
              <w:rPr>
                <w:sz w:val="23"/>
                <w:szCs w:val="23"/>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PSU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6/11/2014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6/10/2014</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23,619</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94,477</w:t>
            </w:r>
          </w:p>
        </w:tc>
        <w:tc>
          <w:tcPr>
            <w:tcW w:w="74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188,954</w:t>
            </w: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3,412,509</w:t>
            </w:r>
          </w:p>
        </w:tc>
        <w:tc>
          <w:tcPr>
            <w:tcW w:w="0" w:type="dxa"/>
            <w:vAlign w:val="bottom"/>
          </w:tcPr>
          <w:p>
            <w:pPr>
              <w:spacing w:after="0"/>
              <w:rPr>
                <w:sz w:val="1"/>
                <w:szCs w:val="1"/>
                <w:color w:val="auto"/>
              </w:rPr>
            </w:pPr>
          </w:p>
        </w:tc>
      </w:tr>
      <w:tr>
        <w:trPr>
          <w:trHeight w:val="117"/>
        </w:trPr>
        <w:tc>
          <w:tcPr>
            <w:tcW w:w="1280" w:type="dxa"/>
            <w:vAlign w:val="bottom"/>
            <w:tcBorders>
              <w:left w:val="single" w:sz="8" w:color="134A9C"/>
              <w:bottom w:val="single" w:sz="8" w:color="134A9C"/>
              <w:right w:val="single" w:sz="8" w:color="134A9C"/>
            </w:tcBorders>
          </w:tcPr>
          <w:p>
            <w:pPr>
              <w:spacing w:after="0"/>
              <w:rPr>
                <w:sz w:val="10"/>
                <w:szCs w:val="10"/>
                <w:color w:val="auto"/>
              </w:rPr>
            </w:pPr>
          </w:p>
        </w:tc>
        <w:tc>
          <w:tcPr>
            <w:tcW w:w="580" w:type="dxa"/>
            <w:vAlign w:val="bottom"/>
            <w:tcBorders>
              <w:bottom w:val="single" w:sz="8" w:color="134A9C"/>
              <w:right w:val="single" w:sz="8" w:color="134A9C"/>
            </w:tcBorders>
          </w:tcPr>
          <w:p>
            <w:pPr>
              <w:spacing w:after="0"/>
              <w:rPr>
                <w:sz w:val="10"/>
                <w:szCs w:val="10"/>
                <w:color w:val="auto"/>
              </w:rPr>
            </w:pPr>
          </w:p>
        </w:tc>
        <w:tc>
          <w:tcPr>
            <w:tcW w:w="920" w:type="dxa"/>
            <w:vAlign w:val="bottom"/>
            <w:tcBorders>
              <w:bottom w:val="single" w:sz="8" w:color="134A9C"/>
              <w:right w:val="single" w:sz="8" w:color="134A9C"/>
            </w:tcBorders>
          </w:tcPr>
          <w:p>
            <w:pPr>
              <w:spacing w:after="0"/>
              <w:rPr>
                <w:sz w:val="10"/>
                <w:szCs w:val="10"/>
                <w:color w:val="auto"/>
              </w:rPr>
            </w:pPr>
          </w:p>
        </w:tc>
        <w:tc>
          <w:tcPr>
            <w:tcW w:w="820" w:type="dxa"/>
            <w:vAlign w:val="bottom"/>
            <w:tcBorders>
              <w:bottom w:val="single" w:sz="8" w:color="134A9C"/>
              <w:right w:val="single" w:sz="8" w:color="134A9C"/>
            </w:tcBorders>
          </w:tcPr>
          <w:p>
            <w:pPr>
              <w:spacing w:after="0"/>
              <w:rPr>
                <w:sz w:val="10"/>
                <w:szCs w:val="10"/>
                <w:color w:val="auto"/>
              </w:rPr>
            </w:pPr>
          </w:p>
        </w:tc>
        <w:tc>
          <w:tcPr>
            <w:tcW w:w="840" w:type="dxa"/>
            <w:vAlign w:val="bottom"/>
            <w:tcBorders>
              <w:bottom w:val="single" w:sz="8" w:color="134A9C"/>
            </w:tcBorders>
          </w:tcPr>
          <w:p>
            <w:pPr>
              <w:spacing w:after="0"/>
              <w:rPr>
                <w:sz w:val="10"/>
                <w:szCs w:val="10"/>
                <w:color w:val="auto"/>
              </w:rPr>
            </w:pPr>
          </w:p>
        </w:tc>
        <w:tc>
          <w:tcPr>
            <w:tcW w:w="880" w:type="dxa"/>
            <w:vAlign w:val="bottom"/>
            <w:tcBorders>
              <w:bottom w:val="single" w:sz="8" w:color="134A9C"/>
            </w:tcBorders>
          </w:tcPr>
          <w:p>
            <w:pPr>
              <w:spacing w:after="0"/>
              <w:rPr>
                <w:sz w:val="10"/>
                <w:szCs w:val="10"/>
                <w:color w:val="auto"/>
              </w:rPr>
            </w:pPr>
          </w:p>
        </w:tc>
        <w:tc>
          <w:tcPr>
            <w:tcW w:w="680" w:type="dxa"/>
            <w:vAlign w:val="bottom"/>
            <w:tcBorders>
              <w:bottom w:val="single" w:sz="8" w:color="134A9C"/>
              <w:right w:val="single" w:sz="8" w:color="134A9C"/>
            </w:tcBorders>
          </w:tcPr>
          <w:p>
            <w:pPr>
              <w:spacing w:after="0"/>
              <w:rPr>
                <w:sz w:val="10"/>
                <w:szCs w:val="10"/>
                <w:color w:val="auto"/>
              </w:rPr>
            </w:pPr>
          </w:p>
        </w:tc>
        <w:tc>
          <w:tcPr>
            <w:tcW w:w="860" w:type="dxa"/>
            <w:vAlign w:val="bottom"/>
            <w:tcBorders>
              <w:bottom w:val="single" w:sz="8" w:color="134A9C"/>
            </w:tcBorders>
          </w:tcPr>
          <w:p>
            <w:pPr>
              <w:spacing w:after="0"/>
              <w:rPr>
                <w:sz w:val="10"/>
                <w:szCs w:val="10"/>
                <w:color w:val="auto"/>
              </w:rPr>
            </w:pPr>
          </w:p>
        </w:tc>
        <w:tc>
          <w:tcPr>
            <w:tcW w:w="660" w:type="dxa"/>
            <w:vAlign w:val="bottom"/>
            <w:tcBorders>
              <w:bottom w:val="single" w:sz="8" w:color="134A9C"/>
            </w:tcBorders>
          </w:tcPr>
          <w:p>
            <w:pPr>
              <w:spacing w:after="0"/>
              <w:rPr>
                <w:sz w:val="10"/>
                <w:szCs w:val="10"/>
                <w:color w:val="auto"/>
              </w:rPr>
            </w:pPr>
          </w:p>
        </w:tc>
        <w:tc>
          <w:tcPr>
            <w:tcW w:w="740" w:type="dxa"/>
            <w:vAlign w:val="bottom"/>
            <w:tcBorders>
              <w:bottom w:val="single" w:sz="8" w:color="134A9C"/>
              <w:right w:val="single" w:sz="8" w:color="134A9C"/>
            </w:tcBorders>
          </w:tcPr>
          <w:p>
            <w:pPr>
              <w:spacing w:after="0"/>
              <w:rPr>
                <w:sz w:val="10"/>
                <w:szCs w:val="10"/>
                <w:color w:val="auto"/>
              </w:rPr>
            </w:pPr>
          </w:p>
        </w:tc>
        <w:tc>
          <w:tcPr>
            <w:tcW w:w="780" w:type="dxa"/>
            <w:vAlign w:val="bottom"/>
            <w:tcBorders>
              <w:bottom w:val="single" w:sz="8" w:color="134A9C"/>
            </w:tcBorders>
          </w:tcPr>
          <w:p>
            <w:pPr>
              <w:spacing w:after="0"/>
              <w:rPr>
                <w:sz w:val="10"/>
                <w:szCs w:val="10"/>
                <w:color w:val="auto"/>
              </w:rPr>
            </w:pPr>
          </w:p>
        </w:tc>
        <w:tc>
          <w:tcPr>
            <w:tcW w:w="920" w:type="dxa"/>
            <w:vAlign w:val="bottom"/>
            <w:tcBorders>
              <w:bottom w:val="single" w:sz="8" w:color="134A9C"/>
            </w:tcBorders>
          </w:tcPr>
          <w:p>
            <w:pPr>
              <w:spacing w:after="0"/>
              <w:rPr>
                <w:sz w:val="10"/>
                <w:szCs w:val="10"/>
                <w:color w:val="auto"/>
              </w:rPr>
            </w:pPr>
          </w:p>
        </w:tc>
        <w:tc>
          <w:tcPr>
            <w:tcW w:w="680" w:type="dxa"/>
            <w:vAlign w:val="bottom"/>
            <w:tcBorders>
              <w:bottom w:val="single" w:sz="8" w:color="134A9C"/>
              <w:right w:val="single" w:sz="8" w:color="134A9C"/>
            </w:tcBorders>
          </w:tcPr>
          <w:p>
            <w:pPr>
              <w:spacing w:after="0"/>
              <w:rPr>
                <w:sz w:val="10"/>
                <w:szCs w:val="10"/>
                <w:color w:val="auto"/>
              </w:rPr>
            </w:pPr>
          </w:p>
        </w:tc>
        <w:tc>
          <w:tcPr>
            <w:tcW w:w="800" w:type="dxa"/>
            <w:vAlign w:val="bottom"/>
            <w:tcBorders>
              <w:bottom w:val="single" w:sz="8" w:color="134A9C"/>
              <w:right w:val="single" w:sz="8" w:color="134A9C"/>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2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Mark L.</w:t>
            </w: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STIP</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1/13/2014</w:t>
            </w:r>
          </w:p>
        </w:tc>
        <w:tc>
          <w:tcPr>
            <w:tcW w:w="820" w:type="dxa"/>
            <w:vAlign w:val="bottom"/>
            <w:tcBorders>
              <w:right w:val="single" w:sz="8" w:color="134A9C"/>
            </w:tcBorders>
          </w:tcPr>
          <w:p>
            <w:pPr>
              <w:jc w:val="right"/>
              <w:ind w:right="126"/>
              <w:spacing w:after="0"/>
              <w:rPr>
                <w:sz w:val="20"/>
                <w:szCs w:val="20"/>
                <w:color w:val="auto"/>
              </w:rPr>
            </w:pPr>
            <w:r>
              <w:rPr>
                <w:rFonts w:ascii="Arial" w:cs="Arial" w:eastAsia="Arial" w:hAnsi="Arial"/>
                <w:sz w:val="11"/>
                <w:szCs w:val="11"/>
                <w:color w:val="auto"/>
              </w:rPr>
              <w:t>1/13/2014</w:t>
            </w:r>
          </w:p>
        </w:tc>
        <w:tc>
          <w:tcPr>
            <w:tcW w:w="840" w:type="dxa"/>
            <w:vAlign w:val="bottom"/>
          </w:tcPr>
          <w:p>
            <w:pPr>
              <w:jc w:val="center"/>
              <w:ind w:right="6"/>
              <w:spacing w:after="0"/>
              <w:rPr>
                <w:sz w:val="20"/>
                <w:szCs w:val="20"/>
                <w:color w:val="auto"/>
              </w:rPr>
            </w:pPr>
            <w:r>
              <w:rPr>
                <w:rFonts w:ascii="Arial" w:cs="Arial" w:eastAsia="Arial" w:hAnsi="Arial"/>
                <w:sz w:val="11"/>
                <w:szCs w:val="11"/>
                <w:color w:val="auto"/>
                <w:w w:val="95"/>
              </w:rPr>
              <w:t>132,813</w:t>
            </w:r>
          </w:p>
        </w:tc>
        <w:tc>
          <w:tcPr>
            <w:tcW w:w="880" w:type="dxa"/>
            <w:vAlign w:val="bottom"/>
          </w:tcPr>
          <w:p>
            <w:pPr>
              <w:jc w:val="center"/>
              <w:ind w:right="146"/>
              <w:spacing w:after="0"/>
              <w:rPr>
                <w:sz w:val="20"/>
                <w:szCs w:val="20"/>
                <w:color w:val="auto"/>
              </w:rPr>
            </w:pPr>
            <w:r>
              <w:rPr>
                <w:rFonts w:ascii="Arial" w:cs="Arial" w:eastAsia="Arial" w:hAnsi="Arial"/>
                <w:sz w:val="11"/>
                <w:szCs w:val="11"/>
                <w:color w:val="auto"/>
                <w:w w:val="97"/>
              </w:rPr>
              <w:t>1,062,500</w:t>
            </w:r>
          </w:p>
        </w:tc>
        <w:tc>
          <w:tcPr>
            <w:tcW w:w="680" w:type="dxa"/>
            <w:vAlign w:val="bottom"/>
            <w:tcBorders>
              <w:right w:val="single" w:sz="8" w:color="134A9C"/>
            </w:tcBorders>
          </w:tcPr>
          <w:p>
            <w:pPr>
              <w:jc w:val="center"/>
              <w:ind w:right="106"/>
              <w:spacing w:after="0"/>
              <w:rPr>
                <w:sz w:val="20"/>
                <w:szCs w:val="20"/>
                <w:color w:val="auto"/>
              </w:rPr>
            </w:pPr>
            <w:r>
              <w:rPr>
                <w:rFonts w:ascii="Arial" w:cs="Arial" w:eastAsia="Arial" w:hAnsi="Arial"/>
                <w:sz w:val="11"/>
                <w:szCs w:val="11"/>
                <w:color w:val="auto"/>
                <w:w w:val="97"/>
              </w:rPr>
              <w:t>2,125,000</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Borders>
              <w:right w:val="single" w:sz="8" w:color="134A9C"/>
            </w:tcBorders>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Borders>
              <w:right w:val="single" w:sz="8" w:color="134A9C"/>
            </w:tcBorders>
          </w:tcPr>
          <w:p>
            <w:pPr>
              <w:spacing w:after="0"/>
              <w:rPr>
                <w:sz w:val="12"/>
                <w:szCs w:val="12"/>
                <w:color w:val="auto"/>
              </w:rPr>
            </w:pPr>
          </w:p>
        </w:tc>
        <w:tc>
          <w:tcPr>
            <w:tcW w:w="800" w:type="dxa"/>
            <w:vAlign w:val="bottom"/>
            <w:tcBorders>
              <w:right w:val="single" w:sz="8" w:color="134A9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Reuss</w:t>
            </w:r>
          </w:p>
        </w:tc>
        <w:tc>
          <w:tcPr>
            <w:tcW w:w="580" w:type="dxa"/>
            <w:vAlign w:val="bottom"/>
            <w:tcBorders>
              <w:right w:val="single" w:sz="8" w:color="134A9C"/>
            </w:tcBorders>
          </w:tcPr>
          <w:p>
            <w:pPr>
              <w:spacing w:after="0"/>
              <w:rPr>
                <w:sz w:val="11"/>
                <w:szCs w:val="11"/>
                <w:color w:val="auto"/>
              </w:rPr>
            </w:pPr>
          </w:p>
        </w:tc>
        <w:tc>
          <w:tcPr>
            <w:tcW w:w="920" w:type="dxa"/>
            <w:vAlign w:val="bottom"/>
            <w:tcBorders>
              <w:right w:val="single" w:sz="8" w:color="134A9C"/>
            </w:tcBorders>
          </w:tcPr>
          <w:p>
            <w:pPr>
              <w:spacing w:after="0"/>
              <w:rPr>
                <w:sz w:val="11"/>
                <w:szCs w:val="11"/>
                <w:color w:val="auto"/>
              </w:rPr>
            </w:pPr>
          </w:p>
        </w:tc>
        <w:tc>
          <w:tcPr>
            <w:tcW w:w="820" w:type="dxa"/>
            <w:vAlign w:val="bottom"/>
            <w:tcBorders>
              <w:right w:val="single" w:sz="8" w:color="134A9C"/>
            </w:tcBorders>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Borders>
              <w:right w:val="single" w:sz="8" w:color="134A9C"/>
            </w:tcBorders>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Borders>
              <w:right w:val="single" w:sz="8" w:color="134A9C"/>
            </w:tcBorders>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Borders>
              <w:right w:val="single" w:sz="8" w:color="134A9C"/>
            </w:tcBorders>
          </w:tcPr>
          <w:p>
            <w:pPr>
              <w:spacing w:after="0"/>
              <w:rPr>
                <w:sz w:val="11"/>
                <w:szCs w:val="11"/>
                <w:color w:val="auto"/>
              </w:rPr>
            </w:pPr>
          </w:p>
        </w:tc>
        <w:tc>
          <w:tcPr>
            <w:tcW w:w="800" w:type="dxa"/>
            <w:vAlign w:val="bottom"/>
            <w:tcBorders>
              <w:right w:val="single" w:sz="8" w:color="134A9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80" w:type="dxa"/>
            <w:vAlign w:val="bottom"/>
            <w:tcBorders>
              <w:left w:val="single" w:sz="8" w:color="134A9C"/>
              <w:right w:val="single" w:sz="8" w:color="134A9C"/>
            </w:tcBorders>
          </w:tcPr>
          <w:p>
            <w:pPr>
              <w:spacing w:after="0"/>
              <w:rPr>
                <w:sz w:val="12"/>
                <w:szCs w:val="12"/>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5"/>
              </w:rPr>
              <w:t>TARP</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2/13/2014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1/13/2014</w:t>
            </w: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Borders>
              <w:right w:val="single" w:sz="8" w:color="134A9C"/>
            </w:tcBorders>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44,299</w:t>
            </w:r>
          </w:p>
        </w:tc>
        <w:tc>
          <w:tcPr>
            <w:tcW w:w="74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44,299</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Borders>
              <w:right w:val="single" w:sz="8" w:color="134A9C"/>
            </w:tcBorders>
          </w:tcPr>
          <w:p>
            <w:pPr>
              <w:spacing w:after="0"/>
              <w:rPr>
                <w:sz w:val="12"/>
                <w:szCs w:val="12"/>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1,559,325</w:t>
            </w:r>
          </w:p>
        </w:tc>
        <w:tc>
          <w:tcPr>
            <w:tcW w:w="0" w:type="dxa"/>
            <w:vAlign w:val="bottom"/>
          </w:tcPr>
          <w:p>
            <w:pPr>
              <w:spacing w:after="0"/>
              <w:rPr>
                <w:sz w:val="1"/>
                <w:szCs w:val="1"/>
                <w:color w:val="auto"/>
              </w:rPr>
            </w:pPr>
          </w:p>
        </w:tc>
      </w:tr>
      <w:tr>
        <w:trPr>
          <w:trHeight w:val="130"/>
        </w:trPr>
        <w:tc>
          <w:tcPr>
            <w:tcW w:w="1280" w:type="dxa"/>
            <w:vAlign w:val="bottom"/>
            <w:tcBorders>
              <w:left w:val="single" w:sz="8" w:color="134A9C"/>
              <w:right w:val="single" w:sz="8" w:color="134A9C"/>
            </w:tcBorders>
          </w:tcPr>
          <w:p>
            <w:pPr>
              <w:spacing w:after="0"/>
              <w:rPr>
                <w:sz w:val="11"/>
                <w:szCs w:val="11"/>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rPr>
              <w:t>RSU</w:t>
            </w:r>
          </w:p>
        </w:tc>
        <w:tc>
          <w:tcPr>
            <w:tcW w:w="920" w:type="dxa"/>
            <w:vAlign w:val="bottom"/>
            <w:tcBorders>
              <w:right w:val="single" w:sz="8" w:color="134A9C"/>
            </w:tcBorders>
          </w:tcPr>
          <w:p>
            <w:pPr>
              <w:spacing w:after="0"/>
              <w:rPr>
                <w:sz w:val="11"/>
                <w:szCs w:val="11"/>
                <w:color w:val="auto"/>
              </w:rPr>
            </w:pPr>
          </w:p>
        </w:tc>
        <w:tc>
          <w:tcPr>
            <w:tcW w:w="820" w:type="dxa"/>
            <w:vAlign w:val="bottom"/>
            <w:tcBorders>
              <w:right w:val="single" w:sz="8" w:color="134A9C"/>
            </w:tcBorders>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Borders>
              <w:right w:val="single" w:sz="8" w:color="134A9C"/>
            </w:tcBorders>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Borders>
              <w:right w:val="single" w:sz="8" w:color="134A9C"/>
            </w:tcBorders>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Borders>
              <w:right w:val="single" w:sz="8" w:color="134A9C"/>
            </w:tcBorders>
          </w:tcPr>
          <w:p>
            <w:pPr>
              <w:spacing w:after="0"/>
              <w:rPr>
                <w:sz w:val="11"/>
                <w:szCs w:val="11"/>
                <w:color w:val="auto"/>
              </w:rPr>
            </w:pPr>
          </w:p>
        </w:tc>
        <w:tc>
          <w:tcPr>
            <w:tcW w:w="800" w:type="dxa"/>
            <w:vAlign w:val="bottom"/>
            <w:tcBorders>
              <w:right w:val="single" w:sz="8" w:color="134A9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280" w:type="dxa"/>
            <w:vAlign w:val="bottom"/>
            <w:tcBorders>
              <w:left w:val="single" w:sz="8" w:color="134A9C"/>
              <w:right w:val="single" w:sz="8" w:color="134A9C"/>
            </w:tcBorders>
          </w:tcPr>
          <w:p>
            <w:pPr>
              <w:spacing w:after="0"/>
              <w:rPr>
                <w:sz w:val="15"/>
                <w:szCs w:val="15"/>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rPr>
              <w:t>RSU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2/13/2014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1/13/2014</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Borders>
              <w:right w:val="single" w:sz="8" w:color="134A9C"/>
            </w:tcBorders>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right w:val="single" w:sz="8" w:color="134A9C"/>
            </w:tcBorders>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57,160</w:t>
            </w:r>
          </w:p>
        </w:tc>
        <w:tc>
          <w:tcPr>
            <w:tcW w:w="920" w:type="dxa"/>
            <w:vAlign w:val="bottom"/>
          </w:tcPr>
          <w:p>
            <w:pPr>
              <w:spacing w:after="0"/>
              <w:rPr>
                <w:sz w:val="15"/>
                <w:szCs w:val="15"/>
                <w:color w:val="auto"/>
              </w:rPr>
            </w:pPr>
          </w:p>
        </w:tc>
        <w:tc>
          <w:tcPr>
            <w:tcW w:w="680" w:type="dxa"/>
            <w:vAlign w:val="bottom"/>
            <w:tcBorders>
              <w:right w:val="single" w:sz="8" w:color="134A9C"/>
            </w:tcBorders>
          </w:tcPr>
          <w:p>
            <w:pPr>
              <w:spacing w:after="0"/>
              <w:rPr>
                <w:sz w:val="15"/>
                <w:szCs w:val="15"/>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2,012,032</w:t>
            </w:r>
          </w:p>
        </w:tc>
        <w:tc>
          <w:tcPr>
            <w:tcW w:w="0" w:type="dxa"/>
            <w:vAlign w:val="bottom"/>
          </w:tcPr>
          <w:p>
            <w:pPr>
              <w:spacing w:after="0"/>
              <w:rPr>
                <w:sz w:val="1"/>
                <w:szCs w:val="1"/>
                <w:color w:val="auto"/>
              </w:rPr>
            </w:pPr>
          </w:p>
        </w:tc>
      </w:tr>
      <w:tr>
        <w:trPr>
          <w:trHeight w:val="270"/>
        </w:trPr>
        <w:tc>
          <w:tcPr>
            <w:tcW w:w="1280" w:type="dxa"/>
            <w:vAlign w:val="bottom"/>
            <w:tcBorders>
              <w:left w:val="single" w:sz="8" w:color="134A9C"/>
              <w:right w:val="single" w:sz="8" w:color="134A9C"/>
            </w:tcBorders>
          </w:tcPr>
          <w:p>
            <w:pPr>
              <w:spacing w:after="0"/>
              <w:rPr>
                <w:sz w:val="23"/>
                <w:szCs w:val="23"/>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rPr>
              <w:t>RSU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6/11/2014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6/10/2014</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Borders>
              <w:right w:val="single" w:sz="8" w:color="134A9C"/>
            </w:tcBorders>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26,907</w:t>
            </w:r>
          </w:p>
        </w:tc>
        <w:tc>
          <w:tcPr>
            <w:tcW w:w="92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971,881</w:t>
            </w:r>
          </w:p>
        </w:tc>
        <w:tc>
          <w:tcPr>
            <w:tcW w:w="0" w:type="dxa"/>
            <w:vAlign w:val="bottom"/>
          </w:tcPr>
          <w:p>
            <w:pPr>
              <w:spacing w:after="0"/>
              <w:rPr>
                <w:sz w:val="1"/>
                <w:szCs w:val="1"/>
                <w:color w:val="auto"/>
              </w:rPr>
            </w:pPr>
          </w:p>
        </w:tc>
      </w:tr>
      <w:tr>
        <w:trPr>
          <w:trHeight w:val="270"/>
        </w:trPr>
        <w:tc>
          <w:tcPr>
            <w:tcW w:w="1280" w:type="dxa"/>
            <w:vAlign w:val="bottom"/>
            <w:tcBorders>
              <w:left w:val="single" w:sz="8" w:color="134A9C"/>
              <w:right w:val="single" w:sz="8" w:color="134A9C"/>
            </w:tcBorders>
          </w:tcPr>
          <w:p>
            <w:pPr>
              <w:spacing w:after="0"/>
              <w:rPr>
                <w:sz w:val="23"/>
                <w:szCs w:val="23"/>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PSU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6/11/2014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6/10/2014</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20,180</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80,721</w:t>
            </w:r>
          </w:p>
        </w:tc>
        <w:tc>
          <w:tcPr>
            <w:tcW w:w="74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161,442</w:t>
            </w: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2,915,643</w:t>
            </w:r>
          </w:p>
        </w:tc>
        <w:tc>
          <w:tcPr>
            <w:tcW w:w="0" w:type="dxa"/>
            <w:vAlign w:val="bottom"/>
          </w:tcPr>
          <w:p>
            <w:pPr>
              <w:spacing w:after="0"/>
              <w:rPr>
                <w:sz w:val="1"/>
                <w:szCs w:val="1"/>
                <w:color w:val="auto"/>
              </w:rPr>
            </w:pPr>
          </w:p>
        </w:tc>
      </w:tr>
      <w:tr>
        <w:trPr>
          <w:trHeight w:val="117"/>
        </w:trPr>
        <w:tc>
          <w:tcPr>
            <w:tcW w:w="1280" w:type="dxa"/>
            <w:vAlign w:val="bottom"/>
            <w:tcBorders>
              <w:left w:val="single" w:sz="8" w:color="134A9C"/>
              <w:bottom w:val="single" w:sz="8" w:color="134A9C"/>
              <w:right w:val="single" w:sz="8" w:color="134A9C"/>
            </w:tcBorders>
          </w:tcPr>
          <w:p>
            <w:pPr>
              <w:spacing w:after="0"/>
              <w:rPr>
                <w:sz w:val="10"/>
                <w:szCs w:val="10"/>
                <w:color w:val="auto"/>
              </w:rPr>
            </w:pPr>
          </w:p>
        </w:tc>
        <w:tc>
          <w:tcPr>
            <w:tcW w:w="580" w:type="dxa"/>
            <w:vAlign w:val="bottom"/>
            <w:tcBorders>
              <w:bottom w:val="single" w:sz="8" w:color="134A9C"/>
              <w:right w:val="single" w:sz="8" w:color="134A9C"/>
            </w:tcBorders>
          </w:tcPr>
          <w:p>
            <w:pPr>
              <w:spacing w:after="0"/>
              <w:rPr>
                <w:sz w:val="10"/>
                <w:szCs w:val="10"/>
                <w:color w:val="auto"/>
              </w:rPr>
            </w:pPr>
          </w:p>
        </w:tc>
        <w:tc>
          <w:tcPr>
            <w:tcW w:w="920" w:type="dxa"/>
            <w:vAlign w:val="bottom"/>
            <w:tcBorders>
              <w:bottom w:val="single" w:sz="8" w:color="134A9C"/>
              <w:right w:val="single" w:sz="8" w:color="134A9C"/>
            </w:tcBorders>
          </w:tcPr>
          <w:p>
            <w:pPr>
              <w:spacing w:after="0"/>
              <w:rPr>
                <w:sz w:val="10"/>
                <w:szCs w:val="10"/>
                <w:color w:val="auto"/>
              </w:rPr>
            </w:pPr>
          </w:p>
        </w:tc>
        <w:tc>
          <w:tcPr>
            <w:tcW w:w="820" w:type="dxa"/>
            <w:vAlign w:val="bottom"/>
            <w:tcBorders>
              <w:bottom w:val="single" w:sz="8" w:color="134A9C"/>
              <w:right w:val="single" w:sz="8" w:color="134A9C"/>
            </w:tcBorders>
          </w:tcPr>
          <w:p>
            <w:pPr>
              <w:spacing w:after="0"/>
              <w:rPr>
                <w:sz w:val="10"/>
                <w:szCs w:val="10"/>
                <w:color w:val="auto"/>
              </w:rPr>
            </w:pPr>
          </w:p>
        </w:tc>
        <w:tc>
          <w:tcPr>
            <w:tcW w:w="840" w:type="dxa"/>
            <w:vAlign w:val="bottom"/>
            <w:tcBorders>
              <w:bottom w:val="single" w:sz="8" w:color="134A9C"/>
            </w:tcBorders>
          </w:tcPr>
          <w:p>
            <w:pPr>
              <w:spacing w:after="0"/>
              <w:rPr>
                <w:sz w:val="10"/>
                <w:szCs w:val="10"/>
                <w:color w:val="auto"/>
              </w:rPr>
            </w:pPr>
          </w:p>
        </w:tc>
        <w:tc>
          <w:tcPr>
            <w:tcW w:w="880" w:type="dxa"/>
            <w:vAlign w:val="bottom"/>
            <w:tcBorders>
              <w:bottom w:val="single" w:sz="8" w:color="134A9C"/>
            </w:tcBorders>
          </w:tcPr>
          <w:p>
            <w:pPr>
              <w:spacing w:after="0"/>
              <w:rPr>
                <w:sz w:val="10"/>
                <w:szCs w:val="10"/>
                <w:color w:val="auto"/>
              </w:rPr>
            </w:pPr>
          </w:p>
        </w:tc>
        <w:tc>
          <w:tcPr>
            <w:tcW w:w="680" w:type="dxa"/>
            <w:vAlign w:val="bottom"/>
            <w:tcBorders>
              <w:bottom w:val="single" w:sz="8" w:color="134A9C"/>
              <w:right w:val="single" w:sz="8" w:color="134A9C"/>
            </w:tcBorders>
          </w:tcPr>
          <w:p>
            <w:pPr>
              <w:spacing w:after="0"/>
              <w:rPr>
                <w:sz w:val="10"/>
                <w:szCs w:val="10"/>
                <w:color w:val="auto"/>
              </w:rPr>
            </w:pPr>
          </w:p>
        </w:tc>
        <w:tc>
          <w:tcPr>
            <w:tcW w:w="860" w:type="dxa"/>
            <w:vAlign w:val="bottom"/>
            <w:tcBorders>
              <w:bottom w:val="single" w:sz="8" w:color="134A9C"/>
            </w:tcBorders>
          </w:tcPr>
          <w:p>
            <w:pPr>
              <w:spacing w:after="0"/>
              <w:rPr>
                <w:sz w:val="10"/>
                <w:szCs w:val="10"/>
                <w:color w:val="auto"/>
              </w:rPr>
            </w:pPr>
          </w:p>
        </w:tc>
        <w:tc>
          <w:tcPr>
            <w:tcW w:w="660" w:type="dxa"/>
            <w:vAlign w:val="bottom"/>
            <w:tcBorders>
              <w:bottom w:val="single" w:sz="8" w:color="134A9C"/>
            </w:tcBorders>
          </w:tcPr>
          <w:p>
            <w:pPr>
              <w:spacing w:after="0"/>
              <w:rPr>
                <w:sz w:val="10"/>
                <w:szCs w:val="10"/>
                <w:color w:val="auto"/>
              </w:rPr>
            </w:pPr>
          </w:p>
        </w:tc>
        <w:tc>
          <w:tcPr>
            <w:tcW w:w="740" w:type="dxa"/>
            <w:vAlign w:val="bottom"/>
            <w:tcBorders>
              <w:bottom w:val="single" w:sz="8" w:color="134A9C"/>
              <w:right w:val="single" w:sz="8" w:color="134A9C"/>
            </w:tcBorders>
          </w:tcPr>
          <w:p>
            <w:pPr>
              <w:spacing w:after="0"/>
              <w:rPr>
                <w:sz w:val="10"/>
                <w:szCs w:val="10"/>
                <w:color w:val="auto"/>
              </w:rPr>
            </w:pPr>
          </w:p>
        </w:tc>
        <w:tc>
          <w:tcPr>
            <w:tcW w:w="780" w:type="dxa"/>
            <w:vAlign w:val="bottom"/>
            <w:tcBorders>
              <w:bottom w:val="single" w:sz="8" w:color="134A9C"/>
            </w:tcBorders>
          </w:tcPr>
          <w:p>
            <w:pPr>
              <w:spacing w:after="0"/>
              <w:rPr>
                <w:sz w:val="10"/>
                <w:szCs w:val="10"/>
                <w:color w:val="auto"/>
              </w:rPr>
            </w:pPr>
          </w:p>
        </w:tc>
        <w:tc>
          <w:tcPr>
            <w:tcW w:w="920" w:type="dxa"/>
            <w:vAlign w:val="bottom"/>
            <w:tcBorders>
              <w:bottom w:val="single" w:sz="8" w:color="134A9C"/>
            </w:tcBorders>
          </w:tcPr>
          <w:p>
            <w:pPr>
              <w:spacing w:after="0"/>
              <w:rPr>
                <w:sz w:val="10"/>
                <w:szCs w:val="10"/>
                <w:color w:val="auto"/>
              </w:rPr>
            </w:pPr>
          </w:p>
        </w:tc>
        <w:tc>
          <w:tcPr>
            <w:tcW w:w="680" w:type="dxa"/>
            <w:vAlign w:val="bottom"/>
            <w:tcBorders>
              <w:bottom w:val="single" w:sz="8" w:color="134A9C"/>
              <w:right w:val="single" w:sz="8" w:color="134A9C"/>
            </w:tcBorders>
          </w:tcPr>
          <w:p>
            <w:pPr>
              <w:spacing w:after="0"/>
              <w:rPr>
                <w:sz w:val="10"/>
                <w:szCs w:val="10"/>
                <w:color w:val="auto"/>
              </w:rPr>
            </w:pPr>
          </w:p>
        </w:tc>
        <w:tc>
          <w:tcPr>
            <w:tcW w:w="800" w:type="dxa"/>
            <w:vAlign w:val="bottom"/>
            <w:tcBorders>
              <w:bottom w:val="single" w:sz="8" w:color="134A9C"/>
              <w:right w:val="single" w:sz="8" w:color="134A9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2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Michael P. Millikin</w:t>
            </w: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STIP</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1/13/2014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1/13/2014</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109,375</w:t>
            </w: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875,000</w:t>
            </w:r>
          </w:p>
        </w:tc>
        <w:tc>
          <w:tcPr>
            <w:tcW w:w="68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1,750,000</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Borders>
              <w:right w:val="single" w:sz="8" w:color="134A9C"/>
            </w:tcBorders>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Borders>
              <w:right w:val="single" w:sz="8" w:color="134A9C"/>
            </w:tcBorders>
          </w:tcPr>
          <w:p>
            <w:pPr>
              <w:spacing w:after="0"/>
              <w:rPr>
                <w:sz w:val="12"/>
                <w:szCs w:val="12"/>
                <w:color w:val="auto"/>
              </w:rPr>
            </w:pPr>
          </w:p>
        </w:tc>
        <w:tc>
          <w:tcPr>
            <w:tcW w:w="800" w:type="dxa"/>
            <w:vAlign w:val="bottom"/>
            <w:tcBorders>
              <w:right w:val="single" w:sz="8" w:color="134A9C"/>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280" w:type="dxa"/>
            <w:vAlign w:val="bottom"/>
            <w:tcBorders>
              <w:left w:val="single" w:sz="8" w:color="134A9C"/>
              <w:right w:val="single" w:sz="8" w:color="134A9C"/>
            </w:tcBorders>
          </w:tcPr>
          <w:p>
            <w:pPr>
              <w:spacing w:after="0"/>
              <w:rPr>
                <w:sz w:val="23"/>
                <w:szCs w:val="23"/>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rPr>
              <w:t>RSU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3/31/2014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3/10/2014</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Borders>
              <w:right w:val="single" w:sz="8" w:color="134A9C"/>
            </w:tcBorders>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58,191</w:t>
            </w:r>
          </w:p>
        </w:tc>
        <w:tc>
          <w:tcPr>
            <w:tcW w:w="92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2,002,934</w:t>
            </w:r>
          </w:p>
        </w:tc>
        <w:tc>
          <w:tcPr>
            <w:tcW w:w="0" w:type="dxa"/>
            <w:vAlign w:val="bottom"/>
          </w:tcPr>
          <w:p>
            <w:pPr>
              <w:spacing w:after="0"/>
              <w:rPr>
                <w:sz w:val="1"/>
                <w:szCs w:val="1"/>
                <w:color w:val="auto"/>
              </w:rPr>
            </w:pPr>
          </w:p>
        </w:tc>
      </w:tr>
      <w:tr>
        <w:trPr>
          <w:trHeight w:val="270"/>
        </w:trPr>
        <w:tc>
          <w:tcPr>
            <w:tcW w:w="1280" w:type="dxa"/>
            <w:vAlign w:val="bottom"/>
            <w:tcBorders>
              <w:left w:val="single" w:sz="8" w:color="134A9C"/>
              <w:right w:val="single" w:sz="8" w:color="134A9C"/>
            </w:tcBorders>
          </w:tcPr>
          <w:p>
            <w:pPr>
              <w:spacing w:after="0"/>
              <w:rPr>
                <w:sz w:val="23"/>
                <w:szCs w:val="23"/>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rPr>
              <w:t>RSU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6/11/2014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6/10/2014</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Borders>
              <w:right w:val="single" w:sz="8" w:color="134A9C"/>
            </w:tcBorders>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14,708</w:t>
            </w:r>
          </w:p>
        </w:tc>
        <w:tc>
          <w:tcPr>
            <w:tcW w:w="92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531,253</w:t>
            </w:r>
          </w:p>
        </w:tc>
        <w:tc>
          <w:tcPr>
            <w:tcW w:w="0" w:type="dxa"/>
            <w:vAlign w:val="bottom"/>
          </w:tcPr>
          <w:p>
            <w:pPr>
              <w:spacing w:after="0"/>
              <w:rPr>
                <w:sz w:val="1"/>
                <w:szCs w:val="1"/>
                <w:color w:val="auto"/>
              </w:rPr>
            </w:pPr>
          </w:p>
        </w:tc>
      </w:tr>
      <w:tr>
        <w:trPr>
          <w:trHeight w:val="270"/>
        </w:trPr>
        <w:tc>
          <w:tcPr>
            <w:tcW w:w="1280" w:type="dxa"/>
            <w:vAlign w:val="bottom"/>
            <w:tcBorders>
              <w:left w:val="single" w:sz="8" w:color="134A9C"/>
              <w:right w:val="single" w:sz="8" w:color="134A9C"/>
            </w:tcBorders>
          </w:tcPr>
          <w:p>
            <w:pPr>
              <w:spacing w:after="0"/>
              <w:rPr>
                <w:sz w:val="23"/>
                <w:szCs w:val="23"/>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PSU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6/11/2014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6/10/2014</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11,031</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44,124</w:t>
            </w:r>
          </w:p>
        </w:tc>
        <w:tc>
          <w:tcPr>
            <w:tcW w:w="74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88,248</w:t>
            </w: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1,593,759</w:t>
            </w:r>
          </w:p>
        </w:tc>
        <w:tc>
          <w:tcPr>
            <w:tcW w:w="0" w:type="dxa"/>
            <w:vAlign w:val="bottom"/>
          </w:tcPr>
          <w:p>
            <w:pPr>
              <w:spacing w:after="0"/>
              <w:rPr>
                <w:sz w:val="1"/>
                <w:szCs w:val="1"/>
                <w:color w:val="auto"/>
              </w:rPr>
            </w:pPr>
          </w:p>
        </w:tc>
      </w:tr>
      <w:tr>
        <w:trPr>
          <w:trHeight w:val="117"/>
        </w:trPr>
        <w:tc>
          <w:tcPr>
            <w:tcW w:w="1280" w:type="dxa"/>
            <w:vAlign w:val="bottom"/>
            <w:tcBorders>
              <w:left w:val="single" w:sz="8" w:color="134A9C"/>
              <w:bottom w:val="single" w:sz="8" w:color="134A9C"/>
              <w:right w:val="single" w:sz="8" w:color="134A9C"/>
            </w:tcBorders>
          </w:tcPr>
          <w:p>
            <w:pPr>
              <w:spacing w:after="0"/>
              <w:rPr>
                <w:sz w:val="10"/>
                <w:szCs w:val="10"/>
                <w:color w:val="auto"/>
              </w:rPr>
            </w:pPr>
          </w:p>
        </w:tc>
        <w:tc>
          <w:tcPr>
            <w:tcW w:w="580" w:type="dxa"/>
            <w:vAlign w:val="bottom"/>
            <w:tcBorders>
              <w:bottom w:val="single" w:sz="8" w:color="134A9C"/>
              <w:right w:val="single" w:sz="8" w:color="134A9C"/>
            </w:tcBorders>
          </w:tcPr>
          <w:p>
            <w:pPr>
              <w:spacing w:after="0"/>
              <w:rPr>
                <w:sz w:val="10"/>
                <w:szCs w:val="10"/>
                <w:color w:val="auto"/>
              </w:rPr>
            </w:pPr>
          </w:p>
        </w:tc>
        <w:tc>
          <w:tcPr>
            <w:tcW w:w="920" w:type="dxa"/>
            <w:vAlign w:val="bottom"/>
            <w:tcBorders>
              <w:bottom w:val="single" w:sz="8" w:color="134A9C"/>
              <w:right w:val="single" w:sz="8" w:color="134A9C"/>
            </w:tcBorders>
          </w:tcPr>
          <w:p>
            <w:pPr>
              <w:spacing w:after="0"/>
              <w:rPr>
                <w:sz w:val="10"/>
                <w:szCs w:val="10"/>
                <w:color w:val="auto"/>
              </w:rPr>
            </w:pPr>
          </w:p>
        </w:tc>
        <w:tc>
          <w:tcPr>
            <w:tcW w:w="820" w:type="dxa"/>
            <w:vAlign w:val="bottom"/>
            <w:tcBorders>
              <w:bottom w:val="single" w:sz="8" w:color="134A9C"/>
              <w:right w:val="single" w:sz="8" w:color="134A9C"/>
            </w:tcBorders>
          </w:tcPr>
          <w:p>
            <w:pPr>
              <w:spacing w:after="0"/>
              <w:rPr>
                <w:sz w:val="10"/>
                <w:szCs w:val="10"/>
                <w:color w:val="auto"/>
              </w:rPr>
            </w:pPr>
          </w:p>
        </w:tc>
        <w:tc>
          <w:tcPr>
            <w:tcW w:w="840" w:type="dxa"/>
            <w:vAlign w:val="bottom"/>
            <w:tcBorders>
              <w:bottom w:val="single" w:sz="8" w:color="134A9C"/>
            </w:tcBorders>
          </w:tcPr>
          <w:p>
            <w:pPr>
              <w:spacing w:after="0"/>
              <w:rPr>
                <w:sz w:val="10"/>
                <w:szCs w:val="10"/>
                <w:color w:val="auto"/>
              </w:rPr>
            </w:pPr>
          </w:p>
        </w:tc>
        <w:tc>
          <w:tcPr>
            <w:tcW w:w="880" w:type="dxa"/>
            <w:vAlign w:val="bottom"/>
            <w:tcBorders>
              <w:bottom w:val="single" w:sz="8" w:color="134A9C"/>
            </w:tcBorders>
          </w:tcPr>
          <w:p>
            <w:pPr>
              <w:spacing w:after="0"/>
              <w:rPr>
                <w:sz w:val="10"/>
                <w:szCs w:val="10"/>
                <w:color w:val="auto"/>
              </w:rPr>
            </w:pPr>
          </w:p>
        </w:tc>
        <w:tc>
          <w:tcPr>
            <w:tcW w:w="680" w:type="dxa"/>
            <w:vAlign w:val="bottom"/>
            <w:tcBorders>
              <w:bottom w:val="single" w:sz="8" w:color="134A9C"/>
              <w:right w:val="single" w:sz="8" w:color="134A9C"/>
            </w:tcBorders>
          </w:tcPr>
          <w:p>
            <w:pPr>
              <w:spacing w:after="0"/>
              <w:rPr>
                <w:sz w:val="10"/>
                <w:szCs w:val="10"/>
                <w:color w:val="auto"/>
              </w:rPr>
            </w:pPr>
          </w:p>
        </w:tc>
        <w:tc>
          <w:tcPr>
            <w:tcW w:w="860" w:type="dxa"/>
            <w:vAlign w:val="bottom"/>
            <w:tcBorders>
              <w:bottom w:val="single" w:sz="8" w:color="134A9C"/>
            </w:tcBorders>
          </w:tcPr>
          <w:p>
            <w:pPr>
              <w:spacing w:after="0"/>
              <w:rPr>
                <w:sz w:val="10"/>
                <w:szCs w:val="10"/>
                <w:color w:val="auto"/>
              </w:rPr>
            </w:pPr>
          </w:p>
        </w:tc>
        <w:tc>
          <w:tcPr>
            <w:tcW w:w="660" w:type="dxa"/>
            <w:vAlign w:val="bottom"/>
            <w:tcBorders>
              <w:bottom w:val="single" w:sz="8" w:color="134A9C"/>
            </w:tcBorders>
          </w:tcPr>
          <w:p>
            <w:pPr>
              <w:spacing w:after="0"/>
              <w:rPr>
                <w:sz w:val="10"/>
                <w:szCs w:val="10"/>
                <w:color w:val="auto"/>
              </w:rPr>
            </w:pPr>
          </w:p>
        </w:tc>
        <w:tc>
          <w:tcPr>
            <w:tcW w:w="740" w:type="dxa"/>
            <w:vAlign w:val="bottom"/>
            <w:tcBorders>
              <w:bottom w:val="single" w:sz="8" w:color="134A9C"/>
              <w:right w:val="single" w:sz="8" w:color="134A9C"/>
            </w:tcBorders>
          </w:tcPr>
          <w:p>
            <w:pPr>
              <w:spacing w:after="0"/>
              <w:rPr>
                <w:sz w:val="10"/>
                <w:szCs w:val="10"/>
                <w:color w:val="auto"/>
              </w:rPr>
            </w:pPr>
          </w:p>
        </w:tc>
        <w:tc>
          <w:tcPr>
            <w:tcW w:w="780" w:type="dxa"/>
            <w:vAlign w:val="bottom"/>
            <w:tcBorders>
              <w:bottom w:val="single" w:sz="8" w:color="134A9C"/>
            </w:tcBorders>
          </w:tcPr>
          <w:p>
            <w:pPr>
              <w:spacing w:after="0"/>
              <w:rPr>
                <w:sz w:val="10"/>
                <w:szCs w:val="10"/>
                <w:color w:val="auto"/>
              </w:rPr>
            </w:pPr>
          </w:p>
        </w:tc>
        <w:tc>
          <w:tcPr>
            <w:tcW w:w="920" w:type="dxa"/>
            <w:vAlign w:val="bottom"/>
            <w:tcBorders>
              <w:bottom w:val="single" w:sz="8" w:color="134A9C"/>
            </w:tcBorders>
          </w:tcPr>
          <w:p>
            <w:pPr>
              <w:spacing w:after="0"/>
              <w:rPr>
                <w:sz w:val="10"/>
                <w:szCs w:val="10"/>
                <w:color w:val="auto"/>
              </w:rPr>
            </w:pPr>
          </w:p>
        </w:tc>
        <w:tc>
          <w:tcPr>
            <w:tcW w:w="680" w:type="dxa"/>
            <w:vAlign w:val="bottom"/>
            <w:tcBorders>
              <w:bottom w:val="single" w:sz="8" w:color="134A9C"/>
              <w:right w:val="single" w:sz="8" w:color="134A9C"/>
            </w:tcBorders>
          </w:tcPr>
          <w:p>
            <w:pPr>
              <w:spacing w:after="0"/>
              <w:rPr>
                <w:sz w:val="10"/>
                <w:szCs w:val="10"/>
                <w:color w:val="auto"/>
              </w:rPr>
            </w:pPr>
          </w:p>
        </w:tc>
        <w:tc>
          <w:tcPr>
            <w:tcW w:w="800" w:type="dxa"/>
            <w:vAlign w:val="bottom"/>
            <w:tcBorders>
              <w:bottom w:val="single" w:sz="8" w:color="134A9C"/>
              <w:right w:val="single" w:sz="8" w:color="134A9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2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Karl-Thomas</w:t>
            </w: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STIP</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1/13/2014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1/13/2014</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128,458</w:t>
            </w: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1,027,660</w:t>
            </w:r>
          </w:p>
        </w:tc>
        <w:tc>
          <w:tcPr>
            <w:tcW w:w="68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2,055,320</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Borders>
              <w:right w:val="single" w:sz="8" w:color="134A9C"/>
            </w:tcBorders>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Borders>
              <w:right w:val="single" w:sz="8" w:color="134A9C"/>
            </w:tcBorders>
          </w:tcPr>
          <w:p>
            <w:pPr>
              <w:spacing w:after="0"/>
              <w:rPr>
                <w:sz w:val="14"/>
                <w:szCs w:val="14"/>
                <w:color w:val="auto"/>
              </w:rPr>
            </w:pPr>
          </w:p>
        </w:tc>
        <w:tc>
          <w:tcPr>
            <w:tcW w:w="800" w:type="dxa"/>
            <w:vAlign w:val="bottom"/>
            <w:tcBorders>
              <w:right w:val="single" w:sz="8" w:color="134A9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Neumann</w:t>
            </w:r>
            <w:r>
              <w:rPr>
                <w:rFonts w:ascii="Arial" w:cs="Arial" w:eastAsia="Arial" w:hAnsi="Arial"/>
                <w:sz w:val="7"/>
                <w:szCs w:val="7"/>
                <w:color w:val="auto"/>
              </w:rPr>
              <w:t>(2)</w:t>
            </w:r>
          </w:p>
        </w:tc>
        <w:tc>
          <w:tcPr>
            <w:tcW w:w="580" w:type="dxa"/>
            <w:vAlign w:val="bottom"/>
            <w:tcBorders>
              <w:right w:val="single" w:sz="8" w:color="134A9C"/>
            </w:tcBorders>
            <w:vMerge w:val="restart"/>
          </w:tcPr>
          <w:p>
            <w:pPr>
              <w:jc w:val="center"/>
              <w:spacing w:after="0"/>
              <w:rPr>
                <w:sz w:val="20"/>
                <w:szCs w:val="20"/>
                <w:color w:val="auto"/>
              </w:rPr>
            </w:pPr>
            <w:r>
              <w:rPr>
                <w:rFonts w:ascii="Arial" w:cs="Arial" w:eastAsia="Arial" w:hAnsi="Arial"/>
                <w:sz w:val="11"/>
                <w:szCs w:val="11"/>
                <w:color w:val="auto"/>
              </w:rPr>
              <w:t>RSU</w:t>
            </w:r>
          </w:p>
        </w:tc>
        <w:tc>
          <w:tcPr>
            <w:tcW w:w="920" w:type="dxa"/>
            <w:vAlign w:val="bottom"/>
            <w:tcBorders>
              <w:right w:val="single" w:sz="8" w:color="134A9C"/>
            </w:tcBorders>
            <w:vMerge w:val="restart"/>
          </w:tcPr>
          <w:p>
            <w:pPr>
              <w:jc w:val="right"/>
              <w:spacing w:after="0"/>
              <w:rPr>
                <w:sz w:val="20"/>
                <w:szCs w:val="20"/>
                <w:color w:val="auto"/>
              </w:rPr>
            </w:pPr>
            <w:r>
              <w:rPr>
                <w:rFonts w:ascii="Arial" w:cs="Arial" w:eastAsia="Arial" w:hAnsi="Arial"/>
                <w:sz w:val="11"/>
                <w:szCs w:val="11"/>
                <w:color w:val="auto"/>
              </w:rPr>
              <w:t>2/18/2014</w:t>
            </w:r>
          </w:p>
        </w:tc>
        <w:tc>
          <w:tcPr>
            <w:tcW w:w="820" w:type="dxa"/>
            <w:vAlign w:val="bottom"/>
            <w:tcBorders>
              <w:right w:val="single" w:sz="8" w:color="134A9C"/>
            </w:tcBorders>
            <w:vMerge w:val="restart"/>
          </w:tcPr>
          <w:p>
            <w:pPr>
              <w:jc w:val="right"/>
              <w:ind w:right="6"/>
              <w:spacing w:after="0"/>
              <w:rPr>
                <w:sz w:val="20"/>
                <w:szCs w:val="20"/>
                <w:color w:val="auto"/>
              </w:rPr>
            </w:pPr>
            <w:r>
              <w:rPr>
                <w:rFonts w:ascii="Arial" w:cs="Arial" w:eastAsia="Arial" w:hAnsi="Arial"/>
                <w:sz w:val="11"/>
                <w:szCs w:val="11"/>
                <w:color w:val="auto"/>
              </w:rPr>
              <w:t>1/13/2014</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Borders>
              <w:right w:val="single" w:sz="8" w:color="134A9C"/>
            </w:tcBorders>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Borders>
              <w:right w:val="single" w:sz="8" w:color="134A9C"/>
            </w:tcBorders>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27,587</w:t>
            </w:r>
          </w:p>
        </w:tc>
        <w:tc>
          <w:tcPr>
            <w:tcW w:w="920" w:type="dxa"/>
            <w:vAlign w:val="bottom"/>
          </w:tcPr>
          <w:p>
            <w:pPr>
              <w:spacing w:after="0"/>
              <w:rPr>
                <w:sz w:val="11"/>
                <w:szCs w:val="11"/>
                <w:color w:val="auto"/>
              </w:rPr>
            </w:pPr>
          </w:p>
        </w:tc>
        <w:tc>
          <w:tcPr>
            <w:tcW w:w="680" w:type="dxa"/>
            <w:vAlign w:val="bottom"/>
            <w:tcBorders>
              <w:right w:val="single" w:sz="8" w:color="134A9C"/>
            </w:tcBorders>
          </w:tcPr>
          <w:p>
            <w:pPr>
              <w:spacing w:after="0"/>
              <w:rPr>
                <w:sz w:val="11"/>
                <w:szCs w:val="11"/>
                <w:color w:val="auto"/>
              </w:rPr>
            </w:pPr>
          </w:p>
        </w:tc>
        <w:tc>
          <w:tcPr>
            <w:tcW w:w="800" w:type="dxa"/>
            <w:vAlign w:val="bottom"/>
            <w:tcBorders>
              <w:right w:val="single" w:sz="8" w:color="134A9C"/>
            </w:tcBorders>
            <w:vMerge w:val="restart"/>
          </w:tcPr>
          <w:p>
            <w:pPr>
              <w:jc w:val="right"/>
              <w:spacing w:after="0"/>
              <w:rPr>
                <w:sz w:val="20"/>
                <w:szCs w:val="20"/>
                <w:color w:val="auto"/>
              </w:rPr>
            </w:pPr>
            <w:r>
              <w:rPr>
                <w:rFonts w:ascii="Arial" w:cs="Arial" w:eastAsia="Arial" w:hAnsi="Arial"/>
                <w:sz w:val="11"/>
                <w:szCs w:val="11"/>
                <w:color w:val="auto"/>
              </w:rPr>
              <w:t>1,001,684</w:t>
            </w:r>
          </w:p>
        </w:tc>
        <w:tc>
          <w:tcPr>
            <w:tcW w:w="0" w:type="dxa"/>
            <w:vAlign w:val="bottom"/>
          </w:tcPr>
          <w:p>
            <w:pPr>
              <w:spacing w:after="0"/>
              <w:rPr>
                <w:sz w:val="1"/>
                <w:szCs w:val="1"/>
                <w:color w:val="auto"/>
              </w:rPr>
            </w:pPr>
          </w:p>
        </w:tc>
      </w:tr>
      <w:tr>
        <w:trPr>
          <w:trHeight w:val="122"/>
        </w:trPr>
        <w:tc>
          <w:tcPr>
            <w:tcW w:w="1280" w:type="dxa"/>
            <w:vAlign w:val="bottom"/>
            <w:tcBorders>
              <w:left w:val="single" w:sz="8" w:color="134A9C"/>
              <w:right w:val="single" w:sz="8" w:color="134A9C"/>
            </w:tcBorders>
          </w:tcPr>
          <w:p>
            <w:pPr>
              <w:spacing w:after="0"/>
              <w:rPr>
                <w:sz w:val="10"/>
                <w:szCs w:val="10"/>
                <w:color w:val="auto"/>
              </w:rPr>
            </w:pPr>
          </w:p>
        </w:tc>
        <w:tc>
          <w:tcPr>
            <w:tcW w:w="580" w:type="dxa"/>
            <w:vAlign w:val="bottom"/>
            <w:tcBorders>
              <w:right w:val="single" w:sz="8" w:color="134A9C"/>
            </w:tcBorders>
            <w:vMerge w:val="continue"/>
          </w:tcPr>
          <w:p>
            <w:pPr>
              <w:spacing w:after="0"/>
              <w:rPr>
                <w:sz w:val="10"/>
                <w:szCs w:val="10"/>
                <w:color w:val="auto"/>
              </w:rPr>
            </w:pPr>
          </w:p>
        </w:tc>
        <w:tc>
          <w:tcPr>
            <w:tcW w:w="920" w:type="dxa"/>
            <w:vAlign w:val="bottom"/>
            <w:tcBorders>
              <w:right w:val="single" w:sz="8" w:color="134A9C"/>
            </w:tcBorders>
            <w:vMerge w:val="continue"/>
          </w:tcPr>
          <w:p>
            <w:pPr>
              <w:spacing w:after="0"/>
              <w:rPr>
                <w:sz w:val="10"/>
                <w:szCs w:val="10"/>
                <w:color w:val="auto"/>
              </w:rPr>
            </w:pPr>
          </w:p>
        </w:tc>
        <w:tc>
          <w:tcPr>
            <w:tcW w:w="820" w:type="dxa"/>
            <w:vAlign w:val="bottom"/>
            <w:tcBorders>
              <w:right w:val="single" w:sz="8" w:color="134A9C"/>
            </w:tcBorders>
            <w:vMerge w:val="continue"/>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Borders>
              <w:right w:val="single" w:sz="8" w:color="134A9C"/>
            </w:tcBorders>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Borders>
              <w:right w:val="single" w:sz="8" w:color="134A9C"/>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Borders>
              <w:right w:val="single" w:sz="8" w:color="134A9C"/>
            </w:tcBorders>
          </w:tcPr>
          <w:p>
            <w:pPr>
              <w:spacing w:after="0"/>
              <w:rPr>
                <w:sz w:val="10"/>
                <w:szCs w:val="10"/>
                <w:color w:val="auto"/>
              </w:rPr>
            </w:pPr>
          </w:p>
        </w:tc>
        <w:tc>
          <w:tcPr>
            <w:tcW w:w="800" w:type="dxa"/>
            <w:vAlign w:val="bottom"/>
            <w:tcBorders>
              <w:right w:val="single" w:sz="8" w:color="134A9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280" w:type="dxa"/>
            <w:vAlign w:val="bottom"/>
            <w:tcBorders>
              <w:left w:val="single" w:sz="8" w:color="134A9C"/>
              <w:right w:val="single" w:sz="8" w:color="134A9C"/>
            </w:tcBorders>
          </w:tcPr>
          <w:p>
            <w:pPr>
              <w:spacing w:after="0"/>
              <w:rPr>
                <w:sz w:val="23"/>
                <w:szCs w:val="23"/>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rPr>
              <w:t>RSU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6/11/2014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6/10/2014</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Borders>
              <w:right w:val="single" w:sz="8" w:color="134A9C"/>
            </w:tcBorders>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18,688</w:t>
            </w:r>
          </w:p>
        </w:tc>
        <w:tc>
          <w:tcPr>
            <w:tcW w:w="92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675,011</w:t>
            </w:r>
          </w:p>
        </w:tc>
        <w:tc>
          <w:tcPr>
            <w:tcW w:w="0" w:type="dxa"/>
            <w:vAlign w:val="bottom"/>
          </w:tcPr>
          <w:p>
            <w:pPr>
              <w:spacing w:after="0"/>
              <w:rPr>
                <w:sz w:val="1"/>
                <w:szCs w:val="1"/>
                <w:color w:val="auto"/>
              </w:rPr>
            </w:pPr>
          </w:p>
        </w:tc>
      </w:tr>
      <w:tr>
        <w:trPr>
          <w:trHeight w:val="270"/>
        </w:trPr>
        <w:tc>
          <w:tcPr>
            <w:tcW w:w="1280" w:type="dxa"/>
            <w:vAlign w:val="bottom"/>
            <w:tcBorders>
              <w:left w:val="single" w:sz="8" w:color="134A9C"/>
              <w:right w:val="single" w:sz="8" w:color="134A9C"/>
            </w:tcBorders>
          </w:tcPr>
          <w:p>
            <w:pPr>
              <w:spacing w:after="0"/>
              <w:rPr>
                <w:sz w:val="23"/>
                <w:szCs w:val="23"/>
                <w:color w:val="auto"/>
              </w:rPr>
            </w:pP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PSU</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6/11/2014</w:t>
            </w:r>
          </w:p>
        </w:tc>
        <w:tc>
          <w:tcPr>
            <w:tcW w:w="820" w:type="dxa"/>
            <w:vAlign w:val="bottom"/>
            <w:tcBorders>
              <w:right w:val="single" w:sz="8" w:color="134A9C"/>
            </w:tcBorders>
          </w:tcPr>
          <w:p>
            <w:pPr>
              <w:jc w:val="right"/>
              <w:ind w:right="6"/>
              <w:spacing w:after="0"/>
              <w:rPr>
                <w:sz w:val="20"/>
                <w:szCs w:val="20"/>
                <w:color w:val="auto"/>
              </w:rPr>
            </w:pPr>
            <w:r>
              <w:rPr>
                <w:rFonts w:ascii="Arial" w:cs="Arial" w:eastAsia="Arial" w:hAnsi="Arial"/>
                <w:sz w:val="11"/>
                <w:szCs w:val="11"/>
                <w:color w:val="auto"/>
              </w:rPr>
              <w:t>6/10/2014</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14,016</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56,064</w:t>
            </w:r>
          </w:p>
        </w:tc>
        <w:tc>
          <w:tcPr>
            <w:tcW w:w="74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112,128</w:t>
            </w: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Borders>
              <w:right w:val="single" w:sz="8" w:color="134A9C"/>
            </w:tcBorders>
          </w:tcPr>
          <w:p>
            <w:pPr>
              <w:spacing w:after="0"/>
              <w:rPr>
                <w:sz w:val="23"/>
                <w:szCs w:val="23"/>
                <w:color w:val="auto"/>
              </w:rPr>
            </w:pPr>
          </w:p>
        </w:tc>
        <w:tc>
          <w:tcPr>
            <w:tcW w:w="80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2,025,032</w:t>
            </w:r>
          </w:p>
        </w:tc>
        <w:tc>
          <w:tcPr>
            <w:tcW w:w="0" w:type="dxa"/>
            <w:vAlign w:val="bottom"/>
          </w:tcPr>
          <w:p>
            <w:pPr>
              <w:spacing w:after="0"/>
              <w:rPr>
                <w:sz w:val="1"/>
                <w:szCs w:val="1"/>
                <w:color w:val="auto"/>
              </w:rPr>
            </w:pPr>
          </w:p>
        </w:tc>
      </w:tr>
      <w:tr>
        <w:trPr>
          <w:trHeight w:val="117"/>
        </w:trPr>
        <w:tc>
          <w:tcPr>
            <w:tcW w:w="1280" w:type="dxa"/>
            <w:vAlign w:val="bottom"/>
            <w:tcBorders>
              <w:left w:val="single" w:sz="8" w:color="134A9C"/>
              <w:bottom w:val="single" w:sz="8" w:color="134A9C"/>
              <w:right w:val="single" w:sz="8" w:color="134A9C"/>
            </w:tcBorders>
          </w:tcPr>
          <w:p>
            <w:pPr>
              <w:spacing w:after="0"/>
              <w:rPr>
                <w:sz w:val="10"/>
                <w:szCs w:val="10"/>
                <w:color w:val="auto"/>
              </w:rPr>
            </w:pPr>
          </w:p>
        </w:tc>
        <w:tc>
          <w:tcPr>
            <w:tcW w:w="580" w:type="dxa"/>
            <w:vAlign w:val="bottom"/>
            <w:tcBorders>
              <w:bottom w:val="single" w:sz="8" w:color="134A9C"/>
              <w:right w:val="single" w:sz="8" w:color="134A9C"/>
            </w:tcBorders>
          </w:tcPr>
          <w:p>
            <w:pPr>
              <w:spacing w:after="0"/>
              <w:rPr>
                <w:sz w:val="10"/>
                <w:szCs w:val="10"/>
                <w:color w:val="auto"/>
              </w:rPr>
            </w:pPr>
          </w:p>
        </w:tc>
        <w:tc>
          <w:tcPr>
            <w:tcW w:w="920" w:type="dxa"/>
            <w:vAlign w:val="bottom"/>
            <w:tcBorders>
              <w:bottom w:val="single" w:sz="8" w:color="134A9C"/>
              <w:right w:val="single" w:sz="8" w:color="134A9C"/>
            </w:tcBorders>
          </w:tcPr>
          <w:p>
            <w:pPr>
              <w:spacing w:after="0"/>
              <w:rPr>
                <w:sz w:val="10"/>
                <w:szCs w:val="10"/>
                <w:color w:val="auto"/>
              </w:rPr>
            </w:pPr>
          </w:p>
        </w:tc>
        <w:tc>
          <w:tcPr>
            <w:tcW w:w="820" w:type="dxa"/>
            <w:vAlign w:val="bottom"/>
            <w:tcBorders>
              <w:bottom w:val="single" w:sz="8" w:color="134A9C"/>
              <w:right w:val="single" w:sz="8" w:color="134A9C"/>
            </w:tcBorders>
          </w:tcPr>
          <w:p>
            <w:pPr>
              <w:spacing w:after="0"/>
              <w:rPr>
                <w:sz w:val="10"/>
                <w:szCs w:val="10"/>
                <w:color w:val="auto"/>
              </w:rPr>
            </w:pPr>
          </w:p>
        </w:tc>
        <w:tc>
          <w:tcPr>
            <w:tcW w:w="840" w:type="dxa"/>
            <w:vAlign w:val="bottom"/>
            <w:tcBorders>
              <w:bottom w:val="single" w:sz="8" w:color="134A9C"/>
            </w:tcBorders>
          </w:tcPr>
          <w:p>
            <w:pPr>
              <w:spacing w:after="0"/>
              <w:rPr>
                <w:sz w:val="10"/>
                <w:szCs w:val="10"/>
                <w:color w:val="auto"/>
              </w:rPr>
            </w:pPr>
          </w:p>
        </w:tc>
        <w:tc>
          <w:tcPr>
            <w:tcW w:w="880" w:type="dxa"/>
            <w:vAlign w:val="bottom"/>
            <w:tcBorders>
              <w:bottom w:val="single" w:sz="8" w:color="134A9C"/>
            </w:tcBorders>
          </w:tcPr>
          <w:p>
            <w:pPr>
              <w:spacing w:after="0"/>
              <w:rPr>
                <w:sz w:val="10"/>
                <w:szCs w:val="10"/>
                <w:color w:val="auto"/>
              </w:rPr>
            </w:pPr>
          </w:p>
        </w:tc>
        <w:tc>
          <w:tcPr>
            <w:tcW w:w="680" w:type="dxa"/>
            <w:vAlign w:val="bottom"/>
            <w:tcBorders>
              <w:bottom w:val="single" w:sz="8" w:color="134A9C"/>
              <w:right w:val="single" w:sz="8" w:color="134A9C"/>
            </w:tcBorders>
          </w:tcPr>
          <w:p>
            <w:pPr>
              <w:spacing w:after="0"/>
              <w:rPr>
                <w:sz w:val="10"/>
                <w:szCs w:val="10"/>
                <w:color w:val="auto"/>
              </w:rPr>
            </w:pPr>
          </w:p>
        </w:tc>
        <w:tc>
          <w:tcPr>
            <w:tcW w:w="860" w:type="dxa"/>
            <w:vAlign w:val="bottom"/>
            <w:tcBorders>
              <w:bottom w:val="single" w:sz="8" w:color="134A9C"/>
            </w:tcBorders>
          </w:tcPr>
          <w:p>
            <w:pPr>
              <w:spacing w:after="0"/>
              <w:rPr>
                <w:sz w:val="10"/>
                <w:szCs w:val="10"/>
                <w:color w:val="auto"/>
              </w:rPr>
            </w:pPr>
          </w:p>
        </w:tc>
        <w:tc>
          <w:tcPr>
            <w:tcW w:w="660" w:type="dxa"/>
            <w:vAlign w:val="bottom"/>
            <w:tcBorders>
              <w:bottom w:val="single" w:sz="8" w:color="134A9C"/>
            </w:tcBorders>
          </w:tcPr>
          <w:p>
            <w:pPr>
              <w:spacing w:after="0"/>
              <w:rPr>
                <w:sz w:val="10"/>
                <w:szCs w:val="10"/>
                <w:color w:val="auto"/>
              </w:rPr>
            </w:pPr>
          </w:p>
        </w:tc>
        <w:tc>
          <w:tcPr>
            <w:tcW w:w="740" w:type="dxa"/>
            <w:vAlign w:val="bottom"/>
            <w:tcBorders>
              <w:bottom w:val="single" w:sz="8" w:color="134A9C"/>
              <w:right w:val="single" w:sz="8" w:color="134A9C"/>
            </w:tcBorders>
          </w:tcPr>
          <w:p>
            <w:pPr>
              <w:spacing w:after="0"/>
              <w:rPr>
                <w:sz w:val="10"/>
                <w:szCs w:val="10"/>
                <w:color w:val="auto"/>
              </w:rPr>
            </w:pPr>
          </w:p>
        </w:tc>
        <w:tc>
          <w:tcPr>
            <w:tcW w:w="780" w:type="dxa"/>
            <w:vAlign w:val="bottom"/>
            <w:tcBorders>
              <w:bottom w:val="single" w:sz="8" w:color="134A9C"/>
            </w:tcBorders>
          </w:tcPr>
          <w:p>
            <w:pPr>
              <w:spacing w:after="0"/>
              <w:rPr>
                <w:sz w:val="10"/>
                <w:szCs w:val="10"/>
                <w:color w:val="auto"/>
              </w:rPr>
            </w:pPr>
          </w:p>
        </w:tc>
        <w:tc>
          <w:tcPr>
            <w:tcW w:w="920" w:type="dxa"/>
            <w:vAlign w:val="bottom"/>
            <w:tcBorders>
              <w:bottom w:val="single" w:sz="8" w:color="134A9C"/>
            </w:tcBorders>
          </w:tcPr>
          <w:p>
            <w:pPr>
              <w:spacing w:after="0"/>
              <w:rPr>
                <w:sz w:val="10"/>
                <w:szCs w:val="10"/>
                <w:color w:val="auto"/>
              </w:rPr>
            </w:pPr>
          </w:p>
        </w:tc>
        <w:tc>
          <w:tcPr>
            <w:tcW w:w="680" w:type="dxa"/>
            <w:vAlign w:val="bottom"/>
            <w:tcBorders>
              <w:bottom w:val="single" w:sz="8" w:color="134A9C"/>
              <w:right w:val="single" w:sz="8" w:color="134A9C"/>
            </w:tcBorders>
          </w:tcPr>
          <w:p>
            <w:pPr>
              <w:spacing w:after="0"/>
              <w:rPr>
                <w:sz w:val="10"/>
                <w:szCs w:val="10"/>
                <w:color w:val="auto"/>
              </w:rPr>
            </w:pPr>
          </w:p>
        </w:tc>
        <w:tc>
          <w:tcPr>
            <w:tcW w:w="800" w:type="dxa"/>
            <w:vAlign w:val="bottom"/>
            <w:tcBorders>
              <w:bottom w:val="single" w:sz="8" w:color="134A9C"/>
              <w:right w:val="single" w:sz="8" w:color="134A9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2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Daniel F. Akerson</w:t>
            </w:r>
          </w:p>
        </w:tc>
        <w:tc>
          <w:tcPr>
            <w:tcW w:w="58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STIP</w:t>
            </w:r>
          </w:p>
        </w:tc>
        <w:tc>
          <w:tcPr>
            <w:tcW w:w="920" w:type="dxa"/>
            <w:vAlign w:val="bottom"/>
            <w:tcBorders>
              <w:right w:val="single" w:sz="8" w:color="134A9C"/>
            </w:tcBorders>
          </w:tcPr>
          <w:p>
            <w:pPr>
              <w:jc w:val="right"/>
              <w:spacing w:after="0"/>
              <w:rPr>
                <w:sz w:val="20"/>
                <w:szCs w:val="20"/>
                <w:color w:val="auto"/>
              </w:rPr>
            </w:pPr>
            <w:r>
              <w:rPr>
                <w:rFonts w:ascii="Arial" w:cs="Arial" w:eastAsia="Arial" w:hAnsi="Arial"/>
                <w:sz w:val="11"/>
                <w:szCs w:val="11"/>
                <w:color w:val="auto"/>
              </w:rPr>
              <w:t>1/13/2014</w:t>
            </w:r>
          </w:p>
        </w:tc>
        <w:tc>
          <w:tcPr>
            <w:tcW w:w="820" w:type="dxa"/>
            <w:vAlign w:val="bottom"/>
            <w:tcBorders>
              <w:right w:val="single" w:sz="8" w:color="134A9C"/>
            </w:tcBorders>
          </w:tcPr>
          <w:p>
            <w:pPr>
              <w:jc w:val="right"/>
              <w:ind w:right="126"/>
              <w:spacing w:after="0"/>
              <w:rPr>
                <w:sz w:val="20"/>
                <w:szCs w:val="20"/>
                <w:color w:val="auto"/>
              </w:rPr>
            </w:pPr>
            <w:r>
              <w:rPr>
                <w:rFonts w:ascii="Arial" w:cs="Arial" w:eastAsia="Arial" w:hAnsi="Arial"/>
                <w:sz w:val="11"/>
                <w:szCs w:val="11"/>
                <w:color w:val="auto"/>
              </w:rPr>
              <w:t>1/13/2014</w:t>
            </w:r>
          </w:p>
        </w:tc>
        <w:tc>
          <w:tcPr>
            <w:tcW w:w="840" w:type="dxa"/>
            <w:vAlign w:val="bottom"/>
          </w:tcPr>
          <w:p>
            <w:pPr>
              <w:jc w:val="center"/>
              <w:ind w:right="6"/>
              <w:spacing w:after="0"/>
              <w:rPr>
                <w:sz w:val="20"/>
                <w:szCs w:val="20"/>
                <w:color w:val="auto"/>
              </w:rPr>
            </w:pPr>
            <w:r>
              <w:rPr>
                <w:rFonts w:ascii="Arial" w:cs="Arial" w:eastAsia="Arial" w:hAnsi="Arial"/>
                <w:sz w:val="11"/>
                <w:szCs w:val="11"/>
                <w:color w:val="auto"/>
                <w:w w:val="95"/>
              </w:rPr>
              <w:t>371,875</w:t>
            </w:r>
          </w:p>
        </w:tc>
        <w:tc>
          <w:tcPr>
            <w:tcW w:w="880" w:type="dxa"/>
            <w:vAlign w:val="bottom"/>
          </w:tcPr>
          <w:p>
            <w:pPr>
              <w:jc w:val="center"/>
              <w:ind w:right="146"/>
              <w:spacing w:after="0"/>
              <w:rPr>
                <w:sz w:val="20"/>
                <w:szCs w:val="20"/>
                <w:color w:val="auto"/>
              </w:rPr>
            </w:pPr>
            <w:r>
              <w:rPr>
                <w:rFonts w:ascii="Arial" w:cs="Arial" w:eastAsia="Arial" w:hAnsi="Arial"/>
                <w:sz w:val="11"/>
                <w:szCs w:val="11"/>
                <w:color w:val="auto"/>
                <w:w w:val="97"/>
              </w:rPr>
              <w:t>2,975,000</w:t>
            </w:r>
          </w:p>
        </w:tc>
        <w:tc>
          <w:tcPr>
            <w:tcW w:w="680" w:type="dxa"/>
            <w:vAlign w:val="bottom"/>
            <w:tcBorders>
              <w:right w:val="single" w:sz="8" w:color="134A9C"/>
            </w:tcBorders>
          </w:tcPr>
          <w:p>
            <w:pPr>
              <w:jc w:val="center"/>
              <w:ind w:right="106"/>
              <w:spacing w:after="0"/>
              <w:rPr>
                <w:sz w:val="20"/>
                <w:szCs w:val="20"/>
                <w:color w:val="auto"/>
              </w:rPr>
            </w:pPr>
            <w:r>
              <w:rPr>
                <w:rFonts w:ascii="Arial" w:cs="Arial" w:eastAsia="Arial" w:hAnsi="Arial"/>
                <w:sz w:val="11"/>
                <w:szCs w:val="11"/>
                <w:color w:val="auto"/>
                <w:w w:val="97"/>
              </w:rPr>
              <w:t>5,950,000</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Borders>
              <w:right w:val="single" w:sz="8" w:color="134A9C"/>
            </w:tcBorders>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Borders>
              <w:right w:val="single" w:sz="8" w:color="134A9C"/>
            </w:tcBorders>
          </w:tcPr>
          <w:p>
            <w:pPr>
              <w:spacing w:after="0"/>
              <w:rPr>
                <w:sz w:val="12"/>
                <w:szCs w:val="12"/>
                <w:color w:val="auto"/>
              </w:rPr>
            </w:pPr>
          </w:p>
        </w:tc>
        <w:tc>
          <w:tcPr>
            <w:tcW w:w="800" w:type="dxa"/>
            <w:vAlign w:val="bottom"/>
            <w:tcBorders>
              <w:right w:val="single" w:sz="8" w:color="134A9C"/>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280" w:type="dxa"/>
            <w:vAlign w:val="bottom"/>
            <w:tcBorders>
              <w:left w:val="single" w:sz="8" w:color="134A9C"/>
              <w:bottom w:val="single" w:sz="8" w:color="134A9C"/>
              <w:right w:val="single" w:sz="8" w:color="134A9C"/>
            </w:tcBorders>
          </w:tcPr>
          <w:p>
            <w:pPr>
              <w:spacing w:after="0"/>
              <w:rPr>
                <w:sz w:val="10"/>
                <w:szCs w:val="10"/>
                <w:color w:val="auto"/>
              </w:rPr>
            </w:pPr>
          </w:p>
        </w:tc>
        <w:tc>
          <w:tcPr>
            <w:tcW w:w="580" w:type="dxa"/>
            <w:vAlign w:val="bottom"/>
            <w:tcBorders>
              <w:bottom w:val="single" w:sz="8" w:color="134A9C"/>
              <w:right w:val="single" w:sz="8" w:color="134A9C"/>
            </w:tcBorders>
          </w:tcPr>
          <w:p>
            <w:pPr>
              <w:spacing w:after="0"/>
              <w:rPr>
                <w:sz w:val="10"/>
                <w:szCs w:val="10"/>
                <w:color w:val="auto"/>
              </w:rPr>
            </w:pPr>
          </w:p>
        </w:tc>
        <w:tc>
          <w:tcPr>
            <w:tcW w:w="920" w:type="dxa"/>
            <w:vAlign w:val="bottom"/>
            <w:tcBorders>
              <w:bottom w:val="single" w:sz="8" w:color="134A9C"/>
              <w:right w:val="single" w:sz="8" w:color="134A9C"/>
            </w:tcBorders>
          </w:tcPr>
          <w:p>
            <w:pPr>
              <w:spacing w:after="0"/>
              <w:rPr>
                <w:sz w:val="10"/>
                <w:szCs w:val="10"/>
                <w:color w:val="auto"/>
              </w:rPr>
            </w:pPr>
          </w:p>
        </w:tc>
        <w:tc>
          <w:tcPr>
            <w:tcW w:w="820" w:type="dxa"/>
            <w:vAlign w:val="bottom"/>
            <w:tcBorders>
              <w:bottom w:val="single" w:sz="8" w:color="134A9C"/>
              <w:right w:val="single" w:sz="8" w:color="134A9C"/>
            </w:tcBorders>
          </w:tcPr>
          <w:p>
            <w:pPr>
              <w:spacing w:after="0"/>
              <w:rPr>
                <w:sz w:val="10"/>
                <w:szCs w:val="10"/>
                <w:color w:val="auto"/>
              </w:rPr>
            </w:pPr>
          </w:p>
        </w:tc>
        <w:tc>
          <w:tcPr>
            <w:tcW w:w="840" w:type="dxa"/>
            <w:vAlign w:val="bottom"/>
            <w:tcBorders>
              <w:bottom w:val="single" w:sz="8" w:color="134A9C"/>
            </w:tcBorders>
          </w:tcPr>
          <w:p>
            <w:pPr>
              <w:spacing w:after="0"/>
              <w:rPr>
                <w:sz w:val="10"/>
                <w:szCs w:val="10"/>
                <w:color w:val="auto"/>
              </w:rPr>
            </w:pPr>
          </w:p>
        </w:tc>
        <w:tc>
          <w:tcPr>
            <w:tcW w:w="880" w:type="dxa"/>
            <w:vAlign w:val="bottom"/>
            <w:tcBorders>
              <w:bottom w:val="single" w:sz="8" w:color="134A9C"/>
            </w:tcBorders>
          </w:tcPr>
          <w:p>
            <w:pPr>
              <w:spacing w:after="0"/>
              <w:rPr>
                <w:sz w:val="10"/>
                <w:szCs w:val="10"/>
                <w:color w:val="auto"/>
              </w:rPr>
            </w:pPr>
          </w:p>
        </w:tc>
        <w:tc>
          <w:tcPr>
            <w:tcW w:w="680" w:type="dxa"/>
            <w:vAlign w:val="bottom"/>
            <w:tcBorders>
              <w:bottom w:val="single" w:sz="8" w:color="134A9C"/>
              <w:right w:val="single" w:sz="8" w:color="134A9C"/>
            </w:tcBorders>
          </w:tcPr>
          <w:p>
            <w:pPr>
              <w:spacing w:after="0"/>
              <w:rPr>
                <w:sz w:val="10"/>
                <w:szCs w:val="10"/>
                <w:color w:val="auto"/>
              </w:rPr>
            </w:pPr>
          </w:p>
        </w:tc>
        <w:tc>
          <w:tcPr>
            <w:tcW w:w="860" w:type="dxa"/>
            <w:vAlign w:val="bottom"/>
            <w:tcBorders>
              <w:bottom w:val="single" w:sz="8" w:color="134A9C"/>
            </w:tcBorders>
          </w:tcPr>
          <w:p>
            <w:pPr>
              <w:spacing w:after="0"/>
              <w:rPr>
                <w:sz w:val="10"/>
                <w:szCs w:val="10"/>
                <w:color w:val="auto"/>
              </w:rPr>
            </w:pPr>
          </w:p>
        </w:tc>
        <w:tc>
          <w:tcPr>
            <w:tcW w:w="660" w:type="dxa"/>
            <w:vAlign w:val="bottom"/>
            <w:tcBorders>
              <w:bottom w:val="single" w:sz="8" w:color="134A9C"/>
            </w:tcBorders>
          </w:tcPr>
          <w:p>
            <w:pPr>
              <w:spacing w:after="0"/>
              <w:rPr>
                <w:sz w:val="10"/>
                <w:szCs w:val="10"/>
                <w:color w:val="auto"/>
              </w:rPr>
            </w:pPr>
          </w:p>
        </w:tc>
        <w:tc>
          <w:tcPr>
            <w:tcW w:w="740" w:type="dxa"/>
            <w:vAlign w:val="bottom"/>
            <w:tcBorders>
              <w:bottom w:val="single" w:sz="8" w:color="134A9C"/>
              <w:right w:val="single" w:sz="8" w:color="134A9C"/>
            </w:tcBorders>
          </w:tcPr>
          <w:p>
            <w:pPr>
              <w:spacing w:after="0"/>
              <w:rPr>
                <w:sz w:val="10"/>
                <w:szCs w:val="10"/>
                <w:color w:val="auto"/>
              </w:rPr>
            </w:pPr>
          </w:p>
        </w:tc>
        <w:tc>
          <w:tcPr>
            <w:tcW w:w="780" w:type="dxa"/>
            <w:vAlign w:val="bottom"/>
            <w:tcBorders>
              <w:bottom w:val="single" w:sz="8" w:color="134A9C"/>
            </w:tcBorders>
          </w:tcPr>
          <w:p>
            <w:pPr>
              <w:spacing w:after="0"/>
              <w:rPr>
                <w:sz w:val="10"/>
                <w:szCs w:val="10"/>
                <w:color w:val="auto"/>
              </w:rPr>
            </w:pPr>
          </w:p>
        </w:tc>
        <w:tc>
          <w:tcPr>
            <w:tcW w:w="920" w:type="dxa"/>
            <w:vAlign w:val="bottom"/>
            <w:tcBorders>
              <w:bottom w:val="single" w:sz="8" w:color="134A9C"/>
            </w:tcBorders>
          </w:tcPr>
          <w:p>
            <w:pPr>
              <w:spacing w:after="0"/>
              <w:rPr>
                <w:sz w:val="10"/>
                <w:szCs w:val="10"/>
                <w:color w:val="auto"/>
              </w:rPr>
            </w:pPr>
          </w:p>
        </w:tc>
        <w:tc>
          <w:tcPr>
            <w:tcW w:w="680" w:type="dxa"/>
            <w:vAlign w:val="bottom"/>
            <w:tcBorders>
              <w:bottom w:val="single" w:sz="8" w:color="134A9C"/>
              <w:right w:val="single" w:sz="8" w:color="134A9C"/>
            </w:tcBorders>
          </w:tcPr>
          <w:p>
            <w:pPr>
              <w:spacing w:after="0"/>
              <w:rPr>
                <w:sz w:val="10"/>
                <w:szCs w:val="10"/>
                <w:color w:val="auto"/>
              </w:rPr>
            </w:pPr>
          </w:p>
        </w:tc>
        <w:tc>
          <w:tcPr>
            <w:tcW w:w="800" w:type="dxa"/>
            <w:vAlign w:val="bottom"/>
            <w:tcBorders>
              <w:bottom w:val="single" w:sz="8" w:color="134A9C"/>
              <w:right w:val="single" w:sz="8" w:color="134A9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ind w:left="340" w:right="20" w:hanging="332"/>
        <w:spacing w:after="0" w:line="24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Pursuant to the terms of the 2009 LTIP, the value used to determine the number of all RSUs granted on February 13, 2014 was $34.99 based on the average of the high and low trading price of Common Stock on the NYSE on the grant date. However, the grant date fair value shown here is based on the closing price of Common Stock on the grant date ($35.20) consistent with accounting practice and the valuation assumptions used in measuring expense in Note 23 of the Consolidated Financial Statements in our 2014 Annual Report on Form 10-K. Dr. Neumann’s RSUs were granted on February 18, 2014 based on the high and low trading price of Common Stock on the NYSE on the grant date ($36.25). However, the grant date fair value shown here is based on the closing price of Common Stock on the grant date ($36.31). Mr. Millikin’s RSUs were granted on March 31, 2014 based on the high and low trading price of Common Stock on the NYSE on the grant date ($34.37). However, the grant date fair value shown here is based on the closing price of Common Stock on the grant date ($34.42) consistent with accounting practices noted above. All other grants were made under the 2014 LTIP and used the grant date fair value, based on the closing price, to determine shares.</w:t>
      </w:r>
    </w:p>
    <w:p>
      <w:pPr>
        <w:spacing w:after="0" w:line="3"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Dr. Neumann’s target STIP amount was converted from Euros to U.S. dollars, applying an average foreign exchange rate for the period from January 1, 2014 to December 31, 2014 during which compensation was earned, €1 = $1.3291.</w:t>
      </w:r>
    </w:p>
    <w:p>
      <w:pPr>
        <w:sectPr>
          <w:pgSz w:w="11900" w:h="16838" w:orient="portrait"/>
          <w:cols w:equalWidth="0" w:num="1">
            <w:col w:w="11440"/>
          </w:cols>
          <w:pgMar w:left="240" w:top="29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55</w:t>
      </w:r>
      <w:r>
        <w:rPr>
          <w:sz w:val="20"/>
          <w:szCs w:val="20"/>
          <w:color w:val="auto"/>
        </w:rPr>
        <w:tab/>
      </w:r>
      <w:r>
        <w:rPr>
          <w:sz w:val="1"/>
          <w:szCs w:val="1"/>
          <w:color w:val="auto"/>
        </w:rPr>
        <w:drawing>
          <wp:inline distT="0" distB="0" distL="0" distR="0">
            <wp:extent cx="120015" cy="12001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type w:val="continuous"/>
        </w:sectPr>
      </w:pPr>
    </w:p>
    <w:bookmarkStart w:id="59" w:name="page60"/>
    <w:bookmarkEnd w:id="59"/>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Outstanding Equity Awards at Fiscal Year-End 2014</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520" w:type="dxa"/>
            <w:vAlign w:val="bottom"/>
            <w:tcBorders>
              <w:left w:val="single" w:sz="8" w:color="134A9C"/>
              <w:right w:val="single" w:sz="8" w:color="134A9C"/>
            </w:tcBorders>
            <w:shd w:val="clear" w:color="auto" w:fill="134A9C"/>
          </w:tcPr>
          <w:p>
            <w:pPr>
              <w:spacing w:after="0"/>
              <w:rPr>
                <w:sz w:val="19"/>
                <w:szCs w:val="19"/>
                <w:color w:val="auto"/>
              </w:rPr>
            </w:pPr>
          </w:p>
        </w:tc>
        <w:tc>
          <w:tcPr>
            <w:tcW w:w="2160" w:type="dxa"/>
            <w:vAlign w:val="bottom"/>
            <w:tcBorders>
              <w:right w:val="single" w:sz="8" w:color="134A9C"/>
            </w:tcBorders>
            <w:shd w:val="clear" w:color="auto" w:fill="134A9C"/>
          </w:tcPr>
          <w:p>
            <w:pPr>
              <w:spacing w:after="0"/>
              <w:rPr>
                <w:sz w:val="19"/>
                <w:szCs w:val="19"/>
                <w:color w:val="auto"/>
              </w:rPr>
            </w:pPr>
          </w:p>
        </w:tc>
        <w:tc>
          <w:tcPr>
            <w:tcW w:w="4480" w:type="dxa"/>
            <w:vAlign w:val="bottom"/>
            <w:tcBorders>
              <w:right w:val="single" w:sz="8" w:color="134A9C"/>
            </w:tcBorders>
            <w:gridSpan w:val="2"/>
            <w:shd w:val="clear" w:color="auto" w:fill="134A9C"/>
          </w:tcPr>
          <w:p>
            <w:pPr>
              <w:jc w:val="right"/>
              <w:ind w:right="1628"/>
              <w:spacing w:after="0"/>
              <w:rPr>
                <w:sz w:val="20"/>
                <w:szCs w:val="20"/>
                <w:color w:val="auto"/>
              </w:rPr>
            </w:pPr>
            <w:r>
              <w:rPr>
                <w:rFonts w:ascii="Arial" w:cs="Arial" w:eastAsia="Arial" w:hAnsi="Arial"/>
                <w:sz w:val="14"/>
                <w:szCs w:val="14"/>
                <w:color w:val="FFFFFF"/>
              </w:rPr>
              <w:t xml:space="preserve">Stock Awards </w:t>
            </w:r>
            <w:r>
              <w:rPr>
                <w:rFonts w:ascii="Arial" w:cs="Arial" w:eastAsia="Arial" w:hAnsi="Arial"/>
                <w:sz w:val="17"/>
                <w:szCs w:val="17"/>
                <w:color w:val="FFFFFF"/>
                <w:vertAlign w:val="superscript"/>
              </w:rPr>
              <w:t>(1)(2)</w:t>
            </w:r>
          </w:p>
        </w:tc>
        <w:tc>
          <w:tcPr>
            <w:tcW w:w="2140" w:type="dxa"/>
            <w:vAlign w:val="bottom"/>
            <w:tcBorders>
              <w:right w:val="single" w:sz="8" w:color="134A9C"/>
            </w:tcBorders>
            <w:shd w:val="clear" w:color="auto" w:fill="134A9C"/>
          </w:tcPr>
          <w:p>
            <w:pPr>
              <w:spacing w:after="0"/>
              <w:rPr>
                <w:sz w:val="19"/>
                <w:szCs w:val="19"/>
                <w:color w:val="auto"/>
              </w:rPr>
            </w:pPr>
          </w:p>
        </w:tc>
      </w:tr>
      <w:tr>
        <w:trPr>
          <w:trHeight w:val="248"/>
        </w:trPr>
        <w:tc>
          <w:tcPr>
            <w:tcW w:w="2520" w:type="dxa"/>
            <w:vAlign w:val="bottom"/>
            <w:tcBorders>
              <w:left w:val="single" w:sz="8" w:color="134A9C"/>
              <w:right w:val="single" w:sz="8" w:color="134A9C"/>
            </w:tcBorders>
            <w:shd w:val="clear" w:color="auto" w:fill="134A9C"/>
          </w:tcPr>
          <w:p>
            <w:pPr>
              <w:spacing w:after="0"/>
              <w:rPr>
                <w:sz w:val="21"/>
                <w:szCs w:val="21"/>
                <w:color w:val="auto"/>
              </w:rPr>
            </w:pPr>
          </w:p>
        </w:tc>
        <w:tc>
          <w:tcPr>
            <w:tcW w:w="2160" w:type="dxa"/>
            <w:vAlign w:val="bottom"/>
            <w:tcBorders>
              <w:right w:val="single" w:sz="8" w:color="134A9C"/>
            </w:tcBorders>
            <w:shd w:val="clear" w:color="auto" w:fill="134A9C"/>
          </w:tcPr>
          <w:p>
            <w:pPr>
              <w:spacing w:after="0"/>
              <w:rPr>
                <w:sz w:val="21"/>
                <w:szCs w:val="21"/>
                <w:color w:val="auto"/>
              </w:rPr>
            </w:pPr>
          </w:p>
        </w:tc>
        <w:tc>
          <w:tcPr>
            <w:tcW w:w="2120" w:type="dxa"/>
            <w:vAlign w:val="bottom"/>
            <w:tcBorders>
              <w:right w:val="single" w:sz="8" w:color="134A9C"/>
            </w:tcBorders>
            <w:shd w:val="clear" w:color="auto" w:fill="134A9C"/>
          </w:tcPr>
          <w:p>
            <w:pPr>
              <w:spacing w:after="0"/>
              <w:rPr>
                <w:sz w:val="21"/>
                <w:szCs w:val="21"/>
                <w:color w:val="auto"/>
              </w:rPr>
            </w:pPr>
          </w:p>
        </w:tc>
        <w:tc>
          <w:tcPr>
            <w:tcW w:w="236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Equity Incentive Plan Awards:</w:t>
            </w:r>
          </w:p>
        </w:tc>
        <w:tc>
          <w:tcPr>
            <w:tcW w:w="21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Equity Incentive Plan Awards:</w:t>
            </w:r>
          </w:p>
        </w:tc>
      </w:tr>
      <w:tr>
        <w:trPr>
          <w:trHeight w:val="162"/>
        </w:trPr>
        <w:tc>
          <w:tcPr>
            <w:tcW w:w="2520" w:type="dxa"/>
            <w:vAlign w:val="bottom"/>
            <w:tcBorders>
              <w:left w:val="single" w:sz="8" w:color="134A9C"/>
              <w:right w:val="single" w:sz="8" w:color="134A9C"/>
            </w:tcBorders>
            <w:shd w:val="clear" w:color="auto" w:fill="134A9C"/>
          </w:tcPr>
          <w:p>
            <w:pPr>
              <w:spacing w:after="0"/>
              <w:rPr>
                <w:sz w:val="14"/>
                <w:szCs w:val="14"/>
                <w:color w:val="auto"/>
              </w:rPr>
            </w:pPr>
          </w:p>
        </w:tc>
        <w:tc>
          <w:tcPr>
            <w:tcW w:w="2160" w:type="dxa"/>
            <w:vAlign w:val="bottom"/>
            <w:tcBorders>
              <w:right w:val="single" w:sz="8" w:color="134A9C"/>
            </w:tcBorders>
            <w:shd w:val="clear" w:color="auto" w:fill="134A9C"/>
          </w:tcPr>
          <w:p>
            <w:pPr>
              <w:spacing w:after="0"/>
              <w:rPr>
                <w:sz w:val="14"/>
                <w:szCs w:val="14"/>
                <w:color w:val="auto"/>
              </w:rPr>
            </w:pPr>
          </w:p>
        </w:tc>
        <w:tc>
          <w:tcPr>
            <w:tcW w:w="2120" w:type="dxa"/>
            <w:vAlign w:val="bottom"/>
            <w:tcBorders>
              <w:right w:val="single" w:sz="8" w:color="134A9C"/>
            </w:tcBorders>
            <w:shd w:val="clear" w:color="auto" w:fill="134A9C"/>
          </w:tcPr>
          <w:p>
            <w:pPr>
              <w:spacing w:after="0"/>
              <w:rPr>
                <w:sz w:val="14"/>
                <w:szCs w:val="14"/>
                <w:color w:val="auto"/>
              </w:rPr>
            </w:pPr>
          </w:p>
        </w:tc>
        <w:tc>
          <w:tcPr>
            <w:tcW w:w="236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Number of Unearned Shares, Units,</w:t>
            </w:r>
          </w:p>
        </w:tc>
        <w:tc>
          <w:tcPr>
            <w:tcW w:w="21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Market or Payout Value of</w:t>
            </w:r>
          </w:p>
        </w:tc>
      </w:tr>
      <w:tr>
        <w:trPr>
          <w:trHeight w:val="157"/>
        </w:trPr>
        <w:tc>
          <w:tcPr>
            <w:tcW w:w="2520" w:type="dxa"/>
            <w:vAlign w:val="bottom"/>
            <w:tcBorders>
              <w:left w:val="single" w:sz="8" w:color="134A9C"/>
              <w:right w:val="single" w:sz="8" w:color="134A9C"/>
            </w:tcBorders>
            <w:shd w:val="clear" w:color="auto" w:fill="134A9C"/>
          </w:tcPr>
          <w:p>
            <w:pPr>
              <w:spacing w:after="0"/>
              <w:rPr>
                <w:sz w:val="13"/>
                <w:szCs w:val="13"/>
                <w:color w:val="auto"/>
              </w:rPr>
            </w:pPr>
          </w:p>
        </w:tc>
        <w:tc>
          <w:tcPr>
            <w:tcW w:w="2160" w:type="dxa"/>
            <w:vAlign w:val="bottom"/>
            <w:tcBorders>
              <w:right w:val="single" w:sz="8" w:color="134A9C"/>
            </w:tcBorders>
            <w:shd w:val="clear" w:color="auto" w:fill="134A9C"/>
          </w:tcPr>
          <w:p>
            <w:pPr>
              <w:jc w:val="center"/>
              <w:spacing w:after="0" w:line="157" w:lineRule="exact"/>
              <w:rPr>
                <w:sz w:val="20"/>
                <w:szCs w:val="20"/>
                <w:color w:val="auto"/>
              </w:rPr>
            </w:pPr>
            <w:r>
              <w:rPr>
                <w:rFonts w:ascii="Arial" w:cs="Arial" w:eastAsia="Arial" w:hAnsi="Arial"/>
                <w:sz w:val="14"/>
                <w:szCs w:val="14"/>
                <w:color w:val="FFFFFF"/>
              </w:rPr>
              <w:t>Number of Shares or Units of</w:t>
            </w:r>
          </w:p>
        </w:tc>
        <w:tc>
          <w:tcPr>
            <w:tcW w:w="2120" w:type="dxa"/>
            <w:vAlign w:val="bottom"/>
            <w:tcBorders>
              <w:right w:val="single" w:sz="8" w:color="134A9C"/>
            </w:tcBorders>
            <w:shd w:val="clear" w:color="auto" w:fill="134A9C"/>
          </w:tcPr>
          <w:p>
            <w:pPr>
              <w:jc w:val="center"/>
              <w:spacing w:after="0" w:line="157" w:lineRule="exact"/>
              <w:rPr>
                <w:sz w:val="20"/>
                <w:szCs w:val="20"/>
                <w:color w:val="auto"/>
              </w:rPr>
            </w:pPr>
            <w:r>
              <w:rPr>
                <w:rFonts w:ascii="Arial" w:cs="Arial" w:eastAsia="Arial" w:hAnsi="Arial"/>
                <w:sz w:val="14"/>
                <w:szCs w:val="14"/>
                <w:color w:val="FFFFFF"/>
              </w:rPr>
              <w:t>Market Value of Shares or Units</w:t>
            </w:r>
          </w:p>
        </w:tc>
        <w:tc>
          <w:tcPr>
            <w:tcW w:w="2360" w:type="dxa"/>
            <w:vAlign w:val="bottom"/>
            <w:tcBorders>
              <w:right w:val="single" w:sz="8" w:color="134A9C"/>
            </w:tcBorders>
            <w:shd w:val="clear" w:color="auto" w:fill="134A9C"/>
          </w:tcPr>
          <w:p>
            <w:pPr>
              <w:jc w:val="center"/>
              <w:spacing w:after="0" w:line="157" w:lineRule="exact"/>
              <w:rPr>
                <w:sz w:val="20"/>
                <w:szCs w:val="20"/>
                <w:color w:val="auto"/>
              </w:rPr>
            </w:pPr>
            <w:r>
              <w:rPr>
                <w:rFonts w:ascii="Arial" w:cs="Arial" w:eastAsia="Arial" w:hAnsi="Arial"/>
                <w:sz w:val="14"/>
                <w:szCs w:val="14"/>
                <w:color w:val="FFFFFF"/>
              </w:rPr>
              <w:t>or Other Rights That Have Not</w:t>
            </w:r>
          </w:p>
        </w:tc>
        <w:tc>
          <w:tcPr>
            <w:tcW w:w="2140" w:type="dxa"/>
            <w:vAlign w:val="bottom"/>
            <w:tcBorders>
              <w:right w:val="single" w:sz="8" w:color="134A9C"/>
            </w:tcBorders>
            <w:shd w:val="clear" w:color="auto" w:fill="134A9C"/>
          </w:tcPr>
          <w:p>
            <w:pPr>
              <w:jc w:val="center"/>
              <w:spacing w:after="0" w:line="157" w:lineRule="exact"/>
              <w:rPr>
                <w:sz w:val="20"/>
                <w:szCs w:val="20"/>
                <w:color w:val="auto"/>
              </w:rPr>
            </w:pPr>
            <w:r>
              <w:rPr>
                <w:rFonts w:ascii="Arial" w:cs="Arial" w:eastAsia="Arial" w:hAnsi="Arial"/>
                <w:sz w:val="14"/>
                <w:szCs w:val="14"/>
                <w:color w:val="FFFFFF"/>
              </w:rPr>
              <w:t>Unearned Shares, Units, or</w:t>
            </w:r>
          </w:p>
        </w:tc>
      </w:tr>
      <w:tr>
        <w:trPr>
          <w:trHeight w:val="167"/>
        </w:trPr>
        <w:tc>
          <w:tcPr>
            <w:tcW w:w="2520" w:type="dxa"/>
            <w:vAlign w:val="bottom"/>
            <w:tcBorders>
              <w:left w:val="single" w:sz="8" w:color="134A9C"/>
              <w:right w:val="single" w:sz="8" w:color="134A9C"/>
            </w:tcBorders>
            <w:shd w:val="clear" w:color="auto" w:fill="134A9C"/>
          </w:tcPr>
          <w:p>
            <w:pPr>
              <w:spacing w:after="0"/>
              <w:rPr>
                <w:sz w:val="14"/>
                <w:szCs w:val="14"/>
                <w:color w:val="auto"/>
              </w:rPr>
            </w:pPr>
          </w:p>
        </w:tc>
        <w:tc>
          <w:tcPr>
            <w:tcW w:w="2160" w:type="dxa"/>
            <w:vAlign w:val="bottom"/>
            <w:tcBorders>
              <w:right w:val="single" w:sz="8" w:color="134A9C"/>
            </w:tcBorders>
            <w:shd w:val="clear" w:color="auto" w:fill="134A9C"/>
          </w:tcPr>
          <w:p>
            <w:pPr>
              <w:jc w:val="center"/>
              <w:spacing w:after="0" w:line="167" w:lineRule="exact"/>
              <w:rPr>
                <w:sz w:val="20"/>
                <w:szCs w:val="20"/>
                <w:color w:val="auto"/>
              </w:rPr>
            </w:pPr>
            <w:r>
              <w:rPr>
                <w:rFonts w:ascii="Arial" w:cs="Arial" w:eastAsia="Arial" w:hAnsi="Arial"/>
                <w:sz w:val="14"/>
                <w:szCs w:val="14"/>
                <w:color w:val="FFFFFF"/>
                <w:w w:val="99"/>
              </w:rPr>
              <w:t xml:space="preserve">Stock That Have Not Vested </w:t>
            </w:r>
            <w:r>
              <w:rPr>
                <w:rFonts w:ascii="Arial" w:cs="Arial" w:eastAsia="Arial" w:hAnsi="Arial"/>
                <w:sz w:val="17"/>
                <w:szCs w:val="17"/>
                <w:color w:val="FFFFFF"/>
                <w:w w:val="99"/>
                <w:vertAlign w:val="superscript"/>
              </w:rPr>
              <w:t>(3)</w:t>
            </w:r>
          </w:p>
        </w:tc>
        <w:tc>
          <w:tcPr>
            <w:tcW w:w="212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of Stock That Have Not Vested</w:t>
            </w:r>
          </w:p>
        </w:tc>
        <w:tc>
          <w:tcPr>
            <w:tcW w:w="2360" w:type="dxa"/>
            <w:vAlign w:val="bottom"/>
            <w:tcBorders>
              <w:right w:val="single" w:sz="8" w:color="134A9C"/>
            </w:tcBorders>
            <w:shd w:val="clear" w:color="auto" w:fill="134A9C"/>
          </w:tcPr>
          <w:p>
            <w:pPr>
              <w:jc w:val="center"/>
              <w:spacing w:after="0" w:line="167" w:lineRule="exact"/>
              <w:rPr>
                <w:sz w:val="20"/>
                <w:szCs w:val="20"/>
                <w:color w:val="auto"/>
              </w:rPr>
            </w:pPr>
            <w:r>
              <w:rPr>
                <w:rFonts w:ascii="Arial" w:cs="Arial" w:eastAsia="Arial" w:hAnsi="Arial"/>
                <w:sz w:val="14"/>
                <w:szCs w:val="14"/>
                <w:color w:val="FFFFFF"/>
                <w:w w:val="97"/>
              </w:rPr>
              <w:t>Vested</w:t>
            </w:r>
            <w:r>
              <w:rPr>
                <w:rFonts w:ascii="Arial" w:cs="Arial" w:eastAsia="Arial" w:hAnsi="Arial"/>
                <w:sz w:val="17"/>
                <w:szCs w:val="17"/>
                <w:color w:val="FFFFFF"/>
                <w:w w:val="97"/>
                <w:vertAlign w:val="superscript"/>
              </w:rPr>
              <w:t>(4)</w:t>
            </w:r>
          </w:p>
        </w:tc>
        <w:tc>
          <w:tcPr>
            <w:tcW w:w="21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Other Rights That Have Not</w:t>
            </w:r>
          </w:p>
        </w:tc>
      </w:tr>
      <w:tr>
        <w:trPr>
          <w:trHeight w:val="184"/>
        </w:trPr>
        <w:tc>
          <w:tcPr>
            <w:tcW w:w="2520" w:type="dxa"/>
            <w:vAlign w:val="bottom"/>
            <w:tcBorders>
              <w:left w:val="single" w:sz="8" w:color="134A9C"/>
              <w:right w:val="single" w:sz="8" w:color="134A9C"/>
            </w:tcBorders>
            <w:shd w:val="clear" w:color="auto" w:fill="134A9C"/>
          </w:tcPr>
          <w:p>
            <w:pPr>
              <w:ind w:left="1060"/>
              <w:spacing w:after="0"/>
              <w:rPr>
                <w:sz w:val="20"/>
                <w:szCs w:val="20"/>
                <w:color w:val="auto"/>
              </w:rPr>
            </w:pPr>
            <w:r>
              <w:rPr>
                <w:rFonts w:ascii="Arial" w:cs="Arial" w:eastAsia="Arial" w:hAnsi="Arial"/>
                <w:sz w:val="14"/>
                <w:szCs w:val="14"/>
                <w:color w:val="FFFFFF"/>
              </w:rPr>
              <w:t>Name</w:t>
            </w:r>
          </w:p>
        </w:tc>
        <w:tc>
          <w:tcPr>
            <w:tcW w:w="216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w:t>
            </w:r>
          </w:p>
        </w:tc>
        <w:tc>
          <w:tcPr>
            <w:tcW w:w="212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w w:val="93"/>
              </w:rPr>
              <w:t>($)</w:t>
            </w:r>
          </w:p>
        </w:tc>
        <w:tc>
          <w:tcPr>
            <w:tcW w:w="236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w:t>
            </w:r>
          </w:p>
        </w:tc>
        <w:tc>
          <w:tcPr>
            <w:tcW w:w="21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Vested ($)</w:t>
            </w:r>
          </w:p>
        </w:tc>
      </w:tr>
      <w:tr>
        <w:trPr>
          <w:trHeight w:val="210"/>
        </w:trPr>
        <w:tc>
          <w:tcPr>
            <w:tcW w:w="25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Mary T. Barra</w:t>
            </w:r>
          </w:p>
        </w:tc>
        <w:tc>
          <w:tcPr>
            <w:tcW w:w="21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69,214</w:t>
            </w:r>
          </w:p>
        </w:tc>
        <w:tc>
          <w:tcPr>
            <w:tcW w:w="21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2,416,261</w:t>
            </w:r>
          </w:p>
        </w:tc>
        <w:tc>
          <w:tcPr>
            <w:tcW w:w="23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302,744</w:t>
            </w:r>
          </w:p>
        </w:tc>
        <w:tc>
          <w:tcPr>
            <w:tcW w:w="21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10,568,793</w:t>
            </w:r>
          </w:p>
        </w:tc>
      </w:tr>
      <w:tr>
        <w:trPr>
          <w:trHeight w:val="210"/>
        </w:trPr>
        <w:tc>
          <w:tcPr>
            <w:tcW w:w="25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Charles K. Stevens, III</w:t>
            </w:r>
          </w:p>
        </w:tc>
        <w:tc>
          <w:tcPr>
            <w:tcW w:w="21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66,000</w:t>
            </w:r>
          </w:p>
        </w:tc>
        <w:tc>
          <w:tcPr>
            <w:tcW w:w="21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2,304,060</w:t>
            </w:r>
          </w:p>
        </w:tc>
        <w:tc>
          <w:tcPr>
            <w:tcW w:w="23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50,353</w:t>
            </w:r>
          </w:p>
        </w:tc>
        <w:tc>
          <w:tcPr>
            <w:tcW w:w="21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1,757,823</w:t>
            </w:r>
          </w:p>
        </w:tc>
      </w:tr>
      <w:tr>
        <w:trPr>
          <w:trHeight w:val="210"/>
        </w:trPr>
        <w:tc>
          <w:tcPr>
            <w:tcW w:w="25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Ammann</w:t>
            </w:r>
          </w:p>
        </w:tc>
        <w:tc>
          <w:tcPr>
            <w:tcW w:w="21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31,493</w:t>
            </w:r>
          </w:p>
        </w:tc>
        <w:tc>
          <w:tcPr>
            <w:tcW w:w="21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1,099,421</w:t>
            </w:r>
          </w:p>
        </w:tc>
        <w:tc>
          <w:tcPr>
            <w:tcW w:w="23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190,962</w:t>
            </w:r>
          </w:p>
        </w:tc>
        <w:tc>
          <w:tcPr>
            <w:tcW w:w="21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6,666,483</w:t>
            </w:r>
          </w:p>
        </w:tc>
      </w:tr>
      <w:tr>
        <w:trPr>
          <w:trHeight w:val="210"/>
        </w:trPr>
        <w:tc>
          <w:tcPr>
            <w:tcW w:w="25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Mark L. Reuss</w:t>
            </w:r>
          </w:p>
        </w:tc>
        <w:tc>
          <w:tcPr>
            <w:tcW w:w="21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84,067</w:t>
            </w:r>
          </w:p>
        </w:tc>
        <w:tc>
          <w:tcPr>
            <w:tcW w:w="21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2,934,779</w:t>
            </w:r>
          </w:p>
        </w:tc>
        <w:tc>
          <w:tcPr>
            <w:tcW w:w="23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163,766</w:t>
            </w:r>
          </w:p>
        </w:tc>
        <w:tc>
          <w:tcPr>
            <w:tcW w:w="21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5,717,071</w:t>
            </w:r>
          </w:p>
        </w:tc>
      </w:tr>
      <w:tr>
        <w:trPr>
          <w:trHeight w:val="210"/>
        </w:trPr>
        <w:tc>
          <w:tcPr>
            <w:tcW w:w="25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Michael P. Millikin</w:t>
            </w:r>
          </w:p>
        </w:tc>
        <w:tc>
          <w:tcPr>
            <w:tcW w:w="21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14,708</w:t>
            </w:r>
          </w:p>
        </w:tc>
        <w:tc>
          <w:tcPr>
            <w:tcW w:w="21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513,456</w:t>
            </w:r>
          </w:p>
        </w:tc>
        <w:tc>
          <w:tcPr>
            <w:tcW w:w="23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44,124</w:t>
            </w:r>
          </w:p>
        </w:tc>
        <w:tc>
          <w:tcPr>
            <w:tcW w:w="21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1,540,369</w:t>
            </w:r>
          </w:p>
        </w:tc>
      </w:tr>
      <w:tr>
        <w:trPr>
          <w:trHeight w:val="210"/>
        </w:trPr>
        <w:tc>
          <w:tcPr>
            <w:tcW w:w="25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Karl-Thomas Neumann</w:t>
            </w:r>
          </w:p>
        </w:tc>
        <w:tc>
          <w:tcPr>
            <w:tcW w:w="21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73,186</w:t>
            </w:r>
          </w:p>
        </w:tc>
        <w:tc>
          <w:tcPr>
            <w:tcW w:w="21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2,554,923</w:t>
            </w:r>
          </w:p>
        </w:tc>
        <w:tc>
          <w:tcPr>
            <w:tcW w:w="23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56,064</w:t>
            </w:r>
          </w:p>
        </w:tc>
        <w:tc>
          <w:tcPr>
            <w:tcW w:w="21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1,957,194</w:t>
            </w:r>
          </w:p>
        </w:tc>
      </w:tr>
      <w:tr>
        <w:trPr>
          <w:trHeight w:val="210"/>
        </w:trPr>
        <w:tc>
          <w:tcPr>
            <w:tcW w:w="252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F. Akerson</w:t>
            </w:r>
          </w:p>
        </w:tc>
        <w:tc>
          <w:tcPr>
            <w:tcW w:w="21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23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19,062</w:t>
            </w:r>
          </w:p>
        </w:tc>
        <w:tc>
          <w:tcPr>
            <w:tcW w:w="21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665,454</w:t>
            </w:r>
          </w:p>
        </w:tc>
      </w:tr>
    </w:tbl>
    <w:p>
      <w:pPr>
        <w:spacing w:after="0" w:line="5"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awards are valued based on the closing price of Common Stock on the NYSE on December 31, 2014 which was $34.91.</w:t>
      </w:r>
    </w:p>
    <w:p>
      <w:pPr>
        <w:spacing w:after="0" w:line="1" w:lineRule="exact"/>
        <w:rPr>
          <w:rFonts w:ascii="Arial" w:cs="Arial" w:eastAsia="Arial" w:hAnsi="Arial"/>
          <w:sz w:val="14"/>
          <w:szCs w:val="14"/>
          <w:color w:val="auto"/>
        </w:rPr>
      </w:pPr>
    </w:p>
    <w:p>
      <w:pPr>
        <w:jc w:val="both"/>
        <w:ind w:left="260" w:right="20" w:hanging="252"/>
        <w:spacing w:after="0" w:line="243" w:lineRule="auto"/>
        <w:tabs>
          <w:tab w:leader="none" w:pos="2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All NEOs who received TARP RSUs forfeited 25% of the of the TARP related RSU grants as a result of the UST's sale of its remaining shares of Common Stock. Accordingly, 25% of the TARP related grants awarded in 2014 for 2013 performance were subsequently forfeited as follows for Ms. Barra (12,504), Mr. Ammann (12,504), and Mr. Reuss (11,075).</w:t>
      </w:r>
    </w:p>
    <w:p>
      <w:pPr>
        <w:spacing w:after="0" w:line="160" w:lineRule="exact"/>
        <w:rPr>
          <w:rFonts w:ascii="Arial" w:cs="Arial" w:eastAsia="Arial" w:hAnsi="Arial"/>
          <w:sz w:val="14"/>
          <w:szCs w:val="14"/>
          <w:color w:val="auto"/>
        </w:rPr>
      </w:pPr>
    </w:p>
    <w:p>
      <w:pPr>
        <w:ind w:left="260" w:hanging="252"/>
        <w:spacing w:after="0"/>
        <w:tabs>
          <w:tab w:leader="none" w:pos="2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RSU awards.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PSUs and TARP RSU awards.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2014 Option Exercises and Stock Vested</w:t>
      </w:r>
      <w:r>
        <w:rPr>
          <w:rFonts w:ascii="Arial" w:cs="Arial" w:eastAsia="Arial" w:hAnsi="Arial"/>
          <w:sz w:val="22"/>
          <w:szCs w:val="22"/>
          <w:b w:val="1"/>
          <w:bCs w:val="1"/>
          <w:color w:val="0033A0"/>
          <w:vertAlign w:val="superscript"/>
        </w:rPr>
        <w:t>(1)</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4140" w:type="dxa"/>
            <w:vAlign w:val="bottom"/>
            <w:tcBorders>
              <w:left w:val="single" w:sz="8" w:color="134A9C"/>
              <w:right w:val="single" w:sz="8" w:color="134A9C"/>
            </w:tcBorders>
            <w:shd w:val="clear" w:color="auto" w:fill="134A9C"/>
          </w:tcPr>
          <w:p>
            <w:pPr>
              <w:spacing w:after="0"/>
              <w:rPr>
                <w:sz w:val="21"/>
                <w:szCs w:val="21"/>
                <w:color w:val="auto"/>
              </w:rPr>
            </w:pPr>
          </w:p>
        </w:tc>
        <w:tc>
          <w:tcPr>
            <w:tcW w:w="3120" w:type="dxa"/>
            <w:vAlign w:val="bottom"/>
            <w:shd w:val="clear" w:color="auto" w:fill="134A9C"/>
          </w:tcPr>
          <w:p>
            <w:pPr>
              <w:spacing w:after="0"/>
              <w:rPr>
                <w:sz w:val="21"/>
                <w:szCs w:val="21"/>
                <w:color w:val="auto"/>
              </w:rPr>
            </w:pPr>
          </w:p>
        </w:tc>
        <w:tc>
          <w:tcPr>
            <w:tcW w:w="4180" w:type="dxa"/>
            <w:vAlign w:val="bottom"/>
            <w:tcBorders>
              <w:right w:val="single" w:sz="8" w:color="134A9C"/>
            </w:tcBorders>
            <w:gridSpan w:val="2"/>
            <w:shd w:val="clear" w:color="auto" w:fill="134A9C"/>
          </w:tcPr>
          <w:p>
            <w:pPr>
              <w:jc w:val="right"/>
              <w:ind w:right="3148"/>
              <w:spacing w:after="0"/>
              <w:rPr>
                <w:sz w:val="20"/>
                <w:szCs w:val="20"/>
                <w:color w:val="auto"/>
              </w:rPr>
            </w:pPr>
            <w:r>
              <w:rPr>
                <w:rFonts w:ascii="Arial" w:cs="Arial" w:eastAsia="Arial" w:hAnsi="Arial"/>
                <w:sz w:val="14"/>
                <w:szCs w:val="14"/>
                <w:color w:val="FFFFFF"/>
              </w:rPr>
              <w:t>Stock Awards</w:t>
            </w:r>
          </w:p>
        </w:tc>
        <w:tc>
          <w:tcPr>
            <w:tcW w:w="0" w:type="dxa"/>
            <w:vAlign w:val="bottom"/>
          </w:tcPr>
          <w:p>
            <w:pPr>
              <w:spacing w:after="0"/>
              <w:rPr>
                <w:sz w:val="1"/>
                <w:szCs w:val="1"/>
                <w:color w:val="auto"/>
              </w:rPr>
            </w:pPr>
          </w:p>
        </w:tc>
      </w:tr>
      <w:tr>
        <w:trPr>
          <w:trHeight w:val="39"/>
        </w:trPr>
        <w:tc>
          <w:tcPr>
            <w:tcW w:w="4140" w:type="dxa"/>
            <w:vAlign w:val="bottom"/>
            <w:tcBorders>
              <w:left w:val="single" w:sz="8" w:color="134A9C"/>
              <w:right w:val="single" w:sz="8" w:color="134A9C"/>
            </w:tcBorders>
            <w:shd w:val="clear" w:color="auto" w:fill="134A9C"/>
          </w:tcPr>
          <w:p>
            <w:pPr>
              <w:spacing w:after="0"/>
              <w:rPr>
                <w:sz w:val="3"/>
                <w:szCs w:val="3"/>
                <w:color w:val="auto"/>
              </w:rPr>
            </w:pPr>
          </w:p>
        </w:tc>
        <w:tc>
          <w:tcPr>
            <w:tcW w:w="3120" w:type="dxa"/>
            <w:vAlign w:val="bottom"/>
            <w:vMerge w:val="restart"/>
            <w:shd w:val="clear" w:color="auto" w:fill="134A9C"/>
          </w:tcPr>
          <w:p>
            <w:pPr>
              <w:jc w:val="right"/>
              <w:spacing w:after="0"/>
              <w:rPr>
                <w:sz w:val="20"/>
                <w:szCs w:val="20"/>
                <w:color w:val="auto"/>
              </w:rPr>
            </w:pPr>
            <w:r>
              <w:rPr>
                <w:rFonts w:ascii="Arial" w:cs="Arial" w:eastAsia="Arial" w:hAnsi="Arial"/>
                <w:sz w:val="14"/>
                <w:szCs w:val="14"/>
                <w:color w:val="FFFFFF"/>
              </w:rPr>
              <w:t>Number of Shares Acquired on Vesting</w:t>
            </w:r>
          </w:p>
        </w:tc>
        <w:tc>
          <w:tcPr>
            <w:tcW w:w="540" w:type="dxa"/>
            <w:vAlign w:val="bottom"/>
            <w:tcBorders>
              <w:right w:val="single" w:sz="8" w:color="134A9C"/>
            </w:tcBorders>
            <w:shd w:val="clear" w:color="auto" w:fill="134A9C"/>
          </w:tcPr>
          <w:p>
            <w:pPr>
              <w:spacing w:after="0"/>
              <w:rPr>
                <w:sz w:val="3"/>
                <w:szCs w:val="3"/>
                <w:color w:val="auto"/>
              </w:rPr>
            </w:pPr>
          </w:p>
        </w:tc>
        <w:tc>
          <w:tcPr>
            <w:tcW w:w="3640" w:type="dxa"/>
            <w:vAlign w:val="bottom"/>
            <w:tcBorders>
              <w:right w:val="single" w:sz="8" w:color="134A9C"/>
            </w:tcBorders>
            <w:vMerge w:val="restart"/>
            <w:shd w:val="clear" w:color="auto" w:fill="134A9C"/>
          </w:tcPr>
          <w:p>
            <w:pPr>
              <w:jc w:val="right"/>
              <w:ind w:right="868"/>
              <w:spacing w:after="0"/>
              <w:rPr>
                <w:sz w:val="20"/>
                <w:szCs w:val="20"/>
                <w:color w:val="auto"/>
              </w:rPr>
            </w:pPr>
            <w:r>
              <w:rPr>
                <w:rFonts w:ascii="Arial" w:cs="Arial" w:eastAsia="Arial" w:hAnsi="Arial"/>
                <w:sz w:val="14"/>
                <w:szCs w:val="14"/>
                <w:color w:val="FFFFFF"/>
              </w:rPr>
              <w:t xml:space="preserve">Value Realized on Vesting </w:t>
            </w:r>
            <w:r>
              <w:rPr>
                <w:rFonts w:ascii="Arial" w:cs="Arial" w:eastAsia="Arial" w:hAnsi="Arial"/>
                <w:sz w:val="17"/>
                <w:szCs w:val="17"/>
                <w:color w:val="FFFFFF"/>
                <w:vertAlign w:val="superscript"/>
              </w:rPr>
              <w:t>(2)</w:t>
            </w:r>
          </w:p>
        </w:tc>
        <w:tc>
          <w:tcPr>
            <w:tcW w:w="0" w:type="dxa"/>
            <w:vAlign w:val="bottom"/>
          </w:tcPr>
          <w:p>
            <w:pPr>
              <w:spacing w:after="0" w:line="20" w:lineRule="exact"/>
              <w:rPr>
                <w:sz w:val="1"/>
                <w:szCs w:val="1"/>
                <w:color w:val="auto"/>
              </w:rPr>
            </w:pPr>
          </w:p>
        </w:tc>
      </w:tr>
      <w:tr>
        <w:trPr>
          <w:trHeight w:val="194"/>
        </w:trPr>
        <w:tc>
          <w:tcPr>
            <w:tcW w:w="4140" w:type="dxa"/>
            <w:vAlign w:val="bottom"/>
            <w:tcBorders>
              <w:left w:val="single" w:sz="8" w:color="134A9C"/>
              <w:right w:val="single" w:sz="8" w:color="134A9C"/>
            </w:tcBorders>
            <w:shd w:val="clear" w:color="auto" w:fill="134A9C"/>
          </w:tcPr>
          <w:p>
            <w:pPr>
              <w:spacing w:after="0"/>
              <w:rPr>
                <w:sz w:val="16"/>
                <w:szCs w:val="16"/>
                <w:color w:val="auto"/>
              </w:rPr>
            </w:pPr>
          </w:p>
        </w:tc>
        <w:tc>
          <w:tcPr>
            <w:tcW w:w="3120" w:type="dxa"/>
            <w:vAlign w:val="bottom"/>
            <w:vMerge w:val="continue"/>
            <w:shd w:val="clear" w:color="auto" w:fill="134A9C"/>
          </w:tcPr>
          <w:p>
            <w:pPr>
              <w:spacing w:after="0"/>
              <w:rPr>
                <w:sz w:val="16"/>
                <w:szCs w:val="16"/>
                <w:color w:val="auto"/>
              </w:rPr>
            </w:pPr>
          </w:p>
        </w:tc>
        <w:tc>
          <w:tcPr>
            <w:tcW w:w="540" w:type="dxa"/>
            <w:vAlign w:val="bottom"/>
            <w:tcBorders>
              <w:right w:val="single" w:sz="8" w:color="134A9C"/>
            </w:tcBorders>
            <w:shd w:val="clear" w:color="auto" w:fill="134A9C"/>
          </w:tcPr>
          <w:p>
            <w:pPr>
              <w:spacing w:after="0"/>
              <w:rPr>
                <w:sz w:val="16"/>
                <w:szCs w:val="16"/>
                <w:color w:val="auto"/>
              </w:rPr>
            </w:pPr>
          </w:p>
        </w:tc>
        <w:tc>
          <w:tcPr>
            <w:tcW w:w="3640" w:type="dxa"/>
            <w:vAlign w:val="bottom"/>
            <w:tcBorders>
              <w:right w:val="single" w:sz="8" w:color="134A9C"/>
            </w:tcBorders>
            <w:vMerge w:val="continue"/>
            <w:shd w:val="clear" w:color="auto" w:fill="134A9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40" w:type="dxa"/>
            <w:vAlign w:val="bottom"/>
            <w:tcBorders>
              <w:left w:val="single" w:sz="8" w:color="134A9C"/>
              <w:right w:val="single" w:sz="8" w:color="134A9C"/>
            </w:tcBorders>
            <w:shd w:val="clear" w:color="auto" w:fill="134A9C"/>
          </w:tcPr>
          <w:p>
            <w:pPr>
              <w:ind w:left="1880"/>
              <w:spacing w:after="0"/>
              <w:rPr>
                <w:sz w:val="20"/>
                <w:szCs w:val="20"/>
                <w:color w:val="auto"/>
              </w:rPr>
            </w:pPr>
            <w:r>
              <w:rPr>
                <w:rFonts w:ascii="Arial" w:cs="Arial" w:eastAsia="Arial" w:hAnsi="Arial"/>
                <w:sz w:val="14"/>
                <w:szCs w:val="14"/>
                <w:color w:val="FFFFFF"/>
              </w:rPr>
              <w:t>Name</w:t>
            </w:r>
          </w:p>
        </w:tc>
        <w:tc>
          <w:tcPr>
            <w:tcW w:w="3120" w:type="dxa"/>
            <w:vAlign w:val="bottom"/>
            <w:shd w:val="clear" w:color="auto" w:fill="134A9C"/>
          </w:tcPr>
          <w:p>
            <w:pPr>
              <w:jc w:val="right"/>
              <w:ind w:right="1148"/>
              <w:spacing w:after="0"/>
              <w:rPr>
                <w:sz w:val="20"/>
                <w:szCs w:val="20"/>
                <w:color w:val="auto"/>
              </w:rPr>
            </w:pPr>
            <w:r>
              <w:rPr>
                <w:rFonts w:ascii="Arial" w:cs="Arial" w:eastAsia="Arial" w:hAnsi="Arial"/>
                <w:sz w:val="14"/>
                <w:szCs w:val="14"/>
                <w:color w:val="FFFFFF"/>
              </w:rPr>
              <w:t>(#)</w:t>
            </w:r>
          </w:p>
        </w:tc>
        <w:tc>
          <w:tcPr>
            <w:tcW w:w="4180" w:type="dxa"/>
            <w:vAlign w:val="bottom"/>
            <w:tcBorders>
              <w:right w:val="single" w:sz="8" w:color="134A9C"/>
            </w:tcBorders>
            <w:gridSpan w:val="2"/>
            <w:shd w:val="clear" w:color="auto" w:fill="134A9C"/>
          </w:tcPr>
          <w:p>
            <w:pPr>
              <w:jc w:val="right"/>
              <w:ind w:right="1668"/>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10"/>
        </w:trPr>
        <w:tc>
          <w:tcPr>
            <w:tcW w:w="41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Mary T. Barra</w:t>
            </w:r>
          </w:p>
        </w:tc>
        <w:tc>
          <w:tcPr>
            <w:tcW w:w="3120" w:type="dxa"/>
            <w:vAlign w:val="bottom"/>
            <w:tcBorders>
              <w:bottom w:val="single" w:sz="8" w:color="134A9C"/>
            </w:tcBorders>
          </w:tcPr>
          <w:p>
            <w:pPr>
              <w:jc w:val="right"/>
              <w:ind w:right="448"/>
              <w:spacing w:after="0"/>
              <w:rPr>
                <w:sz w:val="20"/>
                <w:szCs w:val="20"/>
                <w:color w:val="auto"/>
              </w:rPr>
            </w:pPr>
            <w:r>
              <w:rPr>
                <w:rFonts w:ascii="Arial" w:cs="Arial" w:eastAsia="Arial" w:hAnsi="Arial"/>
                <w:sz w:val="14"/>
                <w:szCs w:val="14"/>
                <w:color w:val="auto"/>
              </w:rPr>
              <w:t>26,687</w:t>
            </w:r>
          </w:p>
        </w:tc>
        <w:tc>
          <w:tcPr>
            <w:tcW w:w="540" w:type="dxa"/>
            <w:vAlign w:val="bottom"/>
            <w:tcBorders>
              <w:bottom w:val="single" w:sz="8" w:color="134A9C"/>
              <w:right w:val="single" w:sz="8" w:color="134A9C"/>
            </w:tcBorders>
          </w:tcPr>
          <w:p>
            <w:pPr>
              <w:spacing w:after="0"/>
              <w:rPr>
                <w:sz w:val="18"/>
                <w:szCs w:val="18"/>
                <w:color w:val="auto"/>
              </w:rPr>
            </w:pPr>
          </w:p>
        </w:tc>
        <w:tc>
          <w:tcPr>
            <w:tcW w:w="3640" w:type="dxa"/>
            <w:vAlign w:val="bottom"/>
            <w:tcBorders>
              <w:bottom w:val="single" w:sz="8" w:color="134A9C"/>
              <w:right w:val="single" w:sz="8" w:color="134A9C"/>
            </w:tcBorders>
          </w:tcPr>
          <w:p>
            <w:pPr>
              <w:jc w:val="right"/>
              <w:ind w:right="968"/>
              <w:spacing w:after="0"/>
              <w:rPr>
                <w:sz w:val="20"/>
                <w:szCs w:val="20"/>
                <w:color w:val="auto"/>
              </w:rPr>
            </w:pPr>
            <w:r>
              <w:rPr>
                <w:rFonts w:ascii="Arial" w:cs="Arial" w:eastAsia="Arial" w:hAnsi="Arial"/>
                <w:sz w:val="14"/>
                <w:szCs w:val="14"/>
                <w:color w:val="auto"/>
              </w:rPr>
              <w:t>909,760</w:t>
            </w:r>
          </w:p>
        </w:tc>
        <w:tc>
          <w:tcPr>
            <w:tcW w:w="0" w:type="dxa"/>
            <w:vAlign w:val="bottom"/>
          </w:tcPr>
          <w:p>
            <w:pPr>
              <w:spacing w:after="0"/>
              <w:rPr>
                <w:sz w:val="1"/>
                <w:szCs w:val="1"/>
                <w:color w:val="auto"/>
              </w:rPr>
            </w:pPr>
          </w:p>
        </w:tc>
      </w:tr>
      <w:tr>
        <w:trPr>
          <w:trHeight w:val="210"/>
        </w:trPr>
        <w:tc>
          <w:tcPr>
            <w:tcW w:w="41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Charles K. Stevens, III</w:t>
            </w:r>
          </w:p>
        </w:tc>
        <w:tc>
          <w:tcPr>
            <w:tcW w:w="3120" w:type="dxa"/>
            <w:vAlign w:val="bottom"/>
            <w:tcBorders>
              <w:bottom w:val="single" w:sz="8" w:color="134A9C"/>
            </w:tcBorders>
          </w:tcPr>
          <w:p>
            <w:pPr>
              <w:jc w:val="right"/>
              <w:ind w:right="448"/>
              <w:spacing w:after="0"/>
              <w:rPr>
                <w:sz w:val="20"/>
                <w:szCs w:val="20"/>
                <w:color w:val="auto"/>
              </w:rPr>
            </w:pPr>
            <w:r>
              <w:rPr>
                <w:rFonts w:ascii="Arial" w:cs="Arial" w:eastAsia="Arial" w:hAnsi="Arial"/>
                <w:sz w:val="14"/>
                <w:szCs w:val="14"/>
                <w:color w:val="auto"/>
              </w:rPr>
              <w:t>18,831</w:t>
            </w:r>
          </w:p>
        </w:tc>
        <w:tc>
          <w:tcPr>
            <w:tcW w:w="540" w:type="dxa"/>
            <w:vAlign w:val="bottom"/>
            <w:tcBorders>
              <w:bottom w:val="single" w:sz="8" w:color="134A9C"/>
              <w:right w:val="single" w:sz="8" w:color="134A9C"/>
            </w:tcBorders>
          </w:tcPr>
          <w:p>
            <w:pPr>
              <w:spacing w:after="0"/>
              <w:rPr>
                <w:sz w:val="18"/>
                <w:szCs w:val="18"/>
                <w:color w:val="auto"/>
              </w:rPr>
            </w:pPr>
          </w:p>
        </w:tc>
        <w:tc>
          <w:tcPr>
            <w:tcW w:w="3640" w:type="dxa"/>
            <w:vAlign w:val="bottom"/>
            <w:tcBorders>
              <w:bottom w:val="single" w:sz="8" w:color="134A9C"/>
              <w:right w:val="single" w:sz="8" w:color="134A9C"/>
            </w:tcBorders>
          </w:tcPr>
          <w:p>
            <w:pPr>
              <w:jc w:val="right"/>
              <w:ind w:right="968"/>
              <w:spacing w:after="0"/>
              <w:rPr>
                <w:sz w:val="20"/>
                <w:szCs w:val="20"/>
                <w:color w:val="auto"/>
              </w:rPr>
            </w:pPr>
            <w:r>
              <w:rPr>
                <w:rFonts w:ascii="Arial" w:cs="Arial" w:eastAsia="Arial" w:hAnsi="Arial"/>
                <w:sz w:val="14"/>
                <w:szCs w:val="14"/>
                <w:color w:val="auto"/>
              </w:rPr>
              <w:t>653,757</w:t>
            </w:r>
          </w:p>
        </w:tc>
        <w:tc>
          <w:tcPr>
            <w:tcW w:w="0" w:type="dxa"/>
            <w:vAlign w:val="bottom"/>
          </w:tcPr>
          <w:p>
            <w:pPr>
              <w:spacing w:after="0"/>
              <w:rPr>
                <w:sz w:val="1"/>
                <w:szCs w:val="1"/>
                <w:color w:val="auto"/>
              </w:rPr>
            </w:pPr>
          </w:p>
        </w:tc>
      </w:tr>
      <w:tr>
        <w:trPr>
          <w:trHeight w:val="210"/>
        </w:trPr>
        <w:tc>
          <w:tcPr>
            <w:tcW w:w="41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Ammann</w:t>
            </w:r>
          </w:p>
        </w:tc>
        <w:tc>
          <w:tcPr>
            <w:tcW w:w="3120" w:type="dxa"/>
            <w:vAlign w:val="bottom"/>
            <w:tcBorders>
              <w:bottom w:val="single" w:sz="8" w:color="134A9C"/>
            </w:tcBorders>
          </w:tcPr>
          <w:p>
            <w:pPr>
              <w:jc w:val="right"/>
              <w:ind w:right="448"/>
              <w:spacing w:after="0"/>
              <w:rPr>
                <w:sz w:val="20"/>
                <w:szCs w:val="20"/>
                <w:color w:val="auto"/>
              </w:rPr>
            </w:pPr>
            <w:r>
              <w:rPr>
                <w:rFonts w:ascii="Arial" w:cs="Arial" w:eastAsia="Arial" w:hAnsi="Arial"/>
                <w:sz w:val="14"/>
                <w:szCs w:val="14"/>
                <w:color w:val="auto"/>
              </w:rPr>
              <w:t>26,687</w:t>
            </w:r>
          </w:p>
        </w:tc>
        <w:tc>
          <w:tcPr>
            <w:tcW w:w="540" w:type="dxa"/>
            <w:vAlign w:val="bottom"/>
            <w:tcBorders>
              <w:bottom w:val="single" w:sz="8" w:color="134A9C"/>
              <w:right w:val="single" w:sz="8" w:color="134A9C"/>
            </w:tcBorders>
          </w:tcPr>
          <w:p>
            <w:pPr>
              <w:spacing w:after="0"/>
              <w:rPr>
                <w:sz w:val="18"/>
                <w:szCs w:val="18"/>
                <w:color w:val="auto"/>
              </w:rPr>
            </w:pPr>
          </w:p>
        </w:tc>
        <w:tc>
          <w:tcPr>
            <w:tcW w:w="3640" w:type="dxa"/>
            <w:vAlign w:val="bottom"/>
            <w:tcBorders>
              <w:bottom w:val="single" w:sz="8" w:color="134A9C"/>
              <w:right w:val="single" w:sz="8" w:color="134A9C"/>
            </w:tcBorders>
          </w:tcPr>
          <w:p>
            <w:pPr>
              <w:jc w:val="right"/>
              <w:ind w:right="968"/>
              <w:spacing w:after="0"/>
              <w:rPr>
                <w:sz w:val="20"/>
                <w:szCs w:val="20"/>
                <w:color w:val="auto"/>
              </w:rPr>
            </w:pPr>
            <w:r>
              <w:rPr>
                <w:rFonts w:ascii="Arial" w:cs="Arial" w:eastAsia="Arial" w:hAnsi="Arial"/>
                <w:sz w:val="14"/>
                <w:szCs w:val="14"/>
                <w:color w:val="auto"/>
              </w:rPr>
              <w:t>909,760</w:t>
            </w:r>
          </w:p>
        </w:tc>
        <w:tc>
          <w:tcPr>
            <w:tcW w:w="0" w:type="dxa"/>
            <w:vAlign w:val="bottom"/>
          </w:tcPr>
          <w:p>
            <w:pPr>
              <w:spacing w:after="0"/>
              <w:rPr>
                <w:sz w:val="1"/>
                <w:szCs w:val="1"/>
                <w:color w:val="auto"/>
              </w:rPr>
            </w:pPr>
          </w:p>
        </w:tc>
      </w:tr>
      <w:tr>
        <w:trPr>
          <w:trHeight w:val="210"/>
        </w:trPr>
        <w:tc>
          <w:tcPr>
            <w:tcW w:w="41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Mark L. Reuss</w:t>
            </w:r>
          </w:p>
        </w:tc>
        <w:tc>
          <w:tcPr>
            <w:tcW w:w="3120" w:type="dxa"/>
            <w:vAlign w:val="bottom"/>
            <w:tcBorders>
              <w:bottom w:val="single" w:sz="8" w:color="134A9C"/>
            </w:tcBorders>
          </w:tcPr>
          <w:p>
            <w:pPr>
              <w:jc w:val="right"/>
              <w:ind w:right="448"/>
              <w:spacing w:after="0"/>
              <w:rPr>
                <w:sz w:val="20"/>
                <w:szCs w:val="20"/>
                <w:color w:val="auto"/>
              </w:rPr>
            </w:pPr>
            <w:r>
              <w:rPr>
                <w:rFonts w:ascii="Arial" w:cs="Arial" w:eastAsia="Arial" w:hAnsi="Arial"/>
                <w:sz w:val="14"/>
                <w:szCs w:val="14"/>
                <w:color w:val="auto"/>
              </w:rPr>
              <w:t>38,144</w:t>
            </w:r>
          </w:p>
        </w:tc>
        <w:tc>
          <w:tcPr>
            <w:tcW w:w="540" w:type="dxa"/>
            <w:vAlign w:val="bottom"/>
            <w:tcBorders>
              <w:bottom w:val="single" w:sz="8" w:color="134A9C"/>
              <w:right w:val="single" w:sz="8" w:color="134A9C"/>
            </w:tcBorders>
          </w:tcPr>
          <w:p>
            <w:pPr>
              <w:spacing w:after="0"/>
              <w:rPr>
                <w:sz w:val="18"/>
                <w:szCs w:val="18"/>
                <w:color w:val="auto"/>
              </w:rPr>
            </w:pPr>
          </w:p>
        </w:tc>
        <w:tc>
          <w:tcPr>
            <w:tcW w:w="3640" w:type="dxa"/>
            <w:vAlign w:val="bottom"/>
            <w:tcBorders>
              <w:bottom w:val="single" w:sz="8" w:color="134A9C"/>
              <w:right w:val="single" w:sz="8" w:color="134A9C"/>
            </w:tcBorders>
          </w:tcPr>
          <w:p>
            <w:pPr>
              <w:jc w:val="right"/>
              <w:ind w:right="968"/>
              <w:spacing w:after="0"/>
              <w:rPr>
                <w:sz w:val="20"/>
                <w:szCs w:val="20"/>
                <w:color w:val="auto"/>
              </w:rPr>
            </w:pPr>
            <w:r>
              <w:rPr>
                <w:rFonts w:ascii="Arial" w:cs="Arial" w:eastAsia="Arial" w:hAnsi="Arial"/>
                <w:sz w:val="14"/>
                <w:szCs w:val="14"/>
                <w:color w:val="auto"/>
              </w:rPr>
              <w:t>1,313,238</w:t>
            </w:r>
          </w:p>
        </w:tc>
        <w:tc>
          <w:tcPr>
            <w:tcW w:w="0" w:type="dxa"/>
            <w:vAlign w:val="bottom"/>
          </w:tcPr>
          <w:p>
            <w:pPr>
              <w:spacing w:after="0"/>
              <w:rPr>
                <w:sz w:val="1"/>
                <w:szCs w:val="1"/>
                <w:color w:val="auto"/>
              </w:rPr>
            </w:pPr>
          </w:p>
        </w:tc>
      </w:tr>
      <w:tr>
        <w:trPr>
          <w:trHeight w:val="210"/>
        </w:trPr>
        <w:tc>
          <w:tcPr>
            <w:tcW w:w="41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Michael P. Millikin</w:t>
            </w:r>
          </w:p>
        </w:tc>
        <w:tc>
          <w:tcPr>
            <w:tcW w:w="3120" w:type="dxa"/>
            <w:vAlign w:val="bottom"/>
            <w:tcBorders>
              <w:bottom w:val="single" w:sz="8" w:color="134A9C"/>
            </w:tcBorders>
          </w:tcPr>
          <w:p>
            <w:pPr>
              <w:jc w:val="right"/>
              <w:ind w:right="448"/>
              <w:spacing w:after="0"/>
              <w:rPr>
                <w:sz w:val="20"/>
                <w:szCs w:val="20"/>
                <w:color w:val="auto"/>
              </w:rPr>
            </w:pPr>
            <w:r>
              <w:rPr>
                <w:rFonts w:ascii="Arial" w:cs="Arial" w:eastAsia="Arial" w:hAnsi="Arial"/>
                <w:sz w:val="14"/>
                <w:szCs w:val="14"/>
                <w:color w:val="auto"/>
              </w:rPr>
              <w:t>72,049</w:t>
            </w:r>
          </w:p>
        </w:tc>
        <w:tc>
          <w:tcPr>
            <w:tcW w:w="540" w:type="dxa"/>
            <w:vAlign w:val="bottom"/>
            <w:tcBorders>
              <w:bottom w:val="single" w:sz="8" w:color="134A9C"/>
              <w:right w:val="single" w:sz="8" w:color="134A9C"/>
            </w:tcBorders>
          </w:tcPr>
          <w:p>
            <w:pPr>
              <w:spacing w:after="0"/>
              <w:rPr>
                <w:sz w:val="18"/>
                <w:szCs w:val="18"/>
                <w:color w:val="auto"/>
              </w:rPr>
            </w:pPr>
          </w:p>
        </w:tc>
        <w:tc>
          <w:tcPr>
            <w:tcW w:w="3640" w:type="dxa"/>
            <w:vAlign w:val="bottom"/>
            <w:tcBorders>
              <w:bottom w:val="single" w:sz="8" w:color="134A9C"/>
              <w:right w:val="single" w:sz="8" w:color="134A9C"/>
            </w:tcBorders>
          </w:tcPr>
          <w:p>
            <w:pPr>
              <w:jc w:val="right"/>
              <w:ind w:right="968"/>
              <w:spacing w:after="0"/>
              <w:rPr>
                <w:sz w:val="20"/>
                <w:szCs w:val="20"/>
                <w:color w:val="auto"/>
              </w:rPr>
            </w:pPr>
            <w:r>
              <w:rPr>
                <w:rFonts w:ascii="Arial" w:cs="Arial" w:eastAsia="Arial" w:hAnsi="Arial"/>
                <w:sz w:val="14"/>
                <w:szCs w:val="14"/>
                <w:color w:val="auto"/>
              </w:rPr>
              <w:t>2,515,092</w:t>
            </w:r>
          </w:p>
        </w:tc>
        <w:tc>
          <w:tcPr>
            <w:tcW w:w="0" w:type="dxa"/>
            <w:vAlign w:val="bottom"/>
          </w:tcPr>
          <w:p>
            <w:pPr>
              <w:spacing w:after="0"/>
              <w:rPr>
                <w:sz w:val="1"/>
                <w:szCs w:val="1"/>
                <w:color w:val="auto"/>
              </w:rPr>
            </w:pPr>
          </w:p>
        </w:tc>
      </w:tr>
      <w:tr>
        <w:trPr>
          <w:trHeight w:val="210"/>
        </w:trPr>
        <w:tc>
          <w:tcPr>
            <w:tcW w:w="41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Karl-Thomas Neumann</w:t>
            </w:r>
          </w:p>
        </w:tc>
        <w:tc>
          <w:tcPr>
            <w:tcW w:w="3120" w:type="dxa"/>
            <w:vAlign w:val="bottom"/>
            <w:tcBorders>
              <w:bottom w:val="single" w:sz="8" w:color="134A9C"/>
            </w:tcBorders>
          </w:tcPr>
          <w:p>
            <w:pPr>
              <w:jc w:val="right"/>
              <w:ind w:right="448"/>
              <w:spacing w:after="0"/>
              <w:rPr>
                <w:sz w:val="20"/>
                <w:szCs w:val="20"/>
                <w:color w:val="auto"/>
              </w:rPr>
            </w:pPr>
            <w:r>
              <w:rPr>
                <w:rFonts w:ascii="Arial" w:cs="Arial" w:eastAsia="Arial" w:hAnsi="Arial"/>
                <w:sz w:val="14"/>
                <w:szCs w:val="14"/>
                <w:color w:val="auto"/>
              </w:rPr>
              <w:t>26,911</w:t>
            </w:r>
          </w:p>
        </w:tc>
        <w:tc>
          <w:tcPr>
            <w:tcW w:w="540" w:type="dxa"/>
            <w:vAlign w:val="bottom"/>
            <w:tcBorders>
              <w:bottom w:val="single" w:sz="8" w:color="134A9C"/>
              <w:right w:val="single" w:sz="8" w:color="134A9C"/>
            </w:tcBorders>
          </w:tcPr>
          <w:p>
            <w:pPr>
              <w:spacing w:after="0"/>
              <w:rPr>
                <w:sz w:val="18"/>
                <w:szCs w:val="18"/>
                <w:color w:val="auto"/>
              </w:rPr>
            </w:pPr>
          </w:p>
        </w:tc>
        <w:tc>
          <w:tcPr>
            <w:tcW w:w="3640" w:type="dxa"/>
            <w:vAlign w:val="bottom"/>
            <w:tcBorders>
              <w:bottom w:val="single" w:sz="8" w:color="134A9C"/>
              <w:right w:val="single" w:sz="8" w:color="134A9C"/>
            </w:tcBorders>
          </w:tcPr>
          <w:p>
            <w:pPr>
              <w:jc w:val="right"/>
              <w:ind w:right="968"/>
              <w:spacing w:after="0"/>
              <w:rPr>
                <w:sz w:val="20"/>
                <w:szCs w:val="20"/>
                <w:color w:val="auto"/>
              </w:rPr>
            </w:pPr>
            <w:r>
              <w:rPr>
                <w:rFonts w:ascii="Arial" w:cs="Arial" w:eastAsia="Arial" w:hAnsi="Arial"/>
                <w:sz w:val="14"/>
                <w:szCs w:val="14"/>
                <w:color w:val="auto"/>
              </w:rPr>
              <w:t>974,178</w:t>
            </w:r>
          </w:p>
        </w:tc>
        <w:tc>
          <w:tcPr>
            <w:tcW w:w="0" w:type="dxa"/>
            <w:vAlign w:val="bottom"/>
          </w:tcPr>
          <w:p>
            <w:pPr>
              <w:spacing w:after="0"/>
              <w:rPr>
                <w:sz w:val="1"/>
                <w:szCs w:val="1"/>
                <w:color w:val="auto"/>
              </w:rPr>
            </w:pPr>
          </w:p>
        </w:tc>
      </w:tr>
      <w:tr>
        <w:trPr>
          <w:trHeight w:val="210"/>
        </w:trPr>
        <w:tc>
          <w:tcPr>
            <w:tcW w:w="41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F. Akerson</w:t>
            </w:r>
          </w:p>
        </w:tc>
        <w:tc>
          <w:tcPr>
            <w:tcW w:w="3120" w:type="dxa"/>
            <w:vAlign w:val="bottom"/>
            <w:tcBorders>
              <w:bottom w:val="single" w:sz="8" w:color="134A9C"/>
            </w:tcBorders>
          </w:tcPr>
          <w:p>
            <w:pPr>
              <w:jc w:val="right"/>
              <w:ind w:right="448"/>
              <w:spacing w:after="0"/>
              <w:rPr>
                <w:sz w:val="20"/>
                <w:szCs w:val="20"/>
                <w:color w:val="auto"/>
              </w:rPr>
            </w:pPr>
            <w:r>
              <w:rPr>
                <w:rFonts w:ascii="Arial" w:cs="Arial" w:eastAsia="Arial" w:hAnsi="Arial"/>
                <w:sz w:val="14"/>
                <w:szCs w:val="14"/>
                <w:color w:val="auto"/>
              </w:rPr>
              <w:t>51,983</w:t>
            </w:r>
          </w:p>
        </w:tc>
        <w:tc>
          <w:tcPr>
            <w:tcW w:w="540" w:type="dxa"/>
            <w:vAlign w:val="bottom"/>
            <w:tcBorders>
              <w:bottom w:val="single" w:sz="8" w:color="134A9C"/>
              <w:right w:val="single" w:sz="8" w:color="134A9C"/>
            </w:tcBorders>
          </w:tcPr>
          <w:p>
            <w:pPr>
              <w:spacing w:after="0"/>
              <w:rPr>
                <w:sz w:val="18"/>
                <w:szCs w:val="18"/>
                <w:color w:val="auto"/>
              </w:rPr>
            </w:pPr>
          </w:p>
        </w:tc>
        <w:tc>
          <w:tcPr>
            <w:tcW w:w="3640" w:type="dxa"/>
            <w:vAlign w:val="bottom"/>
            <w:tcBorders>
              <w:bottom w:val="single" w:sz="8" w:color="134A9C"/>
              <w:right w:val="single" w:sz="8" w:color="134A9C"/>
            </w:tcBorders>
          </w:tcPr>
          <w:p>
            <w:pPr>
              <w:jc w:val="right"/>
              <w:ind w:right="968"/>
              <w:spacing w:after="0"/>
              <w:rPr>
                <w:sz w:val="20"/>
                <w:szCs w:val="20"/>
                <w:color w:val="auto"/>
              </w:rPr>
            </w:pPr>
            <w:r>
              <w:rPr>
                <w:rFonts w:ascii="Arial" w:cs="Arial" w:eastAsia="Arial" w:hAnsi="Arial"/>
                <w:sz w:val="14"/>
                <w:szCs w:val="14"/>
                <w:color w:val="auto"/>
              </w:rPr>
              <w:t>1,783,325</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We do not currently have stock options.</w:t>
      </w:r>
    </w:p>
    <w:p>
      <w:pPr>
        <w:spacing w:after="0" w:line="1" w:lineRule="exact"/>
        <w:rPr>
          <w:rFonts w:ascii="Arial" w:cs="Arial" w:eastAsia="Arial" w:hAnsi="Arial"/>
          <w:sz w:val="14"/>
          <w:szCs w:val="14"/>
          <w:color w:val="auto"/>
        </w:rPr>
      </w:pPr>
    </w:p>
    <w:p>
      <w:pPr>
        <w:ind w:left="340" w:right="200" w:hanging="332"/>
        <w:spacing w:after="0" w:line="258"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We computed the aggregate dollar value realized on vesting by multiplying the number of shares of stock vested by the closing price of Common Stock on the NYSE on the vesting date.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Pension Benefits and Retirement Programs Applicable to Executive Officers</w:t>
      </w:r>
    </w:p>
    <w:p>
      <w:pPr>
        <w:spacing w:after="0" w:line="14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Pension benefits for most of our U.S. executives may be from both tax-qualified plans that are subject to the requirements of the Employee Retirement Income Security Act (“ERISA”) and from a non-qualified plan that provides supplemental benefits. We assumed both types of plans from General Motors Corporation. Tax-qualified benefits are pre-funded and paid out of either the trust assets of the General Motors Salaried Retirement Program (the “SRP”), the General Motors Retirement Savings Plan for Salaried Employees in the United States (the “RSP”), or both. Non-qualified benefits under the General Motors Executive Retirement Plan (the “ERP”) are not pre-funded and are paid out of our general assets. The ERP provides benefits under both Defined Contribution (“DC”) and Defined Benefit (“DB”) formulas. Benefit accruals and Company contributions under the ERP were suspended for NEOs and certain most highly compensated employees pursuant to TARP regulations, and they were reinstated effective December 16, 2013.</w:t>
      </w:r>
    </w:p>
    <w:p>
      <w:pPr>
        <w:spacing w:after="0" w:line="11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U.S. executive employees must be at least age 55 with a minimum of ten years of eligibility service to be vested in benefits accrued prior to October 1, 2012 in the ERP. Benefits accrued in the ERP on and after October 1, 2012 are subject to three-year vesting.</w:t>
      </w:r>
    </w:p>
    <w:p>
      <w:pPr>
        <w:spacing w:after="0" w:line="10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For service rendered January 1, 2007 through September 30, 2012, non-qualified retirement benefits for executive employees were determined under one of two methods (a DC formula or a DB formula), depending on an executive’s length of service date. For executives with a length of service date prior to January 1, 2001, a total benefit accrued (SRP plus DB ERP) equal to 1.25 percent of monthly base salary and annual</w:t>
      </w:r>
    </w:p>
    <w:p>
      <w:pPr>
        <w:spacing w:after="0" w:line="392"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56</w:t>
      </w:r>
      <w:r>
        <w:rPr>
          <w:sz w:val="20"/>
          <w:szCs w:val="20"/>
          <w:color w:val="auto"/>
        </w:rPr>
        <w:tab/>
      </w:r>
      <w:r>
        <w:rPr>
          <w:sz w:val="1"/>
          <w:szCs w:val="1"/>
          <w:color w:val="auto"/>
        </w:rPr>
        <w:drawing>
          <wp:inline distT="0" distB="0" distL="0" distR="0">
            <wp:extent cx="120015" cy="12001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sectPr>
      </w:pPr>
    </w:p>
    <w:bookmarkStart w:id="60" w:name="page61"/>
    <w:bookmarkEnd w:id="60"/>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incentive awards under the 2009 General Motors Company Short-Term Incentive Plan (the "2009 STIP") and predecessor plans. For executives with a length of service date on or after January 1, 2001, total contributions (RSP plus DC ERP) accrued equal to four percent of monthly base salary and annual incentive awards. For both formulae, benefits calculated on base salary and annual incentive awards below the applicable IRS limits accrued in the appropriate qualified plan (SRP or RSP) according to length of service date. For both formulae, benefits calculated on base salary and annual incentive awards above the applicable IRS limits accrued in the ERP.</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September 30, 2012, pension accruals under the 1.25 percent SRP and DB ERP formulas described above were frozen, and qualified and non-qualified retirement benefits have been replaced for future service, effective October 1, 2012, with a defined contribution formula (four percent or six percent of monthly base salary and annual incentive awards depending on an employee’s length of service date) subject to the IRS limits noted above for tax-qualified plans.</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Upon retirement, executives will have all vested non-qualified retirement benefits accrued prior to October 1, 2012, paid as a five-year annuity. Any non-qualified benefits accrued and vested on or after October 1, 2012 will be paid as a lump sum upon retirement. The interest rate used in determining the non-qualified five-year annuity retirement benefits referenced above is the average of the 30-year U.S. Treasury Securities Rate for the month of July and is determined annually. This annual interest rate is then effective for retirements commencing October 1 through September 30 of the succeeding year. In the event of death, an executive’s surviving spouse may be eligible for benefits under the ERP.</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Adam Opel AG in Germany offers a cash balance pension plan. Participants hired after 2006 accrue “pension elements” each year. The pension element equals a “pay credit” multiplied by an “age factor.” The pay credit is 1.75 percent times annual income for the year, plus 10.5 percent times the portion of the annual income in excess of the social security threshold for the year. The age factor is designed to accumulate the pay credit with interest to age 60 and ranges from 4.0 for the youngest employees to 1.0 for the oldest. Between age 60 and retirement, in addition to pension elements continuing to accrue, the accumulated pension elements are increased at the minimum guaranteed rate of interest application for German life insurance contracts, currently 1.75 percent. The normal retirement benefit age is 63. Upon termination, the vested benefit is based on the accrued balance, but participants must wait until normal retirement benefit age before commencing benefits. Full vesting is provided after five years of service and 25 years of age. The normal form of payment is 12 annual installments. Payments in six installments, a lump sum, or a lifelong annuity are available, but subject to Company consent.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Pension Benefits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3380" w:type="dxa"/>
            <w:vAlign w:val="bottom"/>
            <w:tcBorders>
              <w:left w:val="single" w:sz="8" w:color="134A9C"/>
              <w:right w:val="single" w:sz="8" w:color="134A9C"/>
            </w:tcBorders>
            <w:shd w:val="clear" w:color="auto" w:fill="134A9C"/>
          </w:tcPr>
          <w:p>
            <w:pPr>
              <w:spacing w:after="0"/>
              <w:rPr>
                <w:sz w:val="17"/>
                <w:szCs w:val="17"/>
                <w:color w:val="auto"/>
              </w:rPr>
            </w:pPr>
          </w:p>
        </w:tc>
        <w:tc>
          <w:tcPr>
            <w:tcW w:w="1020" w:type="dxa"/>
            <w:vAlign w:val="bottom"/>
            <w:tcBorders>
              <w:right w:val="single" w:sz="8" w:color="134A9C"/>
            </w:tcBorders>
            <w:shd w:val="clear" w:color="auto" w:fill="134A9C"/>
          </w:tcPr>
          <w:p>
            <w:pPr>
              <w:spacing w:after="0"/>
              <w:rPr>
                <w:sz w:val="17"/>
                <w:szCs w:val="17"/>
                <w:color w:val="auto"/>
              </w:rPr>
            </w:pPr>
          </w:p>
        </w:tc>
        <w:tc>
          <w:tcPr>
            <w:tcW w:w="22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Number of Years of Eligible</w:t>
            </w:r>
          </w:p>
        </w:tc>
        <w:tc>
          <w:tcPr>
            <w:tcW w:w="266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Present Value of Accumulated</w:t>
            </w:r>
          </w:p>
        </w:tc>
        <w:tc>
          <w:tcPr>
            <w:tcW w:w="188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Payments During</w:t>
            </w:r>
          </w:p>
        </w:tc>
      </w:tr>
      <w:tr>
        <w:trPr>
          <w:trHeight w:val="162"/>
        </w:trPr>
        <w:tc>
          <w:tcPr>
            <w:tcW w:w="3380" w:type="dxa"/>
            <w:vAlign w:val="bottom"/>
            <w:tcBorders>
              <w:left w:val="single" w:sz="8" w:color="134A9C"/>
              <w:right w:val="single" w:sz="8" w:color="134A9C"/>
            </w:tcBorders>
            <w:shd w:val="clear" w:color="auto" w:fill="134A9C"/>
          </w:tcPr>
          <w:p>
            <w:pPr>
              <w:spacing w:after="0"/>
              <w:rPr>
                <w:sz w:val="14"/>
                <w:szCs w:val="14"/>
                <w:color w:val="auto"/>
              </w:rPr>
            </w:pPr>
          </w:p>
        </w:tc>
        <w:tc>
          <w:tcPr>
            <w:tcW w:w="1020" w:type="dxa"/>
            <w:vAlign w:val="bottom"/>
            <w:tcBorders>
              <w:right w:val="single" w:sz="8" w:color="134A9C"/>
            </w:tcBorders>
            <w:shd w:val="clear" w:color="auto" w:fill="134A9C"/>
          </w:tcPr>
          <w:p>
            <w:pPr>
              <w:spacing w:after="0"/>
              <w:rPr>
                <w:sz w:val="14"/>
                <w:szCs w:val="14"/>
                <w:color w:val="auto"/>
              </w:rPr>
            </w:pPr>
          </w:p>
        </w:tc>
        <w:tc>
          <w:tcPr>
            <w:tcW w:w="224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Credited Service as of</w:t>
            </w:r>
          </w:p>
        </w:tc>
        <w:tc>
          <w:tcPr>
            <w:tcW w:w="2660" w:type="dxa"/>
            <w:vAlign w:val="bottom"/>
            <w:tcBorders>
              <w:right w:val="single" w:sz="8" w:color="134A9C"/>
            </w:tcBorders>
            <w:shd w:val="clear" w:color="auto" w:fill="134A9C"/>
          </w:tcPr>
          <w:p>
            <w:pPr>
              <w:jc w:val="center"/>
              <w:spacing w:after="0" w:line="162" w:lineRule="exact"/>
              <w:rPr>
                <w:sz w:val="20"/>
                <w:szCs w:val="20"/>
                <w:color w:val="auto"/>
              </w:rPr>
            </w:pPr>
            <w:r>
              <w:rPr>
                <w:rFonts w:ascii="Arial" w:cs="Arial" w:eastAsia="Arial" w:hAnsi="Arial"/>
                <w:sz w:val="14"/>
                <w:szCs w:val="14"/>
                <w:color w:val="FFFFFF"/>
                <w:w w:val="94"/>
              </w:rPr>
              <w:t>Benefits</w:t>
            </w:r>
            <w:r>
              <w:rPr>
                <w:rFonts w:ascii="Arial" w:cs="Arial" w:eastAsia="Arial" w:hAnsi="Arial"/>
                <w:sz w:val="17"/>
                <w:szCs w:val="17"/>
                <w:color w:val="FFFFFF"/>
                <w:w w:val="94"/>
                <w:vertAlign w:val="superscript"/>
              </w:rPr>
              <w:t>(2)(3)</w:t>
            </w:r>
          </w:p>
        </w:tc>
        <w:tc>
          <w:tcPr>
            <w:tcW w:w="188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Last Fiscal Year</w:t>
            </w:r>
          </w:p>
        </w:tc>
      </w:tr>
      <w:tr>
        <w:trPr>
          <w:trHeight w:val="189"/>
        </w:trPr>
        <w:tc>
          <w:tcPr>
            <w:tcW w:w="3380" w:type="dxa"/>
            <w:vAlign w:val="bottom"/>
            <w:tcBorders>
              <w:left w:val="single" w:sz="8" w:color="134A9C"/>
              <w:right w:val="single" w:sz="8" w:color="134A9C"/>
            </w:tcBorders>
            <w:shd w:val="clear" w:color="auto" w:fill="134A9C"/>
          </w:tcPr>
          <w:p>
            <w:pPr>
              <w:ind w:left="1500"/>
              <w:spacing w:after="0"/>
              <w:rPr>
                <w:sz w:val="20"/>
                <w:szCs w:val="20"/>
                <w:color w:val="auto"/>
              </w:rPr>
            </w:pPr>
            <w:r>
              <w:rPr>
                <w:rFonts w:ascii="Arial" w:cs="Arial" w:eastAsia="Arial" w:hAnsi="Arial"/>
                <w:sz w:val="14"/>
                <w:szCs w:val="14"/>
                <w:color w:val="FFFFFF"/>
              </w:rPr>
              <w:t>Name</w:t>
            </w:r>
          </w:p>
        </w:tc>
        <w:tc>
          <w:tcPr>
            <w:tcW w:w="102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Plan Name</w:t>
            </w:r>
          </w:p>
        </w:tc>
        <w:tc>
          <w:tcPr>
            <w:tcW w:w="2240" w:type="dxa"/>
            <w:vAlign w:val="bottom"/>
            <w:tcBorders>
              <w:right w:val="single" w:sz="8" w:color="134A9C"/>
            </w:tcBorders>
            <w:shd w:val="clear" w:color="auto" w:fill="134A9C"/>
          </w:tcPr>
          <w:p>
            <w:pPr>
              <w:jc w:val="center"/>
              <w:spacing w:after="0" w:line="189" w:lineRule="exact"/>
              <w:rPr>
                <w:sz w:val="20"/>
                <w:szCs w:val="20"/>
                <w:color w:val="auto"/>
              </w:rPr>
            </w:pPr>
            <w:r>
              <w:rPr>
                <w:rFonts w:ascii="Arial" w:cs="Arial" w:eastAsia="Arial" w:hAnsi="Arial"/>
                <w:sz w:val="14"/>
                <w:szCs w:val="14"/>
                <w:color w:val="FFFFFF"/>
                <w:w w:val="99"/>
              </w:rPr>
              <w:t>December 31, 2014</w:t>
            </w:r>
            <w:r>
              <w:rPr>
                <w:rFonts w:ascii="Arial" w:cs="Arial" w:eastAsia="Arial" w:hAnsi="Arial"/>
                <w:sz w:val="17"/>
                <w:szCs w:val="17"/>
                <w:color w:val="FFFFFF"/>
                <w:w w:val="99"/>
                <w:vertAlign w:val="superscript"/>
              </w:rPr>
              <w:t>(1)</w:t>
            </w:r>
          </w:p>
        </w:tc>
        <w:tc>
          <w:tcPr>
            <w:tcW w:w="266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w:t>
            </w:r>
          </w:p>
        </w:tc>
        <w:tc>
          <w:tcPr>
            <w:tcW w:w="188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w:t>
            </w:r>
          </w:p>
        </w:tc>
      </w:tr>
      <w:tr>
        <w:trPr>
          <w:trHeight w:val="204"/>
        </w:trPr>
        <w:tc>
          <w:tcPr>
            <w:tcW w:w="33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Mary T. Barra</w:t>
            </w:r>
          </w:p>
        </w:tc>
        <w:tc>
          <w:tcPr>
            <w:tcW w:w="102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SRP</w:t>
            </w:r>
          </w:p>
        </w:tc>
        <w:tc>
          <w:tcPr>
            <w:tcW w:w="2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32.3</w:t>
            </w:r>
          </w:p>
        </w:tc>
        <w:tc>
          <w:tcPr>
            <w:tcW w:w="266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952,919</w:t>
            </w:r>
          </w:p>
        </w:tc>
        <w:tc>
          <w:tcPr>
            <w:tcW w:w="1880" w:type="dxa"/>
            <w:vAlign w:val="bottom"/>
            <w:tcBorders>
              <w:right w:val="single" w:sz="8" w:color="134A9C"/>
            </w:tcBorders>
          </w:tcPr>
          <w:p>
            <w:pPr>
              <w:ind w:left="1620"/>
              <w:spacing w:after="0"/>
              <w:rPr>
                <w:sz w:val="20"/>
                <w:szCs w:val="20"/>
                <w:color w:val="auto"/>
              </w:rPr>
            </w:pPr>
            <w:r>
              <w:rPr>
                <w:rFonts w:ascii="Arial" w:cs="Arial" w:eastAsia="Arial" w:hAnsi="Arial"/>
                <w:sz w:val="14"/>
                <w:szCs w:val="14"/>
                <w:color w:val="auto"/>
              </w:rPr>
              <w:t>—</w:t>
            </w:r>
          </w:p>
        </w:tc>
      </w:tr>
      <w:tr>
        <w:trPr>
          <w:trHeight w:val="222"/>
        </w:trPr>
        <w:tc>
          <w:tcPr>
            <w:tcW w:w="3380" w:type="dxa"/>
            <w:vAlign w:val="bottom"/>
            <w:tcBorders>
              <w:left w:val="single" w:sz="8" w:color="134A9C"/>
              <w:bottom w:val="single" w:sz="8" w:color="134A9C"/>
              <w:right w:val="single" w:sz="8" w:color="134A9C"/>
            </w:tcBorders>
          </w:tcPr>
          <w:p>
            <w:pPr>
              <w:spacing w:after="0"/>
              <w:rPr>
                <w:sz w:val="19"/>
                <w:szCs w:val="19"/>
                <w:color w:val="auto"/>
              </w:rPr>
            </w:pPr>
          </w:p>
        </w:tc>
        <w:tc>
          <w:tcPr>
            <w:tcW w:w="102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ERP</w:t>
            </w:r>
          </w:p>
        </w:tc>
        <w:tc>
          <w:tcPr>
            <w:tcW w:w="2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32.3</w:t>
            </w:r>
          </w:p>
        </w:tc>
        <w:tc>
          <w:tcPr>
            <w:tcW w:w="26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860,014</w:t>
            </w:r>
          </w:p>
        </w:tc>
        <w:tc>
          <w:tcPr>
            <w:tcW w:w="1880" w:type="dxa"/>
            <w:vAlign w:val="bottom"/>
            <w:tcBorders>
              <w:bottom w:val="single" w:sz="8" w:color="134A9C"/>
              <w:right w:val="single" w:sz="8" w:color="134A9C"/>
            </w:tcBorders>
          </w:tcPr>
          <w:p>
            <w:pPr>
              <w:ind w:left="1620"/>
              <w:spacing w:after="0"/>
              <w:rPr>
                <w:sz w:val="20"/>
                <w:szCs w:val="20"/>
                <w:color w:val="auto"/>
              </w:rPr>
            </w:pPr>
            <w:r>
              <w:rPr>
                <w:rFonts w:ascii="Arial" w:cs="Arial" w:eastAsia="Arial" w:hAnsi="Arial"/>
                <w:sz w:val="14"/>
                <w:szCs w:val="14"/>
                <w:color w:val="auto"/>
              </w:rPr>
              <w:t>—</w:t>
            </w:r>
          </w:p>
        </w:tc>
      </w:tr>
      <w:tr>
        <w:trPr>
          <w:trHeight w:val="204"/>
        </w:trPr>
        <w:tc>
          <w:tcPr>
            <w:tcW w:w="33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Charles K. Stevens, III</w:t>
            </w:r>
          </w:p>
        </w:tc>
        <w:tc>
          <w:tcPr>
            <w:tcW w:w="102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SRP</w:t>
            </w:r>
          </w:p>
        </w:tc>
        <w:tc>
          <w:tcPr>
            <w:tcW w:w="2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35.5</w:t>
            </w:r>
          </w:p>
        </w:tc>
        <w:tc>
          <w:tcPr>
            <w:tcW w:w="266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1,043,721</w:t>
            </w:r>
          </w:p>
        </w:tc>
        <w:tc>
          <w:tcPr>
            <w:tcW w:w="1880" w:type="dxa"/>
            <w:vAlign w:val="bottom"/>
            <w:tcBorders>
              <w:right w:val="single" w:sz="8" w:color="134A9C"/>
            </w:tcBorders>
          </w:tcPr>
          <w:p>
            <w:pPr>
              <w:ind w:left="1620"/>
              <w:spacing w:after="0"/>
              <w:rPr>
                <w:sz w:val="20"/>
                <w:szCs w:val="20"/>
                <w:color w:val="auto"/>
              </w:rPr>
            </w:pPr>
            <w:r>
              <w:rPr>
                <w:rFonts w:ascii="Arial" w:cs="Arial" w:eastAsia="Arial" w:hAnsi="Arial"/>
                <w:sz w:val="14"/>
                <w:szCs w:val="14"/>
                <w:color w:val="auto"/>
              </w:rPr>
              <w:t>—</w:t>
            </w:r>
          </w:p>
        </w:tc>
      </w:tr>
      <w:tr>
        <w:trPr>
          <w:trHeight w:val="222"/>
        </w:trPr>
        <w:tc>
          <w:tcPr>
            <w:tcW w:w="3380" w:type="dxa"/>
            <w:vAlign w:val="bottom"/>
            <w:tcBorders>
              <w:left w:val="single" w:sz="8" w:color="134A9C"/>
              <w:bottom w:val="single" w:sz="8" w:color="134A9C"/>
              <w:right w:val="single" w:sz="8" w:color="134A9C"/>
            </w:tcBorders>
          </w:tcPr>
          <w:p>
            <w:pPr>
              <w:spacing w:after="0"/>
              <w:rPr>
                <w:sz w:val="19"/>
                <w:szCs w:val="19"/>
                <w:color w:val="auto"/>
              </w:rPr>
            </w:pPr>
          </w:p>
        </w:tc>
        <w:tc>
          <w:tcPr>
            <w:tcW w:w="102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ERP</w:t>
            </w:r>
          </w:p>
        </w:tc>
        <w:tc>
          <w:tcPr>
            <w:tcW w:w="2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35.5</w:t>
            </w:r>
          </w:p>
        </w:tc>
        <w:tc>
          <w:tcPr>
            <w:tcW w:w="26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389,725</w:t>
            </w:r>
          </w:p>
        </w:tc>
        <w:tc>
          <w:tcPr>
            <w:tcW w:w="1880" w:type="dxa"/>
            <w:vAlign w:val="bottom"/>
            <w:tcBorders>
              <w:bottom w:val="single" w:sz="8" w:color="134A9C"/>
              <w:right w:val="single" w:sz="8" w:color="134A9C"/>
            </w:tcBorders>
          </w:tcPr>
          <w:p>
            <w:pPr>
              <w:ind w:left="1620"/>
              <w:spacing w:after="0"/>
              <w:rPr>
                <w:sz w:val="20"/>
                <w:szCs w:val="20"/>
                <w:color w:val="auto"/>
              </w:rPr>
            </w:pPr>
            <w:r>
              <w:rPr>
                <w:rFonts w:ascii="Arial" w:cs="Arial" w:eastAsia="Arial" w:hAnsi="Arial"/>
                <w:sz w:val="14"/>
                <w:szCs w:val="14"/>
                <w:color w:val="auto"/>
              </w:rPr>
              <w:t>—</w:t>
            </w:r>
          </w:p>
        </w:tc>
      </w:tr>
      <w:tr>
        <w:trPr>
          <w:trHeight w:val="378"/>
        </w:trPr>
        <w:tc>
          <w:tcPr>
            <w:tcW w:w="338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Ammann</w:t>
            </w:r>
            <w:r>
              <w:rPr>
                <w:rFonts w:ascii="Arial" w:cs="Arial" w:eastAsia="Arial" w:hAnsi="Arial"/>
                <w:sz w:val="17"/>
                <w:szCs w:val="17"/>
                <w:color w:val="auto"/>
                <w:vertAlign w:val="superscript"/>
              </w:rPr>
              <w:t>(4)</w:t>
            </w:r>
          </w:p>
        </w:tc>
        <w:tc>
          <w:tcPr>
            <w:tcW w:w="1020" w:type="dxa"/>
            <w:vAlign w:val="bottom"/>
            <w:tcBorders>
              <w:bottom w:val="single" w:sz="8" w:color="134A9C"/>
              <w:right w:val="single" w:sz="8" w:color="134A9C"/>
            </w:tcBorders>
          </w:tcPr>
          <w:p>
            <w:pPr>
              <w:spacing w:after="0"/>
              <w:rPr>
                <w:sz w:val="24"/>
                <w:szCs w:val="24"/>
                <w:color w:val="auto"/>
              </w:rPr>
            </w:pPr>
          </w:p>
        </w:tc>
        <w:tc>
          <w:tcPr>
            <w:tcW w:w="2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26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134A9C"/>
              <w:right w:val="single" w:sz="8" w:color="134A9C"/>
            </w:tcBorders>
          </w:tcPr>
          <w:p>
            <w:pPr>
              <w:ind w:left="1620"/>
              <w:spacing w:after="0"/>
              <w:rPr>
                <w:sz w:val="20"/>
                <w:szCs w:val="20"/>
                <w:color w:val="auto"/>
              </w:rPr>
            </w:pPr>
            <w:r>
              <w:rPr>
                <w:rFonts w:ascii="Arial" w:cs="Arial" w:eastAsia="Arial" w:hAnsi="Arial"/>
                <w:sz w:val="14"/>
                <w:szCs w:val="14"/>
                <w:color w:val="auto"/>
              </w:rPr>
              <w:t>—</w:t>
            </w:r>
          </w:p>
        </w:tc>
      </w:tr>
      <w:tr>
        <w:trPr>
          <w:trHeight w:val="198"/>
        </w:trPr>
        <w:tc>
          <w:tcPr>
            <w:tcW w:w="33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Mark L. Reuss</w:t>
            </w:r>
          </w:p>
        </w:tc>
        <w:tc>
          <w:tcPr>
            <w:tcW w:w="102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SRP</w:t>
            </w:r>
          </w:p>
        </w:tc>
        <w:tc>
          <w:tcPr>
            <w:tcW w:w="2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27.8</w:t>
            </w:r>
          </w:p>
        </w:tc>
        <w:tc>
          <w:tcPr>
            <w:tcW w:w="266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771,072</w:t>
            </w:r>
          </w:p>
        </w:tc>
        <w:tc>
          <w:tcPr>
            <w:tcW w:w="1880" w:type="dxa"/>
            <w:vAlign w:val="bottom"/>
            <w:tcBorders>
              <w:right w:val="single" w:sz="8" w:color="134A9C"/>
            </w:tcBorders>
          </w:tcPr>
          <w:p>
            <w:pPr>
              <w:ind w:left="1620"/>
              <w:spacing w:after="0"/>
              <w:rPr>
                <w:sz w:val="20"/>
                <w:szCs w:val="20"/>
                <w:color w:val="auto"/>
              </w:rPr>
            </w:pPr>
            <w:r>
              <w:rPr>
                <w:rFonts w:ascii="Arial" w:cs="Arial" w:eastAsia="Arial" w:hAnsi="Arial"/>
                <w:sz w:val="14"/>
                <w:szCs w:val="14"/>
                <w:color w:val="auto"/>
              </w:rPr>
              <w:t>—</w:t>
            </w:r>
          </w:p>
        </w:tc>
      </w:tr>
      <w:tr>
        <w:trPr>
          <w:trHeight w:val="222"/>
        </w:trPr>
        <w:tc>
          <w:tcPr>
            <w:tcW w:w="3380" w:type="dxa"/>
            <w:vAlign w:val="bottom"/>
            <w:tcBorders>
              <w:left w:val="single" w:sz="8" w:color="134A9C"/>
              <w:bottom w:val="single" w:sz="8" w:color="134A9C"/>
              <w:right w:val="single" w:sz="8" w:color="134A9C"/>
            </w:tcBorders>
          </w:tcPr>
          <w:p>
            <w:pPr>
              <w:spacing w:after="0"/>
              <w:rPr>
                <w:sz w:val="19"/>
                <w:szCs w:val="19"/>
                <w:color w:val="auto"/>
              </w:rPr>
            </w:pPr>
          </w:p>
        </w:tc>
        <w:tc>
          <w:tcPr>
            <w:tcW w:w="102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ERP</w:t>
            </w:r>
          </w:p>
        </w:tc>
        <w:tc>
          <w:tcPr>
            <w:tcW w:w="2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27.8</w:t>
            </w:r>
          </w:p>
        </w:tc>
        <w:tc>
          <w:tcPr>
            <w:tcW w:w="26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536,281</w:t>
            </w:r>
          </w:p>
        </w:tc>
        <w:tc>
          <w:tcPr>
            <w:tcW w:w="1880" w:type="dxa"/>
            <w:vAlign w:val="bottom"/>
            <w:tcBorders>
              <w:bottom w:val="single" w:sz="8" w:color="134A9C"/>
              <w:right w:val="single" w:sz="8" w:color="134A9C"/>
            </w:tcBorders>
          </w:tcPr>
          <w:p>
            <w:pPr>
              <w:ind w:left="1620"/>
              <w:spacing w:after="0"/>
              <w:rPr>
                <w:sz w:val="20"/>
                <w:szCs w:val="20"/>
                <w:color w:val="auto"/>
              </w:rPr>
            </w:pPr>
            <w:r>
              <w:rPr>
                <w:rFonts w:ascii="Arial" w:cs="Arial" w:eastAsia="Arial" w:hAnsi="Arial"/>
                <w:sz w:val="14"/>
                <w:szCs w:val="14"/>
                <w:color w:val="auto"/>
              </w:rPr>
              <w:t>—</w:t>
            </w:r>
          </w:p>
        </w:tc>
      </w:tr>
      <w:tr>
        <w:trPr>
          <w:trHeight w:val="204"/>
        </w:trPr>
        <w:tc>
          <w:tcPr>
            <w:tcW w:w="338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Michael P. Millikin</w:t>
            </w:r>
          </w:p>
        </w:tc>
        <w:tc>
          <w:tcPr>
            <w:tcW w:w="102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SRP</w:t>
            </w:r>
          </w:p>
        </w:tc>
        <w:tc>
          <w:tcPr>
            <w:tcW w:w="224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37.5</w:t>
            </w:r>
          </w:p>
        </w:tc>
        <w:tc>
          <w:tcPr>
            <w:tcW w:w="2660" w:type="dxa"/>
            <w:vAlign w:val="bottom"/>
            <w:tcBorders>
              <w:right w:val="single" w:sz="8" w:color="134A9C"/>
            </w:tcBorders>
          </w:tcPr>
          <w:p>
            <w:pPr>
              <w:jc w:val="right"/>
              <w:ind w:right="68"/>
              <w:spacing w:after="0"/>
              <w:rPr>
                <w:sz w:val="20"/>
                <w:szCs w:val="20"/>
                <w:color w:val="auto"/>
              </w:rPr>
            </w:pPr>
            <w:r>
              <w:rPr>
                <w:rFonts w:ascii="Arial" w:cs="Arial" w:eastAsia="Arial" w:hAnsi="Arial"/>
                <w:sz w:val="14"/>
                <w:szCs w:val="14"/>
                <w:color w:val="auto"/>
              </w:rPr>
              <w:t>1,619,084</w:t>
            </w:r>
          </w:p>
        </w:tc>
        <w:tc>
          <w:tcPr>
            <w:tcW w:w="1880" w:type="dxa"/>
            <w:vAlign w:val="bottom"/>
            <w:tcBorders>
              <w:right w:val="single" w:sz="8" w:color="134A9C"/>
            </w:tcBorders>
          </w:tcPr>
          <w:p>
            <w:pPr>
              <w:ind w:left="1620"/>
              <w:spacing w:after="0"/>
              <w:rPr>
                <w:sz w:val="20"/>
                <w:szCs w:val="20"/>
                <w:color w:val="auto"/>
              </w:rPr>
            </w:pPr>
            <w:r>
              <w:rPr>
                <w:rFonts w:ascii="Arial" w:cs="Arial" w:eastAsia="Arial" w:hAnsi="Arial"/>
                <w:sz w:val="14"/>
                <w:szCs w:val="14"/>
                <w:color w:val="auto"/>
              </w:rPr>
              <w:t>—</w:t>
            </w:r>
          </w:p>
        </w:tc>
      </w:tr>
      <w:tr>
        <w:trPr>
          <w:trHeight w:val="222"/>
        </w:trPr>
        <w:tc>
          <w:tcPr>
            <w:tcW w:w="3380" w:type="dxa"/>
            <w:vAlign w:val="bottom"/>
            <w:tcBorders>
              <w:left w:val="single" w:sz="8" w:color="134A9C"/>
              <w:bottom w:val="single" w:sz="8" w:color="134A9C"/>
              <w:right w:val="single" w:sz="8" w:color="134A9C"/>
            </w:tcBorders>
          </w:tcPr>
          <w:p>
            <w:pPr>
              <w:spacing w:after="0"/>
              <w:rPr>
                <w:sz w:val="19"/>
                <w:szCs w:val="19"/>
                <w:color w:val="auto"/>
              </w:rPr>
            </w:pPr>
          </w:p>
        </w:tc>
        <w:tc>
          <w:tcPr>
            <w:tcW w:w="102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ERP</w:t>
            </w:r>
          </w:p>
        </w:tc>
        <w:tc>
          <w:tcPr>
            <w:tcW w:w="2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37.5</w:t>
            </w:r>
          </w:p>
        </w:tc>
        <w:tc>
          <w:tcPr>
            <w:tcW w:w="26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2,124,904</w:t>
            </w:r>
          </w:p>
        </w:tc>
        <w:tc>
          <w:tcPr>
            <w:tcW w:w="1880" w:type="dxa"/>
            <w:vAlign w:val="bottom"/>
            <w:tcBorders>
              <w:bottom w:val="single" w:sz="8" w:color="134A9C"/>
              <w:right w:val="single" w:sz="8" w:color="134A9C"/>
            </w:tcBorders>
          </w:tcPr>
          <w:p>
            <w:pPr>
              <w:ind w:left="1620"/>
              <w:spacing w:after="0"/>
              <w:rPr>
                <w:sz w:val="20"/>
                <w:szCs w:val="20"/>
                <w:color w:val="auto"/>
              </w:rPr>
            </w:pPr>
            <w:r>
              <w:rPr>
                <w:rFonts w:ascii="Arial" w:cs="Arial" w:eastAsia="Arial" w:hAnsi="Arial"/>
                <w:sz w:val="14"/>
                <w:szCs w:val="14"/>
                <w:color w:val="auto"/>
              </w:rPr>
              <w:t>—</w:t>
            </w:r>
          </w:p>
        </w:tc>
      </w:tr>
      <w:tr>
        <w:trPr>
          <w:trHeight w:val="210"/>
        </w:trPr>
        <w:tc>
          <w:tcPr>
            <w:tcW w:w="338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Karl-Thomas Neumann</w:t>
            </w:r>
          </w:p>
        </w:tc>
        <w:tc>
          <w:tcPr>
            <w:tcW w:w="102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OPEL</w:t>
            </w:r>
          </w:p>
        </w:tc>
        <w:tc>
          <w:tcPr>
            <w:tcW w:w="2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1.8</w:t>
            </w:r>
          </w:p>
        </w:tc>
        <w:tc>
          <w:tcPr>
            <w:tcW w:w="26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158,958</w:t>
            </w:r>
          </w:p>
        </w:tc>
        <w:tc>
          <w:tcPr>
            <w:tcW w:w="1880" w:type="dxa"/>
            <w:vAlign w:val="bottom"/>
            <w:tcBorders>
              <w:bottom w:val="single" w:sz="8" w:color="134A9C"/>
              <w:right w:val="single" w:sz="8" w:color="134A9C"/>
            </w:tcBorders>
          </w:tcPr>
          <w:p>
            <w:pPr>
              <w:ind w:left="1620"/>
              <w:spacing w:after="0"/>
              <w:rPr>
                <w:sz w:val="20"/>
                <w:szCs w:val="20"/>
                <w:color w:val="auto"/>
              </w:rPr>
            </w:pPr>
            <w:r>
              <w:rPr>
                <w:rFonts w:ascii="Arial" w:cs="Arial" w:eastAsia="Arial" w:hAnsi="Arial"/>
                <w:sz w:val="14"/>
                <w:szCs w:val="14"/>
                <w:color w:val="auto"/>
              </w:rPr>
              <w:t>—</w:t>
            </w:r>
          </w:p>
        </w:tc>
      </w:tr>
      <w:tr>
        <w:trPr>
          <w:trHeight w:val="270"/>
        </w:trPr>
        <w:tc>
          <w:tcPr>
            <w:tcW w:w="338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 xml:space="preserve">Daniel F. Akerson </w:t>
            </w:r>
            <w:r>
              <w:rPr>
                <w:rFonts w:ascii="Arial" w:cs="Arial" w:eastAsia="Arial" w:hAnsi="Arial"/>
                <w:sz w:val="17"/>
                <w:szCs w:val="17"/>
                <w:color w:val="auto"/>
                <w:vertAlign w:val="superscript"/>
              </w:rPr>
              <w:t>(4)</w:t>
            </w:r>
          </w:p>
        </w:tc>
        <w:tc>
          <w:tcPr>
            <w:tcW w:w="1020" w:type="dxa"/>
            <w:vAlign w:val="bottom"/>
            <w:tcBorders>
              <w:bottom w:val="single" w:sz="8" w:color="134A9C"/>
              <w:right w:val="single" w:sz="8" w:color="134A9C"/>
            </w:tcBorders>
          </w:tcPr>
          <w:p>
            <w:pPr>
              <w:spacing w:after="0"/>
              <w:rPr>
                <w:sz w:val="23"/>
                <w:szCs w:val="23"/>
                <w:color w:val="auto"/>
              </w:rPr>
            </w:pPr>
          </w:p>
        </w:tc>
        <w:tc>
          <w:tcPr>
            <w:tcW w:w="224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2660" w:type="dxa"/>
            <w:vAlign w:val="bottom"/>
            <w:tcBorders>
              <w:bottom w:val="single" w:sz="8" w:color="134A9C"/>
              <w:right w:val="single" w:sz="8" w:color="134A9C"/>
            </w:tcBorders>
          </w:tcPr>
          <w:p>
            <w:pPr>
              <w:jc w:val="right"/>
              <w:ind w:right="6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134A9C"/>
              <w:right w:val="single" w:sz="8" w:color="134A9C"/>
            </w:tcBorders>
          </w:tcPr>
          <w:p>
            <w:pPr>
              <w:ind w:left="1620"/>
              <w:spacing w:after="0"/>
              <w:rPr>
                <w:sz w:val="20"/>
                <w:szCs w:val="20"/>
                <w:color w:val="auto"/>
              </w:rPr>
            </w:pPr>
            <w:r>
              <w:rPr>
                <w:rFonts w:ascii="Arial" w:cs="Arial" w:eastAsia="Arial" w:hAnsi="Arial"/>
                <w:sz w:val="14"/>
                <w:szCs w:val="14"/>
                <w:color w:val="auto"/>
              </w:rPr>
              <w:t>—</w:t>
            </w:r>
          </w:p>
        </w:tc>
      </w:tr>
    </w:tbl>
    <w:p>
      <w:pPr>
        <w:spacing w:after="0" w:line="32"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Eligible service recognizes credited service under the frozen qualified SRP, in addition to future service to determine retirement eligibility.</w:t>
      </w:r>
    </w:p>
    <w:p>
      <w:pPr>
        <w:spacing w:after="0" w:line="28"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present value of the SRP benefit amount shown takes into consideration the ability to elect a joint and survivor annuity form of payment. For SRP and ERP benefits, the present value represents the value of the benefit payable at age 60 (or immediately if over age 60). Benefits and present values reflect the provisions of the SRP and ERP as of December 31, 2014. Present values shown here are based on the mortality and discount rate assumptions used in the December 31, 2014 Financial Accounting Standards Board (“FASB”) Accounting Standards Codification (“ASC”) Section 715, “Compensation-Retirement Benefits” except</w:t>
      </w:r>
    </w:p>
    <w:p>
      <w:pPr>
        <w:spacing w:after="0" w:line="386"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57</w:t>
      </w:r>
      <w:r>
        <w:rPr>
          <w:sz w:val="20"/>
          <w:szCs w:val="20"/>
          <w:color w:val="auto"/>
        </w:rPr>
        <w:tab/>
      </w:r>
      <w:r>
        <w:rPr>
          <w:sz w:val="1"/>
          <w:szCs w:val="1"/>
          <w:color w:val="auto"/>
        </w:rPr>
        <w:drawing>
          <wp:inline distT="0" distB="0" distL="0" distR="0">
            <wp:extent cx="120015" cy="12001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61" w:name="page62"/>
    <w:bookmarkEnd w:id="61"/>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40" w:right="20"/>
        <w:spacing w:after="0" w:line="372" w:lineRule="auto"/>
        <w:rPr>
          <w:sz w:val="20"/>
          <w:szCs w:val="20"/>
          <w:color w:val="auto"/>
        </w:rPr>
      </w:pPr>
      <w:r>
        <w:rPr>
          <w:rFonts w:ascii="Arial" w:cs="Arial" w:eastAsia="Arial" w:hAnsi="Arial"/>
          <w:sz w:val="14"/>
          <w:szCs w:val="14"/>
          <w:color w:val="auto"/>
        </w:rPr>
        <w:t>where needed to meet proxy statement requirements. The discount rates used for the SRP are 4.06 percent for calculations as of December 31, 2014. The discount rates used for the ERP are 3.44 percent for calculations as of December 31, 2014.</w:t>
      </w:r>
    </w:p>
    <w:p>
      <w:pPr>
        <w:spacing w:after="0" w:line="1" w:lineRule="exact"/>
        <w:rPr>
          <w:sz w:val="20"/>
          <w:szCs w:val="20"/>
          <w:color w:val="auto"/>
        </w:rPr>
      </w:pPr>
    </w:p>
    <w:p>
      <w:pPr>
        <w:jc w:val="both"/>
        <w:ind w:left="340" w:right="20" w:hanging="332"/>
        <w:spacing w:after="0" w:line="247"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present value of the Opel benefit represents the value of the benefit accrued through December 31, 2014 and payable at age 63. The benefit and present value reflect the provisions of the Opel plan as of December 31, 2014. The present value shown here is based on the mortality and discount rate assumptions used in the December 31, 2014 FASB ASC Section 715, “Compensation-Retirement Benefits” except where needed to meet proxy statement requirements. The discount rate used for the Opel plan is 2.6 percent for calculations as of December 31, 2014.</w:t>
      </w:r>
    </w:p>
    <w:p>
      <w:pPr>
        <w:spacing w:after="0" w:line="12"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Ammann and Mr. Akerson are only eligible to participate in qualified and non-qualified defined contribution plans offered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2014 Nonqualified Deferred Compensation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maintain certain deferred compensation programs and arrangements for executives, including the NEOs.</w:t>
      </w:r>
    </w:p>
    <w:p>
      <w:pPr>
        <w:spacing w:after="0" w:line="13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DC ERP, allows for the equalization of benefits for highly compensated salaried employees under the RSP when such employees’ contribution and benefit levels exceed the maximum limitations on contributions and benefits imposed by Section 2004 of ERISA, as amended, and Section 401(a)(17) and 415 of the IRC, as amended. The DC ERP is maintained as an unfunded plan and we bear all expenses for administration of the plan and payment of amounts to participants.</w:t>
      </w:r>
    </w:p>
    <w:p>
      <w:pPr>
        <w:spacing w:after="0" w:line="11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Aggregate account balances disclosed below include both vested and unvested contributions by GM. Contributions made prior to 2007 were vested immediately. Contributions made between January 1, 2007 and September 30, 2012 vest when the participant attains age 55 with ten years of service. Contributions made on October 1, 2012 and later vest when the participant attains three years of service, regardless of age.</w:t>
      </w:r>
    </w:p>
    <w:p>
      <w:pPr>
        <w:spacing w:after="0" w:line="10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Salary Stock Plan - NEOs received a portion of their total annual compensation in the form of SSUs, which were granted each quarter while the Company was under TARP. SSUs are non-forfeitable and become deliverable quarterly in three equal installments at each of the first, second, and third anniversaries of the grant date. No SSUs were granted in 2014 as the Company exited TARP.</w:t>
      </w:r>
    </w:p>
    <w:p>
      <w:pPr>
        <w:spacing w:after="0" w:line="10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table below reflects December 31, 2014 balances for the various nonqualified deferred compensation plans, including vested but unpaid SSUs, based on the closing price of Common Stock ($34.91) and any contributions, earnings, and withdrawals during the year.</w:t>
      </w: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940" w:type="dxa"/>
            <w:vAlign w:val="bottom"/>
            <w:tcBorders>
              <w:left w:val="single" w:sz="8" w:color="134A9C"/>
              <w:right w:val="single" w:sz="8" w:color="134A9C"/>
            </w:tcBorders>
            <w:shd w:val="clear" w:color="auto" w:fill="134A9C"/>
          </w:tcPr>
          <w:p>
            <w:pPr>
              <w:spacing w:after="0"/>
              <w:rPr>
                <w:sz w:val="20"/>
                <w:szCs w:val="20"/>
                <w:color w:val="auto"/>
              </w:rPr>
            </w:pPr>
          </w:p>
        </w:tc>
        <w:tc>
          <w:tcPr>
            <w:tcW w:w="1080" w:type="dxa"/>
            <w:vAlign w:val="bottom"/>
            <w:tcBorders>
              <w:right w:val="single" w:sz="8" w:color="134A9C"/>
            </w:tcBorders>
            <w:shd w:val="clear" w:color="auto" w:fill="134A9C"/>
          </w:tcPr>
          <w:p>
            <w:pPr>
              <w:spacing w:after="0"/>
              <w:rPr>
                <w:sz w:val="20"/>
                <w:szCs w:val="20"/>
                <w:color w:val="auto"/>
              </w:rPr>
            </w:pPr>
          </w:p>
        </w:tc>
        <w:tc>
          <w:tcPr>
            <w:tcW w:w="1320" w:type="dxa"/>
            <w:vAlign w:val="bottom"/>
            <w:tcBorders>
              <w:right w:val="single" w:sz="8" w:color="134A9C"/>
            </w:tcBorders>
            <w:shd w:val="clear" w:color="auto" w:fill="134A9C"/>
          </w:tcPr>
          <w:p>
            <w:pPr>
              <w:spacing w:after="0"/>
              <w:rPr>
                <w:sz w:val="20"/>
                <w:szCs w:val="20"/>
                <w:color w:val="auto"/>
              </w:rPr>
            </w:pPr>
          </w:p>
        </w:tc>
        <w:tc>
          <w:tcPr>
            <w:tcW w:w="152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Registrant</w:t>
            </w:r>
          </w:p>
        </w:tc>
        <w:tc>
          <w:tcPr>
            <w:tcW w:w="2060" w:type="dxa"/>
            <w:vAlign w:val="bottom"/>
            <w:tcBorders>
              <w:right w:val="single" w:sz="8" w:color="134A9C"/>
            </w:tcBorders>
            <w:shd w:val="clear" w:color="auto" w:fill="134A9C"/>
          </w:tcPr>
          <w:p>
            <w:pPr>
              <w:spacing w:after="0"/>
              <w:rPr>
                <w:sz w:val="20"/>
                <w:szCs w:val="20"/>
                <w:color w:val="auto"/>
              </w:rPr>
            </w:pPr>
          </w:p>
        </w:tc>
        <w:tc>
          <w:tcPr>
            <w:tcW w:w="1780" w:type="dxa"/>
            <w:vAlign w:val="bottom"/>
            <w:tcBorders>
              <w:right w:val="single" w:sz="8" w:color="134A9C"/>
            </w:tcBorders>
            <w:shd w:val="clear" w:color="auto" w:fill="134A9C"/>
          </w:tcPr>
          <w:p>
            <w:pPr>
              <w:spacing w:after="0"/>
              <w:rPr>
                <w:sz w:val="20"/>
                <w:szCs w:val="20"/>
                <w:color w:val="auto"/>
              </w:rPr>
            </w:pPr>
          </w:p>
        </w:tc>
        <w:tc>
          <w:tcPr>
            <w:tcW w:w="1740" w:type="dxa"/>
            <w:vAlign w:val="bottom"/>
            <w:tcBorders>
              <w:right w:val="single" w:sz="8" w:color="134A9C"/>
            </w:tcBorders>
            <w:shd w:val="clear" w:color="auto" w:fill="134A9C"/>
          </w:tcPr>
          <w:p>
            <w:pPr>
              <w:spacing w:after="0"/>
              <w:rPr>
                <w:sz w:val="20"/>
                <w:szCs w:val="20"/>
                <w:color w:val="auto"/>
              </w:rPr>
            </w:pPr>
          </w:p>
        </w:tc>
      </w:tr>
      <w:tr>
        <w:trPr>
          <w:trHeight w:val="157"/>
        </w:trPr>
        <w:tc>
          <w:tcPr>
            <w:tcW w:w="1940" w:type="dxa"/>
            <w:vAlign w:val="bottom"/>
            <w:tcBorders>
              <w:left w:val="single" w:sz="8" w:color="134A9C"/>
              <w:right w:val="single" w:sz="8" w:color="134A9C"/>
            </w:tcBorders>
            <w:shd w:val="clear" w:color="auto" w:fill="134A9C"/>
          </w:tcPr>
          <w:p>
            <w:pPr>
              <w:spacing w:after="0"/>
              <w:rPr>
                <w:sz w:val="13"/>
                <w:szCs w:val="13"/>
                <w:color w:val="auto"/>
              </w:rPr>
            </w:pPr>
          </w:p>
        </w:tc>
        <w:tc>
          <w:tcPr>
            <w:tcW w:w="1080" w:type="dxa"/>
            <w:vAlign w:val="bottom"/>
            <w:tcBorders>
              <w:right w:val="single" w:sz="8" w:color="134A9C"/>
            </w:tcBorders>
            <w:shd w:val="clear" w:color="auto" w:fill="134A9C"/>
          </w:tcPr>
          <w:p>
            <w:pPr>
              <w:spacing w:after="0"/>
              <w:rPr>
                <w:sz w:val="13"/>
                <w:szCs w:val="13"/>
                <w:color w:val="auto"/>
              </w:rPr>
            </w:pPr>
          </w:p>
        </w:tc>
        <w:tc>
          <w:tcPr>
            <w:tcW w:w="1320" w:type="dxa"/>
            <w:vAlign w:val="bottom"/>
            <w:tcBorders>
              <w:right w:val="single" w:sz="8" w:color="134A9C"/>
            </w:tcBorders>
            <w:shd w:val="clear" w:color="auto" w:fill="134A9C"/>
          </w:tcPr>
          <w:p>
            <w:pPr>
              <w:jc w:val="center"/>
              <w:spacing w:after="0" w:line="157" w:lineRule="exact"/>
              <w:rPr>
                <w:sz w:val="20"/>
                <w:szCs w:val="20"/>
                <w:color w:val="auto"/>
              </w:rPr>
            </w:pPr>
            <w:r>
              <w:rPr>
                <w:rFonts w:ascii="Arial" w:cs="Arial" w:eastAsia="Arial" w:hAnsi="Arial"/>
                <w:sz w:val="14"/>
                <w:szCs w:val="14"/>
                <w:color w:val="FFFFFF"/>
              </w:rPr>
              <w:t>Executive</w:t>
            </w:r>
          </w:p>
        </w:tc>
        <w:tc>
          <w:tcPr>
            <w:tcW w:w="1520" w:type="dxa"/>
            <w:vAlign w:val="bottom"/>
            <w:tcBorders>
              <w:right w:val="single" w:sz="8" w:color="134A9C"/>
            </w:tcBorders>
            <w:shd w:val="clear" w:color="auto" w:fill="134A9C"/>
          </w:tcPr>
          <w:p>
            <w:pPr>
              <w:jc w:val="center"/>
              <w:spacing w:after="0" w:line="157" w:lineRule="exact"/>
              <w:rPr>
                <w:sz w:val="20"/>
                <w:szCs w:val="20"/>
                <w:color w:val="auto"/>
              </w:rPr>
            </w:pPr>
            <w:r>
              <w:rPr>
                <w:rFonts w:ascii="Arial" w:cs="Arial" w:eastAsia="Arial" w:hAnsi="Arial"/>
                <w:sz w:val="14"/>
                <w:szCs w:val="14"/>
                <w:color w:val="FFFFFF"/>
              </w:rPr>
              <w:t>Contributions in the</w:t>
            </w:r>
          </w:p>
        </w:tc>
        <w:tc>
          <w:tcPr>
            <w:tcW w:w="2060" w:type="dxa"/>
            <w:vAlign w:val="bottom"/>
            <w:tcBorders>
              <w:right w:val="single" w:sz="8" w:color="134A9C"/>
            </w:tcBorders>
            <w:shd w:val="clear" w:color="auto" w:fill="134A9C"/>
          </w:tcPr>
          <w:p>
            <w:pPr>
              <w:spacing w:after="0"/>
              <w:rPr>
                <w:sz w:val="13"/>
                <w:szCs w:val="13"/>
                <w:color w:val="auto"/>
              </w:rPr>
            </w:pPr>
          </w:p>
        </w:tc>
        <w:tc>
          <w:tcPr>
            <w:tcW w:w="1780" w:type="dxa"/>
            <w:vAlign w:val="bottom"/>
            <w:tcBorders>
              <w:right w:val="single" w:sz="8" w:color="134A9C"/>
            </w:tcBorders>
            <w:shd w:val="clear" w:color="auto" w:fill="134A9C"/>
          </w:tcPr>
          <w:p>
            <w:pPr>
              <w:spacing w:after="0"/>
              <w:rPr>
                <w:sz w:val="13"/>
                <w:szCs w:val="13"/>
                <w:color w:val="auto"/>
              </w:rPr>
            </w:pPr>
          </w:p>
        </w:tc>
        <w:tc>
          <w:tcPr>
            <w:tcW w:w="1740" w:type="dxa"/>
            <w:vAlign w:val="bottom"/>
            <w:tcBorders>
              <w:right w:val="single" w:sz="8" w:color="134A9C"/>
            </w:tcBorders>
            <w:shd w:val="clear" w:color="auto" w:fill="134A9C"/>
          </w:tcPr>
          <w:p>
            <w:pPr>
              <w:spacing w:after="0"/>
              <w:rPr>
                <w:sz w:val="13"/>
                <w:szCs w:val="13"/>
                <w:color w:val="auto"/>
              </w:rPr>
            </w:pPr>
          </w:p>
        </w:tc>
      </w:tr>
      <w:tr>
        <w:trPr>
          <w:trHeight w:val="162"/>
        </w:trPr>
        <w:tc>
          <w:tcPr>
            <w:tcW w:w="1940" w:type="dxa"/>
            <w:vAlign w:val="bottom"/>
            <w:tcBorders>
              <w:left w:val="single" w:sz="8" w:color="134A9C"/>
              <w:right w:val="single" w:sz="8" w:color="134A9C"/>
            </w:tcBorders>
            <w:shd w:val="clear" w:color="auto" w:fill="134A9C"/>
          </w:tcPr>
          <w:p>
            <w:pPr>
              <w:spacing w:after="0"/>
              <w:rPr>
                <w:sz w:val="14"/>
                <w:szCs w:val="14"/>
                <w:color w:val="auto"/>
              </w:rPr>
            </w:pPr>
          </w:p>
        </w:tc>
        <w:tc>
          <w:tcPr>
            <w:tcW w:w="1080" w:type="dxa"/>
            <w:vAlign w:val="bottom"/>
            <w:tcBorders>
              <w:right w:val="single" w:sz="8" w:color="134A9C"/>
            </w:tcBorders>
            <w:shd w:val="clear" w:color="auto" w:fill="134A9C"/>
          </w:tcPr>
          <w:p>
            <w:pPr>
              <w:spacing w:after="0"/>
              <w:rPr>
                <w:sz w:val="14"/>
                <w:szCs w:val="14"/>
                <w:color w:val="auto"/>
              </w:rPr>
            </w:pPr>
          </w:p>
        </w:tc>
        <w:tc>
          <w:tcPr>
            <w:tcW w:w="132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Contributions in the</w:t>
            </w:r>
          </w:p>
        </w:tc>
        <w:tc>
          <w:tcPr>
            <w:tcW w:w="1520" w:type="dxa"/>
            <w:vAlign w:val="bottom"/>
            <w:tcBorders>
              <w:right w:val="single" w:sz="8" w:color="134A9C"/>
            </w:tcBorders>
            <w:shd w:val="clear" w:color="auto" w:fill="134A9C"/>
          </w:tcPr>
          <w:p>
            <w:pPr>
              <w:jc w:val="center"/>
              <w:spacing w:after="0" w:line="162" w:lineRule="exact"/>
              <w:rPr>
                <w:sz w:val="20"/>
                <w:szCs w:val="20"/>
                <w:color w:val="auto"/>
              </w:rPr>
            </w:pPr>
            <w:r>
              <w:rPr>
                <w:rFonts w:ascii="Arial" w:cs="Arial" w:eastAsia="Arial" w:hAnsi="Arial"/>
                <w:sz w:val="14"/>
                <w:szCs w:val="14"/>
                <w:color w:val="FFFFFF"/>
                <w:w w:val="98"/>
              </w:rPr>
              <w:t>Last Fiscal Year</w:t>
            </w:r>
            <w:r>
              <w:rPr>
                <w:rFonts w:ascii="Arial" w:cs="Arial" w:eastAsia="Arial" w:hAnsi="Arial"/>
                <w:sz w:val="17"/>
                <w:szCs w:val="17"/>
                <w:color w:val="FFFFFF"/>
                <w:w w:val="98"/>
                <w:vertAlign w:val="superscript"/>
              </w:rPr>
              <w:t>(1)</w:t>
            </w:r>
          </w:p>
        </w:tc>
        <w:tc>
          <w:tcPr>
            <w:tcW w:w="2060" w:type="dxa"/>
            <w:vAlign w:val="bottom"/>
            <w:tcBorders>
              <w:right w:val="single" w:sz="8" w:color="134A9C"/>
            </w:tcBorders>
            <w:shd w:val="clear" w:color="auto" w:fill="134A9C"/>
          </w:tcPr>
          <w:p>
            <w:pPr>
              <w:jc w:val="right"/>
              <w:spacing w:after="0"/>
              <w:rPr>
                <w:sz w:val="20"/>
                <w:szCs w:val="20"/>
                <w:color w:val="auto"/>
              </w:rPr>
            </w:pPr>
            <w:r>
              <w:rPr>
                <w:rFonts w:ascii="Arial" w:cs="Arial" w:eastAsia="Arial" w:hAnsi="Arial"/>
                <w:sz w:val="14"/>
                <w:szCs w:val="14"/>
                <w:color w:val="FFFFFF"/>
              </w:rPr>
              <w:t>Aggregate Earnings in the Last</w:t>
            </w:r>
          </w:p>
        </w:tc>
        <w:tc>
          <w:tcPr>
            <w:tcW w:w="1780" w:type="dxa"/>
            <w:vAlign w:val="bottom"/>
            <w:tcBorders>
              <w:right w:val="single" w:sz="8" w:color="134A9C"/>
            </w:tcBorders>
            <w:shd w:val="clear" w:color="auto" w:fill="134A9C"/>
          </w:tcPr>
          <w:p>
            <w:pPr>
              <w:jc w:val="right"/>
              <w:ind w:right="88"/>
              <w:spacing w:after="0"/>
              <w:rPr>
                <w:sz w:val="20"/>
                <w:szCs w:val="20"/>
                <w:color w:val="auto"/>
              </w:rPr>
            </w:pPr>
            <w:r>
              <w:rPr>
                <w:rFonts w:ascii="Arial" w:cs="Arial" w:eastAsia="Arial" w:hAnsi="Arial"/>
                <w:sz w:val="14"/>
                <w:szCs w:val="14"/>
                <w:color w:val="FFFFFF"/>
              </w:rPr>
              <w:t>Aggregate Withdrawals</w:t>
            </w:r>
          </w:p>
        </w:tc>
        <w:tc>
          <w:tcPr>
            <w:tcW w:w="1740" w:type="dxa"/>
            <w:vAlign w:val="bottom"/>
            <w:tcBorders>
              <w:right w:val="single" w:sz="8" w:color="134A9C"/>
            </w:tcBorders>
            <w:shd w:val="clear" w:color="auto" w:fill="134A9C"/>
          </w:tcPr>
          <w:p>
            <w:pPr>
              <w:jc w:val="right"/>
              <w:ind w:right="128"/>
              <w:spacing w:after="0"/>
              <w:rPr>
                <w:sz w:val="20"/>
                <w:szCs w:val="20"/>
                <w:color w:val="auto"/>
              </w:rPr>
            </w:pPr>
            <w:r>
              <w:rPr>
                <w:rFonts w:ascii="Arial" w:cs="Arial" w:eastAsia="Arial" w:hAnsi="Arial"/>
                <w:sz w:val="14"/>
                <w:szCs w:val="14"/>
                <w:color w:val="FFFFFF"/>
              </w:rPr>
              <w:t>Aggregate Balance at</w:t>
            </w:r>
          </w:p>
        </w:tc>
      </w:tr>
      <w:tr>
        <w:trPr>
          <w:trHeight w:val="189"/>
        </w:trPr>
        <w:tc>
          <w:tcPr>
            <w:tcW w:w="1940" w:type="dxa"/>
            <w:vAlign w:val="bottom"/>
            <w:tcBorders>
              <w:left w:val="single" w:sz="8" w:color="134A9C"/>
              <w:right w:val="single" w:sz="8" w:color="134A9C"/>
            </w:tcBorders>
            <w:shd w:val="clear" w:color="auto" w:fill="134A9C"/>
          </w:tcPr>
          <w:p>
            <w:pPr>
              <w:ind w:left="780"/>
              <w:spacing w:after="0"/>
              <w:rPr>
                <w:sz w:val="20"/>
                <w:szCs w:val="20"/>
                <w:color w:val="auto"/>
              </w:rPr>
            </w:pPr>
            <w:r>
              <w:rPr>
                <w:rFonts w:ascii="Arial" w:cs="Arial" w:eastAsia="Arial" w:hAnsi="Arial"/>
                <w:sz w:val="14"/>
                <w:szCs w:val="14"/>
                <w:color w:val="FFFFFF"/>
              </w:rPr>
              <w:t>Name</w:t>
            </w:r>
          </w:p>
        </w:tc>
        <w:tc>
          <w:tcPr>
            <w:tcW w:w="108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w w:val="99"/>
              </w:rPr>
              <w:t>Plan</w:t>
            </w:r>
          </w:p>
        </w:tc>
        <w:tc>
          <w:tcPr>
            <w:tcW w:w="132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rPr>
              <w:t>Last Fiscal Year</w:t>
            </w:r>
          </w:p>
        </w:tc>
        <w:tc>
          <w:tcPr>
            <w:tcW w:w="152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4"/>
                <w:szCs w:val="14"/>
                <w:color w:val="FFFFFF"/>
                <w:w w:val="93"/>
              </w:rPr>
              <w:t>($)</w:t>
            </w:r>
          </w:p>
        </w:tc>
        <w:tc>
          <w:tcPr>
            <w:tcW w:w="2060" w:type="dxa"/>
            <w:vAlign w:val="bottom"/>
            <w:tcBorders>
              <w:right w:val="single" w:sz="8" w:color="134A9C"/>
            </w:tcBorders>
            <w:shd w:val="clear" w:color="auto" w:fill="134A9C"/>
          </w:tcPr>
          <w:p>
            <w:pPr>
              <w:jc w:val="right"/>
              <w:ind w:right="468"/>
              <w:spacing w:after="0" w:line="189" w:lineRule="exact"/>
              <w:rPr>
                <w:sz w:val="20"/>
                <w:szCs w:val="20"/>
                <w:color w:val="auto"/>
              </w:rPr>
            </w:pPr>
            <w:r>
              <w:rPr>
                <w:rFonts w:ascii="Arial" w:cs="Arial" w:eastAsia="Arial" w:hAnsi="Arial"/>
                <w:sz w:val="14"/>
                <w:szCs w:val="14"/>
                <w:color w:val="FFFFFF"/>
              </w:rPr>
              <w:t>Fiscal Year</w:t>
            </w:r>
            <w:r>
              <w:rPr>
                <w:rFonts w:ascii="Arial" w:cs="Arial" w:eastAsia="Arial" w:hAnsi="Arial"/>
                <w:sz w:val="17"/>
                <w:szCs w:val="17"/>
                <w:color w:val="FFFFFF"/>
                <w:vertAlign w:val="superscript"/>
              </w:rPr>
              <w:t>(2)</w:t>
            </w:r>
            <w:r>
              <w:rPr>
                <w:rFonts w:ascii="Arial" w:cs="Arial" w:eastAsia="Arial" w:hAnsi="Arial"/>
                <w:sz w:val="14"/>
                <w:szCs w:val="14"/>
                <w:color w:val="FFFFFF"/>
              </w:rPr>
              <w:t>($)</w:t>
            </w:r>
          </w:p>
        </w:tc>
        <w:tc>
          <w:tcPr>
            <w:tcW w:w="1780" w:type="dxa"/>
            <w:vAlign w:val="bottom"/>
            <w:tcBorders>
              <w:right w:val="single" w:sz="8" w:color="134A9C"/>
            </w:tcBorders>
            <w:shd w:val="clear" w:color="auto" w:fill="134A9C"/>
          </w:tcPr>
          <w:p>
            <w:pPr>
              <w:jc w:val="right"/>
              <w:ind w:right="148"/>
              <w:spacing w:after="0" w:line="189" w:lineRule="exact"/>
              <w:rPr>
                <w:sz w:val="20"/>
                <w:szCs w:val="20"/>
                <w:color w:val="auto"/>
              </w:rPr>
            </w:pPr>
            <w:r>
              <w:rPr>
                <w:rFonts w:ascii="Arial" w:cs="Arial" w:eastAsia="Arial" w:hAnsi="Arial"/>
                <w:sz w:val="14"/>
                <w:szCs w:val="14"/>
                <w:color w:val="FFFFFF"/>
              </w:rPr>
              <w:t>and Distributions</w:t>
            </w:r>
            <w:r>
              <w:rPr>
                <w:rFonts w:ascii="Arial" w:cs="Arial" w:eastAsia="Arial" w:hAnsi="Arial"/>
                <w:sz w:val="17"/>
                <w:szCs w:val="17"/>
                <w:color w:val="FFFFFF"/>
                <w:vertAlign w:val="superscript"/>
              </w:rPr>
              <w:t>(3)</w:t>
            </w:r>
            <w:r>
              <w:rPr>
                <w:rFonts w:ascii="Arial" w:cs="Arial" w:eastAsia="Arial" w:hAnsi="Arial"/>
                <w:sz w:val="14"/>
                <w:szCs w:val="14"/>
                <w:color w:val="FFFFFF"/>
              </w:rPr>
              <w:t>($)</w:t>
            </w:r>
          </w:p>
        </w:tc>
        <w:tc>
          <w:tcPr>
            <w:tcW w:w="1740" w:type="dxa"/>
            <w:vAlign w:val="bottom"/>
            <w:tcBorders>
              <w:right w:val="single" w:sz="8" w:color="134A9C"/>
            </w:tcBorders>
            <w:shd w:val="clear" w:color="auto" w:fill="134A9C"/>
          </w:tcPr>
          <w:p>
            <w:pPr>
              <w:jc w:val="right"/>
              <w:ind w:right="28"/>
              <w:spacing w:after="0"/>
              <w:rPr>
                <w:sz w:val="20"/>
                <w:szCs w:val="20"/>
                <w:color w:val="auto"/>
              </w:rPr>
            </w:pPr>
            <w:r>
              <w:rPr>
                <w:rFonts w:ascii="Arial" w:cs="Arial" w:eastAsia="Arial" w:hAnsi="Arial"/>
                <w:sz w:val="14"/>
                <w:szCs w:val="14"/>
                <w:color w:val="FFFFFF"/>
              </w:rPr>
              <w:t>2014 Fiscal Year End ($)</w:t>
            </w:r>
          </w:p>
        </w:tc>
      </w:tr>
      <w:tr>
        <w:trPr>
          <w:trHeight w:val="204"/>
        </w:trPr>
        <w:tc>
          <w:tcPr>
            <w:tcW w:w="19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Mary T. Barra</w:t>
            </w:r>
          </w:p>
        </w:tc>
        <w:tc>
          <w:tcPr>
            <w:tcW w:w="108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SSU</w:t>
            </w:r>
          </w:p>
        </w:tc>
        <w:tc>
          <w:tcPr>
            <w:tcW w:w="1320" w:type="dxa"/>
            <w:vAlign w:val="bottom"/>
            <w:tcBorders>
              <w:right w:val="single" w:sz="8" w:color="134A9C"/>
            </w:tcBorders>
          </w:tcPr>
          <w:p>
            <w:pPr>
              <w:ind w:left="1040"/>
              <w:spacing w:after="0"/>
              <w:rPr>
                <w:sz w:val="20"/>
                <w:szCs w:val="20"/>
                <w:color w:val="auto"/>
              </w:rPr>
            </w:pPr>
            <w:r>
              <w:rPr>
                <w:rFonts w:ascii="Arial" w:cs="Arial" w:eastAsia="Arial" w:hAnsi="Arial"/>
                <w:sz w:val="14"/>
                <w:szCs w:val="14"/>
                <w:color w:val="auto"/>
              </w:rPr>
              <w:t>—</w:t>
            </w:r>
          </w:p>
        </w:tc>
        <w:tc>
          <w:tcPr>
            <w:tcW w:w="15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2060" w:type="dxa"/>
            <w:vAlign w:val="bottom"/>
            <w:tcBorders>
              <w:right w:val="single" w:sz="8" w:color="134A9C"/>
            </w:tcBorders>
          </w:tcPr>
          <w:p>
            <w:pPr>
              <w:jc w:val="right"/>
              <w:ind w:right="328"/>
              <w:spacing w:after="0"/>
              <w:rPr>
                <w:sz w:val="20"/>
                <w:szCs w:val="20"/>
                <w:color w:val="auto"/>
              </w:rPr>
            </w:pPr>
            <w:r>
              <w:rPr>
                <w:rFonts w:ascii="Arial" w:cs="Arial" w:eastAsia="Arial" w:hAnsi="Arial"/>
                <w:sz w:val="14"/>
                <w:szCs w:val="14"/>
                <w:color w:val="auto"/>
              </w:rPr>
              <w:t>(1,127,868)</w:t>
            </w:r>
          </w:p>
        </w:tc>
        <w:tc>
          <w:tcPr>
            <w:tcW w:w="1780" w:type="dxa"/>
            <w:vAlign w:val="bottom"/>
            <w:tcBorders>
              <w:right w:val="single" w:sz="8" w:color="134A9C"/>
            </w:tcBorders>
          </w:tcPr>
          <w:p>
            <w:pPr>
              <w:jc w:val="right"/>
              <w:ind w:right="228"/>
              <w:spacing w:after="0"/>
              <w:rPr>
                <w:sz w:val="20"/>
                <w:szCs w:val="20"/>
                <w:color w:val="auto"/>
              </w:rPr>
            </w:pPr>
            <w:r>
              <w:rPr>
                <w:rFonts w:ascii="Arial" w:cs="Arial" w:eastAsia="Arial" w:hAnsi="Arial"/>
                <w:sz w:val="14"/>
                <w:szCs w:val="14"/>
                <w:color w:val="auto"/>
              </w:rPr>
              <w:t>(3,155,476)</w:t>
            </w:r>
          </w:p>
        </w:tc>
        <w:tc>
          <w:tcPr>
            <w:tcW w:w="17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3,188,959</w:t>
            </w:r>
          </w:p>
        </w:tc>
      </w:tr>
      <w:tr>
        <w:trPr>
          <w:trHeight w:val="222"/>
        </w:trPr>
        <w:tc>
          <w:tcPr>
            <w:tcW w:w="1940" w:type="dxa"/>
            <w:vAlign w:val="bottom"/>
            <w:tcBorders>
              <w:left w:val="single" w:sz="8" w:color="134A9C"/>
              <w:bottom w:val="single" w:sz="8" w:color="134A9C"/>
              <w:right w:val="single" w:sz="8" w:color="134A9C"/>
            </w:tcBorders>
          </w:tcPr>
          <w:p>
            <w:pPr>
              <w:spacing w:after="0"/>
              <w:rPr>
                <w:sz w:val="19"/>
                <w:szCs w:val="19"/>
                <w:color w:val="auto"/>
              </w:rPr>
            </w:pPr>
          </w:p>
        </w:tc>
        <w:tc>
          <w:tcPr>
            <w:tcW w:w="10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DC ERP</w:t>
            </w:r>
          </w:p>
        </w:tc>
        <w:tc>
          <w:tcPr>
            <w:tcW w:w="1320" w:type="dxa"/>
            <w:vAlign w:val="bottom"/>
            <w:tcBorders>
              <w:bottom w:val="single" w:sz="8" w:color="134A9C"/>
              <w:right w:val="single" w:sz="8" w:color="134A9C"/>
            </w:tcBorders>
          </w:tcPr>
          <w:p>
            <w:pPr>
              <w:ind w:left="104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138,341</w:t>
            </w:r>
          </w:p>
        </w:tc>
        <w:tc>
          <w:tcPr>
            <w:tcW w:w="2060" w:type="dxa"/>
            <w:vAlign w:val="bottom"/>
            <w:tcBorders>
              <w:bottom w:val="single" w:sz="8" w:color="134A9C"/>
              <w:right w:val="single" w:sz="8" w:color="134A9C"/>
            </w:tcBorders>
          </w:tcPr>
          <w:p>
            <w:pPr>
              <w:jc w:val="right"/>
              <w:ind w:right="368"/>
              <w:spacing w:after="0"/>
              <w:rPr>
                <w:sz w:val="20"/>
                <w:szCs w:val="20"/>
                <w:color w:val="auto"/>
              </w:rPr>
            </w:pPr>
            <w:r>
              <w:rPr>
                <w:rFonts w:ascii="Arial" w:cs="Arial" w:eastAsia="Arial" w:hAnsi="Arial"/>
                <w:sz w:val="14"/>
                <w:szCs w:val="14"/>
                <w:color w:val="auto"/>
              </w:rPr>
              <w:t>9,113</w:t>
            </w:r>
          </w:p>
        </w:tc>
        <w:tc>
          <w:tcPr>
            <w:tcW w:w="1780" w:type="dxa"/>
            <w:vAlign w:val="bottom"/>
            <w:tcBorders>
              <w:bottom w:val="single" w:sz="8" w:color="134A9C"/>
              <w:right w:val="single" w:sz="8" w:color="134A9C"/>
            </w:tcBorders>
          </w:tcPr>
          <w:p>
            <w:pPr>
              <w:jc w:val="right"/>
              <w:ind w:right="2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195,877</w:t>
            </w:r>
          </w:p>
        </w:tc>
      </w:tr>
      <w:tr>
        <w:trPr>
          <w:trHeight w:val="204"/>
        </w:trPr>
        <w:tc>
          <w:tcPr>
            <w:tcW w:w="19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Charles K. Stevens, III</w:t>
            </w:r>
          </w:p>
        </w:tc>
        <w:tc>
          <w:tcPr>
            <w:tcW w:w="108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SSU</w:t>
            </w:r>
          </w:p>
        </w:tc>
        <w:tc>
          <w:tcPr>
            <w:tcW w:w="1320" w:type="dxa"/>
            <w:vAlign w:val="bottom"/>
            <w:tcBorders>
              <w:right w:val="single" w:sz="8" w:color="134A9C"/>
            </w:tcBorders>
          </w:tcPr>
          <w:p>
            <w:pPr>
              <w:ind w:left="1040"/>
              <w:spacing w:after="0"/>
              <w:rPr>
                <w:sz w:val="20"/>
                <w:szCs w:val="20"/>
                <w:color w:val="auto"/>
              </w:rPr>
            </w:pPr>
            <w:r>
              <w:rPr>
                <w:rFonts w:ascii="Arial" w:cs="Arial" w:eastAsia="Arial" w:hAnsi="Arial"/>
                <w:sz w:val="14"/>
                <w:szCs w:val="14"/>
                <w:color w:val="auto"/>
              </w:rPr>
              <w:t>—</w:t>
            </w:r>
          </w:p>
        </w:tc>
        <w:tc>
          <w:tcPr>
            <w:tcW w:w="15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2060" w:type="dxa"/>
            <w:vAlign w:val="bottom"/>
            <w:tcBorders>
              <w:right w:val="single" w:sz="8" w:color="134A9C"/>
            </w:tcBorders>
          </w:tcPr>
          <w:p>
            <w:pPr>
              <w:jc w:val="right"/>
              <w:ind w:right="328"/>
              <w:spacing w:after="0"/>
              <w:rPr>
                <w:sz w:val="20"/>
                <w:szCs w:val="20"/>
                <w:color w:val="auto"/>
              </w:rPr>
            </w:pPr>
            <w:r>
              <w:rPr>
                <w:rFonts w:ascii="Arial" w:cs="Arial" w:eastAsia="Arial" w:hAnsi="Arial"/>
                <w:sz w:val="14"/>
                <w:szCs w:val="14"/>
                <w:color w:val="auto"/>
              </w:rPr>
              <w:t>(17,813)</w:t>
            </w:r>
          </w:p>
        </w:tc>
        <w:tc>
          <w:tcPr>
            <w:tcW w:w="1780" w:type="dxa"/>
            <w:vAlign w:val="bottom"/>
            <w:tcBorders>
              <w:right w:val="single" w:sz="8" w:color="134A9C"/>
            </w:tcBorders>
          </w:tcPr>
          <w:p>
            <w:pPr>
              <w:jc w:val="right"/>
              <w:ind w:right="228"/>
              <w:spacing w:after="0"/>
              <w:rPr>
                <w:sz w:val="20"/>
                <w:szCs w:val="20"/>
                <w:color w:val="auto"/>
              </w:rPr>
            </w:pPr>
            <w:r>
              <w:rPr>
                <w:rFonts w:ascii="Arial" w:cs="Arial" w:eastAsia="Arial" w:hAnsi="Arial"/>
                <w:sz w:val="14"/>
                <w:szCs w:val="14"/>
                <w:color w:val="auto"/>
              </w:rPr>
              <w:t>(42,401)</w:t>
            </w:r>
          </w:p>
        </w:tc>
        <w:tc>
          <w:tcPr>
            <w:tcW w:w="17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58,963</w:t>
            </w:r>
          </w:p>
        </w:tc>
      </w:tr>
      <w:tr>
        <w:trPr>
          <w:trHeight w:val="222"/>
        </w:trPr>
        <w:tc>
          <w:tcPr>
            <w:tcW w:w="1940" w:type="dxa"/>
            <w:vAlign w:val="bottom"/>
            <w:tcBorders>
              <w:left w:val="single" w:sz="8" w:color="134A9C"/>
              <w:bottom w:val="single" w:sz="8" w:color="134A9C"/>
              <w:right w:val="single" w:sz="8" w:color="134A9C"/>
            </w:tcBorders>
          </w:tcPr>
          <w:p>
            <w:pPr>
              <w:spacing w:after="0"/>
              <w:rPr>
                <w:sz w:val="19"/>
                <w:szCs w:val="19"/>
                <w:color w:val="auto"/>
              </w:rPr>
            </w:pPr>
          </w:p>
        </w:tc>
        <w:tc>
          <w:tcPr>
            <w:tcW w:w="10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DC ERP</w:t>
            </w:r>
          </w:p>
        </w:tc>
        <w:tc>
          <w:tcPr>
            <w:tcW w:w="1320" w:type="dxa"/>
            <w:vAlign w:val="bottom"/>
            <w:tcBorders>
              <w:bottom w:val="single" w:sz="8" w:color="134A9C"/>
              <w:right w:val="single" w:sz="8" w:color="134A9C"/>
            </w:tcBorders>
          </w:tcPr>
          <w:p>
            <w:pPr>
              <w:ind w:left="104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75,818</w:t>
            </w:r>
          </w:p>
        </w:tc>
        <w:tc>
          <w:tcPr>
            <w:tcW w:w="2060" w:type="dxa"/>
            <w:vAlign w:val="bottom"/>
            <w:tcBorders>
              <w:bottom w:val="single" w:sz="8" w:color="134A9C"/>
              <w:right w:val="single" w:sz="8" w:color="134A9C"/>
            </w:tcBorders>
          </w:tcPr>
          <w:p>
            <w:pPr>
              <w:jc w:val="right"/>
              <w:ind w:right="368"/>
              <w:spacing w:after="0"/>
              <w:rPr>
                <w:sz w:val="20"/>
                <w:szCs w:val="20"/>
                <w:color w:val="auto"/>
              </w:rPr>
            </w:pPr>
            <w:r>
              <w:rPr>
                <w:rFonts w:ascii="Arial" w:cs="Arial" w:eastAsia="Arial" w:hAnsi="Arial"/>
                <w:sz w:val="14"/>
                <w:szCs w:val="14"/>
                <w:color w:val="auto"/>
              </w:rPr>
              <w:t>2,494</w:t>
            </w:r>
          </w:p>
        </w:tc>
        <w:tc>
          <w:tcPr>
            <w:tcW w:w="1780" w:type="dxa"/>
            <w:vAlign w:val="bottom"/>
            <w:tcBorders>
              <w:bottom w:val="single" w:sz="8" w:color="134A9C"/>
              <w:right w:val="single" w:sz="8" w:color="134A9C"/>
            </w:tcBorders>
          </w:tcPr>
          <w:p>
            <w:pPr>
              <w:jc w:val="right"/>
              <w:ind w:right="2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90,337</w:t>
            </w:r>
          </w:p>
        </w:tc>
      </w:tr>
      <w:tr>
        <w:trPr>
          <w:trHeight w:val="204"/>
        </w:trPr>
        <w:tc>
          <w:tcPr>
            <w:tcW w:w="19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Ammann</w:t>
            </w:r>
          </w:p>
        </w:tc>
        <w:tc>
          <w:tcPr>
            <w:tcW w:w="108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SSU</w:t>
            </w:r>
          </w:p>
        </w:tc>
        <w:tc>
          <w:tcPr>
            <w:tcW w:w="1320" w:type="dxa"/>
            <w:vAlign w:val="bottom"/>
            <w:tcBorders>
              <w:right w:val="single" w:sz="8" w:color="134A9C"/>
            </w:tcBorders>
          </w:tcPr>
          <w:p>
            <w:pPr>
              <w:ind w:left="1040"/>
              <w:spacing w:after="0"/>
              <w:rPr>
                <w:sz w:val="20"/>
                <w:szCs w:val="20"/>
                <w:color w:val="auto"/>
              </w:rPr>
            </w:pPr>
            <w:r>
              <w:rPr>
                <w:rFonts w:ascii="Arial" w:cs="Arial" w:eastAsia="Arial" w:hAnsi="Arial"/>
                <w:sz w:val="14"/>
                <w:szCs w:val="14"/>
                <w:color w:val="auto"/>
              </w:rPr>
              <w:t>—</w:t>
            </w:r>
          </w:p>
        </w:tc>
        <w:tc>
          <w:tcPr>
            <w:tcW w:w="15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2060" w:type="dxa"/>
            <w:vAlign w:val="bottom"/>
            <w:tcBorders>
              <w:right w:val="single" w:sz="8" w:color="134A9C"/>
            </w:tcBorders>
          </w:tcPr>
          <w:p>
            <w:pPr>
              <w:jc w:val="right"/>
              <w:ind w:right="328"/>
              <w:spacing w:after="0"/>
              <w:rPr>
                <w:sz w:val="20"/>
                <w:szCs w:val="20"/>
                <w:color w:val="auto"/>
              </w:rPr>
            </w:pPr>
            <w:r>
              <w:rPr>
                <w:rFonts w:ascii="Arial" w:cs="Arial" w:eastAsia="Arial" w:hAnsi="Arial"/>
                <w:sz w:val="14"/>
                <w:szCs w:val="14"/>
                <w:color w:val="auto"/>
              </w:rPr>
              <w:t>(1,144,692)</w:t>
            </w:r>
          </w:p>
        </w:tc>
        <w:tc>
          <w:tcPr>
            <w:tcW w:w="1780" w:type="dxa"/>
            <w:vAlign w:val="bottom"/>
            <w:tcBorders>
              <w:right w:val="single" w:sz="8" w:color="134A9C"/>
            </w:tcBorders>
          </w:tcPr>
          <w:p>
            <w:pPr>
              <w:jc w:val="right"/>
              <w:ind w:right="228"/>
              <w:spacing w:after="0"/>
              <w:rPr>
                <w:sz w:val="20"/>
                <w:szCs w:val="20"/>
                <w:color w:val="auto"/>
              </w:rPr>
            </w:pPr>
            <w:r>
              <w:rPr>
                <w:rFonts w:ascii="Arial" w:cs="Arial" w:eastAsia="Arial" w:hAnsi="Arial"/>
                <w:sz w:val="14"/>
                <w:szCs w:val="14"/>
                <w:color w:val="auto"/>
              </w:rPr>
              <w:t>(3,204,381)</w:t>
            </w:r>
          </w:p>
        </w:tc>
        <w:tc>
          <w:tcPr>
            <w:tcW w:w="17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3,235,214</w:t>
            </w:r>
          </w:p>
        </w:tc>
      </w:tr>
      <w:tr>
        <w:trPr>
          <w:trHeight w:val="222"/>
        </w:trPr>
        <w:tc>
          <w:tcPr>
            <w:tcW w:w="1940" w:type="dxa"/>
            <w:vAlign w:val="bottom"/>
            <w:tcBorders>
              <w:left w:val="single" w:sz="8" w:color="134A9C"/>
              <w:bottom w:val="single" w:sz="8" w:color="134A9C"/>
              <w:right w:val="single" w:sz="8" w:color="134A9C"/>
            </w:tcBorders>
          </w:tcPr>
          <w:p>
            <w:pPr>
              <w:spacing w:after="0"/>
              <w:rPr>
                <w:sz w:val="19"/>
                <w:szCs w:val="19"/>
                <w:color w:val="auto"/>
              </w:rPr>
            </w:pPr>
          </w:p>
        </w:tc>
        <w:tc>
          <w:tcPr>
            <w:tcW w:w="10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DC ERP</w:t>
            </w:r>
          </w:p>
        </w:tc>
        <w:tc>
          <w:tcPr>
            <w:tcW w:w="1320" w:type="dxa"/>
            <w:vAlign w:val="bottom"/>
            <w:tcBorders>
              <w:bottom w:val="single" w:sz="8" w:color="134A9C"/>
              <w:right w:val="single" w:sz="8" w:color="134A9C"/>
            </w:tcBorders>
          </w:tcPr>
          <w:p>
            <w:pPr>
              <w:ind w:left="104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56,971</w:t>
            </w:r>
          </w:p>
        </w:tc>
        <w:tc>
          <w:tcPr>
            <w:tcW w:w="2060" w:type="dxa"/>
            <w:vAlign w:val="bottom"/>
            <w:tcBorders>
              <w:bottom w:val="single" w:sz="8" w:color="134A9C"/>
              <w:right w:val="single" w:sz="8" w:color="134A9C"/>
            </w:tcBorders>
          </w:tcPr>
          <w:p>
            <w:pPr>
              <w:jc w:val="right"/>
              <w:ind w:right="368"/>
              <w:spacing w:after="0"/>
              <w:rPr>
                <w:sz w:val="20"/>
                <w:szCs w:val="20"/>
                <w:color w:val="auto"/>
              </w:rPr>
            </w:pPr>
            <w:r>
              <w:rPr>
                <w:rFonts w:ascii="Arial" w:cs="Arial" w:eastAsia="Arial" w:hAnsi="Arial"/>
                <w:sz w:val="14"/>
                <w:szCs w:val="14"/>
                <w:color w:val="auto"/>
              </w:rPr>
              <w:t>1,126</w:t>
            </w:r>
          </w:p>
        </w:tc>
        <w:tc>
          <w:tcPr>
            <w:tcW w:w="1780" w:type="dxa"/>
            <w:vAlign w:val="bottom"/>
            <w:tcBorders>
              <w:bottom w:val="single" w:sz="8" w:color="134A9C"/>
              <w:right w:val="single" w:sz="8" w:color="134A9C"/>
            </w:tcBorders>
          </w:tcPr>
          <w:p>
            <w:pPr>
              <w:jc w:val="right"/>
              <w:ind w:right="2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64,649</w:t>
            </w:r>
          </w:p>
        </w:tc>
      </w:tr>
      <w:tr>
        <w:trPr>
          <w:trHeight w:val="204"/>
        </w:trPr>
        <w:tc>
          <w:tcPr>
            <w:tcW w:w="19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Mark L. Reuss</w:t>
            </w:r>
          </w:p>
        </w:tc>
        <w:tc>
          <w:tcPr>
            <w:tcW w:w="108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SSU</w:t>
            </w:r>
          </w:p>
        </w:tc>
        <w:tc>
          <w:tcPr>
            <w:tcW w:w="1320" w:type="dxa"/>
            <w:vAlign w:val="bottom"/>
            <w:tcBorders>
              <w:right w:val="single" w:sz="8" w:color="134A9C"/>
            </w:tcBorders>
          </w:tcPr>
          <w:p>
            <w:pPr>
              <w:ind w:left="1040"/>
              <w:spacing w:after="0"/>
              <w:rPr>
                <w:sz w:val="20"/>
                <w:szCs w:val="20"/>
                <w:color w:val="auto"/>
              </w:rPr>
            </w:pPr>
            <w:r>
              <w:rPr>
                <w:rFonts w:ascii="Arial" w:cs="Arial" w:eastAsia="Arial" w:hAnsi="Arial"/>
                <w:sz w:val="14"/>
                <w:szCs w:val="14"/>
                <w:color w:val="auto"/>
              </w:rPr>
              <w:t>—</w:t>
            </w:r>
          </w:p>
        </w:tc>
        <w:tc>
          <w:tcPr>
            <w:tcW w:w="15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2060" w:type="dxa"/>
            <w:vAlign w:val="bottom"/>
            <w:tcBorders>
              <w:right w:val="single" w:sz="8" w:color="134A9C"/>
            </w:tcBorders>
          </w:tcPr>
          <w:p>
            <w:pPr>
              <w:jc w:val="right"/>
              <w:ind w:right="328"/>
              <w:spacing w:after="0"/>
              <w:rPr>
                <w:sz w:val="20"/>
                <w:szCs w:val="20"/>
                <w:color w:val="auto"/>
              </w:rPr>
            </w:pPr>
            <w:r>
              <w:rPr>
                <w:rFonts w:ascii="Arial" w:cs="Arial" w:eastAsia="Arial" w:hAnsi="Arial"/>
                <w:sz w:val="14"/>
                <w:szCs w:val="14"/>
                <w:color w:val="auto"/>
              </w:rPr>
              <w:t>(950,765)</w:t>
            </w:r>
          </w:p>
        </w:tc>
        <w:tc>
          <w:tcPr>
            <w:tcW w:w="1780" w:type="dxa"/>
            <w:vAlign w:val="bottom"/>
            <w:tcBorders>
              <w:right w:val="single" w:sz="8" w:color="134A9C"/>
            </w:tcBorders>
          </w:tcPr>
          <w:p>
            <w:pPr>
              <w:jc w:val="right"/>
              <w:ind w:right="228"/>
              <w:spacing w:after="0"/>
              <w:rPr>
                <w:sz w:val="20"/>
                <w:szCs w:val="20"/>
                <w:color w:val="auto"/>
              </w:rPr>
            </w:pPr>
            <w:r>
              <w:rPr>
                <w:rFonts w:ascii="Arial" w:cs="Arial" w:eastAsia="Arial" w:hAnsi="Arial"/>
                <w:sz w:val="14"/>
                <w:szCs w:val="14"/>
                <w:color w:val="auto"/>
              </w:rPr>
              <w:t>(2,625,815)</w:t>
            </w:r>
          </w:p>
        </w:tc>
        <w:tc>
          <w:tcPr>
            <w:tcW w:w="17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2,727,414</w:t>
            </w:r>
          </w:p>
        </w:tc>
      </w:tr>
      <w:tr>
        <w:trPr>
          <w:trHeight w:val="222"/>
        </w:trPr>
        <w:tc>
          <w:tcPr>
            <w:tcW w:w="1940" w:type="dxa"/>
            <w:vAlign w:val="bottom"/>
            <w:tcBorders>
              <w:left w:val="single" w:sz="8" w:color="134A9C"/>
              <w:bottom w:val="single" w:sz="8" w:color="134A9C"/>
              <w:right w:val="single" w:sz="8" w:color="134A9C"/>
            </w:tcBorders>
          </w:tcPr>
          <w:p>
            <w:pPr>
              <w:spacing w:after="0"/>
              <w:rPr>
                <w:sz w:val="19"/>
                <w:szCs w:val="19"/>
                <w:color w:val="auto"/>
              </w:rPr>
            </w:pPr>
          </w:p>
        </w:tc>
        <w:tc>
          <w:tcPr>
            <w:tcW w:w="10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DC ERP</w:t>
            </w:r>
          </w:p>
        </w:tc>
        <w:tc>
          <w:tcPr>
            <w:tcW w:w="1320" w:type="dxa"/>
            <w:vAlign w:val="bottom"/>
            <w:tcBorders>
              <w:bottom w:val="single" w:sz="8" w:color="134A9C"/>
              <w:right w:val="single" w:sz="8" w:color="134A9C"/>
            </w:tcBorders>
          </w:tcPr>
          <w:p>
            <w:pPr>
              <w:ind w:left="104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58,621</w:t>
            </w:r>
          </w:p>
        </w:tc>
        <w:tc>
          <w:tcPr>
            <w:tcW w:w="2060" w:type="dxa"/>
            <w:vAlign w:val="bottom"/>
            <w:tcBorders>
              <w:bottom w:val="single" w:sz="8" w:color="134A9C"/>
              <w:right w:val="single" w:sz="8" w:color="134A9C"/>
            </w:tcBorders>
          </w:tcPr>
          <w:p>
            <w:pPr>
              <w:jc w:val="right"/>
              <w:ind w:right="368"/>
              <w:spacing w:after="0"/>
              <w:rPr>
                <w:sz w:val="20"/>
                <w:szCs w:val="20"/>
                <w:color w:val="auto"/>
              </w:rPr>
            </w:pPr>
            <w:r>
              <w:rPr>
                <w:rFonts w:ascii="Arial" w:cs="Arial" w:eastAsia="Arial" w:hAnsi="Arial"/>
                <w:sz w:val="14"/>
                <w:szCs w:val="14"/>
                <w:color w:val="auto"/>
              </w:rPr>
              <w:t>1,372</w:t>
            </w:r>
          </w:p>
        </w:tc>
        <w:tc>
          <w:tcPr>
            <w:tcW w:w="1780" w:type="dxa"/>
            <w:vAlign w:val="bottom"/>
            <w:tcBorders>
              <w:bottom w:val="single" w:sz="8" w:color="134A9C"/>
              <w:right w:val="single" w:sz="8" w:color="134A9C"/>
            </w:tcBorders>
          </w:tcPr>
          <w:p>
            <w:pPr>
              <w:jc w:val="right"/>
              <w:ind w:right="2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70,928</w:t>
            </w:r>
          </w:p>
        </w:tc>
      </w:tr>
      <w:tr>
        <w:trPr>
          <w:trHeight w:val="204"/>
        </w:trPr>
        <w:tc>
          <w:tcPr>
            <w:tcW w:w="19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Michael P. Millikin</w:t>
            </w:r>
          </w:p>
        </w:tc>
        <w:tc>
          <w:tcPr>
            <w:tcW w:w="108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SSU</w:t>
            </w:r>
          </w:p>
        </w:tc>
        <w:tc>
          <w:tcPr>
            <w:tcW w:w="1320" w:type="dxa"/>
            <w:vAlign w:val="bottom"/>
            <w:tcBorders>
              <w:right w:val="single" w:sz="8" w:color="134A9C"/>
            </w:tcBorders>
          </w:tcPr>
          <w:p>
            <w:pPr>
              <w:ind w:left="1040"/>
              <w:spacing w:after="0"/>
              <w:rPr>
                <w:sz w:val="20"/>
                <w:szCs w:val="20"/>
                <w:color w:val="auto"/>
              </w:rPr>
            </w:pPr>
            <w:r>
              <w:rPr>
                <w:rFonts w:ascii="Arial" w:cs="Arial" w:eastAsia="Arial" w:hAnsi="Arial"/>
                <w:sz w:val="14"/>
                <w:szCs w:val="14"/>
                <w:color w:val="auto"/>
              </w:rPr>
              <w:t>—</w:t>
            </w:r>
          </w:p>
        </w:tc>
        <w:tc>
          <w:tcPr>
            <w:tcW w:w="15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2060" w:type="dxa"/>
            <w:vAlign w:val="bottom"/>
            <w:tcBorders>
              <w:right w:val="single" w:sz="8" w:color="134A9C"/>
            </w:tcBorders>
          </w:tcPr>
          <w:p>
            <w:pPr>
              <w:jc w:val="right"/>
              <w:ind w:right="328"/>
              <w:spacing w:after="0"/>
              <w:rPr>
                <w:sz w:val="20"/>
                <w:szCs w:val="20"/>
                <w:color w:val="auto"/>
              </w:rPr>
            </w:pPr>
            <w:r>
              <w:rPr>
                <w:rFonts w:ascii="Arial" w:cs="Arial" w:eastAsia="Arial" w:hAnsi="Arial"/>
                <w:sz w:val="14"/>
                <w:szCs w:val="14"/>
                <w:color w:val="auto"/>
              </w:rPr>
              <w:t>(1,095,884)</w:t>
            </w:r>
          </w:p>
        </w:tc>
        <w:tc>
          <w:tcPr>
            <w:tcW w:w="1780" w:type="dxa"/>
            <w:vAlign w:val="bottom"/>
            <w:tcBorders>
              <w:right w:val="single" w:sz="8" w:color="134A9C"/>
            </w:tcBorders>
          </w:tcPr>
          <w:p>
            <w:pPr>
              <w:jc w:val="right"/>
              <w:ind w:right="228"/>
              <w:spacing w:after="0"/>
              <w:rPr>
                <w:sz w:val="20"/>
                <w:szCs w:val="20"/>
                <w:color w:val="auto"/>
              </w:rPr>
            </w:pPr>
            <w:r>
              <w:rPr>
                <w:rFonts w:ascii="Arial" w:cs="Arial" w:eastAsia="Arial" w:hAnsi="Arial"/>
                <w:sz w:val="14"/>
                <w:szCs w:val="14"/>
                <w:color w:val="auto"/>
              </w:rPr>
              <w:t>(1,095,884)</w:t>
            </w:r>
          </w:p>
        </w:tc>
        <w:tc>
          <w:tcPr>
            <w:tcW w:w="17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3,077,701</w:t>
            </w:r>
          </w:p>
        </w:tc>
      </w:tr>
      <w:tr>
        <w:trPr>
          <w:trHeight w:val="222"/>
        </w:trPr>
        <w:tc>
          <w:tcPr>
            <w:tcW w:w="1940" w:type="dxa"/>
            <w:vAlign w:val="bottom"/>
            <w:tcBorders>
              <w:left w:val="single" w:sz="8" w:color="134A9C"/>
              <w:bottom w:val="single" w:sz="8" w:color="134A9C"/>
              <w:right w:val="single" w:sz="8" w:color="134A9C"/>
            </w:tcBorders>
          </w:tcPr>
          <w:p>
            <w:pPr>
              <w:spacing w:after="0"/>
              <w:rPr>
                <w:sz w:val="19"/>
                <w:szCs w:val="19"/>
                <w:color w:val="auto"/>
              </w:rPr>
            </w:pPr>
          </w:p>
        </w:tc>
        <w:tc>
          <w:tcPr>
            <w:tcW w:w="10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DC ERP</w:t>
            </w:r>
          </w:p>
        </w:tc>
        <w:tc>
          <w:tcPr>
            <w:tcW w:w="1320" w:type="dxa"/>
            <w:vAlign w:val="bottom"/>
            <w:tcBorders>
              <w:bottom w:val="single" w:sz="8" w:color="134A9C"/>
              <w:right w:val="single" w:sz="8" w:color="134A9C"/>
            </w:tcBorders>
          </w:tcPr>
          <w:p>
            <w:pPr>
              <w:ind w:left="104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43,750</w:t>
            </w:r>
          </w:p>
        </w:tc>
        <w:tc>
          <w:tcPr>
            <w:tcW w:w="2060" w:type="dxa"/>
            <w:vAlign w:val="bottom"/>
            <w:tcBorders>
              <w:bottom w:val="single" w:sz="8" w:color="134A9C"/>
              <w:right w:val="single" w:sz="8" w:color="134A9C"/>
            </w:tcBorders>
          </w:tcPr>
          <w:p>
            <w:pPr>
              <w:jc w:val="right"/>
              <w:ind w:right="368"/>
              <w:spacing w:after="0"/>
              <w:rPr>
                <w:sz w:val="20"/>
                <w:szCs w:val="20"/>
                <w:color w:val="auto"/>
              </w:rPr>
            </w:pPr>
            <w:r>
              <w:rPr>
                <w:rFonts w:ascii="Arial" w:cs="Arial" w:eastAsia="Arial" w:hAnsi="Arial"/>
                <w:sz w:val="14"/>
                <w:szCs w:val="14"/>
                <w:color w:val="auto"/>
              </w:rPr>
              <w:t>1,190</w:t>
            </w:r>
          </w:p>
        </w:tc>
        <w:tc>
          <w:tcPr>
            <w:tcW w:w="1780" w:type="dxa"/>
            <w:vAlign w:val="bottom"/>
            <w:tcBorders>
              <w:bottom w:val="single" w:sz="8" w:color="134A9C"/>
              <w:right w:val="single" w:sz="8" w:color="134A9C"/>
            </w:tcBorders>
          </w:tcPr>
          <w:p>
            <w:pPr>
              <w:jc w:val="right"/>
              <w:ind w:right="2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69,788</w:t>
            </w:r>
          </w:p>
        </w:tc>
      </w:tr>
      <w:tr>
        <w:trPr>
          <w:trHeight w:val="204"/>
        </w:trPr>
        <w:tc>
          <w:tcPr>
            <w:tcW w:w="19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Karl-Thomas Neumann</w:t>
            </w:r>
          </w:p>
        </w:tc>
        <w:tc>
          <w:tcPr>
            <w:tcW w:w="108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SSU</w:t>
            </w:r>
          </w:p>
        </w:tc>
        <w:tc>
          <w:tcPr>
            <w:tcW w:w="1320" w:type="dxa"/>
            <w:vAlign w:val="bottom"/>
            <w:tcBorders>
              <w:right w:val="single" w:sz="8" w:color="134A9C"/>
            </w:tcBorders>
          </w:tcPr>
          <w:p>
            <w:pPr>
              <w:ind w:left="1040"/>
              <w:spacing w:after="0"/>
              <w:rPr>
                <w:sz w:val="20"/>
                <w:szCs w:val="20"/>
                <w:color w:val="auto"/>
              </w:rPr>
            </w:pPr>
            <w:r>
              <w:rPr>
                <w:rFonts w:ascii="Arial" w:cs="Arial" w:eastAsia="Arial" w:hAnsi="Arial"/>
                <w:sz w:val="14"/>
                <w:szCs w:val="14"/>
                <w:color w:val="auto"/>
              </w:rPr>
              <w:t>—</w:t>
            </w:r>
          </w:p>
        </w:tc>
        <w:tc>
          <w:tcPr>
            <w:tcW w:w="15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2060" w:type="dxa"/>
            <w:vAlign w:val="bottom"/>
            <w:tcBorders>
              <w:right w:val="single" w:sz="8" w:color="134A9C"/>
            </w:tcBorders>
          </w:tcPr>
          <w:p>
            <w:pPr>
              <w:jc w:val="right"/>
              <w:ind w:right="328"/>
              <w:spacing w:after="0"/>
              <w:rPr>
                <w:sz w:val="20"/>
                <w:szCs w:val="20"/>
                <w:color w:val="auto"/>
              </w:rPr>
            </w:pPr>
            <w:r>
              <w:rPr>
                <w:rFonts w:ascii="Arial" w:cs="Arial" w:eastAsia="Arial" w:hAnsi="Arial"/>
                <w:sz w:val="14"/>
                <w:szCs w:val="14"/>
                <w:color w:val="auto"/>
              </w:rPr>
              <w:t>(384,083)</w:t>
            </w:r>
          </w:p>
        </w:tc>
        <w:tc>
          <w:tcPr>
            <w:tcW w:w="1780" w:type="dxa"/>
            <w:vAlign w:val="bottom"/>
            <w:tcBorders>
              <w:right w:val="single" w:sz="8" w:color="134A9C"/>
            </w:tcBorders>
          </w:tcPr>
          <w:p>
            <w:pPr>
              <w:jc w:val="right"/>
              <w:ind w:right="228"/>
              <w:spacing w:after="0"/>
              <w:rPr>
                <w:sz w:val="20"/>
                <w:szCs w:val="20"/>
                <w:color w:val="auto"/>
              </w:rPr>
            </w:pPr>
            <w:r>
              <w:rPr>
                <w:rFonts w:ascii="Arial" w:cs="Arial" w:eastAsia="Arial" w:hAnsi="Arial"/>
                <w:sz w:val="14"/>
                <w:szCs w:val="14"/>
                <w:color w:val="auto"/>
              </w:rPr>
              <w:t>(726,735)</w:t>
            </w:r>
          </w:p>
        </w:tc>
        <w:tc>
          <w:tcPr>
            <w:tcW w:w="17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1,468,978</w:t>
            </w:r>
          </w:p>
        </w:tc>
      </w:tr>
      <w:tr>
        <w:trPr>
          <w:trHeight w:val="282"/>
        </w:trPr>
        <w:tc>
          <w:tcPr>
            <w:tcW w:w="1940" w:type="dxa"/>
            <w:vAlign w:val="bottom"/>
            <w:tcBorders>
              <w:left w:val="single" w:sz="8" w:color="134A9C"/>
              <w:bottom w:val="single" w:sz="8" w:color="134A9C"/>
              <w:right w:val="single" w:sz="8" w:color="134A9C"/>
            </w:tcBorders>
          </w:tcPr>
          <w:p>
            <w:pPr>
              <w:spacing w:after="0"/>
              <w:rPr>
                <w:sz w:val="24"/>
                <w:szCs w:val="24"/>
                <w:color w:val="auto"/>
              </w:rPr>
            </w:pPr>
          </w:p>
        </w:tc>
        <w:tc>
          <w:tcPr>
            <w:tcW w:w="1080" w:type="dxa"/>
            <w:vAlign w:val="bottom"/>
            <w:tcBorders>
              <w:bottom w:val="single" w:sz="8" w:color="134A9C"/>
              <w:right w:val="single" w:sz="8" w:color="134A9C"/>
            </w:tcBorders>
          </w:tcPr>
          <w:p>
            <w:pPr>
              <w:spacing w:after="0"/>
              <w:rPr>
                <w:sz w:val="24"/>
                <w:szCs w:val="24"/>
                <w:color w:val="auto"/>
              </w:rPr>
            </w:pPr>
          </w:p>
        </w:tc>
        <w:tc>
          <w:tcPr>
            <w:tcW w:w="1320" w:type="dxa"/>
            <w:vAlign w:val="bottom"/>
            <w:tcBorders>
              <w:bottom w:val="single" w:sz="8" w:color="134A9C"/>
              <w:right w:val="single" w:sz="8" w:color="134A9C"/>
            </w:tcBorders>
          </w:tcPr>
          <w:p>
            <w:pPr>
              <w:spacing w:after="0"/>
              <w:rPr>
                <w:sz w:val="24"/>
                <w:szCs w:val="24"/>
                <w:color w:val="auto"/>
              </w:rPr>
            </w:pPr>
          </w:p>
        </w:tc>
        <w:tc>
          <w:tcPr>
            <w:tcW w:w="1520" w:type="dxa"/>
            <w:vAlign w:val="bottom"/>
            <w:tcBorders>
              <w:bottom w:val="single" w:sz="8" w:color="134A9C"/>
              <w:right w:val="single" w:sz="8" w:color="134A9C"/>
            </w:tcBorders>
          </w:tcPr>
          <w:p>
            <w:pPr>
              <w:spacing w:after="0"/>
              <w:rPr>
                <w:sz w:val="24"/>
                <w:szCs w:val="24"/>
                <w:color w:val="auto"/>
              </w:rPr>
            </w:pPr>
          </w:p>
        </w:tc>
        <w:tc>
          <w:tcPr>
            <w:tcW w:w="2060" w:type="dxa"/>
            <w:vAlign w:val="bottom"/>
            <w:tcBorders>
              <w:bottom w:val="single" w:sz="8" w:color="134A9C"/>
              <w:right w:val="single" w:sz="8" w:color="134A9C"/>
            </w:tcBorders>
          </w:tcPr>
          <w:p>
            <w:pPr>
              <w:spacing w:after="0"/>
              <w:rPr>
                <w:sz w:val="24"/>
                <w:szCs w:val="24"/>
                <w:color w:val="auto"/>
              </w:rPr>
            </w:pPr>
          </w:p>
        </w:tc>
        <w:tc>
          <w:tcPr>
            <w:tcW w:w="1780" w:type="dxa"/>
            <w:vAlign w:val="bottom"/>
            <w:tcBorders>
              <w:bottom w:val="single" w:sz="8" w:color="134A9C"/>
              <w:right w:val="single" w:sz="8" w:color="134A9C"/>
            </w:tcBorders>
          </w:tcPr>
          <w:p>
            <w:pPr>
              <w:spacing w:after="0"/>
              <w:rPr>
                <w:sz w:val="24"/>
                <w:szCs w:val="24"/>
                <w:color w:val="auto"/>
              </w:rPr>
            </w:pPr>
          </w:p>
        </w:tc>
        <w:tc>
          <w:tcPr>
            <w:tcW w:w="1740" w:type="dxa"/>
            <w:vAlign w:val="bottom"/>
            <w:tcBorders>
              <w:bottom w:val="single" w:sz="8" w:color="134A9C"/>
              <w:right w:val="single" w:sz="8" w:color="134A9C"/>
            </w:tcBorders>
          </w:tcPr>
          <w:p>
            <w:pPr>
              <w:spacing w:after="0"/>
              <w:rPr>
                <w:sz w:val="24"/>
                <w:szCs w:val="24"/>
                <w:color w:val="auto"/>
              </w:rPr>
            </w:pPr>
          </w:p>
        </w:tc>
      </w:tr>
      <w:tr>
        <w:trPr>
          <w:trHeight w:val="198"/>
        </w:trPr>
        <w:tc>
          <w:tcPr>
            <w:tcW w:w="194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4"/>
                <w:szCs w:val="14"/>
                <w:color w:val="auto"/>
              </w:rPr>
              <w:t>Daniel F. Akerson</w:t>
            </w:r>
          </w:p>
        </w:tc>
        <w:tc>
          <w:tcPr>
            <w:tcW w:w="1080" w:type="dxa"/>
            <w:vAlign w:val="bottom"/>
            <w:tcBorders>
              <w:right w:val="single" w:sz="8" w:color="134A9C"/>
            </w:tcBorders>
          </w:tcPr>
          <w:p>
            <w:pPr>
              <w:jc w:val="center"/>
              <w:spacing w:after="0"/>
              <w:rPr>
                <w:sz w:val="20"/>
                <w:szCs w:val="20"/>
                <w:color w:val="auto"/>
              </w:rPr>
            </w:pPr>
            <w:r>
              <w:rPr>
                <w:rFonts w:ascii="Arial" w:cs="Arial" w:eastAsia="Arial" w:hAnsi="Arial"/>
                <w:sz w:val="14"/>
                <w:szCs w:val="14"/>
                <w:color w:val="auto"/>
              </w:rPr>
              <w:t>SSU</w:t>
            </w:r>
          </w:p>
        </w:tc>
        <w:tc>
          <w:tcPr>
            <w:tcW w:w="1320" w:type="dxa"/>
            <w:vAlign w:val="bottom"/>
            <w:tcBorders>
              <w:right w:val="single" w:sz="8" w:color="134A9C"/>
            </w:tcBorders>
          </w:tcPr>
          <w:p>
            <w:pPr>
              <w:ind w:left="1040"/>
              <w:spacing w:after="0"/>
              <w:rPr>
                <w:sz w:val="20"/>
                <w:szCs w:val="20"/>
                <w:color w:val="auto"/>
              </w:rPr>
            </w:pPr>
            <w:r>
              <w:rPr>
                <w:rFonts w:ascii="Arial" w:cs="Arial" w:eastAsia="Arial" w:hAnsi="Arial"/>
                <w:sz w:val="14"/>
                <w:szCs w:val="14"/>
                <w:color w:val="auto"/>
              </w:rPr>
              <w:t>—</w:t>
            </w:r>
          </w:p>
        </w:tc>
        <w:tc>
          <w:tcPr>
            <w:tcW w:w="152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c>
          <w:tcPr>
            <w:tcW w:w="2060" w:type="dxa"/>
            <w:vAlign w:val="bottom"/>
            <w:tcBorders>
              <w:right w:val="single" w:sz="8" w:color="134A9C"/>
            </w:tcBorders>
          </w:tcPr>
          <w:p>
            <w:pPr>
              <w:jc w:val="right"/>
              <w:ind w:right="328"/>
              <w:spacing w:after="0"/>
              <w:rPr>
                <w:sz w:val="20"/>
                <w:szCs w:val="20"/>
                <w:color w:val="auto"/>
              </w:rPr>
            </w:pPr>
            <w:r>
              <w:rPr>
                <w:rFonts w:ascii="Arial" w:cs="Arial" w:eastAsia="Arial" w:hAnsi="Arial"/>
                <w:sz w:val="14"/>
                <w:szCs w:val="14"/>
                <w:color w:val="auto"/>
              </w:rPr>
              <w:t>(3,070,920)</w:t>
            </w:r>
          </w:p>
        </w:tc>
        <w:tc>
          <w:tcPr>
            <w:tcW w:w="1780" w:type="dxa"/>
            <w:vAlign w:val="bottom"/>
            <w:tcBorders>
              <w:right w:val="single" w:sz="8" w:color="134A9C"/>
            </w:tcBorders>
          </w:tcPr>
          <w:p>
            <w:pPr>
              <w:jc w:val="right"/>
              <w:ind w:right="228"/>
              <w:spacing w:after="0"/>
              <w:rPr>
                <w:sz w:val="20"/>
                <w:szCs w:val="20"/>
                <w:color w:val="auto"/>
              </w:rPr>
            </w:pPr>
            <w:r>
              <w:rPr>
                <w:rFonts w:ascii="Arial" w:cs="Arial" w:eastAsia="Arial" w:hAnsi="Arial"/>
                <w:sz w:val="14"/>
                <w:szCs w:val="14"/>
                <w:color w:val="auto"/>
              </w:rPr>
              <w:t>(8,594,192)</w:t>
            </w:r>
          </w:p>
        </w:tc>
        <w:tc>
          <w:tcPr>
            <w:tcW w:w="1740" w:type="dxa"/>
            <w:vAlign w:val="bottom"/>
            <w:tcBorders>
              <w:right w:val="single" w:sz="8" w:color="134A9C"/>
            </w:tcBorders>
          </w:tcPr>
          <w:p>
            <w:pPr>
              <w:jc w:val="right"/>
              <w:ind w:right="48"/>
              <w:spacing w:after="0"/>
              <w:rPr>
                <w:sz w:val="20"/>
                <w:szCs w:val="20"/>
                <w:color w:val="auto"/>
              </w:rPr>
            </w:pPr>
            <w:r>
              <w:rPr>
                <w:rFonts w:ascii="Arial" w:cs="Arial" w:eastAsia="Arial" w:hAnsi="Arial"/>
                <w:sz w:val="14"/>
                <w:szCs w:val="14"/>
                <w:color w:val="auto"/>
              </w:rPr>
              <w:t>8,685,817</w:t>
            </w:r>
          </w:p>
        </w:tc>
      </w:tr>
      <w:tr>
        <w:trPr>
          <w:trHeight w:val="222"/>
        </w:trPr>
        <w:tc>
          <w:tcPr>
            <w:tcW w:w="1940" w:type="dxa"/>
            <w:vAlign w:val="bottom"/>
            <w:tcBorders>
              <w:left w:val="single" w:sz="8" w:color="134A9C"/>
              <w:bottom w:val="single" w:sz="8" w:color="134A9C"/>
              <w:right w:val="single" w:sz="8" w:color="134A9C"/>
            </w:tcBorders>
          </w:tcPr>
          <w:p>
            <w:pPr>
              <w:spacing w:after="0"/>
              <w:rPr>
                <w:sz w:val="19"/>
                <w:szCs w:val="19"/>
                <w:color w:val="auto"/>
              </w:rPr>
            </w:pPr>
          </w:p>
        </w:tc>
        <w:tc>
          <w:tcPr>
            <w:tcW w:w="1080" w:type="dxa"/>
            <w:vAlign w:val="bottom"/>
            <w:tcBorders>
              <w:bottom w:val="single" w:sz="8" w:color="134A9C"/>
              <w:right w:val="single" w:sz="8" w:color="134A9C"/>
            </w:tcBorders>
          </w:tcPr>
          <w:p>
            <w:pPr>
              <w:jc w:val="center"/>
              <w:spacing w:after="0"/>
              <w:rPr>
                <w:sz w:val="20"/>
                <w:szCs w:val="20"/>
                <w:color w:val="auto"/>
              </w:rPr>
            </w:pPr>
            <w:r>
              <w:rPr>
                <w:rFonts w:ascii="Arial" w:cs="Arial" w:eastAsia="Arial" w:hAnsi="Arial"/>
                <w:sz w:val="14"/>
                <w:szCs w:val="14"/>
                <w:color w:val="auto"/>
              </w:rPr>
              <w:t>DC ERP</w:t>
            </w:r>
          </w:p>
        </w:tc>
        <w:tc>
          <w:tcPr>
            <w:tcW w:w="1320" w:type="dxa"/>
            <w:vAlign w:val="bottom"/>
            <w:tcBorders>
              <w:bottom w:val="single" w:sz="8" w:color="134A9C"/>
              <w:right w:val="single" w:sz="8" w:color="134A9C"/>
            </w:tcBorders>
          </w:tcPr>
          <w:p>
            <w:pPr>
              <w:ind w:left="104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47,200</w:t>
            </w:r>
          </w:p>
        </w:tc>
        <w:tc>
          <w:tcPr>
            <w:tcW w:w="2060" w:type="dxa"/>
            <w:vAlign w:val="bottom"/>
            <w:tcBorders>
              <w:bottom w:val="single" w:sz="8" w:color="134A9C"/>
              <w:right w:val="single" w:sz="8" w:color="134A9C"/>
            </w:tcBorders>
          </w:tcPr>
          <w:p>
            <w:pPr>
              <w:jc w:val="right"/>
              <w:ind w:right="368"/>
              <w:spacing w:after="0"/>
              <w:rPr>
                <w:sz w:val="20"/>
                <w:szCs w:val="20"/>
                <w:color w:val="auto"/>
              </w:rPr>
            </w:pPr>
            <w:r>
              <w:rPr>
                <w:rFonts w:ascii="Arial" w:cs="Arial" w:eastAsia="Arial" w:hAnsi="Arial"/>
                <w:sz w:val="14"/>
                <w:szCs w:val="14"/>
                <w:color w:val="auto"/>
              </w:rPr>
              <w:t>1,736</w:t>
            </w:r>
          </w:p>
        </w:tc>
        <w:tc>
          <w:tcPr>
            <w:tcW w:w="1780" w:type="dxa"/>
            <w:vAlign w:val="bottom"/>
            <w:tcBorders>
              <w:bottom w:val="single" w:sz="8" w:color="134A9C"/>
              <w:right w:val="single" w:sz="8" w:color="134A9C"/>
            </w:tcBorders>
          </w:tcPr>
          <w:p>
            <w:pPr>
              <w:jc w:val="right"/>
              <w:ind w:right="228"/>
              <w:spacing w:after="0"/>
              <w:rPr>
                <w:sz w:val="20"/>
                <w:szCs w:val="20"/>
                <w:color w:val="auto"/>
              </w:rPr>
            </w:pPr>
            <w:r>
              <w:rPr>
                <w:rFonts w:ascii="Arial" w:cs="Arial" w:eastAsia="Arial" w:hAnsi="Arial"/>
                <w:sz w:val="14"/>
                <w:szCs w:val="14"/>
                <w:color w:val="auto"/>
              </w:rPr>
              <w:t>(54,585)</w:t>
            </w:r>
          </w:p>
        </w:tc>
        <w:tc>
          <w:tcPr>
            <w:tcW w:w="1740" w:type="dxa"/>
            <w:vAlign w:val="bottom"/>
            <w:tcBorders>
              <w:bottom w:val="single" w:sz="8" w:color="134A9C"/>
              <w:right w:val="single" w:sz="8" w:color="134A9C"/>
            </w:tcBorders>
          </w:tcPr>
          <w:p>
            <w:pPr>
              <w:jc w:val="right"/>
              <w:ind w:right="48"/>
              <w:spacing w:after="0"/>
              <w:rPr>
                <w:sz w:val="20"/>
                <w:szCs w:val="20"/>
                <w:color w:val="auto"/>
              </w:rPr>
            </w:pPr>
            <w:r>
              <w:rPr>
                <w:rFonts w:ascii="Arial" w:cs="Arial" w:eastAsia="Arial" w:hAnsi="Arial"/>
                <w:sz w:val="14"/>
                <w:szCs w:val="14"/>
                <w:color w:val="auto"/>
              </w:rPr>
              <w:t>—</w:t>
            </w:r>
          </w:p>
        </w:tc>
      </w:tr>
    </w:tbl>
    <w:p>
      <w:pPr>
        <w:spacing w:after="0" w:line="5"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No SSUs were granted in 2014, as the Company was no longer under TARP.</w:t>
      </w:r>
    </w:p>
    <w:p>
      <w:pPr>
        <w:spacing w:after="0" w:line="1" w:lineRule="exact"/>
        <w:rPr>
          <w:rFonts w:ascii="Arial" w:cs="Arial" w:eastAsia="Arial" w:hAnsi="Arial"/>
          <w:sz w:val="14"/>
          <w:szCs w:val="14"/>
          <w:color w:val="auto"/>
        </w:rPr>
      </w:pPr>
    </w:p>
    <w:p>
      <w:pPr>
        <w:jc w:val="both"/>
        <w:ind w:left="340" w:right="20" w:hanging="332"/>
        <w:spacing w:after="0" w:line="241"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Earnings that may be included in the “Aggregate Earnings in the Last Fiscal Year” column are not reported in the “Change in Pension Value and Non-qualified Deferred Compensation” totals and footnote 6 included in the “2014 Summary Compensation Table” on page 52, because we do not pay above-market earnings on U.S. deferred compensation.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Payments of SSUs granted on various dates and at various share prices were made to each of the NEOs pursuant to TARP restrictions.</w:t>
      </w:r>
    </w:p>
    <w:p>
      <w:pPr>
        <w:spacing w:after="0" w:line="200" w:lineRule="exact"/>
        <w:rPr>
          <w:sz w:val="20"/>
          <w:szCs w:val="20"/>
          <w:color w:val="auto"/>
        </w:rPr>
      </w:pPr>
    </w:p>
    <w:p>
      <w:pPr>
        <w:spacing w:after="0" w:line="201"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58</w:t>
      </w:r>
      <w:r>
        <w:rPr>
          <w:sz w:val="20"/>
          <w:szCs w:val="20"/>
          <w:color w:val="auto"/>
        </w:rPr>
        <w:tab/>
      </w:r>
      <w:r>
        <w:rPr>
          <w:sz w:val="1"/>
          <w:szCs w:val="1"/>
          <w:color w:val="auto"/>
        </w:rPr>
        <w:drawing>
          <wp:inline distT="0" distB="0" distL="0" distR="0">
            <wp:extent cx="120015" cy="12001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sectPr>
      </w:pPr>
    </w:p>
    <w:bookmarkStart w:id="62" w:name="page63"/>
    <w:bookmarkEnd w:id="62"/>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Potential Payments Upon Termination or Change in Control</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does not maintain individual employment agreements with any U.S.-based NEO that provides guaranteed payments in the event of a termination of employment or change in control. In the event that a U.S. NEO’s position with the Company is eliminated, including the elimination of the NEO’s position as a result of a change in control, the NEO would be eligible for severance pay under the GM Executive Severance Program. Dr. Neumann has an employment agreement that requires the Company provide a notice period of 12 months unless there is a termination for cause event.</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table below shows the potential payments to each NEO assuming a termination of employment on December 31, 2014 due to each of the following: voluntary separation or termination for cause; mutual separation; full career status retirement; disability; death; and change in control with termination of employment. Each of the separation events is described in more detail below. These provisions are generally applicable to participants in each of the applicable plans and they are not reserved only for NEOs. The payments below are in addition to the present value of the accumulated benefits from each NEOs qualified and non-qualified pension plans shown in the Pension Benefits Table on page 58, and the aggregate balance due to each NEO that is shown in the Nonqualified Deferred Compensation Table on page 58.</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following table, the Company describes these terminations and potential payments:</w:t>
      </w:r>
    </w:p>
    <w:p>
      <w:pPr>
        <w:spacing w:after="0" w:line="109" w:lineRule="exact"/>
        <w:rPr>
          <w:sz w:val="20"/>
          <w:szCs w:val="20"/>
          <w:color w:val="auto"/>
        </w:rPr>
      </w:pPr>
    </w:p>
    <w:p>
      <w:pPr>
        <w:jc w:val="both"/>
        <w:ind w:left="340" w:hanging="332"/>
        <w:spacing w:after="0" w:line="259" w:lineRule="auto"/>
        <w:tabs>
          <w:tab w:leader="none" w:pos="340" w:val="left"/>
        </w:tabs>
        <w:numPr>
          <w:ilvl w:val="0"/>
          <w:numId w:val="78"/>
        </w:numPr>
        <w:rPr>
          <w:rFonts w:ascii="Arial" w:cs="Arial" w:eastAsia="Arial" w:hAnsi="Arial"/>
          <w:sz w:val="18"/>
          <w:szCs w:val="18"/>
          <w:color w:val="134A9C"/>
        </w:rPr>
      </w:pPr>
      <w:r>
        <w:rPr>
          <w:rFonts w:ascii="Arial" w:cs="Arial" w:eastAsia="Arial" w:hAnsi="Arial"/>
          <w:sz w:val="18"/>
          <w:szCs w:val="18"/>
          <w:b w:val="1"/>
          <w:bCs w:val="1"/>
          <w:color w:val="0033A0"/>
        </w:rPr>
        <w:t xml:space="preserve">Voluntary Separation or Termination for Cause - </w:t>
      </w:r>
      <w:r>
        <w:rPr>
          <w:rFonts w:ascii="Arial" w:cs="Arial" w:eastAsia="Arial" w:hAnsi="Arial"/>
          <w:sz w:val="18"/>
          <w:szCs w:val="18"/>
          <w:color w:val="000000"/>
        </w:rPr>
        <w:t>A voluntary separation occurs when an executive voluntarily terminates employment</w:t>
      </w:r>
      <w:r>
        <w:rPr>
          <w:rFonts w:ascii="Arial" w:cs="Arial" w:eastAsia="Arial" w:hAnsi="Arial"/>
          <w:sz w:val="18"/>
          <w:szCs w:val="18"/>
          <w:b w:val="1"/>
          <w:bCs w:val="1"/>
          <w:color w:val="0033A0"/>
        </w:rPr>
        <w:t xml:space="preserve"> </w:t>
      </w:r>
      <w:r>
        <w:rPr>
          <w:rFonts w:ascii="Arial" w:cs="Arial" w:eastAsia="Arial" w:hAnsi="Arial"/>
          <w:sz w:val="18"/>
          <w:szCs w:val="18"/>
          <w:color w:val="000000"/>
        </w:rPr>
        <w:t>with the Company. A termination for cause occurs where an executive is dismissed from employment by the Company for cause which is considered to include, but is not limited to, the executive’s gross negligence, willful misconduct, or violation of state or federal securities laws. Under each of these scenarios, executives generally forfeit all outstanding equity awards and are not eligible for any award or payment under the STIP. Full career status voluntary separations receive different treatment as discussed below.</w:t>
      </w:r>
    </w:p>
    <w:p>
      <w:pPr>
        <w:spacing w:after="0" w:line="17" w:lineRule="exact"/>
        <w:rPr>
          <w:rFonts w:ascii="Arial" w:cs="Arial" w:eastAsia="Arial" w:hAnsi="Arial"/>
          <w:sz w:val="18"/>
          <w:szCs w:val="18"/>
          <w:color w:val="134A9C"/>
        </w:rPr>
      </w:pPr>
    </w:p>
    <w:p>
      <w:pPr>
        <w:jc w:val="both"/>
        <w:ind w:left="340" w:hanging="332"/>
        <w:spacing w:after="0" w:line="262" w:lineRule="auto"/>
        <w:tabs>
          <w:tab w:leader="none" w:pos="340" w:val="left"/>
        </w:tabs>
        <w:numPr>
          <w:ilvl w:val="0"/>
          <w:numId w:val="78"/>
        </w:numPr>
        <w:rPr>
          <w:rFonts w:ascii="Arial" w:cs="Arial" w:eastAsia="Arial" w:hAnsi="Arial"/>
          <w:sz w:val="18"/>
          <w:szCs w:val="18"/>
          <w:color w:val="134A9C"/>
        </w:rPr>
      </w:pPr>
      <w:r>
        <w:rPr>
          <w:rFonts w:ascii="Arial" w:cs="Arial" w:eastAsia="Arial" w:hAnsi="Arial"/>
          <w:sz w:val="18"/>
          <w:szCs w:val="18"/>
          <w:b w:val="1"/>
          <w:bCs w:val="1"/>
          <w:color w:val="0033A0"/>
        </w:rPr>
        <w:t xml:space="preserve">Mutual Separation - </w:t>
      </w:r>
      <w:r>
        <w:rPr>
          <w:rFonts w:ascii="Arial" w:cs="Arial" w:eastAsia="Arial" w:hAnsi="Arial"/>
          <w:sz w:val="18"/>
          <w:szCs w:val="18"/>
          <w:color w:val="000000"/>
        </w:rPr>
        <w:t>A mutual separation occurs when the Company and an executive agree to mutually end the employment relationship,</w:t>
      </w:r>
      <w:r>
        <w:rPr>
          <w:rFonts w:ascii="Arial" w:cs="Arial" w:eastAsia="Arial" w:hAnsi="Arial"/>
          <w:sz w:val="18"/>
          <w:szCs w:val="18"/>
          <w:b w:val="1"/>
          <w:bCs w:val="1"/>
          <w:color w:val="0033A0"/>
        </w:rPr>
        <w:t xml:space="preserve"> </w:t>
      </w:r>
      <w:r>
        <w:rPr>
          <w:rFonts w:ascii="Arial" w:cs="Arial" w:eastAsia="Arial" w:hAnsi="Arial"/>
          <w:sz w:val="18"/>
          <w:szCs w:val="18"/>
          <w:color w:val="000000"/>
        </w:rPr>
        <w:t>reflected in a mutually agreed separation agreement or program. Under a mutual separation, an executive may be eligible to receive severance pay from the Company. An executive will forfeit all outstanding equity awards and will not be eligible for any award or payment under the STIP if the executive enters into a mutual separation with the Company.</w:t>
      </w:r>
    </w:p>
    <w:p>
      <w:pPr>
        <w:spacing w:after="0" w:line="14" w:lineRule="exact"/>
        <w:rPr>
          <w:rFonts w:ascii="Arial" w:cs="Arial" w:eastAsia="Arial" w:hAnsi="Arial"/>
          <w:sz w:val="18"/>
          <w:szCs w:val="18"/>
          <w:color w:val="134A9C"/>
        </w:rPr>
      </w:pPr>
    </w:p>
    <w:p>
      <w:pPr>
        <w:jc w:val="both"/>
        <w:ind w:left="340" w:hanging="332"/>
        <w:spacing w:after="0" w:line="253" w:lineRule="auto"/>
        <w:tabs>
          <w:tab w:leader="none" w:pos="340" w:val="left"/>
        </w:tabs>
        <w:numPr>
          <w:ilvl w:val="0"/>
          <w:numId w:val="78"/>
        </w:numPr>
        <w:rPr>
          <w:rFonts w:ascii="Arial" w:cs="Arial" w:eastAsia="Arial" w:hAnsi="Arial"/>
          <w:sz w:val="18"/>
          <w:szCs w:val="18"/>
          <w:color w:val="134A9C"/>
        </w:rPr>
      </w:pPr>
      <w:r>
        <w:rPr>
          <w:rFonts w:ascii="Arial" w:cs="Arial" w:eastAsia="Arial" w:hAnsi="Arial"/>
          <w:sz w:val="18"/>
          <w:szCs w:val="18"/>
          <w:b w:val="1"/>
          <w:bCs w:val="1"/>
          <w:color w:val="0033A0"/>
        </w:rPr>
        <w:t xml:space="preserve">Full Career Status Retirement - </w:t>
      </w:r>
      <w:r>
        <w:rPr>
          <w:rFonts w:ascii="Arial" w:cs="Arial" w:eastAsia="Arial" w:hAnsi="Arial"/>
          <w:sz w:val="18"/>
          <w:szCs w:val="18"/>
          <w:color w:val="000000"/>
        </w:rPr>
        <w:t>A full career status retirement occurs when an executive reaches the age of 55 with ten or more years of</w:t>
      </w:r>
      <w:r>
        <w:rPr>
          <w:rFonts w:ascii="Arial" w:cs="Arial" w:eastAsia="Arial" w:hAnsi="Arial"/>
          <w:sz w:val="18"/>
          <w:szCs w:val="18"/>
          <w:b w:val="1"/>
          <w:bCs w:val="1"/>
          <w:color w:val="0033A0"/>
        </w:rPr>
        <w:t xml:space="preserve"> </w:t>
      </w:r>
      <w:r>
        <w:rPr>
          <w:rFonts w:ascii="Arial" w:cs="Arial" w:eastAsia="Arial" w:hAnsi="Arial"/>
          <w:sz w:val="18"/>
          <w:szCs w:val="18"/>
          <w:color w:val="000000"/>
        </w:rPr>
        <w:t>continuous service or age 62 or older and the executive voluntarily separates from the Company. If an executive enters into a separation or severance agreement, they cannot also elect full career status retirement. In the event of full career status retirement, the executive is generally eligible for a prorated STIP award based on months of active service in the performance year as of their termination date and once final performance has been determined. RSUs granted within one year prior to the date of retirement are prorated based on months of active service prior to the date of termination. RSUs granted more than one year prior to the date of retirement continue to vest in accordance with their vesting schedule. PSUs granted within one year prior to the date of retirement are prorated based on months of active service prior to the date of termination and will be adjusted for final corporate performance against the performance measures contained in the awards; such awards will be payable following approval of such performance. PSUs granted more than one year prior to the date of retirement will remain outstanding until the end of the performance period at which time they will be adjusted for final corporate performance and be settled following approval of such performance. As of December 31, 2014, only Messrs. Stevens and Millikin were eligible for full career status retirement. Mr. Akerson retired on July 1, 2014.</w:t>
      </w:r>
    </w:p>
    <w:p>
      <w:pPr>
        <w:spacing w:after="0" w:line="28" w:lineRule="exact"/>
        <w:rPr>
          <w:rFonts w:ascii="Arial" w:cs="Arial" w:eastAsia="Arial" w:hAnsi="Arial"/>
          <w:sz w:val="18"/>
          <w:szCs w:val="18"/>
          <w:color w:val="134A9C"/>
        </w:rPr>
      </w:pPr>
    </w:p>
    <w:p>
      <w:pPr>
        <w:jc w:val="both"/>
        <w:ind w:left="340" w:hanging="332"/>
        <w:spacing w:after="0" w:line="257" w:lineRule="auto"/>
        <w:tabs>
          <w:tab w:leader="none" w:pos="340" w:val="left"/>
        </w:tabs>
        <w:numPr>
          <w:ilvl w:val="0"/>
          <w:numId w:val="78"/>
        </w:numPr>
        <w:rPr>
          <w:rFonts w:ascii="Arial" w:cs="Arial" w:eastAsia="Arial" w:hAnsi="Arial"/>
          <w:sz w:val="18"/>
          <w:szCs w:val="18"/>
          <w:color w:val="134A9C"/>
        </w:rPr>
      </w:pPr>
      <w:r>
        <w:rPr>
          <w:rFonts w:ascii="Arial" w:cs="Arial" w:eastAsia="Arial" w:hAnsi="Arial"/>
          <w:sz w:val="18"/>
          <w:szCs w:val="18"/>
          <w:b w:val="1"/>
          <w:bCs w:val="1"/>
          <w:color w:val="0033A0"/>
        </w:rPr>
        <w:t xml:space="preserve">Disability - </w:t>
      </w:r>
      <w:r>
        <w:rPr>
          <w:rFonts w:ascii="Arial" w:cs="Arial" w:eastAsia="Arial" w:hAnsi="Arial"/>
          <w:sz w:val="18"/>
          <w:szCs w:val="18"/>
          <w:color w:val="000000"/>
        </w:rPr>
        <w:t>Disability occurs when an executive terminates employment by reason of their inability to engage in any gainful activity due to a</w:t>
      </w:r>
      <w:r>
        <w:rPr>
          <w:rFonts w:ascii="Arial" w:cs="Arial" w:eastAsia="Arial" w:hAnsi="Arial"/>
          <w:sz w:val="18"/>
          <w:szCs w:val="18"/>
          <w:b w:val="1"/>
          <w:bCs w:val="1"/>
          <w:color w:val="0033A0"/>
        </w:rPr>
        <w:t xml:space="preserve"> </w:t>
      </w:r>
      <w:r>
        <w:rPr>
          <w:rFonts w:ascii="Arial" w:cs="Arial" w:eastAsia="Arial" w:hAnsi="Arial"/>
          <w:sz w:val="18"/>
          <w:szCs w:val="18"/>
          <w:color w:val="000000"/>
        </w:rPr>
        <w:t>medically determinable physical or mental impairment that can be expected to result in death or can be expected to last for a continuous period of not less than 12 months. Executives are eligible for a full-year STIP award related to the year in which termination occurs once final performance has been determined. Unvested RSUs and TARP RSUs continue to vest according to their vesting schedule. Unvested PSUs vest immediately upon such termination and will remain outstanding until the end of the performance period at which time they will be adjusted for final corporate performance and be settled following approval of such performance.</w:t>
      </w:r>
    </w:p>
    <w:p>
      <w:pPr>
        <w:spacing w:after="0" w:line="395"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59</w:t>
      </w:r>
      <w:r>
        <w:rPr>
          <w:sz w:val="20"/>
          <w:szCs w:val="20"/>
          <w:color w:val="auto"/>
        </w:rPr>
        <w:tab/>
      </w:r>
      <w:r>
        <w:rPr>
          <w:sz w:val="1"/>
          <w:szCs w:val="1"/>
          <w:color w:val="auto"/>
        </w:rPr>
        <w:drawing>
          <wp:inline distT="0" distB="0" distL="0" distR="0">
            <wp:extent cx="120015" cy="12001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63" w:name="page64"/>
    <w:bookmarkEnd w:id="63"/>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left="340" w:right="20" w:hanging="332"/>
        <w:spacing w:after="0" w:line="259" w:lineRule="auto"/>
        <w:tabs>
          <w:tab w:leader="none" w:pos="340" w:val="left"/>
        </w:tabs>
        <w:numPr>
          <w:ilvl w:val="0"/>
          <w:numId w:val="79"/>
        </w:numPr>
        <w:rPr>
          <w:rFonts w:ascii="Arial" w:cs="Arial" w:eastAsia="Arial" w:hAnsi="Arial"/>
          <w:sz w:val="18"/>
          <w:szCs w:val="18"/>
          <w:color w:val="134A9C"/>
        </w:rPr>
      </w:pPr>
      <w:r>
        <w:rPr>
          <w:rFonts w:ascii="Arial" w:cs="Arial" w:eastAsia="Arial" w:hAnsi="Arial"/>
          <w:sz w:val="18"/>
          <w:szCs w:val="18"/>
          <w:b w:val="1"/>
          <w:bCs w:val="1"/>
          <w:color w:val="0033A0"/>
        </w:rPr>
        <w:t xml:space="preserve">Death - </w:t>
      </w:r>
      <w:r>
        <w:rPr>
          <w:rFonts w:ascii="Arial" w:cs="Arial" w:eastAsia="Arial" w:hAnsi="Arial"/>
          <w:sz w:val="18"/>
          <w:szCs w:val="18"/>
          <w:color w:val="000000"/>
        </w:rPr>
        <w:t>Following the death of an executive, the beneficiary of the executive will be eligible to receive the target STIP award subject to</w:t>
      </w:r>
      <w:r>
        <w:rPr>
          <w:rFonts w:ascii="Arial" w:cs="Arial" w:eastAsia="Arial" w:hAnsi="Arial"/>
          <w:sz w:val="18"/>
          <w:szCs w:val="18"/>
          <w:b w:val="1"/>
          <w:bCs w:val="1"/>
          <w:color w:val="0033A0"/>
        </w:rPr>
        <w:t xml:space="preserve"> </w:t>
      </w:r>
      <w:r>
        <w:rPr>
          <w:rFonts w:ascii="Arial" w:cs="Arial" w:eastAsia="Arial" w:hAnsi="Arial"/>
          <w:sz w:val="18"/>
          <w:szCs w:val="18"/>
          <w:color w:val="000000"/>
        </w:rPr>
        <w:t>adjustment for final corporate and individual performance following determination of the final award. RSUs immediately vest in full and are settled within 90 days of death. PSUs vest immediately upon death, and will remain outstanding until the end of the performance period at which time they will be adjusted for final corporate performance and be settled following approval of such performance. TARP RSUs are prorated for months of active service and settled as soon as possible.</w:t>
      </w:r>
    </w:p>
    <w:p>
      <w:pPr>
        <w:spacing w:after="0" w:line="17" w:lineRule="exact"/>
        <w:rPr>
          <w:rFonts w:ascii="Arial" w:cs="Arial" w:eastAsia="Arial" w:hAnsi="Arial"/>
          <w:sz w:val="18"/>
          <w:szCs w:val="18"/>
          <w:color w:val="134A9C"/>
        </w:rPr>
      </w:pPr>
    </w:p>
    <w:p>
      <w:pPr>
        <w:jc w:val="both"/>
        <w:ind w:left="340" w:right="20" w:hanging="332"/>
        <w:spacing w:after="0" w:line="255" w:lineRule="auto"/>
        <w:tabs>
          <w:tab w:leader="none" w:pos="340" w:val="left"/>
        </w:tabs>
        <w:numPr>
          <w:ilvl w:val="0"/>
          <w:numId w:val="79"/>
        </w:numPr>
        <w:rPr>
          <w:rFonts w:ascii="Arial" w:cs="Arial" w:eastAsia="Arial" w:hAnsi="Arial"/>
          <w:sz w:val="18"/>
          <w:szCs w:val="18"/>
          <w:color w:val="134A9C"/>
        </w:rPr>
      </w:pPr>
      <w:r>
        <w:rPr>
          <w:rFonts w:ascii="Arial" w:cs="Arial" w:eastAsia="Arial" w:hAnsi="Arial"/>
          <w:sz w:val="18"/>
          <w:szCs w:val="18"/>
          <w:b w:val="1"/>
          <w:bCs w:val="1"/>
          <w:color w:val="0033A0"/>
        </w:rPr>
        <w:t xml:space="preserve">Change in Control - </w:t>
      </w:r>
      <w:r>
        <w:rPr>
          <w:rFonts w:ascii="Arial" w:cs="Arial" w:eastAsia="Arial" w:hAnsi="Arial"/>
          <w:sz w:val="18"/>
          <w:szCs w:val="18"/>
          <w:color w:val="000000"/>
        </w:rPr>
        <w:t>In the event of a termination of employment resulting from a change in control, an executive will be eligible for</w:t>
      </w:r>
      <w:r>
        <w:rPr>
          <w:rFonts w:ascii="Arial" w:cs="Arial" w:eastAsia="Arial" w:hAnsi="Arial"/>
          <w:sz w:val="18"/>
          <w:szCs w:val="18"/>
          <w:b w:val="1"/>
          <w:bCs w:val="1"/>
          <w:color w:val="0033A0"/>
        </w:rPr>
        <w:t xml:space="preserve"> </w:t>
      </w:r>
      <w:r>
        <w:rPr>
          <w:rFonts w:ascii="Arial" w:cs="Arial" w:eastAsia="Arial" w:hAnsi="Arial"/>
          <w:sz w:val="18"/>
          <w:szCs w:val="18"/>
          <w:color w:val="000000"/>
        </w:rPr>
        <w:t>severance under the GM Executive Severance Program that provides an executive salary continuation based on service with the Company. Executives are also eligible for a STIP award prorated at target based on months of active service in the performance year as of their termination date and the STIP award for the prior year, if such award has been determined but not paid. If the STIP award for the prior year has not been determined, the award shall be determined at target and paid. All RSU awards will generally vest and become payable immediately prior to the change in control. For PSUs, the performance period will end immediately prior to the change in control and awards will be determined based on actual performance and converted to a time-based award. TARP RSU awards are not subject to change in control provisions and unvested awards are forfeited.</w:t>
      </w:r>
    </w:p>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1860" w:type="dxa"/>
            <w:vAlign w:val="bottom"/>
            <w:tcBorders>
              <w:left w:val="single" w:sz="8" w:color="134A9C"/>
              <w:right w:val="single" w:sz="8" w:color="134A9C"/>
            </w:tcBorders>
            <w:shd w:val="clear" w:color="auto" w:fill="134A9C"/>
          </w:tcPr>
          <w:p>
            <w:pPr>
              <w:spacing w:after="0"/>
              <w:rPr>
                <w:sz w:val="13"/>
                <w:szCs w:val="13"/>
                <w:color w:val="auto"/>
              </w:rPr>
            </w:pPr>
          </w:p>
        </w:tc>
        <w:tc>
          <w:tcPr>
            <w:tcW w:w="1260" w:type="dxa"/>
            <w:vAlign w:val="bottom"/>
            <w:tcBorders>
              <w:right w:val="single" w:sz="8" w:color="134A9C"/>
            </w:tcBorders>
            <w:shd w:val="clear" w:color="auto" w:fill="134A9C"/>
          </w:tcPr>
          <w:p>
            <w:pPr>
              <w:spacing w:after="0"/>
              <w:rPr>
                <w:sz w:val="13"/>
                <w:szCs w:val="13"/>
                <w:color w:val="auto"/>
              </w:rPr>
            </w:pPr>
          </w:p>
        </w:tc>
        <w:tc>
          <w:tcPr>
            <w:tcW w:w="128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1"/>
                <w:szCs w:val="11"/>
                <w:color w:val="FFFFFF"/>
                <w:w w:val="96"/>
              </w:rPr>
              <w:t>Voluntary Separation or</w:t>
            </w:r>
          </w:p>
        </w:tc>
        <w:tc>
          <w:tcPr>
            <w:tcW w:w="1360" w:type="dxa"/>
            <w:vAlign w:val="bottom"/>
            <w:tcBorders>
              <w:right w:val="single" w:sz="8" w:color="134A9C"/>
            </w:tcBorders>
            <w:shd w:val="clear" w:color="auto" w:fill="134A9C"/>
          </w:tcPr>
          <w:p>
            <w:pPr>
              <w:spacing w:after="0"/>
              <w:rPr>
                <w:sz w:val="13"/>
                <w:szCs w:val="13"/>
                <w:color w:val="auto"/>
              </w:rPr>
            </w:pPr>
          </w:p>
        </w:tc>
        <w:tc>
          <w:tcPr>
            <w:tcW w:w="1500" w:type="dxa"/>
            <w:vAlign w:val="bottom"/>
            <w:tcBorders>
              <w:right w:val="single" w:sz="8" w:color="134A9C"/>
            </w:tcBorders>
            <w:shd w:val="clear" w:color="auto" w:fill="134A9C"/>
          </w:tcPr>
          <w:p>
            <w:pPr>
              <w:spacing w:after="0"/>
              <w:rPr>
                <w:sz w:val="13"/>
                <w:szCs w:val="13"/>
                <w:color w:val="auto"/>
              </w:rPr>
            </w:pPr>
          </w:p>
        </w:tc>
        <w:tc>
          <w:tcPr>
            <w:tcW w:w="1480" w:type="dxa"/>
            <w:vAlign w:val="bottom"/>
            <w:tcBorders>
              <w:right w:val="single" w:sz="8" w:color="134A9C"/>
            </w:tcBorders>
            <w:shd w:val="clear" w:color="auto" w:fill="134A9C"/>
          </w:tcPr>
          <w:p>
            <w:pPr>
              <w:spacing w:after="0"/>
              <w:rPr>
                <w:sz w:val="13"/>
                <w:szCs w:val="13"/>
                <w:color w:val="auto"/>
              </w:rPr>
            </w:pPr>
          </w:p>
        </w:tc>
        <w:tc>
          <w:tcPr>
            <w:tcW w:w="1340" w:type="dxa"/>
            <w:vAlign w:val="bottom"/>
            <w:tcBorders>
              <w:right w:val="single" w:sz="8" w:color="134A9C"/>
            </w:tcBorders>
            <w:shd w:val="clear" w:color="auto" w:fill="134A9C"/>
          </w:tcPr>
          <w:p>
            <w:pPr>
              <w:spacing w:after="0"/>
              <w:rPr>
                <w:sz w:val="13"/>
                <w:szCs w:val="13"/>
                <w:color w:val="auto"/>
              </w:rPr>
            </w:pPr>
          </w:p>
        </w:tc>
        <w:tc>
          <w:tcPr>
            <w:tcW w:w="1360" w:type="dxa"/>
            <w:vAlign w:val="bottom"/>
            <w:tcBorders>
              <w:right w:val="single" w:sz="8" w:color="134A9C"/>
            </w:tcBorders>
            <w:shd w:val="clear" w:color="auto" w:fill="134A9C"/>
          </w:tcPr>
          <w:p>
            <w:pPr>
              <w:jc w:val="center"/>
              <w:spacing w:after="0"/>
              <w:rPr>
                <w:sz w:val="20"/>
                <w:szCs w:val="20"/>
                <w:color w:val="auto"/>
              </w:rPr>
            </w:pPr>
            <w:r>
              <w:rPr>
                <w:rFonts w:ascii="Arial" w:cs="Arial" w:eastAsia="Arial" w:hAnsi="Arial"/>
                <w:sz w:val="11"/>
                <w:szCs w:val="11"/>
                <w:color w:val="FFFFFF"/>
                <w:w w:val="98"/>
              </w:rPr>
              <w:t>Change in Control with</w:t>
            </w:r>
          </w:p>
        </w:tc>
      </w:tr>
      <w:tr>
        <w:trPr>
          <w:trHeight w:val="122"/>
        </w:trPr>
        <w:tc>
          <w:tcPr>
            <w:tcW w:w="1860" w:type="dxa"/>
            <w:vAlign w:val="bottom"/>
            <w:tcBorders>
              <w:left w:val="single" w:sz="8" w:color="134A9C"/>
              <w:right w:val="single" w:sz="8" w:color="134A9C"/>
            </w:tcBorders>
            <w:shd w:val="clear" w:color="auto" w:fill="134A9C"/>
          </w:tcPr>
          <w:p>
            <w:pPr>
              <w:spacing w:after="0"/>
              <w:rPr>
                <w:sz w:val="10"/>
                <w:szCs w:val="10"/>
                <w:color w:val="auto"/>
              </w:rPr>
            </w:pPr>
          </w:p>
        </w:tc>
        <w:tc>
          <w:tcPr>
            <w:tcW w:w="1260" w:type="dxa"/>
            <w:vAlign w:val="bottom"/>
            <w:tcBorders>
              <w:right w:val="single" w:sz="8" w:color="134A9C"/>
            </w:tcBorders>
            <w:shd w:val="clear" w:color="auto" w:fill="134A9C"/>
          </w:tcPr>
          <w:p>
            <w:pPr>
              <w:jc w:val="center"/>
              <w:spacing w:after="0" w:line="122" w:lineRule="exact"/>
              <w:rPr>
                <w:sz w:val="20"/>
                <w:szCs w:val="20"/>
                <w:color w:val="auto"/>
              </w:rPr>
            </w:pPr>
            <w:r>
              <w:rPr>
                <w:rFonts w:ascii="Arial" w:cs="Arial" w:eastAsia="Arial" w:hAnsi="Arial"/>
                <w:sz w:val="11"/>
                <w:szCs w:val="11"/>
                <w:color w:val="FFFFFF"/>
                <w:w w:val="95"/>
              </w:rPr>
              <w:t>Compensation</w:t>
            </w:r>
          </w:p>
        </w:tc>
        <w:tc>
          <w:tcPr>
            <w:tcW w:w="1280" w:type="dxa"/>
            <w:vAlign w:val="bottom"/>
            <w:tcBorders>
              <w:right w:val="single" w:sz="8" w:color="134A9C"/>
            </w:tcBorders>
            <w:shd w:val="clear" w:color="auto" w:fill="134A9C"/>
          </w:tcPr>
          <w:p>
            <w:pPr>
              <w:jc w:val="center"/>
              <w:spacing w:after="0" w:line="122" w:lineRule="exact"/>
              <w:rPr>
                <w:sz w:val="20"/>
                <w:szCs w:val="20"/>
                <w:color w:val="auto"/>
              </w:rPr>
            </w:pPr>
            <w:r>
              <w:rPr>
                <w:rFonts w:ascii="Arial" w:cs="Arial" w:eastAsia="Arial" w:hAnsi="Arial"/>
                <w:sz w:val="11"/>
                <w:szCs w:val="11"/>
                <w:color w:val="FFFFFF"/>
                <w:w w:val="97"/>
              </w:rPr>
              <w:t>Termination for Cause</w:t>
            </w:r>
          </w:p>
        </w:tc>
        <w:tc>
          <w:tcPr>
            <w:tcW w:w="1360" w:type="dxa"/>
            <w:vAlign w:val="bottom"/>
            <w:tcBorders>
              <w:right w:val="single" w:sz="8" w:color="134A9C"/>
            </w:tcBorders>
            <w:shd w:val="clear" w:color="auto" w:fill="134A9C"/>
          </w:tcPr>
          <w:p>
            <w:pPr>
              <w:spacing w:after="0"/>
              <w:rPr>
                <w:sz w:val="10"/>
                <w:szCs w:val="10"/>
                <w:color w:val="auto"/>
              </w:rPr>
            </w:pPr>
          </w:p>
        </w:tc>
        <w:tc>
          <w:tcPr>
            <w:tcW w:w="1500" w:type="dxa"/>
            <w:vAlign w:val="bottom"/>
            <w:tcBorders>
              <w:right w:val="single" w:sz="8" w:color="134A9C"/>
            </w:tcBorders>
            <w:shd w:val="clear" w:color="auto" w:fill="134A9C"/>
          </w:tcPr>
          <w:p>
            <w:pPr>
              <w:jc w:val="right"/>
              <w:spacing w:after="0" w:line="122" w:lineRule="exact"/>
              <w:rPr>
                <w:sz w:val="20"/>
                <w:szCs w:val="20"/>
                <w:color w:val="auto"/>
              </w:rPr>
            </w:pPr>
            <w:r>
              <w:rPr>
                <w:rFonts w:ascii="Arial" w:cs="Arial" w:eastAsia="Arial" w:hAnsi="Arial"/>
                <w:sz w:val="11"/>
                <w:szCs w:val="11"/>
                <w:color w:val="FFFFFF"/>
                <w:w w:val="98"/>
              </w:rPr>
              <w:t>Full Career Status Retirement</w:t>
            </w:r>
          </w:p>
        </w:tc>
        <w:tc>
          <w:tcPr>
            <w:tcW w:w="1480" w:type="dxa"/>
            <w:vAlign w:val="bottom"/>
            <w:tcBorders>
              <w:right w:val="single" w:sz="8" w:color="134A9C"/>
            </w:tcBorders>
            <w:shd w:val="clear" w:color="auto" w:fill="134A9C"/>
          </w:tcPr>
          <w:p>
            <w:pPr>
              <w:jc w:val="right"/>
              <w:ind w:right="486"/>
              <w:spacing w:after="0" w:line="122" w:lineRule="exact"/>
              <w:rPr>
                <w:sz w:val="20"/>
                <w:szCs w:val="20"/>
                <w:color w:val="auto"/>
              </w:rPr>
            </w:pPr>
            <w:r>
              <w:rPr>
                <w:rFonts w:ascii="Arial" w:cs="Arial" w:eastAsia="Arial" w:hAnsi="Arial"/>
                <w:sz w:val="11"/>
                <w:szCs w:val="11"/>
                <w:color w:val="FFFFFF"/>
              </w:rPr>
              <w:t>Disability</w:t>
            </w:r>
          </w:p>
        </w:tc>
        <w:tc>
          <w:tcPr>
            <w:tcW w:w="1340" w:type="dxa"/>
            <w:vAlign w:val="bottom"/>
            <w:tcBorders>
              <w:right w:val="single" w:sz="8" w:color="134A9C"/>
            </w:tcBorders>
            <w:shd w:val="clear" w:color="auto" w:fill="134A9C"/>
          </w:tcPr>
          <w:p>
            <w:pPr>
              <w:jc w:val="right"/>
              <w:ind w:right="486"/>
              <w:spacing w:after="0" w:line="122" w:lineRule="exact"/>
              <w:rPr>
                <w:sz w:val="20"/>
                <w:szCs w:val="20"/>
                <w:color w:val="auto"/>
              </w:rPr>
            </w:pPr>
            <w:r>
              <w:rPr>
                <w:rFonts w:ascii="Arial" w:cs="Arial" w:eastAsia="Arial" w:hAnsi="Arial"/>
                <w:sz w:val="11"/>
                <w:szCs w:val="11"/>
                <w:color w:val="FFFFFF"/>
              </w:rPr>
              <w:t>Death</w:t>
            </w:r>
          </w:p>
        </w:tc>
        <w:tc>
          <w:tcPr>
            <w:tcW w:w="1360" w:type="dxa"/>
            <w:vAlign w:val="bottom"/>
            <w:tcBorders>
              <w:right w:val="single" w:sz="8" w:color="134A9C"/>
            </w:tcBorders>
            <w:shd w:val="clear" w:color="auto" w:fill="134A9C"/>
          </w:tcPr>
          <w:p>
            <w:pPr>
              <w:jc w:val="center"/>
              <w:spacing w:after="0" w:line="122" w:lineRule="exact"/>
              <w:rPr>
                <w:sz w:val="20"/>
                <w:szCs w:val="20"/>
                <w:color w:val="auto"/>
              </w:rPr>
            </w:pPr>
            <w:r>
              <w:rPr>
                <w:rFonts w:ascii="Arial" w:cs="Arial" w:eastAsia="Arial" w:hAnsi="Arial"/>
                <w:sz w:val="11"/>
                <w:szCs w:val="11"/>
                <w:color w:val="FFFFFF"/>
                <w:w w:val="96"/>
              </w:rPr>
              <w:t>Termination</w:t>
            </w:r>
          </w:p>
        </w:tc>
      </w:tr>
      <w:tr>
        <w:trPr>
          <w:trHeight w:val="132"/>
        </w:trPr>
        <w:tc>
          <w:tcPr>
            <w:tcW w:w="1860" w:type="dxa"/>
            <w:vAlign w:val="bottom"/>
            <w:tcBorders>
              <w:left w:val="single" w:sz="8" w:color="134A9C"/>
              <w:bottom w:val="single" w:sz="8" w:color="134A9C"/>
              <w:right w:val="single" w:sz="8" w:color="134A9C"/>
            </w:tcBorders>
            <w:shd w:val="clear" w:color="auto" w:fill="134A9C"/>
          </w:tcPr>
          <w:p>
            <w:pPr>
              <w:ind w:left="780"/>
              <w:spacing w:after="0"/>
              <w:rPr>
                <w:sz w:val="20"/>
                <w:szCs w:val="20"/>
                <w:color w:val="auto"/>
              </w:rPr>
            </w:pPr>
            <w:r>
              <w:rPr>
                <w:rFonts w:ascii="Arial" w:cs="Arial" w:eastAsia="Arial" w:hAnsi="Arial"/>
                <w:sz w:val="11"/>
                <w:szCs w:val="11"/>
                <w:color w:val="FFFFFF"/>
              </w:rPr>
              <w:t>Name</w:t>
            </w:r>
          </w:p>
        </w:tc>
        <w:tc>
          <w:tcPr>
            <w:tcW w:w="126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1"/>
                <w:szCs w:val="11"/>
                <w:color w:val="FFFFFF"/>
                <w:w w:val="98"/>
              </w:rPr>
              <w:t xml:space="preserve">Element </w:t>
            </w:r>
            <w:r>
              <w:rPr>
                <w:rFonts w:ascii="Arial" w:cs="Arial" w:eastAsia="Arial" w:hAnsi="Arial"/>
                <w:sz w:val="7"/>
                <w:szCs w:val="7"/>
                <w:color w:val="FFFFFF"/>
                <w:w w:val="98"/>
              </w:rPr>
              <w:t>(1)(2)(3)</w:t>
            </w:r>
          </w:p>
        </w:tc>
        <w:tc>
          <w:tcPr>
            <w:tcW w:w="128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1"/>
                <w:szCs w:val="11"/>
                <w:color w:val="FFFFFF"/>
                <w:w w:val="88"/>
              </w:rPr>
              <w:t>($)</w:t>
            </w:r>
          </w:p>
        </w:tc>
        <w:tc>
          <w:tcPr>
            <w:tcW w:w="1360" w:type="dxa"/>
            <w:vAlign w:val="bottom"/>
            <w:tcBorders>
              <w:bottom w:val="single" w:sz="8" w:color="134A9C"/>
              <w:right w:val="single" w:sz="8" w:color="134A9C"/>
            </w:tcBorders>
            <w:shd w:val="clear" w:color="auto" w:fill="134A9C"/>
          </w:tcPr>
          <w:p>
            <w:pPr>
              <w:jc w:val="right"/>
              <w:ind w:right="126"/>
              <w:spacing w:after="0"/>
              <w:rPr>
                <w:sz w:val="20"/>
                <w:szCs w:val="20"/>
                <w:color w:val="auto"/>
              </w:rPr>
            </w:pPr>
            <w:r>
              <w:rPr>
                <w:rFonts w:ascii="Arial" w:cs="Arial" w:eastAsia="Arial" w:hAnsi="Arial"/>
                <w:sz w:val="11"/>
                <w:szCs w:val="11"/>
                <w:color w:val="FFFFFF"/>
              </w:rPr>
              <w:t>Mutual Separation ($)</w:t>
            </w:r>
          </w:p>
        </w:tc>
        <w:tc>
          <w:tcPr>
            <w:tcW w:w="1500" w:type="dxa"/>
            <w:vAlign w:val="bottom"/>
            <w:tcBorders>
              <w:bottom w:val="single" w:sz="8" w:color="134A9C"/>
              <w:right w:val="single" w:sz="8" w:color="134A9C"/>
            </w:tcBorders>
            <w:shd w:val="clear" w:color="auto" w:fill="134A9C"/>
          </w:tcPr>
          <w:p>
            <w:pPr>
              <w:jc w:val="right"/>
              <w:ind w:right="626"/>
              <w:spacing w:after="0"/>
              <w:rPr>
                <w:sz w:val="20"/>
                <w:szCs w:val="20"/>
                <w:color w:val="auto"/>
              </w:rPr>
            </w:pPr>
            <w:r>
              <w:rPr>
                <w:rFonts w:ascii="Arial" w:cs="Arial" w:eastAsia="Arial" w:hAnsi="Arial"/>
                <w:sz w:val="11"/>
                <w:szCs w:val="11"/>
                <w:color w:val="FFFFFF"/>
              </w:rPr>
              <w:t>($)</w:t>
            </w:r>
          </w:p>
        </w:tc>
        <w:tc>
          <w:tcPr>
            <w:tcW w:w="1480" w:type="dxa"/>
            <w:vAlign w:val="bottom"/>
            <w:tcBorders>
              <w:bottom w:val="single" w:sz="8" w:color="134A9C"/>
              <w:right w:val="single" w:sz="8" w:color="134A9C"/>
            </w:tcBorders>
            <w:shd w:val="clear" w:color="auto" w:fill="134A9C"/>
          </w:tcPr>
          <w:p>
            <w:pPr>
              <w:jc w:val="right"/>
              <w:ind w:right="626"/>
              <w:spacing w:after="0"/>
              <w:rPr>
                <w:sz w:val="20"/>
                <w:szCs w:val="20"/>
                <w:color w:val="auto"/>
              </w:rPr>
            </w:pPr>
            <w:r>
              <w:rPr>
                <w:rFonts w:ascii="Arial" w:cs="Arial" w:eastAsia="Arial" w:hAnsi="Arial"/>
                <w:sz w:val="11"/>
                <w:szCs w:val="11"/>
                <w:color w:val="FFFFFF"/>
              </w:rPr>
              <w:t>($)</w:t>
            </w:r>
          </w:p>
        </w:tc>
        <w:tc>
          <w:tcPr>
            <w:tcW w:w="1340" w:type="dxa"/>
            <w:vAlign w:val="bottom"/>
            <w:tcBorders>
              <w:bottom w:val="single" w:sz="8" w:color="134A9C"/>
              <w:right w:val="single" w:sz="8" w:color="134A9C"/>
            </w:tcBorders>
            <w:shd w:val="clear" w:color="auto" w:fill="134A9C"/>
          </w:tcPr>
          <w:p>
            <w:pPr>
              <w:jc w:val="right"/>
              <w:ind w:right="566"/>
              <w:spacing w:after="0"/>
              <w:rPr>
                <w:sz w:val="20"/>
                <w:szCs w:val="20"/>
                <w:color w:val="auto"/>
              </w:rPr>
            </w:pPr>
            <w:r>
              <w:rPr>
                <w:rFonts w:ascii="Arial" w:cs="Arial" w:eastAsia="Arial" w:hAnsi="Arial"/>
                <w:sz w:val="11"/>
                <w:szCs w:val="11"/>
                <w:color w:val="FFFFFF"/>
              </w:rPr>
              <w:t>($)</w:t>
            </w:r>
          </w:p>
        </w:tc>
        <w:tc>
          <w:tcPr>
            <w:tcW w:w="1360" w:type="dxa"/>
            <w:vAlign w:val="bottom"/>
            <w:tcBorders>
              <w:bottom w:val="single" w:sz="8" w:color="134A9C"/>
              <w:right w:val="single" w:sz="8" w:color="134A9C"/>
            </w:tcBorders>
            <w:shd w:val="clear" w:color="auto" w:fill="134A9C"/>
          </w:tcPr>
          <w:p>
            <w:pPr>
              <w:jc w:val="center"/>
              <w:spacing w:after="0"/>
              <w:rPr>
                <w:sz w:val="20"/>
                <w:szCs w:val="20"/>
                <w:color w:val="auto"/>
              </w:rPr>
            </w:pPr>
            <w:r>
              <w:rPr>
                <w:rFonts w:ascii="Arial" w:cs="Arial" w:eastAsia="Arial" w:hAnsi="Arial"/>
                <w:sz w:val="11"/>
                <w:szCs w:val="11"/>
                <w:color w:val="FFFFFF"/>
              </w:rPr>
              <w:t>($)</w:t>
            </w:r>
          </w:p>
        </w:tc>
      </w:tr>
      <w:tr>
        <w:trPr>
          <w:trHeight w:val="167"/>
        </w:trPr>
        <w:tc>
          <w:tcPr>
            <w:tcW w:w="18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Mary T. Barra</w:t>
            </w: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3"/>
              </w:rPr>
              <w:t>Cash</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1,333,333</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1,600,000</w:t>
            </w:r>
          </w:p>
        </w:tc>
      </w:tr>
      <w:tr>
        <w:trPr>
          <w:trHeight w:val="216"/>
        </w:trPr>
        <w:tc>
          <w:tcPr>
            <w:tcW w:w="1860" w:type="dxa"/>
            <w:vAlign w:val="bottom"/>
            <w:tcBorders>
              <w:left w:val="single" w:sz="8" w:color="134A9C"/>
              <w:right w:val="single" w:sz="8" w:color="134A9C"/>
            </w:tcBorders>
          </w:tcPr>
          <w:p>
            <w:pPr>
              <w:spacing w:after="0"/>
              <w:rPr>
                <w:sz w:val="18"/>
                <w:szCs w:val="18"/>
                <w:color w:val="auto"/>
              </w:rPr>
            </w:pP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STIP</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2,072,000</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2,072,000</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2,800,000</w:t>
            </w:r>
          </w:p>
        </w:tc>
      </w:tr>
      <w:tr>
        <w:trPr>
          <w:trHeight w:val="216"/>
        </w:trPr>
        <w:tc>
          <w:tcPr>
            <w:tcW w:w="1860" w:type="dxa"/>
            <w:vAlign w:val="bottom"/>
            <w:tcBorders>
              <w:left w:val="single" w:sz="8" w:color="134A9C"/>
              <w:right w:val="single" w:sz="8" w:color="134A9C"/>
            </w:tcBorders>
          </w:tcPr>
          <w:p>
            <w:pPr>
              <w:spacing w:after="0"/>
              <w:rPr>
                <w:sz w:val="18"/>
                <w:szCs w:val="18"/>
                <w:color w:val="auto"/>
              </w:rPr>
            </w:pP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4"/>
              </w:rPr>
              <w:t>LTIP</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12,985,054</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11,449,079</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9,665,043</w:t>
            </w:r>
          </w:p>
        </w:tc>
      </w:tr>
      <w:tr>
        <w:trPr>
          <w:trHeight w:val="49"/>
        </w:trPr>
        <w:tc>
          <w:tcPr>
            <w:tcW w:w="1860" w:type="dxa"/>
            <w:vAlign w:val="bottom"/>
            <w:tcBorders>
              <w:left w:val="single" w:sz="8" w:color="134A9C"/>
              <w:right w:val="single" w:sz="8" w:color="134A9C"/>
            </w:tcBorders>
          </w:tcPr>
          <w:p>
            <w:pPr>
              <w:spacing w:after="0"/>
              <w:rPr>
                <w:sz w:val="4"/>
                <w:szCs w:val="4"/>
                <w:color w:val="auto"/>
              </w:rPr>
            </w:pPr>
          </w:p>
        </w:tc>
        <w:tc>
          <w:tcPr>
            <w:tcW w:w="1260" w:type="dxa"/>
            <w:vAlign w:val="bottom"/>
            <w:tcBorders>
              <w:right w:val="single" w:sz="8" w:color="134A9C"/>
            </w:tcBorders>
          </w:tcPr>
          <w:p>
            <w:pPr>
              <w:spacing w:after="0"/>
              <w:rPr>
                <w:sz w:val="4"/>
                <w:szCs w:val="4"/>
                <w:color w:val="auto"/>
              </w:rPr>
            </w:pPr>
          </w:p>
        </w:tc>
        <w:tc>
          <w:tcPr>
            <w:tcW w:w="1280" w:type="dxa"/>
            <w:vAlign w:val="bottom"/>
            <w:tcBorders>
              <w:right w:val="single" w:sz="8" w:color="134A9C"/>
            </w:tcBorders>
          </w:tcPr>
          <w:p>
            <w:pPr>
              <w:spacing w:after="0"/>
              <w:rPr>
                <w:sz w:val="4"/>
                <w:szCs w:val="4"/>
                <w:color w:val="auto"/>
              </w:rPr>
            </w:pPr>
          </w:p>
        </w:tc>
        <w:tc>
          <w:tcPr>
            <w:tcW w:w="1360" w:type="dxa"/>
            <w:vAlign w:val="bottom"/>
            <w:tcBorders>
              <w:right w:val="single" w:sz="8" w:color="134A9C"/>
            </w:tcBorders>
          </w:tcPr>
          <w:p>
            <w:pPr>
              <w:spacing w:after="0"/>
              <w:rPr>
                <w:sz w:val="4"/>
                <w:szCs w:val="4"/>
                <w:color w:val="auto"/>
              </w:rPr>
            </w:pPr>
          </w:p>
        </w:tc>
        <w:tc>
          <w:tcPr>
            <w:tcW w:w="1500" w:type="dxa"/>
            <w:vAlign w:val="bottom"/>
            <w:tcBorders>
              <w:right w:val="single" w:sz="8" w:color="134A9C"/>
            </w:tcBorders>
          </w:tcPr>
          <w:p>
            <w:pPr>
              <w:spacing w:after="0"/>
              <w:rPr>
                <w:sz w:val="4"/>
                <w:szCs w:val="4"/>
                <w:color w:val="auto"/>
              </w:rPr>
            </w:pPr>
          </w:p>
        </w:tc>
        <w:tc>
          <w:tcPr>
            <w:tcW w:w="1480" w:type="dxa"/>
            <w:vAlign w:val="bottom"/>
            <w:tcBorders>
              <w:right w:val="single" w:sz="8" w:color="134A9C"/>
            </w:tcBorders>
          </w:tcPr>
          <w:p>
            <w:pPr>
              <w:spacing w:after="0"/>
              <w:rPr>
                <w:sz w:val="4"/>
                <w:szCs w:val="4"/>
                <w:color w:val="auto"/>
              </w:rPr>
            </w:pPr>
          </w:p>
        </w:tc>
        <w:tc>
          <w:tcPr>
            <w:tcW w:w="1340" w:type="dxa"/>
            <w:vAlign w:val="bottom"/>
            <w:tcBorders>
              <w:right w:val="single" w:sz="8" w:color="134A9C"/>
            </w:tcBorders>
          </w:tcPr>
          <w:p>
            <w:pPr>
              <w:spacing w:after="0"/>
              <w:rPr>
                <w:sz w:val="4"/>
                <w:szCs w:val="4"/>
                <w:color w:val="auto"/>
              </w:rPr>
            </w:pPr>
          </w:p>
        </w:tc>
        <w:tc>
          <w:tcPr>
            <w:tcW w:w="1360" w:type="dxa"/>
            <w:vAlign w:val="bottom"/>
            <w:tcBorders>
              <w:right w:val="single" w:sz="8" w:color="134A9C"/>
            </w:tcBorders>
          </w:tcPr>
          <w:p>
            <w:pPr>
              <w:spacing w:after="0"/>
              <w:rPr>
                <w:sz w:val="4"/>
                <w:szCs w:val="4"/>
                <w:color w:val="auto"/>
              </w:rPr>
            </w:pPr>
          </w:p>
        </w:tc>
      </w:tr>
      <w:tr>
        <w:trPr>
          <w:trHeight w:val="194"/>
        </w:trPr>
        <w:tc>
          <w:tcPr>
            <w:tcW w:w="1860" w:type="dxa"/>
            <w:vAlign w:val="bottom"/>
            <w:tcBorders>
              <w:left w:val="single" w:sz="8" w:color="134A9C"/>
              <w:right w:val="single" w:sz="8" w:color="134A9C"/>
            </w:tcBorders>
            <w:shd w:val="clear" w:color="auto" w:fill="ACACAC"/>
          </w:tcPr>
          <w:p>
            <w:pPr>
              <w:spacing w:after="0"/>
              <w:rPr>
                <w:sz w:val="16"/>
                <w:szCs w:val="16"/>
                <w:color w:val="auto"/>
              </w:rPr>
            </w:pPr>
          </w:p>
        </w:tc>
        <w:tc>
          <w:tcPr>
            <w:tcW w:w="1260" w:type="dxa"/>
            <w:vAlign w:val="bottom"/>
            <w:tcBorders>
              <w:right w:val="single" w:sz="8" w:color="134A9C"/>
            </w:tcBorders>
            <w:shd w:val="clear" w:color="auto" w:fill="ACACAC"/>
          </w:tcPr>
          <w:p>
            <w:pPr>
              <w:jc w:val="center"/>
              <w:spacing w:after="0"/>
              <w:rPr>
                <w:sz w:val="20"/>
                <w:szCs w:val="20"/>
                <w:color w:val="auto"/>
              </w:rPr>
            </w:pPr>
            <w:r>
              <w:rPr>
                <w:rFonts w:ascii="Arial" w:cs="Arial" w:eastAsia="Arial" w:hAnsi="Arial"/>
                <w:sz w:val="11"/>
                <w:szCs w:val="11"/>
                <w:b w:val="1"/>
                <w:bCs w:val="1"/>
                <w:color w:val="auto"/>
                <w:w w:val="91"/>
              </w:rPr>
              <w:t>Total</w:t>
            </w:r>
          </w:p>
        </w:tc>
        <w:tc>
          <w:tcPr>
            <w:tcW w:w="1280" w:type="dxa"/>
            <w:vAlign w:val="bottom"/>
            <w:tcBorders>
              <w:right w:val="single" w:sz="8" w:color="134A9C"/>
            </w:tcBorders>
            <w:shd w:val="clear" w:color="auto" w:fill="ACACAC"/>
          </w:tcPr>
          <w:p>
            <w:pPr>
              <w:ind w:left="1020"/>
              <w:spacing w:after="0"/>
              <w:rPr>
                <w:sz w:val="20"/>
                <w:szCs w:val="20"/>
                <w:color w:val="auto"/>
              </w:rPr>
            </w:pPr>
            <w:r>
              <w:rPr>
                <w:rFonts w:ascii="Arial" w:cs="Arial" w:eastAsia="Arial" w:hAnsi="Arial"/>
                <w:sz w:val="11"/>
                <w:szCs w:val="11"/>
                <w:b w:val="1"/>
                <w:bCs w:val="1"/>
                <w:color w:val="auto"/>
              </w:rPr>
              <w:t>—</w:t>
            </w:r>
          </w:p>
        </w:tc>
        <w:tc>
          <w:tcPr>
            <w:tcW w:w="1360" w:type="dxa"/>
            <w:vAlign w:val="bottom"/>
            <w:tcBorders>
              <w:right w:val="single" w:sz="8" w:color="134A9C"/>
            </w:tcBorders>
            <w:shd w:val="clear" w:color="auto" w:fill="ACACAC"/>
          </w:tcPr>
          <w:p>
            <w:pPr>
              <w:jc w:val="right"/>
              <w:ind w:right="86"/>
              <w:spacing w:after="0"/>
              <w:rPr>
                <w:sz w:val="20"/>
                <w:szCs w:val="20"/>
                <w:color w:val="auto"/>
              </w:rPr>
            </w:pPr>
            <w:r>
              <w:rPr>
                <w:rFonts w:ascii="Arial" w:cs="Arial" w:eastAsia="Arial" w:hAnsi="Arial"/>
                <w:sz w:val="11"/>
                <w:szCs w:val="11"/>
                <w:b w:val="1"/>
                <w:bCs w:val="1"/>
                <w:color w:val="auto"/>
              </w:rPr>
              <w:t>1,333,333</w:t>
            </w:r>
          </w:p>
        </w:tc>
        <w:tc>
          <w:tcPr>
            <w:tcW w:w="1500" w:type="dxa"/>
            <w:vAlign w:val="bottom"/>
            <w:tcBorders>
              <w:right w:val="single" w:sz="8" w:color="134A9C"/>
            </w:tcBorders>
            <w:shd w:val="clear" w:color="auto" w:fill="ACACAC"/>
          </w:tcPr>
          <w:p>
            <w:pPr>
              <w:jc w:val="right"/>
              <w:ind w:right="86"/>
              <w:spacing w:after="0"/>
              <w:rPr>
                <w:sz w:val="20"/>
                <w:szCs w:val="20"/>
                <w:color w:val="auto"/>
              </w:rPr>
            </w:pPr>
            <w:r>
              <w:rPr>
                <w:rFonts w:ascii="Arial" w:cs="Arial" w:eastAsia="Arial" w:hAnsi="Arial"/>
                <w:sz w:val="11"/>
                <w:szCs w:val="11"/>
                <w:b w:val="1"/>
                <w:bCs w:val="1"/>
                <w:color w:val="auto"/>
              </w:rPr>
              <w:t>—</w:t>
            </w:r>
          </w:p>
        </w:tc>
        <w:tc>
          <w:tcPr>
            <w:tcW w:w="148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15,057,054</w:t>
            </w:r>
          </w:p>
        </w:tc>
        <w:tc>
          <w:tcPr>
            <w:tcW w:w="134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13,521,079</w:t>
            </w:r>
          </w:p>
        </w:tc>
        <w:tc>
          <w:tcPr>
            <w:tcW w:w="136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14,065,043</w:t>
            </w:r>
          </w:p>
        </w:tc>
      </w:tr>
      <w:tr>
        <w:trPr>
          <w:trHeight w:val="76"/>
        </w:trPr>
        <w:tc>
          <w:tcPr>
            <w:tcW w:w="1860" w:type="dxa"/>
            <w:vAlign w:val="bottom"/>
            <w:tcBorders>
              <w:left w:val="single" w:sz="8" w:color="134A9C"/>
              <w:right w:val="single" w:sz="8" w:color="134A9C"/>
            </w:tcBorders>
            <w:shd w:val="clear" w:color="auto" w:fill="ACACAC"/>
          </w:tcPr>
          <w:p>
            <w:pPr>
              <w:spacing w:after="0"/>
              <w:rPr>
                <w:sz w:val="6"/>
                <w:szCs w:val="6"/>
                <w:color w:val="auto"/>
              </w:rPr>
            </w:pPr>
          </w:p>
        </w:tc>
        <w:tc>
          <w:tcPr>
            <w:tcW w:w="1260" w:type="dxa"/>
            <w:vAlign w:val="bottom"/>
            <w:tcBorders>
              <w:right w:val="single" w:sz="8" w:color="134A9C"/>
            </w:tcBorders>
            <w:shd w:val="clear" w:color="auto" w:fill="ACACAC"/>
          </w:tcPr>
          <w:p>
            <w:pPr>
              <w:spacing w:after="0"/>
              <w:rPr>
                <w:sz w:val="6"/>
                <w:szCs w:val="6"/>
                <w:color w:val="auto"/>
              </w:rPr>
            </w:pPr>
          </w:p>
        </w:tc>
        <w:tc>
          <w:tcPr>
            <w:tcW w:w="1280" w:type="dxa"/>
            <w:vAlign w:val="bottom"/>
            <w:tcBorders>
              <w:right w:val="single" w:sz="8" w:color="134A9C"/>
            </w:tcBorders>
            <w:shd w:val="clear" w:color="auto" w:fill="ACACAC"/>
          </w:tcPr>
          <w:p>
            <w:pPr>
              <w:spacing w:after="0"/>
              <w:rPr>
                <w:sz w:val="6"/>
                <w:szCs w:val="6"/>
                <w:color w:val="auto"/>
              </w:rPr>
            </w:pPr>
          </w:p>
        </w:tc>
        <w:tc>
          <w:tcPr>
            <w:tcW w:w="1360" w:type="dxa"/>
            <w:vAlign w:val="bottom"/>
            <w:tcBorders>
              <w:right w:val="single" w:sz="8" w:color="134A9C"/>
            </w:tcBorders>
            <w:shd w:val="clear" w:color="auto" w:fill="ACACAC"/>
          </w:tcPr>
          <w:p>
            <w:pPr>
              <w:spacing w:after="0"/>
              <w:rPr>
                <w:sz w:val="6"/>
                <w:szCs w:val="6"/>
                <w:color w:val="auto"/>
              </w:rPr>
            </w:pPr>
          </w:p>
        </w:tc>
        <w:tc>
          <w:tcPr>
            <w:tcW w:w="1500" w:type="dxa"/>
            <w:vAlign w:val="bottom"/>
            <w:tcBorders>
              <w:right w:val="single" w:sz="8" w:color="134A9C"/>
            </w:tcBorders>
            <w:shd w:val="clear" w:color="auto" w:fill="ACACAC"/>
          </w:tcPr>
          <w:p>
            <w:pPr>
              <w:spacing w:after="0"/>
              <w:rPr>
                <w:sz w:val="6"/>
                <w:szCs w:val="6"/>
                <w:color w:val="auto"/>
              </w:rPr>
            </w:pPr>
          </w:p>
        </w:tc>
        <w:tc>
          <w:tcPr>
            <w:tcW w:w="1480" w:type="dxa"/>
            <w:vAlign w:val="bottom"/>
            <w:tcBorders>
              <w:right w:val="single" w:sz="8" w:color="134A9C"/>
            </w:tcBorders>
            <w:shd w:val="clear" w:color="auto" w:fill="ACACAC"/>
          </w:tcPr>
          <w:p>
            <w:pPr>
              <w:spacing w:after="0"/>
              <w:rPr>
                <w:sz w:val="6"/>
                <w:szCs w:val="6"/>
                <w:color w:val="auto"/>
              </w:rPr>
            </w:pPr>
          </w:p>
        </w:tc>
        <w:tc>
          <w:tcPr>
            <w:tcW w:w="1340" w:type="dxa"/>
            <w:vAlign w:val="bottom"/>
            <w:tcBorders>
              <w:right w:val="single" w:sz="8" w:color="134A9C"/>
            </w:tcBorders>
            <w:shd w:val="clear" w:color="auto" w:fill="ACACAC"/>
          </w:tcPr>
          <w:p>
            <w:pPr>
              <w:spacing w:after="0"/>
              <w:rPr>
                <w:sz w:val="6"/>
                <w:szCs w:val="6"/>
                <w:color w:val="auto"/>
              </w:rPr>
            </w:pPr>
          </w:p>
        </w:tc>
        <w:tc>
          <w:tcPr>
            <w:tcW w:w="1360" w:type="dxa"/>
            <w:vAlign w:val="bottom"/>
            <w:tcBorders>
              <w:right w:val="single" w:sz="8" w:color="134A9C"/>
            </w:tcBorders>
            <w:shd w:val="clear" w:color="auto" w:fill="ACACAC"/>
          </w:tcPr>
          <w:p>
            <w:pPr>
              <w:spacing w:after="0"/>
              <w:rPr>
                <w:sz w:val="6"/>
                <w:szCs w:val="6"/>
                <w:color w:val="auto"/>
              </w:rPr>
            </w:pPr>
          </w:p>
        </w:tc>
      </w:tr>
      <w:tr>
        <w:trPr>
          <w:trHeight w:val="167"/>
        </w:trPr>
        <w:tc>
          <w:tcPr>
            <w:tcW w:w="18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Charles K. Stevens, III</w:t>
            </w: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3"/>
              </w:rPr>
              <w:t>Cash</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583,333</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700,000</w:t>
            </w:r>
          </w:p>
        </w:tc>
      </w:tr>
      <w:tr>
        <w:trPr>
          <w:trHeight w:val="243"/>
        </w:trPr>
        <w:tc>
          <w:tcPr>
            <w:tcW w:w="1860" w:type="dxa"/>
            <w:vAlign w:val="bottom"/>
            <w:tcBorders>
              <w:left w:val="single" w:sz="8" w:color="134A9C"/>
              <w:right w:val="single" w:sz="8" w:color="134A9C"/>
            </w:tcBorders>
          </w:tcPr>
          <w:p>
            <w:pPr>
              <w:spacing w:after="0"/>
              <w:rPr>
                <w:sz w:val="21"/>
                <w:szCs w:val="21"/>
                <w:color w:val="auto"/>
              </w:rPr>
            </w:pP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STIP</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647,500</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647,500</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647,500</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875,000</w:t>
            </w:r>
          </w:p>
        </w:tc>
      </w:tr>
      <w:tr>
        <w:trPr>
          <w:trHeight w:val="270"/>
        </w:trPr>
        <w:tc>
          <w:tcPr>
            <w:tcW w:w="1860" w:type="dxa"/>
            <w:vAlign w:val="bottom"/>
            <w:tcBorders>
              <w:left w:val="single" w:sz="8" w:color="134A9C"/>
              <w:right w:val="single" w:sz="8" w:color="134A9C"/>
            </w:tcBorders>
          </w:tcPr>
          <w:p>
            <w:pPr>
              <w:spacing w:after="0"/>
              <w:rPr>
                <w:sz w:val="23"/>
                <w:szCs w:val="23"/>
                <w:color w:val="auto"/>
              </w:rPr>
            </w:pP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4"/>
              </w:rPr>
              <w:t>LTIP</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1,743,623</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4,061,883</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3,333,514</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4,061,883</w:t>
            </w:r>
          </w:p>
        </w:tc>
      </w:tr>
      <w:tr>
        <w:trPr>
          <w:trHeight w:val="76"/>
        </w:trPr>
        <w:tc>
          <w:tcPr>
            <w:tcW w:w="1860" w:type="dxa"/>
            <w:vAlign w:val="bottom"/>
            <w:tcBorders>
              <w:left w:val="single" w:sz="8" w:color="134A9C"/>
              <w:right w:val="single" w:sz="8" w:color="134A9C"/>
            </w:tcBorders>
          </w:tcPr>
          <w:p>
            <w:pPr>
              <w:spacing w:after="0"/>
              <w:rPr>
                <w:sz w:val="6"/>
                <w:szCs w:val="6"/>
                <w:color w:val="auto"/>
              </w:rPr>
            </w:pPr>
          </w:p>
        </w:tc>
        <w:tc>
          <w:tcPr>
            <w:tcW w:w="1260" w:type="dxa"/>
            <w:vAlign w:val="bottom"/>
            <w:tcBorders>
              <w:right w:val="single" w:sz="8" w:color="134A9C"/>
            </w:tcBorders>
          </w:tcPr>
          <w:p>
            <w:pPr>
              <w:spacing w:after="0"/>
              <w:rPr>
                <w:sz w:val="6"/>
                <w:szCs w:val="6"/>
                <w:color w:val="auto"/>
              </w:rPr>
            </w:pPr>
          </w:p>
        </w:tc>
        <w:tc>
          <w:tcPr>
            <w:tcW w:w="1280" w:type="dxa"/>
            <w:vAlign w:val="bottom"/>
            <w:tcBorders>
              <w:right w:val="single" w:sz="8" w:color="134A9C"/>
            </w:tcBorders>
          </w:tcPr>
          <w:p>
            <w:pPr>
              <w:spacing w:after="0"/>
              <w:rPr>
                <w:sz w:val="6"/>
                <w:szCs w:val="6"/>
                <w:color w:val="auto"/>
              </w:rPr>
            </w:pPr>
          </w:p>
        </w:tc>
        <w:tc>
          <w:tcPr>
            <w:tcW w:w="1360" w:type="dxa"/>
            <w:vAlign w:val="bottom"/>
            <w:tcBorders>
              <w:right w:val="single" w:sz="8" w:color="134A9C"/>
            </w:tcBorders>
          </w:tcPr>
          <w:p>
            <w:pPr>
              <w:spacing w:after="0"/>
              <w:rPr>
                <w:sz w:val="6"/>
                <w:szCs w:val="6"/>
                <w:color w:val="auto"/>
              </w:rPr>
            </w:pPr>
          </w:p>
        </w:tc>
        <w:tc>
          <w:tcPr>
            <w:tcW w:w="1500" w:type="dxa"/>
            <w:vAlign w:val="bottom"/>
            <w:tcBorders>
              <w:right w:val="single" w:sz="8" w:color="134A9C"/>
            </w:tcBorders>
          </w:tcPr>
          <w:p>
            <w:pPr>
              <w:spacing w:after="0"/>
              <w:rPr>
                <w:sz w:val="6"/>
                <w:szCs w:val="6"/>
                <w:color w:val="auto"/>
              </w:rPr>
            </w:pPr>
          </w:p>
        </w:tc>
        <w:tc>
          <w:tcPr>
            <w:tcW w:w="1480" w:type="dxa"/>
            <w:vAlign w:val="bottom"/>
            <w:tcBorders>
              <w:right w:val="single" w:sz="8" w:color="134A9C"/>
            </w:tcBorders>
          </w:tcPr>
          <w:p>
            <w:pPr>
              <w:spacing w:after="0"/>
              <w:rPr>
                <w:sz w:val="6"/>
                <w:szCs w:val="6"/>
                <w:color w:val="auto"/>
              </w:rPr>
            </w:pPr>
          </w:p>
        </w:tc>
        <w:tc>
          <w:tcPr>
            <w:tcW w:w="1340" w:type="dxa"/>
            <w:vAlign w:val="bottom"/>
            <w:tcBorders>
              <w:right w:val="single" w:sz="8" w:color="134A9C"/>
            </w:tcBorders>
          </w:tcPr>
          <w:p>
            <w:pPr>
              <w:spacing w:after="0"/>
              <w:rPr>
                <w:sz w:val="6"/>
                <w:szCs w:val="6"/>
                <w:color w:val="auto"/>
              </w:rPr>
            </w:pPr>
          </w:p>
        </w:tc>
        <w:tc>
          <w:tcPr>
            <w:tcW w:w="1360" w:type="dxa"/>
            <w:vAlign w:val="bottom"/>
            <w:tcBorders>
              <w:right w:val="single" w:sz="8" w:color="134A9C"/>
            </w:tcBorders>
          </w:tcPr>
          <w:p>
            <w:pPr>
              <w:spacing w:after="0"/>
              <w:rPr>
                <w:sz w:val="6"/>
                <w:szCs w:val="6"/>
                <w:color w:val="auto"/>
              </w:rPr>
            </w:pPr>
          </w:p>
        </w:tc>
      </w:tr>
      <w:tr>
        <w:trPr>
          <w:trHeight w:val="194"/>
        </w:trPr>
        <w:tc>
          <w:tcPr>
            <w:tcW w:w="1860" w:type="dxa"/>
            <w:vAlign w:val="bottom"/>
            <w:tcBorders>
              <w:left w:val="single" w:sz="8" w:color="134A9C"/>
              <w:right w:val="single" w:sz="8" w:color="134A9C"/>
            </w:tcBorders>
            <w:shd w:val="clear" w:color="auto" w:fill="ACACAC"/>
          </w:tcPr>
          <w:p>
            <w:pPr>
              <w:spacing w:after="0"/>
              <w:rPr>
                <w:sz w:val="16"/>
                <w:szCs w:val="16"/>
                <w:color w:val="auto"/>
              </w:rPr>
            </w:pPr>
          </w:p>
        </w:tc>
        <w:tc>
          <w:tcPr>
            <w:tcW w:w="1260" w:type="dxa"/>
            <w:vAlign w:val="bottom"/>
            <w:tcBorders>
              <w:right w:val="single" w:sz="8" w:color="134A9C"/>
            </w:tcBorders>
            <w:shd w:val="clear" w:color="auto" w:fill="ACACAC"/>
          </w:tcPr>
          <w:p>
            <w:pPr>
              <w:jc w:val="center"/>
              <w:spacing w:after="0"/>
              <w:rPr>
                <w:sz w:val="20"/>
                <w:szCs w:val="20"/>
                <w:color w:val="auto"/>
              </w:rPr>
            </w:pPr>
            <w:r>
              <w:rPr>
                <w:rFonts w:ascii="Arial" w:cs="Arial" w:eastAsia="Arial" w:hAnsi="Arial"/>
                <w:sz w:val="11"/>
                <w:szCs w:val="11"/>
                <w:b w:val="1"/>
                <w:bCs w:val="1"/>
                <w:color w:val="auto"/>
                <w:w w:val="91"/>
              </w:rPr>
              <w:t>Total</w:t>
            </w:r>
          </w:p>
        </w:tc>
        <w:tc>
          <w:tcPr>
            <w:tcW w:w="1280" w:type="dxa"/>
            <w:vAlign w:val="bottom"/>
            <w:tcBorders>
              <w:right w:val="single" w:sz="8" w:color="134A9C"/>
            </w:tcBorders>
            <w:shd w:val="clear" w:color="auto" w:fill="ACACAC"/>
          </w:tcPr>
          <w:p>
            <w:pPr>
              <w:ind w:left="1020"/>
              <w:spacing w:after="0"/>
              <w:rPr>
                <w:sz w:val="20"/>
                <w:szCs w:val="20"/>
                <w:color w:val="auto"/>
              </w:rPr>
            </w:pPr>
            <w:r>
              <w:rPr>
                <w:rFonts w:ascii="Arial" w:cs="Arial" w:eastAsia="Arial" w:hAnsi="Arial"/>
                <w:sz w:val="11"/>
                <w:szCs w:val="11"/>
                <w:b w:val="1"/>
                <w:bCs w:val="1"/>
                <w:color w:val="auto"/>
              </w:rPr>
              <w:t>—</w:t>
            </w:r>
          </w:p>
        </w:tc>
        <w:tc>
          <w:tcPr>
            <w:tcW w:w="1360" w:type="dxa"/>
            <w:vAlign w:val="bottom"/>
            <w:tcBorders>
              <w:right w:val="single" w:sz="8" w:color="134A9C"/>
            </w:tcBorders>
            <w:shd w:val="clear" w:color="auto" w:fill="ACACAC"/>
          </w:tcPr>
          <w:p>
            <w:pPr>
              <w:jc w:val="right"/>
              <w:ind w:right="86"/>
              <w:spacing w:after="0"/>
              <w:rPr>
                <w:sz w:val="20"/>
                <w:szCs w:val="20"/>
                <w:color w:val="auto"/>
              </w:rPr>
            </w:pPr>
            <w:r>
              <w:rPr>
                <w:rFonts w:ascii="Arial" w:cs="Arial" w:eastAsia="Arial" w:hAnsi="Arial"/>
                <w:sz w:val="11"/>
                <w:szCs w:val="11"/>
                <w:b w:val="1"/>
                <w:bCs w:val="1"/>
                <w:color w:val="auto"/>
              </w:rPr>
              <w:t>583,333</w:t>
            </w:r>
          </w:p>
        </w:tc>
        <w:tc>
          <w:tcPr>
            <w:tcW w:w="1500" w:type="dxa"/>
            <w:vAlign w:val="bottom"/>
            <w:tcBorders>
              <w:right w:val="single" w:sz="8" w:color="134A9C"/>
            </w:tcBorders>
            <w:shd w:val="clear" w:color="auto" w:fill="ACACAC"/>
          </w:tcPr>
          <w:p>
            <w:pPr>
              <w:jc w:val="right"/>
              <w:ind w:right="86"/>
              <w:spacing w:after="0"/>
              <w:rPr>
                <w:sz w:val="20"/>
                <w:szCs w:val="20"/>
                <w:color w:val="auto"/>
              </w:rPr>
            </w:pPr>
            <w:r>
              <w:rPr>
                <w:rFonts w:ascii="Arial" w:cs="Arial" w:eastAsia="Arial" w:hAnsi="Arial"/>
                <w:sz w:val="11"/>
                <w:szCs w:val="11"/>
                <w:b w:val="1"/>
                <w:bCs w:val="1"/>
                <w:color w:val="auto"/>
              </w:rPr>
              <w:t>2,391,123</w:t>
            </w:r>
          </w:p>
        </w:tc>
        <w:tc>
          <w:tcPr>
            <w:tcW w:w="148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4,709,383</w:t>
            </w:r>
          </w:p>
        </w:tc>
        <w:tc>
          <w:tcPr>
            <w:tcW w:w="134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3,981,014</w:t>
            </w:r>
          </w:p>
        </w:tc>
        <w:tc>
          <w:tcPr>
            <w:tcW w:w="136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5,636,883</w:t>
            </w:r>
          </w:p>
        </w:tc>
      </w:tr>
      <w:tr>
        <w:trPr>
          <w:trHeight w:val="76"/>
        </w:trPr>
        <w:tc>
          <w:tcPr>
            <w:tcW w:w="1860" w:type="dxa"/>
            <w:vAlign w:val="bottom"/>
            <w:tcBorders>
              <w:left w:val="single" w:sz="8" w:color="134A9C"/>
              <w:right w:val="single" w:sz="8" w:color="134A9C"/>
            </w:tcBorders>
            <w:shd w:val="clear" w:color="auto" w:fill="ACACAC"/>
          </w:tcPr>
          <w:p>
            <w:pPr>
              <w:spacing w:after="0"/>
              <w:rPr>
                <w:sz w:val="6"/>
                <w:szCs w:val="6"/>
                <w:color w:val="auto"/>
              </w:rPr>
            </w:pPr>
          </w:p>
        </w:tc>
        <w:tc>
          <w:tcPr>
            <w:tcW w:w="1260" w:type="dxa"/>
            <w:vAlign w:val="bottom"/>
            <w:tcBorders>
              <w:right w:val="single" w:sz="8" w:color="134A9C"/>
            </w:tcBorders>
            <w:shd w:val="clear" w:color="auto" w:fill="ACACAC"/>
          </w:tcPr>
          <w:p>
            <w:pPr>
              <w:spacing w:after="0"/>
              <w:rPr>
                <w:sz w:val="6"/>
                <w:szCs w:val="6"/>
                <w:color w:val="auto"/>
              </w:rPr>
            </w:pPr>
          </w:p>
        </w:tc>
        <w:tc>
          <w:tcPr>
            <w:tcW w:w="1280" w:type="dxa"/>
            <w:vAlign w:val="bottom"/>
            <w:tcBorders>
              <w:right w:val="single" w:sz="8" w:color="134A9C"/>
            </w:tcBorders>
            <w:shd w:val="clear" w:color="auto" w:fill="ACACAC"/>
          </w:tcPr>
          <w:p>
            <w:pPr>
              <w:spacing w:after="0"/>
              <w:rPr>
                <w:sz w:val="6"/>
                <w:szCs w:val="6"/>
                <w:color w:val="auto"/>
              </w:rPr>
            </w:pPr>
          </w:p>
        </w:tc>
        <w:tc>
          <w:tcPr>
            <w:tcW w:w="1360" w:type="dxa"/>
            <w:vAlign w:val="bottom"/>
            <w:tcBorders>
              <w:right w:val="single" w:sz="8" w:color="134A9C"/>
            </w:tcBorders>
            <w:shd w:val="clear" w:color="auto" w:fill="ACACAC"/>
          </w:tcPr>
          <w:p>
            <w:pPr>
              <w:spacing w:after="0"/>
              <w:rPr>
                <w:sz w:val="6"/>
                <w:szCs w:val="6"/>
                <w:color w:val="auto"/>
              </w:rPr>
            </w:pPr>
          </w:p>
        </w:tc>
        <w:tc>
          <w:tcPr>
            <w:tcW w:w="1500" w:type="dxa"/>
            <w:vAlign w:val="bottom"/>
            <w:tcBorders>
              <w:right w:val="single" w:sz="8" w:color="134A9C"/>
            </w:tcBorders>
            <w:shd w:val="clear" w:color="auto" w:fill="ACACAC"/>
          </w:tcPr>
          <w:p>
            <w:pPr>
              <w:spacing w:after="0"/>
              <w:rPr>
                <w:sz w:val="6"/>
                <w:szCs w:val="6"/>
                <w:color w:val="auto"/>
              </w:rPr>
            </w:pPr>
          </w:p>
        </w:tc>
        <w:tc>
          <w:tcPr>
            <w:tcW w:w="1480" w:type="dxa"/>
            <w:vAlign w:val="bottom"/>
            <w:tcBorders>
              <w:right w:val="single" w:sz="8" w:color="134A9C"/>
            </w:tcBorders>
            <w:shd w:val="clear" w:color="auto" w:fill="ACACAC"/>
          </w:tcPr>
          <w:p>
            <w:pPr>
              <w:spacing w:after="0"/>
              <w:rPr>
                <w:sz w:val="6"/>
                <w:szCs w:val="6"/>
                <w:color w:val="auto"/>
              </w:rPr>
            </w:pPr>
          </w:p>
        </w:tc>
        <w:tc>
          <w:tcPr>
            <w:tcW w:w="1340" w:type="dxa"/>
            <w:vAlign w:val="bottom"/>
            <w:tcBorders>
              <w:right w:val="single" w:sz="8" w:color="134A9C"/>
            </w:tcBorders>
            <w:shd w:val="clear" w:color="auto" w:fill="ACACAC"/>
          </w:tcPr>
          <w:p>
            <w:pPr>
              <w:spacing w:after="0"/>
              <w:rPr>
                <w:sz w:val="6"/>
                <w:szCs w:val="6"/>
                <w:color w:val="auto"/>
              </w:rPr>
            </w:pPr>
          </w:p>
        </w:tc>
        <w:tc>
          <w:tcPr>
            <w:tcW w:w="1360" w:type="dxa"/>
            <w:vAlign w:val="bottom"/>
            <w:tcBorders>
              <w:right w:val="single" w:sz="8" w:color="134A9C"/>
            </w:tcBorders>
            <w:shd w:val="clear" w:color="auto" w:fill="ACACAC"/>
          </w:tcPr>
          <w:p>
            <w:pPr>
              <w:spacing w:after="0"/>
              <w:rPr>
                <w:sz w:val="6"/>
                <w:szCs w:val="6"/>
                <w:color w:val="auto"/>
              </w:rPr>
            </w:pPr>
          </w:p>
        </w:tc>
      </w:tr>
      <w:tr>
        <w:trPr>
          <w:trHeight w:val="167"/>
        </w:trPr>
        <w:tc>
          <w:tcPr>
            <w:tcW w:w="18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Daniel Ammann</w:t>
            </w: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3"/>
              </w:rPr>
              <w:t>Cash</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166,667</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166,667</w:t>
            </w:r>
          </w:p>
        </w:tc>
      </w:tr>
      <w:tr>
        <w:trPr>
          <w:trHeight w:val="243"/>
        </w:trPr>
        <w:tc>
          <w:tcPr>
            <w:tcW w:w="1860" w:type="dxa"/>
            <w:vAlign w:val="bottom"/>
            <w:tcBorders>
              <w:left w:val="single" w:sz="8" w:color="134A9C"/>
              <w:right w:val="single" w:sz="8" w:color="134A9C"/>
            </w:tcBorders>
          </w:tcPr>
          <w:p>
            <w:pPr>
              <w:spacing w:after="0"/>
              <w:rPr>
                <w:sz w:val="21"/>
                <w:szCs w:val="21"/>
                <w:color w:val="auto"/>
              </w:rPr>
            </w:pP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STIP</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925,000</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925,000</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1,250,000</w:t>
            </w:r>
          </w:p>
        </w:tc>
      </w:tr>
      <w:tr>
        <w:trPr>
          <w:trHeight w:val="270"/>
        </w:trPr>
        <w:tc>
          <w:tcPr>
            <w:tcW w:w="1860" w:type="dxa"/>
            <w:vAlign w:val="bottom"/>
            <w:tcBorders>
              <w:left w:val="single" w:sz="8" w:color="134A9C"/>
              <w:right w:val="single" w:sz="8" w:color="134A9C"/>
            </w:tcBorders>
          </w:tcPr>
          <w:p>
            <w:pPr>
              <w:spacing w:after="0"/>
              <w:rPr>
                <w:sz w:val="23"/>
                <w:szCs w:val="23"/>
                <w:color w:val="auto"/>
              </w:rPr>
            </w:pP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4"/>
              </w:rPr>
              <w:t>LTIP</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7,765,904</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6,211,153</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4,397,613</w:t>
            </w:r>
          </w:p>
        </w:tc>
      </w:tr>
      <w:tr>
        <w:trPr>
          <w:trHeight w:val="76"/>
        </w:trPr>
        <w:tc>
          <w:tcPr>
            <w:tcW w:w="1860" w:type="dxa"/>
            <w:vAlign w:val="bottom"/>
            <w:tcBorders>
              <w:left w:val="single" w:sz="8" w:color="134A9C"/>
              <w:right w:val="single" w:sz="8" w:color="134A9C"/>
            </w:tcBorders>
          </w:tcPr>
          <w:p>
            <w:pPr>
              <w:spacing w:after="0"/>
              <w:rPr>
                <w:sz w:val="6"/>
                <w:szCs w:val="6"/>
                <w:color w:val="auto"/>
              </w:rPr>
            </w:pPr>
          </w:p>
        </w:tc>
        <w:tc>
          <w:tcPr>
            <w:tcW w:w="1260" w:type="dxa"/>
            <w:vAlign w:val="bottom"/>
            <w:tcBorders>
              <w:right w:val="single" w:sz="8" w:color="134A9C"/>
            </w:tcBorders>
          </w:tcPr>
          <w:p>
            <w:pPr>
              <w:spacing w:after="0"/>
              <w:rPr>
                <w:sz w:val="6"/>
                <w:szCs w:val="6"/>
                <w:color w:val="auto"/>
              </w:rPr>
            </w:pPr>
          </w:p>
        </w:tc>
        <w:tc>
          <w:tcPr>
            <w:tcW w:w="1280" w:type="dxa"/>
            <w:vAlign w:val="bottom"/>
            <w:tcBorders>
              <w:right w:val="single" w:sz="8" w:color="134A9C"/>
            </w:tcBorders>
          </w:tcPr>
          <w:p>
            <w:pPr>
              <w:spacing w:after="0"/>
              <w:rPr>
                <w:sz w:val="6"/>
                <w:szCs w:val="6"/>
                <w:color w:val="auto"/>
              </w:rPr>
            </w:pPr>
          </w:p>
        </w:tc>
        <w:tc>
          <w:tcPr>
            <w:tcW w:w="1360" w:type="dxa"/>
            <w:vAlign w:val="bottom"/>
            <w:tcBorders>
              <w:right w:val="single" w:sz="8" w:color="134A9C"/>
            </w:tcBorders>
          </w:tcPr>
          <w:p>
            <w:pPr>
              <w:spacing w:after="0"/>
              <w:rPr>
                <w:sz w:val="6"/>
                <w:szCs w:val="6"/>
                <w:color w:val="auto"/>
              </w:rPr>
            </w:pPr>
          </w:p>
        </w:tc>
        <w:tc>
          <w:tcPr>
            <w:tcW w:w="1500" w:type="dxa"/>
            <w:vAlign w:val="bottom"/>
            <w:tcBorders>
              <w:right w:val="single" w:sz="8" w:color="134A9C"/>
            </w:tcBorders>
          </w:tcPr>
          <w:p>
            <w:pPr>
              <w:spacing w:after="0"/>
              <w:rPr>
                <w:sz w:val="6"/>
                <w:szCs w:val="6"/>
                <w:color w:val="auto"/>
              </w:rPr>
            </w:pPr>
          </w:p>
        </w:tc>
        <w:tc>
          <w:tcPr>
            <w:tcW w:w="1480" w:type="dxa"/>
            <w:vAlign w:val="bottom"/>
            <w:tcBorders>
              <w:right w:val="single" w:sz="8" w:color="134A9C"/>
            </w:tcBorders>
          </w:tcPr>
          <w:p>
            <w:pPr>
              <w:spacing w:after="0"/>
              <w:rPr>
                <w:sz w:val="6"/>
                <w:szCs w:val="6"/>
                <w:color w:val="auto"/>
              </w:rPr>
            </w:pPr>
          </w:p>
        </w:tc>
        <w:tc>
          <w:tcPr>
            <w:tcW w:w="1340" w:type="dxa"/>
            <w:vAlign w:val="bottom"/>
            <w:tcBorders>
              <w:right w:val="single" w:sz="8" w:color="134A9C"/>
            </w:tcBorders>
          </w:tcPr>
          <w:p>
            <w:pPr>
              <w:spacing w:after="0"/>
              <w:rPr>
                <w:sz w:val="6"/>
                <w:szCs w:val="6"/>
                <w:color w:val="auto"/>
              </w:rPr>
            </w:pPr>
          </w:p>
        </w:tc>
        <w:tc>
          <w:tcPr>
            <w:tcW w:w="1360" w:type="dxa"/>
            <w:vAlign w:val="bottom"/>
            <w:tcBorders>
              <w:right w:val="single" w:sz="8" w:color="134A9C"/>
            </w:tcBorders>
          </w:tcPr>
          <w:p>
            <w:pPr>
              <w:spacing w:after="0"/>
              <w:rPr>
                <w:sz w:val="6"/>
                <w:szCs w:val="6"/>
                <w:color w:val="auto"/>
              </w:rPr>
            </w:pPr>
          </w:p>
        </w:tc>
      </w:tr>
      <w:tr>
        <w:trPr>
          <w:trHeight w:val="194"/>
        </w:trPr>
        <w:tc>
          <w:tcPr>
            <w:tcW w:w="1860" w:type="dxa"/>
            <w:vAlign w:val="bottom"/>
            <w:tcBorders>
              <w:left w:val="single" w:sz="8" w:color="134A9C"/>
              <w:right w:val="single" w:sz="8" w:color="134A9C"/>
            </w:tcBorders>
            <w:shd w:val="clear" w:color="auto" w:fill="ACACAC"/>
          </w:tcPr>
          <w:p>
            <w:pPr>
              <w:spacing w:after="0"/>
              <w:rPr>
                <w:sz w:val="16"/>
                <w:szCs w:val="16"/>
                <w:color w:val="auto"/>
              </w:rPr>
            </w:pPr>
          </w:p>
        </w:tc>
        <w:tc>
          <w:tcPr>
            <w:tcW w:w="1260" w:type="dxa"/>
            <w:vAlign w:val="bottom"/>
            <w:tcBorders>
              <w:right w:val="single" w:sz="8" w:color="134A9C"/>
            </w:tcBorders>
            <w:shd w:val="clear" w:color="auto" w:fill="ACACAC"/>
          </w:tcPr>
          <w:p>
            <w:pPr>
              <w:jc w:val="center"/>
              <w:spacing w:after="0"/>
              <w:rPr>
                <w:sz w:val="20"/>
                <w:szCs w:val="20"/>
                <w:color w:val="auto"/>
              </w:rPr>
            </w:pPr>
            <w:r>
              <w:rPr>
                <w:rFonts w:ascii="Arial" w:cs="Arial" w:eastAsia="Arial" w:hAnsi="Arial"/>
                <w:sz w:val="11"/>
                <w:szCs w:val="11"/>
                <w:b w:val="1"/>
                <w:bCs w:val="1"/>
                <w:color w:val="auto"/>
                <w:w w:val="91"/>
              </w:rPr>
              <w:t>Total</w:t>
            </w:r>
          </w:p>
        </w:tc>
        <w:tc>
          <w:tcPr>
            <w:tcW w:w="1280" w:type="dxa"/>
            <w:vAlign w:val="bottom"/>
            <w:tcBorders>
              <w:right w:val="single" w:sz="8" w:color="134A9C"/>
            </w:tcBorders>
            <w:shd w:val="clear" w:color="auto" w:fill="ACACAC"/>
          </w:tcPr>
          <w:p>
            <w:pPr>
              <w:ind w:left="1020"/>
              <w:spacing w:after="0"/>
              <w:rPr>
                <w:sz w:val="20"/>
                <w:szCs w:val="20"/>
                <w:color w:val="auto"/>
              </w:rPr>
            </w:pPr>
            <w:r>
              <w:rPr>
                <w:rFonts w:ascii="Arial" w:cs="Arial" w:eastAsia="Arial" w:hAnsi="Arial"/>
                <w:sz w:val="11"/>
                <w:szCs w:val="11"/>
                <w:b w:val="1"/>
                <w:bCs w:val="1"/>
                <w:color w:val="auto"/>
              </w:rPr>
              <w:t>—</w:t>
            </w:r>
          </w:p>
        </w:tc>
        <w:tc>
          <w:tcPr>
            <w:tcW w:w="1360" w:type="dxa"/>
            <w:vAlign w:val="bottom"/>
            <w:tcBorders>
              <w:right w:val="single" w:sz="8" w:color="134A9C"/>
            </w:tcBorders>
            <w:shd w:val="clear" w:color="auto" w:fill="ACACAC"/>
          </w:tcPr>
          <w:p>
            <w:pPr>
              <w:jc w:val="right"/>
              <w:ind w:right="86"/>
              <w:spacing w:after="0"/>
              <w:rPr>
                <w:sz w:val="20"/>
                <w:szCs w:val="20"/>
                <w:color w:val="auto"/>
              </w:rPr>
            </w:pPr>
            <w:r>
              <w:rPr>
                <w:rFonts w:ascii="Arial" w:cs="Arial" w:eastAsia="Arial" w:hAnsi="Arial"/>
                <w:sz w:val="11"/>
                <w:szCs w:val="11"/>
                <w:b w:val="1"/>
                <w:bCs w:val="1"/>
                <w:color w:val="auto"/>
              </w:rPr>
              <w:t>166,667</w:t>
            </w:r>
          </w:p>
        </w:tc>
        <w:tc>
          <w:tcPr>
            <w:tcW w:w="1500" w:type="dxa"/>
            <w:vAlign w:val="bottom"/>
            <w:tcBorders>
              <w:right w:val="single" w:sz="8" w:color="134A9C"/>
            </w:tcBorders>
            <w:shd w:val="clear" w:color="auto" w:fill="ACACAC"/>
          </w:tcPr>
          <w:p>
            <w:pPr>
              <w:jc w:val="right"/>
              <w:ind w:right="86"/>
              <w:spacing w:after="0"/>
              <w:rPr>
                <w:sz w:val="20"/>
                <w:szCs w:val="20"/>
                <w:color w:val="auto"/>
              </w:rPr>
            </w:pPr>
            <w:r>
              <w:rPr>
                <w:rFonts w:ascii="Arial" w:cs="Arial" w:eastAsia="Arial" w:hAnsi="Arial"/>
                <w:sz w:val="11"/>
                <w:szCs w:val="11"/>
                <w:b w:val="1"/>
                <w:bCs w:val="1"/>
                <w:color w:val="auto"/>
              </w:rPr>
              <w:t>—</w:t>
            </w:r>
          </w:p>
        </w:tc>
        <w:tc>
          <w:tcPr>
            <w:tcW w:w="148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8,690,904</w:t>
            </w:r>
          </w:p>
        </w:tc>
        <w:tc>
          <w:tcPr>
            <w:tcW w:w="134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7,136,153</w:t>
            </w:r>
          </w:p>
        </w:tc>
        <w:tc>
          <w:tcPr>
            <w:tcW w:w="136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5,814,280</w:t>
            </w:r>
          </w:p>
        </w:tc>
      </w:tr>
      <w:tr>
        <w:trPr>
          <w:trHeight w:val="76"/>
        </w:trPr>
        <w:tc>
          <w:tcPr>
            <w:tcW w:w="1860" w:type="dxa"/>
            <w:vAlign w:val="bottom"/>
            <w:tcBorders>
              <w:left w:val="single" w:sz="8" w:color="134A9C"/>
              <w:right w:val="single" w:sz="8" w:color="134A9C"/>
            </w:tcBorders>
            <w:shd w:val="clear" w:color="auto" w:fill="ACACAC"/>
          </w:tcPr>
          <w:p>
            <w:pPr>
              <w:spacing w:after="0"/>
              <w:rPr>
                <w:sz w:val="6"/>
                <w:szCs w:val="6"/>
                <w:color w:val="auto"/>
              </w:rPr>
            </w:pPr>
          </w:p>
        </w:tc>
        <w:tc>
          <w:tcPr>
            <w:tcW w:w="1260" w:type="dxa"/>
            <w:vAlign w:val="bottom"/>
            <w:tcBorders>
              <w:right w:val="single" w:sz="8" w:color="134A9C"/>
            </w:tcBorders>
            <w:shd w:val="clear" w:color="auto" w:fill="ACACAC"/>
          </w:tcPr>
          <w:p>
            <w:pPr>
              <w:spacing w:after="0"/>
              <w:rPr>
                <w:sz w:val="6"/>
                <w:szCs w:val="6"/>
                <w:color w:val="auto"/>
              </w:rPr>
            </w:pPr>
          </w:p>
        </w:tc>
        <w:tc>
          <w:tcPr>
            <w:tcW w:w="1280" w:type="dxa"/>
            <w:vAlign w:val="bottom"/>
            <w:tcBorders>
              <w:right w:val="single" w:sz="8" w:color="134A9C"/>
            </w:tcBorders>
            <w:shd w:val="clear" w:color="auto" w:fill="ACACAC"/>
          </w:tcPr>
          <w:p>
            <w:pPr>
              <w:spacing w:after="0"/>
              <w:rPr>
                <w:sz w:val="6"/>
                <w:szCs w:val="6"/>
                <w:color w:val="auto"/>
              </w:rPr>
            </w:pPr>
          </w:p>
        </w:tc>
        <w:tc>
          <w:tcPr>
            <w:tcW w:w="1360" w:type="dxa"/>
            <w:vAlign w:val="bottom"/>
            <w:tcBorders>
              <w:right w:val="single" w:sz="8" w:color="134A9C"/>
            </w:tcBorders>
            <w:shd w:val="clear" w:color="auto" w:fill="ACACAC"/>
          </w:tcPr>
          <w:p>
            <w:pPr>
              <w:spacing w:after="0"/>
              <w:rPr>
                <w:sz w:val="6"/>
                <w:szCs w:val="6"/>
                <w:color w:val="auto"/>
              </w:rPr>
            </w:pPr>
          </w:p>
        </w:tc>
        <w:tc>
          <w:tcPr>
            <w:tcW w:w="1500" w:type="dxa"/>
            <w:vAlign w:val="bottom"/>
            <w:tcBorders>
              <w:right w:val="single" w:sz="8" w:color="134A9C"/>
            </w:tcBorders>
            <w:shd w:val="clear" w:color="auto" w:fill="ACACAC"/>
          </w:tcPr>
          <w:p>
            <w:pPr>
              <w:spacing w:after="0"/>
              <w:rPr>
                <w:sz w:val="6"/>
                <w:szCs w:val="6"/>
                <w:color w:val="auto"/>
              </w:rPr>
            </w:pPr>
          </w:p>
        </w:tc>
        <w:tc>
          <w:tcPr>
            <w:tcW w:w="1480" w:type="dxa"/>
            <w:vAlign w:val="bottom"/>
            <w:tcBorders>
              <w:right w:val="single" w:sz="8" w:color="134A9C"/>
            </w:tcBorders>
            <w:shd w:val="clear" w:color="auto" w:fill="ACACAC"/>
          </w:tcPr>
          <w:p>
            <w:pPr>
              <w:spacing w:after="0"/>
              <w:rPr>
                <w:sz w:val="6"/>
                <w:szCs w:val="6"/>
                <w:color w:val="auto"/>
              </w:rPr>
            </w:pPr>
          </w:p>
        </w:tc>
        <w:tc>
          <w:tcPr>
            <w:tcW w:w="1340" w:type="dxa"/>
            <w:vAlign w:val="bottom"/>
            <w:tcBorders>
              <w:right w:val="single" w:sz="8" w:color="134A9C"/>
            </w:tcBorders>
            <w:shd w:val="clear" w:color="auto" w:fill="ACACAC"/>
          </w:tcPr>
          <w:p>
            <w:pPr>
              <w:spacing w:after="0"/>
              <w:rPr>
                <w:sz w:val="6"/>
                <w:szCs w:val="6"/>
                <w:color w:val="auto"/>
              </w:rPr>
            </w:pPr>
          </w:p>
        </w:tc>
        <w:tc>
          <w:tcPr>
            <w:tcW w:w="1360" w:type="dxa"/>
            <w:vAlign w:val="bottom"/>
            <w:tcBorders>
              <w:right w:val="single" w:sz="8" w:color="134A9C"/>
            </w:tcBorders>
            <w:shd w:val="clear" w:color="auto" w:fill="ACACAC"/>
          </w:tcPr>
          <w:p>
            <w:pPr>
              <w:spacing w:after="0"/>
              <w:rPr>
                <w:sz w:val="6"/>
                <w:szCs w:val="6"/>
                <w:color w:val="auto"/>
              </w:rPr>
            </w:pPr>
          </w:p>
        </w:tc>
      </w:tr>
      <w:tr>
        <w:trPr>
          <w:trHeight w:val="167"/>
        </w:trPr>
        <w:tc>
          <w:tcPr>
            <w:tcW w:w="18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Mark L. Reuss</w:t>
            </w: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3"/>
              </w:rPr>
              <w:t>Cash</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708,333</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850,000</w:t>
            </w:r>
          </w:p>
        </w:tc>
      </w:tr>
      <w:tr>
        <w:trPr>
          <w:trHeight w:val="243"/>
        </w:trPr>
        <w:tc>
          <w:tcPr>
            <w:tcW w:w="1860" w:type="dxa"/>
            <w:vAlign w:val="bottom"/>
            <w:tcBorders>
              <w:left w:val="single" w:sz="8" w:color="134A9C"/>
              <w:right w:val="single" w:sz="8" w:color="134A9C"/>
            </w:tcBorders>
          </w:tcPr>
          <w:p>
            <w:pPr>
              <w:spacing w:after="0"/>
              <w:rPr>
                <w:sz w:val="21"/>
                <w:szCs w:val="21"/>
                <w:color w:val="auto"/>
              </w:rPr>
            </w:pP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STIP</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786,300</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786,300</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1,062,500</w:t>
            </w:r>
          </w:p>
        </w:tc>
      </w:tr>
      <w:tr>
        <w:trPr>
          <w:trHeight w:val="270"/>
        </w:trPr>
        <w:tc>
          <w:tcPr>
            <w:tcW w:w="1860" w:type="dxa"/>
            <w:vAlign w:val="bottom"/>
            <w:tcBorders>
              <w:left w:val="single" w:sz="8" w:color="134A9C"/>
              <w:right w:val="single" w:sz="8" w:color="134A9C"/>
            </w:tcBorders>
          </w:tcPr>
          <w:p>
            <w:pPr>
              <w:spacing w:after="0"/>
              <w:rPr>
                <w:sz w:val="23"/>
                <w:szCs w:val="23"/>
                <w:color w:val="auto"/>
              </w:rPr>
            </w:pP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4"/>
              </w:rPr>
              <w:t>LTIP</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8,651,850</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7,299,237</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5,752,749</w:t>
            </w:r>
          </w:p>
        </w:tc>
      </w:tr>
      <w:tr>
        <w:trPr>
          <w:trHeight w:val="76"/>
        </w:trPr>
        <w:tc>
          <w:tcPr>
            <w:tcW w:w="1860" w:type="dxa"/>
            <w:vAlign w:val="bottom"/>
            <w:tcBorders>
              <w:left w:val="single" w:sz="8" w:color="134A9C"/>
              <w:right w:val="single" w:sz="8" w:color="134A9C"/>
            </w:tcBorders>
          </w:tcPr>
          <w:p>
            <w:pPr>
              <w:spacing w:after="0"/>
              <w:rPr>
                <w:sz w:val="6"/>
                <w:szCs w:val="6"/>
                <w:color w:val="auto"/>
              </w:rPr>
            </w:pPr>
          </w:p>
        </w:tc>
        <w:tc>
          <w:tcPr>
            <w:tcW w:w="1260" w:type="dxa"/>
            <w:vAlign w:val="bottom"/>
            <w:tcBorders>
              <w:right w:val="single" w:sz="8" w:color="134A9C"/>
            </w:tcBorders>
          </w:tcPr>
          <w:p>
            <w:pPr>
              <w:spacing w:after="0"/>
              <w:rPr>
                <w:sz w:val="6"/>
                <w:szCs w:val="6"/>
                <w:color w:val="auto"/>
              </w:rPr>
            </w:pPr>
          </w:p>
        </w:tc>
        <w:tc>
          <w:tcPr>
            <w:tcW w:w="1280" w:type="dxa"/>
            <w:vAlign w:val="bottom"/>
            <w:tcBorders>
              <w:right w:val="single" w:sz="8" w:color="134A9C"/>
            </w:tcBorders>
          </w:tcPr>
          <w:p>
            <w:pPr>
              <w:spacing w:after="0"/>
              <w:rPr>
                <w:sz w:val="6"/>
                <w:szCs w:val="6"/>
                <w:color w:val="auto"/>
              </w:rPr>
            </w:pPr>
          </w:p>
        </w:tc>
        <w:tc>
          <w:tcPr>
            <w:tcW w:w="1360" w:type="dxa"/>
            <w:vAlign w:val="bottom"/>
            <w:tcBorders>
              <w:right w:val="single" w:sz="8" w:color="134A9C"/>
            </w:tcBorders>
          </w:tcPr>
          <w:p>
            <w:pPr>
              <w:spacing w:after="0"/>
              <w:rPr>
                <w:sz w:val="6"/>
                <w:szCs w:val="6"/>
                <w:color w:val="auto"/>
              </w:rPr>
            </w:pPr>
          </w:p>
        </w:tc>
        <w:tc>
          <w:tcPr>
            <w:tcW w:w="1500" w:type="dxa"/>
            <w:vAlign w:val="bottom"/>
            <w:tcBorders>
              <w:right w:val="single" w:sz="8" w:color="134A9C"/>
            </w:tcBorders>
          </w:tcPr>
          <w:p>
            <w:pPr>
              <w:spacing w:after="0"/>
              <w:rPr>
                <w:sz w:val="6"/>
                <w:szCs w:val="6"/>
                <w:color w:val="auto"/>
              </w:rPr>
            </w:pPr>
          </w:p>
        </w:tc>
        <w:tc>
          <w:tcPr>
            <w:tcW w:w="1480" w:type="dxa"/>
            <w:vAlign w:val="bottom"/>
            <w:tcBorders>
              <w:right w:val="single" w:sz="8" w:color="134A9C"/>
            </w:tcBorders>
          </w:tcPr>
          <w:p>
            <w:pPr>
              <w:spacing w:after="0"/>
              <w:rPr>
                <w:sz w:val="6"/>
                <w:szCs w:val="6"/>
                <w:color w:val="auto"/>
              </w:rPr>
            </w:pPr>
          </w:p>
        </w:tc>
        <w:tc>
          <w:tcPr>
            <w:tcW w:w="1340" w:type="dxa"/>
            <w:vAlign w:val="bottom"/>
            <w:tcBorders>
              <w:right w:val="single" w:sz="8" w:color="134A9C"/>
            </w:tcBorders>
          </w:tcPr>
          <w:p>
            <w:pPr>
              <w:spacing w:after="0"/>
              <w:rPr>
                <w:sz w:val="6"/>
                <w:szCs w:val="6"/>
                <w:color w:val="auto"/>
              </w:rPr>
            </w:pPr>
          </w:p>
        </w:tc>
        <w:tc>
          <w:tcPr>
            <w:tcW w:w="1360" w:type="dxa"/>
            <w:vAlign w:val="bottom"/>
            <w:tcBorders>
              <w:right w:val="single" w:sz="8" w:color="134A9C"/>
            </w:tcBorders>
          </w:tcPr>
          <w:p>
            <w:pPr>
              <w:spacing w:after="0"/>
              <w:rPr>
                <w:sz w:val="6"/>
                <w:szCs w:val="6"/>
                <w:color w:val="auto"/>
              </w:rPr>
            </w:pPr>
          </w:p>
        </w:tc>
      </w:tr>
      <w:tr>
        <w:trPr>
          <w:trHeight w:val="194"/>
        </w:trPr>
        <w:tc>
          <w:tcPr>
            <w:tcW w:w="1860" w:type="dxa"/>
            <w:vAlign w:val="bottom"/>
            <w:tcBorders>
              <w:left w:val="single" w:sz="8" w:color="134A9C"/>
              <w:right w:val="single" w:sz="8" w:color="134A9C"/>
            </w:tcBorders>
            <w:shd w:val="clear" w:color="auto" w:fill="ACACAC"/>
          </w:tcPr>
          <w:p>
            <w:pPr>
              <w:spacing w:after="0"/>
              <w:rPr>
                <w:sz w:val="16"/>
                <w:szCs w:val="16"/>
                <w:color w:val="auto"/>
              </w:rPr>
            </w:pPr>
          </w:p>
        </w:tc>
        <w:tc>
          <w:tcPr>
            <w:tcW w:w="1260" w:type="dxa"/>
            <w:vAlign w:val="bottom"/>
            <w:tcBorders>
              <w:right w:val="single" w:sz="8" w:color="134A9C"/>
            </w:tcBorders>
            <w:shd w:val="clear" w:color="auto" w:fill="ACACAC"/>
          </w:tcPr>
          <w:p>
            <w:pPr>
              <w:jc w:val="center"/>
              <w:spacing w:after="0"/>
              <w:rPr>
                <w:sz w:val="20"/>
                <w:szCs w:val="20"/>
                <w:color w:val="auto"/>
              </w:rPr>
            </w:pPr>
            <w:r>
              <w:rPr>
                <w:rFonts w:ascii="Arial" w:cs="Arial" w:eastAsia="Arial" w:hAnsi="Arial"/>
                <w:sz w:val="11"/>
                <w:szCs w:val="11"/>
                <w:b w:val="1"/>
                <w:bCs w:val="1"/>
                <w:color w:val="auto"/>
                <w:w w:val="91"/>
              </w:rPr>
              <w:t>Total</w:t>
            </w:r>
          </w:p>
        </w:tc>
        <w:tc>
          <w:tcPr>
            <w:tcW w:w="1280" w:type="dxa"/>
            <w:vAlign w:val="bottom"/>
            <w:tcBorders>
              <w:right w:val="single" w:sz="8" w:color="134A9C"/>
            </w:tcBorders>
            <w:shd w:val="clear" w:color="auto" w:fill="ACACAC"/>
          </w:tcPr>
          <w:p>
            <w:pPr>
              <w:ind w:left="1020"/>
              <w:spacing w:after="0"/>
              <w:rPr>
                <w:sz w:val="20"/>
                <w:szCs w:val="20"/>
                <w:color w:val="auto"/>
              </w:rPr>
            </w:pPr>
            <w:r>
              <w:rPr>
                <w:rFonts w:ascii="Arial" w:cs="Arial" w:eastAsia="Arial" w:hAnsi="Arial"/>
                <w:sz w:val="11"/>
                <w:szCs w:val="11"/>
                <w:b w:val="1"/>
                <w:bCs w:val="1"/>
                <w:color w:val="auto"/>
              </w:rPr>
              <w:t>—</w:t>
            </w:r>
          </w:p>
        </w:tc>
        <w:tc>
          <w:tcPr>
            <w:tcW w:w="1360" w:type="dxa"/>
            <w:vAlign w:val="bottom"/>
            <w:tcBorders>
              <w:right w:val="single" w:sz="8" w:color="134A9C"/>
            </w:tcBorders>
            <w:shd w:val="clear" w:color="auto" w:fill="ACACAC"/>
          </w:tcPr>
          <w:p>
            <w:pPr>
              <w:jc w:val="right"/>
              <w:ind w:right="86"/>
              <w:spacing w:after="0"/>
              <w:rPr>
                <w:sz w:val="20"/>
                <w:szCs w:val="20"/>
                <w:color w:val="auto"/>
              </w:rPr>
            </w:pPr>
            <w:r>
              <w:rPr>
                <w:rFonts w:ascii="Arial" w:cs="Arial" w:eastAsia="Arial" w:hAnsi="Arial"/>
                <w:sz w:val="11"/>
                <w:szCs w:val="11"/>
                <w:b w:val="1"/>
                <w:bCs w:val="1"/>
                <w:color w:val="auto"/>
              </w:rPr>
              <w:t>708,333</w:t>
            </w:r>
          </w:p>
        </w:tc>
        <w:tc>
          <w:tcPr>
            <w:tcW w:w="1500" w:type="dxa"/>
            <w:vAlign w:val="bottom"/>
            <w:tcBorders>
              <w:right w:val="single" w:sz="8" w:color="134A9C"/>
            </w:tcBorders>
            <w:shd w:val="clear" w:color="auto" w:fill="ACACAC"/>
          </w:tcPr>
          <w:p>
            <w:pPr>
              <w:jc w:val="right"/>
              <w:ind w:right="86"/>
              <w:spacing w:after="0"/>
              <w:rPr>
                <w:sz w:val="20"/>
                <w:szCs w:val="20"/>
                <w:color w:val="auto"/>
              </w:rPr>
            </w:pPr>
            <w:r>
              <w:rPr>
                <w:rFonts w:ascii="Arial" w:cs="Arial" w:eastAsia="Arial" w:hAnsi="Arial"/>
                <w:sz w:val="11"/>
                <w:szCs w:val="11"/>
                <w:b w:val="1"/>
                <w:bCs w:val="1"/>
                <w:color w:val="auto"/>
              </w:rPr>
              <w:t>—</w:t>
            </w:r>
          </w:p>
        </w:tc>
        <w:tc>
          <w:tcPr>
            <w:tcW w:w="148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9,438,150</w:t>
            </w:r>
          </w:p>
        </w:tc>
        <w:tc>
          <w:tcPr>
            <w:tcW w:w="134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8,085,537</w:t>
            </w:r>
          </w:p>
        </w:tc>
        <w:tc>
          <w:tcPr>
            <w:tcW w:w="136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7,665,249</w:t>
            </w:r>
          </w:p>
        </w:tc>
      </w:tr>
      <w:tr>
        <w:trPr>
          <w:trHeight w:val="76"/>
        </w:trPr>
        <w:tc>
          <w:tcPr>
            <w:tcW w:w="1860" w:type="dxa"/>
            <w:vAlign w:val="bottom"/>
            <w:tcBorders>
              <w:left w:val="single" w:sz="8" w:color="134A9C"/>
              <w:right w:val="single" w:sz="8" w:color="134A9C"/>
            </w:tcBorders>
            <w:shd w:val="clear" w:color="auto" w:fill="ACACAC"/>
          </w:tcPr>
          <w:p>
            <w:pPr>
              <w:spacing w:after="0"/>
              <w:rPr>
                <w:sz w:val="6"/>
                <w:szCs w:val="6"/>
                <w:color w:val="auto"/>
              </w:rPr>
            </w:pPr>
          </w:p>
        </w:tc>
        <w:tc>
          <w:tcPr>
            <w:tcW w:w="1260" w:type="dxa"/>
            <w:vAlign w:val="bottom"/>
            <w:tcBorders>
              <w:right w:val="single" w:sz="8" w:color="134A9C"/>
            </w:tcBorders>
            <w:shd w:val="clear" w:color="auto" w:fill="ACACAC"/>
          </w:tcPr>
          <w:p>
            <w:pPr>
              <w:spacing w:after="0"/>
              <w:rPr>
                <w:sz w:val="6"/>
                <w:szCs w:val="6"/>
                <w:color w:val="auto"/>
              </w:rPr>
            </w:pPr>
          </w:p>
        </w:tc>
        <w:tc>
          <w:tcPr>
            <w:tcW w:w="1280" w:type="dxa"/>
            <w:vAlign w:val="bottom"/>
            <w:tcBorders>
              <w:right w:val="single" w:sz="8" w:color="134A9C"/>
            </w:tcBorders>
            <w:shd w:val="clear" w:color="auto" w:fill="ACACAC"/>
          </w:tcPr>
          <w:p>
            <w:pPr>
              <w:spacing w:after="0"/>
              <w:rPr>
                <w:sz w:val="6"/>
                <w:szCs w:val="6"/>
                <w:color w:val="auto"/>
              </w:rPr>
            </w:pPr>
          </w:p>
        </w:tc>
        <w:tc>
          <w:tcPr>
            <w:tcW w:w="1360" w:type="dxa"/>
            <w:vAlign w:val="bottom"/>
            <w:tcBorders>
              <w:right w:val="single" w:sz="8" w:color="134A9C"/>
            </w:tcBorders>
            <w:shd w:val="clear" w:color="auto" w:fill="ACACAC"/>
          </w:tcPr>
          <w:p>
            <w:pPr>
              <w:spacing w:after="0"/>
              <w:rPr>
                <w:sz w:val="6"/>
                <w:szCs w:val="6"/>
                <w:color w:val="auto"/>
              </w:rPr>
            </w:pPr>
          </w:p>
        </w:tc>
        <w:tc>
          <w:tcPr>
            <w:tcW w:w="1500" w:type="dxa"/>
            <w:vAlign w:val="bottom"/>
            <w:tcBorders>
              <w:right w:val="single" w:sz="8" w:color="134A9C"/>
            </w:tcBorders>
            <w:shd w:val="clear" w:color="auto" w:fill="ACACAC"/>
          </w:tcPr>
          <w:p>
            <w:pPr>
              <w:spacing w:after="0"/>
              <w:rPr>
                <w:sz w:val="6"/>
                <w:szCs w:val="6"/>
                <w:color w:val="auto"/>
              </w:rPr>
            </w:pPr>
          </w:p>
        </w:tc>
        <w:tc>
          <w:tcPr>
            <w:tcW w:w="1480" w:type="dxa"/>
            <w:vAlign w:val="bottom"/>
            <w:tcBorders>
              <w:right w:val="single" w:sz="8" w:color="134A9C"/>
            </w:tcBorders>
            <w:shd w:val="clear" w:color="auto" w:fill="ACACAC"/>
          </w:tcPr>
          <w:p>
            <w:pPr>
              <w:spacing w:after="0"/>
              <w:rPr>
                <w:sz w:val="6"/>
                <w:szCs w:val="6"/>
                <w:color w:val="auto"/>
              </w:rPr>
            </w:pPr>
          </w:p>
        </w:tc>
        <w:tc>
          <w:tcPr>
            <w:tcW w:w="1340" w:type="dxa"/>
            <w:vAlign w:val="bottom"/>
            <w:tcBorders>
              <w:right w:val="single" w:sz="8" w:color="134A9C"/>
            </w:tcBorders>
            <w:shd w:val="clear" w:color="auto" w:fill="ACACAC"/>
          </w:tcPr>
          <w:p>
            <w:pPr>
              <w:spacing w:after="0"/>
              <w:rPr>
                <w:sz w:val="6"/>
                <w:szCs w:val="6"/>
                <w:color w:val="auto"/>
              </w:rPr>
            </w:pPr>
          </w:p>
        </w:tc>
        <w:tc>
          <w:tcPr>
            <w:tcW w:w="1360" w:type="dxa"/>
            <w:vAlign w:val="bottom"/>
            <w:tcBorders>
              <w:right w:val="single" w:sz="8" w:color="134A9C"/>
            </w:tcBorders>
            <w:shd w:val="clear" w:color="auto" w:fill="ACACAC"/>
          </w:tcPr>
          <w:p>
            <w:pPr>
              <w:spacing w:after="0"/>
              <w:rPr>
                <w:sz w:val="6"/>
                <w:szCs w:val="6"/>
                <w:color w:val="auto"/>
              </w:rPr>
            </w:pPr>
          </w:p>
        </w:tc>
      </w:tr>
      <w:tr>
        <w:trPr>
          <w:trHeight w:val="167"/>
        </w:trPr>
        <w:tc>
          <w:tcPr>
            <w:tcW w:w="18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Michael P. Millikin</w:t>
            </w: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3"/>
              </w:rPr>
              <w:t>Cash</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583,333</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700,000</w:t>
            </w:r>
          </w:p>
        </w:tc>
      </w:tr>
      <w:tr>
        <w:trPr>
          <w:trHeight w:val="243"/>
        </w:trPr>
        <w:tc>
          <w:tcPr>
            <w:tcW w:w="1860" w:type="dxa"/>
            <w:vAlign w:val="bottom"/>
            <w:tcBorders>
              <w:left w:val="single" w:sz="8" w:color="134A9C"/>
              <w:right w:val="single" w:sz="8" w:color="134A9C"/>
            </w:tcBorders>
          </w:tcPr>
          <w:p>
            <w:pPr>
              <w:spacing w:after="0"/>
              <w:rPr>
                <w:sz w:val="21"/>
                <w:szCs w:val="21"/>
                <w:color w:val="auto"/>
              </w:rPr>
            </w:pP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STIP</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647,500</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647,500</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647,500</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875,000</w:t>
            </w:r>
          </w:p>
        </w:tc>
      </w:tr>
      <w:tr>
        <w:trPr>
          <w:trHeight w:val="270"/>
        </w:trPr>
        <w:tc>
          <w:tcPr>
            <w:tcW w:w="1860" w:type="dxa"/>
            <w:vAlign w:val="bottom"/>
            <w:tcBorders>
              <w:left w:val="single" w:sz="8" w:color="134A9C"/>
              <w:right w:val="single" w:sz="8" w:color="134A9C"/>
            </w:tcBorders>
          </w:tcPr>
          <w:p>
            <w:pPr>
              <w:spacing w:after="0"/>
              <w:rPr>
                <w:sz w:val="23"/>
                <w:szCs w:val="23"/>
                <w:color w:val="auto"/>
              </w:rPr>
            </w:pP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4"/>
              </w:rPr>
              <w:t>LTIP</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670,346</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2,053,825</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2,053,825</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2,053,825</w:t>
            </w:r>
          </w:p>
        </w:tc>
      </w:tr>
      <w:tr>
        <w:trPr>
          <w:trHeight w:val="76"/>
        </w:trPr>
        <w:tc>
          <w:tcPr>
            <w:tcW w:w="1860" w:type="dxa"/>
            <w:vAlign w:val="bottom"/>
            <w:tcBorders>
              <w:left w:val="single" w:sz="8" w:color="134A9C"/>
              <w:right w:val="single" w:sz="8" w:color="134A9C"/>
            </w:tcBorders>
          </w:tcPr>
          <w:p>
            <w:pPr>
              <w:spacing w:after="0"/>
              <w:rPr>
                <w:sz w:val="6"/>
                <w:szCs w:val="6"/>
                <w:color w:val="auto"/>
              </w:rPr>
            </w:pPr>
          </w:p>
        </w:tc>
        <w:tc>
          <w:tcPr>
            <w:tcW w:w="1260" w:type="dxa"/>
            <w:vAlign w:val="bottom"/>
            <w:tcBorders>
              <w:right w:val="single" w:sz="8" w:color="134A9C"/>
            </w:tcBorders>
          </w:tcPr>
          <w:p>
            <w:pPr>
              <w:spacing w:after="0"/>
              <w:rPr>
                <w:sz w:val="6"/>
                <w:szCs w:val="6"/>
                <w:color w:val="auto"/>
              </w:rPr>
            </w:pPr>
          </w:p>
        </w:tc>
        <w:tc>
          <w:tcPr>
            <w:tcW w:w="1280" w:type="dxa"/>
            <w:vAlign w:val="bottom"/>
            <w:tcBorders>
              <w:right w:val="single" w:sz="8" w:color="134A9C"/>
            </w:tcBorders>
          </w:tcPr>
          <w:p>
            <w:pPr>
              <w:spacing w:after="0"/>
              <w:rPr>
                <w:sz w:val="6"/>
                <w:szCs w:val="6"/>
                <w:color w:val="auto"/>
              </w:rPr>
            </w:pPr>
          </w:p>
        </w:tc>
        <w:tc>
          <w:tcPr>
            <w:tcW w:w="1360" w:type="dxa"/>
            <w:vAlign w:val="bottom"/>
            <w:tcBorders>
              <w:right w:val="single" w:sz="8" w:color="134A9C"/>
            </w:tcBorders>
          </w:tcPr>
          <w:p>
            <w:pPr>
              <w:spacing w:after="0"/>
              <w:rPr>
                <w:sz w:val="6"/>
                <w:szCs w:val="6"/>
                <w:color w:val="auto"/>
              </w:rPr>
            </w:pPr>
          </w:p>
        </w:tc>
        <w:tc>
          <w:tcPr>
            <w:tcW w:w="1500" w:type="dxa"/>
            <w:vAlign w:val="bottom"/>
            <w:tcBorders>
              <w:right w:val="single" w:sz="8" w:color="134A9C"/>
            </w:tcBorders>
          </w:tcPr>
          <w:p>
            <w:pPr>
              <w:spacing w:after="0"/>
              <w:rPr>
                <w:sz w:val="6"/>
                <w:szCs w:val="6"/>
                <w:color w:val="auto"/>
              </w:rPr>
            </w:pPr>
          </w:p>
        </w:tc>
        <w:tc>
          <w:tcPr>
            <w:tcW w:w="1480" w:type="dxa"/>
            <w:vAlign w:val="bottom"/>
            <w:tcBorders>
              <w:right w:val="single" w:sz="8" w:color="134A9C"/>
            </w:tcBorders>
          </w:tcPr>
          <w:p>
            <w:pPr>
              <w:spacing w:after="0"/>
              <w:rPr>
                <w:sz w:val="6"/>
                <w:szCs w:val="6"/>
                <w:color w:val="auto"/>
              </w:rPr>
            </w:pPr>
          </w:p>
        </w:tc>
        <w:tc>
          <w:tcPr>
            <w:tcW w:w="1340" w:type="dxa"/>
            <w:vAlign w:val="bottom"/>
            <w:tcBorders>
              <w:right w:val="single" w:sz="8" w:color="134A9C"/>
            </w:tcBorders>
          </w:tcPr>
          <w:p>
            <w:pPr>
              <w:spacing w:after="0"/>
              <w:rPr>
                <w:sz w:val="6"/>
                <w:szCs w:val="6"/>
                <w:color w:val="auto"/>
              </w:rPr>
            </w:pPr>
          </w:p>
        </w:tc>
        <w:tc>
          <w:tcPr>
            <w:tcW w:w="1360" w:type="dxa"/>
            <w:vAlign w:val="bottom"/>
            <w:tcBorders>
              <w:right w:val="single" w:sz="8" w:color="134A9C"/>
            </w:tcBorders>
          </w:tcPr>
          <w:p>
            <w:pPr>
              <w:spacing w:after="0"/>
              <w:rPr>
                <w:sz w:val="6"/>
                <w:szCs w:val="6"/>
                <w:color w:val="auto"/>
              </w:rPr>
            </w:pPr>
          </w:p>
        </w:tc>
      </w:tr>
      <w:tr>
        <w:trPr>
          <w:trHeight w:val="194"/>
        </w:trPr>
        <w:tc>
          <w:tcPr>
            <w:tcW w:w="1860" w:type="dxa"/>
            <w:vAlign w:val="bottom"/>
            <w:tcBorders>
              <w:left w:val="single" w:sz="8" w:color="134A9C"/>
              <w:right w:val="single" w:sz="8" w:color="134A9C"/>
            </w:tcBorders>
            <w:shd w:val="clear" w:color="auto" w:fill="ACACAC"/>
          </w:tcPr>
          <w:p>
            <w:pPr>
              <w:spacing w:after="0"/>
              <w:rPr>
                <w:sz w:val="16"/>
                <w:szCs w:val="16"/>
                <w:color w:val="auto"/>
              </w:rPr>
            </w:pPr>
          </w:p>
        </w:tc>
        <w:tc>
          <w:tcPr>
            <w:tcW w:w="1260" w:type="dxa"/>
            <w:vAlign w:val="bottom"/>
            <w:tcBorders>
              <w:right w:val="single" w:sz="8" w:color="134A9C"/>
            </w:tcBorders>
            <w:shd w:val="clear" w:color="auto" w:fill="ACACAC"/>
          </w:tcPr>
          <w:p>
            <w:pPr>
              <w:jc w:val="center"/>
              <w:spacing w:after="0"/>
              <w:rPr>
                <w:sz w:val="20"/>
                <w:szCs w:val="20"/>
                <w:color w:val="auto"/>
              </w:rPr>
            </w:pPr>
            <w:r>
              <w:rPr>
                <w:rFonts w:ascii="Arial" w:cs="Arial" w:eastAsia="Arial" w:hAnsi="Arial"/>
                <w:sz w:val="11"/>
                <w:szCs w:val="11"/>
                <w:b w:val="1"/>
                <w:bCs w:val="1"/>
                <w:color w:val="auto"/>
                <w:w w:val="91"/>
              </w:rPr>
              <w:t>Total</w:t>
            </w:r>
          </w:p>
        </w:tc>
        <w:tc>
          <w:tcPr>
            <w:tcW w:w="1280" w:type="dxa"/>
            <w:vAlign w:val="bottom"/>
            <w:tcBorders>
              <w:right w:val="single" w:sz="8" w:color="134A9C"/>
            </w:tcBorders>
            <w:shd w:val="clear" w:color="auto" w:fill="ACACAC"/>
          </w:tcPr>
          <w:p>
            <w:pPr>
              <w:ind w:left="1020"/>
              <w:spacing w:after="0"/>
              <w:rPr>
                <w:sz w:val="20"/>
                <w:szCs w:val="20"/>
                <w:color w:val="auto"/>
              </w:rPr>
            </w:pPr>
            <w:r>
              <w:rPr>
                <w:rFonts w:ascii="Arial" w:cs="Arial" w:eastAsia="Arial" w:hAnsi="Arial"/>
                <w:sz w:val="11"/>
                <w:szCs w:val="11"/>
                <w:b w:val="1"/>
                <w:bCs w:val="1"/>
                <w:color w:val="auto"/>
              </w:rPr>
              <w:t>—</w:t>
            </w:r>
          </w:p>
        </w:tc>
        <w:tc>
          <w:tcPr>
            <w:tcW w:w="1360" w:type="dxa"/>
            <w:vAlign w:val="bottom"/>
            <w:tcBorders>
              <w:right w:val="single" w:sz="8" w:color="134A9C"/>
            </w:tcBorders>
            <w:shd w:val="clear" w:color="auto" w:fill="ACACAC"/>
          </w:tcPr>
          <w:p>
            <w:pPr>
              <w:jc w:val="right"/>
              <w:ind w:right="86"/>
              <w:spacing w:after="0"/>
              <w:rPr>
                <w:sz w:val="20"/>
                <w:szCs w:val="20"/>
                <w:color w:val="auto"/>
              </w:rPr>
            </w:pPr>
            <w:r>
              <w:rPr>
                <w:rFonts w:ascii="Arial" w:cs="Arial" w:eastAsia="Arial" w:hAnsi="Arial"/>
                <w:sz w:val="11"/>
                <w:szCs w:val="11"/>
                <w:b w:val="1"/>
                <w:bCs w:val="1"/>
                <w:color w:val="auto"/>
              </w:rPr>
              <w:t>583,333</w:t>
            </w:r>
          </w:p>
        </w:tc>
        <w:tc>
          <w:tcPr>
            <w:tcW w:w="1500" w:type="dxa"/>
            <w:vAlign w:val="bottom"/>
            <w:tcBorders>
              <w:right w:val="single" w:sz="8" w:color="134A9C"/>
            </w:tcBorders>
            <w:shd w:val="clear" w:color="auto" w:fill="ACACAC"/>
          </w:tcPr>
          <w:p>
            <w:pPr>
              <w:jc w:val="right"/>
              <w:ind w:right="86"/>
              <w:spacing w:after="0"/>
              <w:rPr>
                <w:sz w:val="20"/>
                <w:szCs w:val="20"/>
                <w:color w:val="auto"/>
              </w:rPr>
            </w:pPr>
            <w:r>
              <w:rPr>
                <w:rFonts w:ascii="Arial" w:cs="Arial" w:eastAsia="Arial" w:hAnsi="Arial"/>
                <w:sz w:val="11"/>
                <w:szCs w:val="11"/>
                <w:b w:val="1"/>
                <w:bCs w:val="1"/>
                <w:color w:val="auto"/>
              </w:rPr>
              <w:t>1,317,846</w:t>
            </w:r>
          </w:p>
        </w:tc>
        <w:tc>
          <w:tcPr>
            <w:tcW w:w="148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2,701,325</w:t>
            </w:r>
          </w:p>
        </w:tc>
        <w:tc>
          <w:tcPr>
            <w:tcW w:w="134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2,701,325</w:t>
            </w:r>
          </w:p>
        </w:tc>
        <w:tc>
          <w:tcPr>
            <w:tcW w:w="136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3,628,825</w:t>
            </w:r>
          </w:p>
        </w:tc>
      </w:tr>
      <w:tr>
        <w:trPr>
          <w:trHeight w:val="76"/>
        </w:trPr>
        <w:tc>
          <w:tcPr>
            <w:tcW w:w="1860" w:type="dxa"/>
            <w:vAlign w:val="bottom"/>
            <w:tcBorders>
              <w:left w:val="single" w:sz="8" w:color="134A9C"/>
              <w:right w:val="single" w:sz="8" w:color="134A9C"/>
            </w:tcBorders>
            <w:shd w:val="clear" w:color="auto" w:fill="ACACAC"/>
          </w:tcPr>
          <w:p>
            <w:pPr>
              <w:spacing w:after="0"/>
              <w:rPr>
                <w:sz w:val="6"/>
                <w:szCs w:val="6"/>
                <w:color w:val="auto"/>
              </w:rPr>
            </w:pPr>
          </w:p>
        </w:tc>
        <w:tc>
          <w:tcPr>
            <w:tcW w:w="1260" w:type="dxa"/>
            <w:vAlign w:val="bottom"/>
            <w:tcBorders>
              <w:right w:val="single" w:sz="8" w:color="134A9C"/>
            </w:tcBorders>
            <w:shd w:val="clear" w:color="auto" w:fill="ACACAC"/>
          </w:tcPr>
          <w:p>
            <w:pPr>
              <w:spacing w:after="0"/>
              <w:rPr>
                <w:sz w:val="6"/>
                <w:szCs w:val="6"/>
                <w:color w:val="auto"/>
              </w:rPr>
            </w:pPr>
          </w:p>
        </w:tc>
        <w:tc>
          <w:tcPr>
            <w:tcW w:w="1280" w:type="dxa"/>
            <w:vAlign w:val="bottom"/>
            <w:tcBorders>
              <w:right w:val="single" w:sz="8" w:color="134A9C"/>
            </w:tcBorders>
            <w:shd w:val="clear" w:color="auto" w:fill="ACACAC"/>
          </w:tcPr>
          <w:p>
            <w:pPr>
              <w:spacing w:after="0"/>
              <w:rPr>
                <w:sz w:val="6"/>
                <w:szCs w:val="6"/>
                <w:color w:val="auto"/>
              </w:rPr>
            </w:pPr>
          </w:p>
        </w:tc>
        <w:tc>
          <w:tcPr>
            <w:tcW w:w="1360" w:type="dxa"/>
            <w:vAlign w:val="bottom"/>
            <w:tcBorders>
              <w:right w:val="single" w:sz="8" w:color="134A9C"/>
            </w:tcBorders>
            <w:shd w:val="clear" w:color="auto" w:fill="ACACAC"/>
          </w:tcPr>
          <w:p>
            <w:pPr>
              <w:spacing w:after="0"/>
              <w:rPr>
                <w:sz w:val="6"/>
                <w:szCs w:val="6"/>
                <w:color w:val="auto"/>
              </w:rPr>
            </w:pPr>
          </w:p>
        </w:tc>
        <w:tc>
          <w:tcPr>
            <w:tcW w:w="1500" w:type="dxa"/>
            <w:vAlign w:val="bottom"/>
            <w:tcBorders>
              <w:right w:val="single" w:sz="8" w:color="134A9C"/>
            </w:tcBorders>
            <w:shd w:val="clear" w:color="auto" w:fill="ACACAC"/>
          </w:tcPr>
          <w:p>
            <w:pPr>
              <w:spacing w:after="0"/>
              <w:rPr>
                <w:sz w:val="6"/>
                <w:szCs w:val="6"/>
                <w:color w:val="auto"/>
              </w:rPr>
            </w:pPr>
          </w:p>
        </w:tc>
        <w:tc>
          <w:tcPr>
            <w:tcW w:w="1480" w:type="dxa"/>
            <w:vAlign w:val="bottom"/>
            <w:tcBorders>
              <w:right w:val="single" w:sz="8" w:color="134A9C"/>
            </w:tcBorders>
            <w:shd w:val="clear" w:color="auto" w:fill="ACACAC"/>
          </w:tcPr>
          <w:p>
            <w:pPr>
              <w:spacing w:after="0"/>
              <w:rPr>
                <w:sz w:val="6"/>
                <w:szCs w:val="6"/>
                <w:color w:val="auto"/>
              </w:rPr>
            </w:pPr>
          </w:p>
        </w:tc>
        <w:tc>
          <w:tcPr>
            <w:tcW w:w="1340" w:type="dxa"/>
            <w:vAlign w:val="bottom"/>
            <w:tcBorders>
              <w:right w:val="single" w:sz="8" w:color="134A9C"/>
            </w:tcBorders>
            <w:shd w:val="clear" w:color="auto" w:fill="ACACAC"/>
          </w:tcPr>
          <w:p>
            <w:pPr>
              <w:spacing w:after="0"/>
              <w:rPr>
                <w:sz w:val="6"/>
                <w:szCs w:val="6"/>
                <w:color w:val="auto"/>
              </w:rPr>
            </w:pPr>
          </w:p>
        </w:tc>
        <w:tc>
          <w:tcPr>
            <w:tcW w:w="1360" w:type="dxa"/>
            <w:vAlign w:val="bottom"/>
            <w:tcBorders>
              <w:right w:val="single" w:sz="8" w:color="134A9C"/>
            </w:tcBorders>
            <w:shd w:val="clear" w:color="auto" w:fill="ACACAC"/>
          </w:tcPr>
          <w:p>
            <w:pPr>
              <w:spacing w:after="0"/>
              <w:rPr>
                <w:sz w:val="6"/>
                <w:szCs w:val="6"/>
                <w:color w:val="auto"/>
              </w:rPr>
            </w:pPr>
          </w:p>
        </w:tc>
      </w:tr>
      <w:tr>
        <w:trPr>
          <w:trHeight w:val="167"/>
        </w:trPr>
        <w:tc>
          <w:tcPr>
            <w:tcW w:w="18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Karl-Thomas Neumann</w:t>
            </w:r>
            <w:r>
              <w:rPr>
                <w:rFonts w:ascii="Arial" w:cs="Arial" w:eastAsia="Arial" w:hAnsi="Arial"/>
                <w:sz w:val="7"/>
                <w:szCs w:val="7"/>
                <w:color w:val="auto"/>
              </w:rPr>
              <w:t>(4)</w:t>
            </w: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3"/>
              </w:rPr>
              <w:t>Cash</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743,568</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186,498</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r>
      <w:tr>
        <w:trPr>
          <w:trHeight w:val="243"/>
        </w:trPr>
        <w:tc>
          <w:tcPr>
            <w:tcW w:w="1860" w:type="dxa"/>
            <w:vAlign w:val="bottom"/>
            <w:tcBorders>
              <w:left w:val="single" w:sz="8" w:color="134A9C"/>
              <w:right w:val="single" w:sz="8" w:color="134A9C"/>
            </w:tcBorders>
          </w:tcPr>
          <w:p>
            <w:pPr>
              <w:spacing w:after="0"/>
              <w:rPr>
                <w:sz w:val="21"/>
                <w:szCs w:val="21"/>
                <w:color w:val="auto"/>
              </w:rPr>
            </w:pP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STIP</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640,583</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640,583</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936,363</w:t>
            </w:r>
          </w:p>
        </w:tc>
      </w:tr>
      <w:tr>
        <w:trPr>
          <w:trHeight w:val="270"/>
        </w:trPr>
        <w:tc>
          <w:tcPr>
            <w:tcW w:w="1860" w:type="dxa"/>
            <w:vAlign w:val="bottom"/>
            <w:tcBorders>
              <w:left w:val="single" w:sz="8" w:color="134A9C"/>
              <w:right w:val="single" w:sz="8" w:color="134A9C"/>
            </w:tcBorders>
          </w:tcPr>
          <w:p>
            <w:pPr>
              <w:spacing w:after="0"/>
              <w:rPr>
                <w:sz w:val="23"/>
                <w:szCs w:val="23"/>
                <w:color w:val="auto"/>
              </w:rPr>
            </w:pP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4"/>
              </w:rPr>
              <w:t>LTIP</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4,512,118</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4,512,118</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4,512,118</w:t>
            </w:r>
          </w:p>
        </w:tc>
      </w:tr>
      <w:tr>
        <w:trPr>
          <w:trHeight w:val="76"/>
        </w:trPr>
        <w:tc>
          <w:tcPr>
            <w:tcW w:w="1860" w:type="dxa"/>
            <w:vAlign w:val="bottom"/>
            <w:tcBorders>
              <w:left w:val="single" w:sz="8" w:color="134A9C"/>
              <w:right w:val="single" w:sz="8" w:color="134A9C"/>
            </w:tcBorders>
          </w:tcPr>
          <w:p>
            <w:pPr>
              <w:spacing w:after="0"/>
              <w:rPr>
                <w:sz w:val="6"/>
                <w:szCs w:val="6"/>
                <w:color w:val="auto"/>
              </w:rPr>
            </w:pPr>
          </w:p>
        </w:tc>
        <w:tc>
          <w:tcPr>
            <w:tcW w:w="1260" w:type="dxa"/>
            <w:vAlign w:val="bottom"/>
            <w:tcBorders>
              <w:right w:val="single" w:sz="8" w:color="134A9C"/>
            </w:tcBorders>
          </w:tcPr>
          <w:p>
            <w:pPr>
              <w:spacing w:after="0"/>
              <w:rPr>
                <w:sz w:val="6"/>
                <w:szCs w:val="6"/>
                <w:color w:val="auto"/>
              </w:rPr>
            </w:pPr>
          </w:p>
        </w:tc>
        <w:tc>
          <w:tcPr>
            <w:tcW w:w="1280" w:type="dxa"/>
            <w:vAlign w:val="bottom"/>
            <w:tcBorders>
              <w:right w:val="single" w:sz="8" w:color="134A9C"/>
            </w:tcBorders>
          </w:tcPr>
          <w:p>
            <w:pPr>
              <w:spacing w:after="0"/>
              <w:rPr>
                <w:sz w:val="6"/>
                <w:szCs w:val="6"/>
                <w:color w:val="auto"/>
              </w:rPr>
            </w:pPr>
          </w:p>
        </w:tc>
        <w:tc>
          <w:tcPr>
            <w:tcW w:w="1360" w:type="dxa"/>
            <w:vAlign w:val="bottom"/>
            <w:tcBorders>
              <w:right w:val="single" w:sz="8" w:color="134A9C"/>
            </w:tcBorders>
          </w:tcPr>
          <w:p>
            <w:pPr>
              <w:spacing w:after="0"/>
              <w:rPr>
                <w:sz w:val="6"/>
                <w:szCs w:val="6"/>
                <w:color w:val="auto"/>
              </w:rPr>
            </w:pPr>
          </w:p>
        </w:tc>
        <w:tc>
          <w:tcPr>
            <w:tcW w:w="1500" w:type="dxa"/>
            <w:vAlign w:val="bottom"/>
            <w:tcBorders>
              <w:right w:val="single" w:sz="8" w:color="134A9C"/>
            </w:tcBorders>
          </w:tcPr>
          <w:p>
            <w:pPr>
              <w:spacing w:after="0"/>
              <w:rPr>
                <w:sz w:val="6"/>
                <w:szCs w:val="6"/>
                <w:color w:val="auto"/>
              </w:rPr>
            </w:pPr>
          </w:p>
        </w:tc>
        <w:tc>
          <w:tcPr>
            <w:tcW w:w="1480" w:type="dxa"/>
            <w:vAlign w:val="bottom"/>
            <w:tcBorders>
              <w:right w:val="single" w:sz="8" w:color="134A9C"/>
            </w:tcBorders>
          </w:tcPr>
          <w:p>
            <w:pPr>
              <w:spacing w:after="0"/>
              <w:rPr>
                <w:sz w:val="6"/>
                <w:szCs w:val="6"/>
                <w:color w:val="auto"/>
              </w:rPr>
            </w:pPr>
          </w:p>
        </w:tc>
        <w:tc>
          <w:tcPr>
            <w:tcW w:w="1340" w:type="dxa"/>
            <w:vAlign w:val="bottom"/>
            <w:tcBorders>
              <w:right w:val="single" w:sz="8" w:color="134A9C"/>
            </w:tcBorders>
          </w:tcPr>
          <w:p>
            <w:pPr>
              <w:spacing w:after="0"/>
              <w:rPr>
                <w:sz w:val="6"/>
                <w:szCs w:val="6"/>
                <w:color w:val="auto"/>
              </w:rPr>
            </w:pPr>
          </w:p>
        </w:tc>
        <w:tc>
          <w:tcPr>
            <w:tcW w:w="1360" w:type="dxa"/>
            <w:vAlign w:val="bottom"/>
            <w:tcBorders>
              <w:right w:val="single" w:sz="8" w:color="134A9C"/>
            </w:tcBorders>
          </w:tcPr>
          <w:p>
            <w:pPr>
              <w:spacing w:after="0"/>
              <w:rPr>
                <w:sz w:val="6"/>
                <w:szCs w:val="6"/>
                <w:color w:val="auto"/>
              </w:rPr>
            </w:pPr>
          </w:p>
        </w:tc>
      </w:tr>
      <w:tr>
        <w:trPr>
          <w:trHeight w:val="194"/>
        </w:trPr>
        <w:tc>
          <w:tcPr>
            <w:tcW w:w="1860" w:type="dxa"/>
            <w:vAlign w:val="bottom"/>
            <w:tcBorders>
              <w:left w:val="single" w:sz="8" w:color="134A9C"/>
              <w:right w:val="single" w:sz="8" w:color="134A9C"/>
            </w:tcBorders>
            <w:shd w:val="clear" w:color="auto" w:fill="ACACAC"/>
          </w:tcPr>
          <w:p>
            <w:pPr>
              <w:spacing w:after="0"/>
              <w:rPr>
                <w:sz w:val="16"/>
                <w:szCs w:val="16"/>
                <w:color w:val="auto"/>
              </w:rPr>
            </w:pPr>
          </w:p>
        </w:tc>
        <w:tc>
          <w:tcPr>
            <w:tcW w:w="1260" w:type="dxa"/>
            <w:vAlign w:val="bottom"/>
            <w:tcBorders>
              <w:right w:val="single" w:sz="8" w:color="134A9C"/>
            </w:tcBorders>
            <w:shd w:val="clear" w:color="auto" w:fill="ACACAC"/>
          </w:tcPr>
          <w:p>
            <w:pPr>
              <w:jc w:val="center"/>
              <w:spacing w:after="0"/>
              <w:rPr>
                <w:sz w:val="20"/>
                <w:szCs w:val="20"/>
                <w:color w:val="auto"/>
              </w:rPr>
            </w:pPr>
            <w:r>
              <w:rPr>
                <w:rFonts w:ascii="Arial" w:cs="Arial" w:eastAsia="Arial" w:hAnsi="Arial"/>
                <w:sz w:val="11"/>
                <w:szCs w:val="11"/>
                <w:b w:val="1"/>
                <w:bCs w:val="1"/>
                <w:color w:val="auto"/>
                <w:w w:val="91"/>
              </w:rPr>
              <w:t>Total</w:t>
            </w:r>
          </w:p>
        </w:tc>
        <w:tc>
          <w:tcPr>
            <w:tcW w:w="1280" w:type="dxa"/>
            <w:vAlign w:val="bottom"/>
            <w:tcBorders>
              <w:right w:val="single" w:sz="8" w:color="134A9C"/>
            </w:tcBorders>
            <w:shd w:val="clear" w:color="auto" w:fill="ACACAC"/>
          </w:tcPr>
          <w:p>
            <w:pPr>
              <w:ind w:left="1020"/>
              <w:spacing w:after="0"/>
              <w:rPr>
                <w:sz w:val="20"/>
                <w:szCs w:val="20"/>
                <w:color w:val="auto"/>
              </w:rPr>
            </w:pPr>
            <w:r>
              <w:rPr>
                <w:rFonts w:ascii="Arial" w:cs="Arial" w:eastAsia="Arial" w:hAnsi="Arial"/>
                <w:sz w:val="11"/>
                <w:szCs w:val="11"/>
                <w:b w:val="1"/>
                <w:bCs w:val="1"/>
                <w:color w:val="auto"/>
              </w:rPr>
              <w:t>—</w:t>
            </w:r>
          </w:p>
        </w:tc>
        <w:tc>
          <w:tcPr>
            <w:tcW w:w="1360" w:type="dxa"/>
            <w:vAlign w:val="bottom"/>
            <w:tcBorders>
              <w:right w:val="single" w:sz="8" w:color="134A9C"/>
            </w:tcBorders>
            <w:shd w:val="clear" w:color="auto" w:fill="ACACAC"/>
          </w:tcPr>
          <w:p>
            <w:pPr>
              <w:jc w:val="right"/>
              <w:ind w:right="86"/>
              <w:spacing w:after="0"/>
              <w:rPr>
                <w:sz w:val="20"/>
                <w:szCs w:val="20"/>
                <w:color w:val="auto"/>
              </w:rPr>
            </w:pPr>
            <w:r>
              <w:rPr>
                <w:rFonts w:ascii="Arial" w:cs="Arial" w:eastAsia="Arial" w:hAnsi="Arial"/>
                <w:sz w:val="11"/>
                <w:szCs w:val="11"/>
                <w:b w:val="1"/>
                <w:bCs w:val="1"/>
                <w:color w:val="auto"/>
              </w:rPr>
              <w:t>—</w:t>
            </w:r>
          </w:p>
        </w:tc>
        <w:tc>
          <w:tcPr>
            <w:tcW w:w="1500" w:type="dxa"/>
            <w:vAlign w:val="bottom"/>
            <w:tcBorders>
              <w:right w:val="single" w:sz="8" w:color="134A9C"/>
            </w:tcBorders>
            <w:shd w:val="clear" w:color="auto" w:fill="ACACAC"/>
          </w:tcPr>
          <w:p>
            <w:pPr>
              <w:jc w:val="right"/>
              <w:ind w:right="86"/>
              <w:spacing w:after="0"/>
              <w:rPr>
                <w:sz w:val="20"/>
                <w:szCs w:val="20"/>
                <w:color w:val="auto"/>
              </w:rPr>
            </w:pPr>
            <w:r>
              <w:rPr>
                <w:rFonts w:ascii="Arial" w:cs="Arial" w:eastAsia="Arial" w:hAnsi="Arial"/>
                <w:sz w:val="11"/>
                <w:szCs w:val="11"/>
                <w:b w:val="1"/>
                <w:bCs w:val="1"/>
                <w:color w:val="auto"/>
              </w:rPr>
              <w:t>—</w:t>
            </w:r>
          </w:p>
        </w:tc>
        <w:tc>
          <w:tcPr>
            <w:tcW w:w="148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5,896,269</w:t>
            </w:r>
          </w:p>
        </w:tc>
        <w:tc>
          <w:tcPr>
            <w:tcW w:w="134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5,339,199</w:t>
            </w:r>
          </w:p>
        </w:tc>
        <w:tc>
          <w:tcPr>
            <w:tcW w:w="136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5,448,481</w:t>
            </w:r>
          </w:p>
        </w:tc>
      </w:tr>
      <w:tr>
        <w:trPr>
          <w:trHeight w:val="76"/>
        </w:trPr>
        <w:tc>
          <w:tcPr>
            <w:tcW w:w="1860" w:type="dxa"/>
            <w:vAlign w:val="bottom"/>
            <w:tcBorders>
              <w:left w:val="single" w:sz="8" w:color="134A9C"/>
              <w:right w:val="single" w:sz="8" w:color="134A9C"/>
            </w:tcBorders>
            <w:shd w:val="clear" w:color="auto" w:fill="ACACAC"/>
          </w:tcPr>
          <w:p>
            <w:pPr>
              <w:spacing w:after="0"/>
              <w:rPr>
                <w:sz w:val="6"/>
                <w:szCs w:val="6"/>
                <w:color w:val="auto"/>
              </w:rPr>
            </w:pPr>
          </w:p>
        </w:tc>
        <w:tc>
          <w:tcPr>
            <w:tcW w:w="1260" w:type="dxa"/>
            <w:vAlign w:val="bottom"/>
            <w:tcBorders>
              <w:right w:val="single" w:sz="8" w:color="134A9C"/>
            </w:tcBorders>
            <w:shd w:val="clear" w:color="auto" w:fill="ACACAC"/>
          </w:tcPr>
          <w:p>
            <w:pPr>
              <w:spacing w:after="0"/>
              <w:rPr>
                <w:sz w:val="6"/>
                <w:szCs w:val="6"/>
                <w:color w:val="auto"/>
              </w:rPr>
            </w:pPr>
          </w:p>
        </w:tc>
        <w:tc>
          <w:tcPr>
            <w:tcW w:w="1280" w:type="dxa"/>
            <w:vAlign w:val="bottom"/>
            <w:tcBorders>
              <w:right w:val="single" w:sz="8" w:color="134A9C"/>
            </w:tcBorders>
            <w:shd w:val="clear" w:color="auto" w:fill="ACACAC"/>
          </w:tcPr>
          <w:p>
            <w:pPr>
              <w:spacing w:after="0"/>
              <w:rPr>
                <w:sz w:val="6"/>
                <w:szCs w:val="6"/>
                <w:color w:val="auto"/>
              </w:rPr>
            </w:pPr>
          </w:p>
        </w:tc>
        <w:tc>
          <w:tcPr>
            <w:tcW w:w="1360" w:type="dxa"/>
            <w:vAlign w:val="bottom"/>
            <w:tcBorders>
              <w:right w:val="single" w:sz="8" w:color="134A9C"/>
            </w:tcBorders>
            <w:shd w:val="clear" w:color="auto" w:fill="ACACAC"/>
          </w:tcPr>
          <w:p>
            <w:pPr>
              <w:spacing w:after="0"/>
              <w:rPr>
                <w:sz w:val="6"/>
                <w:szCs w:val="6"/>
                <w:color w:val="auto"/>
              </w:rPr>
            </w:pPr>
          </w:p>
        </w:tc>
        <w:tc>
          <w:tcPr>
            <w:tcW w:w="1500" w:type="dxa"/>
            <w:vAlign w:val="bottom"/>
            <w:tcBorders>
              <w:right w:val="single" w:sz="8" w:color="134A9C"/>
            </w:tcBorders>
            <w:shd w:val="clear" w:color="auto" w:fill="ACACAC"/>
          </w:tcPr>
          <w:p>
            <w:pPr>
              <w:spacing w:after="0"/>
              <w:rPr>
                <w:sz w:val="6"/>
                <w:szCs w:val="6"/>
                <w:color w:val="auto"/>
              </w:rPr>
            </w:pPr>
          </w:p>
        </w:tc>
        <w:tc>
          <w:tcPr>
            <w:tcW w:w="1480" w:type="dxa"/>
            <w:vAlign w:val="bottom"/>
            <w:tcBorders>
              <w:right w:val="single" w:sz="8" w:color="134A9C"/>
            </w:tcBorders>
            <w:shd w:val="clear" w:color="auto" w:fill="ACACAC"/>
          </w:tcPr>
          <w:p>
            <w:pPr>
              <w:spacing w:after="0"/>
              <w:rPr>
                <w:sz w:val="6"/>
                <w:szCs w:val="6"/>
                <w:color w:val="auto"/>
              </w:rPr>
            </w:pPr>
          </w:p>
        </w:tc>
        <w:tc>
          <w:tcPr>
            <w:tcW w:w="1340" w:type="dxa"/>
            <w:vAlign w:val="bottom"/>
            <w:tcBorders>
              <w:right w:val="single" w:sz="8" w:color="134A9C"/>
            </w:tcBorders>
            <w:shd w:val="clear" w:color="auto" w:fill="ACACAC"/>
          </w:tcPr>
          <w:p>
            <w:pPr>
              <w:spacing w:after="0"/>
              <w:rPr>
                <w:sz w:val="6"/>
                <w:szCs w:val="6"/>
                <w:color w:val="auto"/>
              </w:rPr>
            </w:pPr>
          </w:p>
        </w:tc>
        <w:tc>
          <w:tcPr>
            <w:tcW w:w="1360" w:type="dxa"/>
            <w:vAlign w:val="bottom"/>
            <w:tcBorders>
              <w:right w:val="single" w:sz="8" w:color="134A9C"/>
            </w:tcBorders>
            <w:shd w:val="clear" w:color="auto" w:fill="ACACAC"/>
          </w:tcPr>
          <w:p>
            <w:pPr>
              <w:spacing w:after="0"/>
              <w:rPr>
                <w:sz w:val="6"/>
                <w:szCs w:val="6"/>
                <w:color w:val="auto"/>
              </w:rPr>
            </w:pPr>
          </w:p>
        </w:tc>
      </w:tr>
      <w:tr>
        <w:trPr>
          <w:trHeight w:val="167"/>
        </w:trPr>
        <w:tc>
          <w:tcPr>
            <w:tcW w:w="1860" w:type="dxa"/>
            <w:vAlign w:val="bottom"/>
            <w:tcBorders>
              <w:left w:val="single" w:sz="8" w:color="134A9C"/>
              <w:right w:val="single" w:sz="8" w:color="134A9C"/>
            </w:tcBorders>
          </w:tcPr>
          <w:p>
            <w:pPr>
              <w:ind w:left="40"/>
              <w:spacing w:after="0"/>
              <w:rPr>
                <w:sz w:val="20"/>
                <w:szCs w:val="20"/>
                <w:color w:val="auto"/>
              </w:rPr>
            </w:pPr>
            <w:r>
              <w:rPr>
                <w:rFonts w:ascii="Arial" w:cs="Arial" w:eastAsia="Arial" w:hAnsi="Arial"/>
                <w:sz w:val="11"/>
                <w:szCs w:val="11"/>
                <w:color w:val="auto"/>
              </w:rPr>
              <w:t>Daniel F. Akerson</w:t>
            </w:r>
            <w:r>
              <w:rPr>
                <w:rFonts w:ascii="Arial" w:cs="Arial" w:eastAsia="Arial" w:hAnsi="Arial"/>
                <w:sz w:val="7"/>
                <w:szCs w:val="7"/>
                <w:color w:val="auto"/>
              </w:rPr>
              <w:t>(5)</w:t>
            </w: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3"/>
              </w:rPr>
              <w:t>Cash</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r>
      <w:tr>
        <w:trPr>
          <w:trHeight w:val="243"/>
        </w:trPr>
        <w:tc>
          <w:tcPr>
            <w:tcW w:w="1860" w:type="dxa"/>
            <w:vAlign w:val="bottom"/>
            <w:tcBorders>
              <w:left w:val="single" w:sz="8" w:color="134A9C"/>
              <w:right w:val="single" w:sz="8" w:color="134A9C"/>
            </w:tcBorders>
          </w:tcPr>
          <w:p>
            <w:pPr>
              <w:spacing w:after="0"/>
              <w:rPr>
                <w:sz w:val="21"/>
                <w:szCs w:val="21"/>
                <w:color w:val="auto"/>
              </w:rPr>
            </w:pP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7"/>
              </w:rPr>
              <w:t>STIP</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1,100,800</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r>
      <w:tr>
        <w:trPr>
          <w:trHeight w:val="270"/>
        </w:trPr>
        <w:tc>
          <w:tcPr>
            <w:tcW w:w="1860" w:type="dxa"/>
            <w:vAlign w:val="bottom"/>
            <w:tcBorders>
              <w:left w:val="single" w:sz="8" w:color="134A9C"/>
              <w:right w:val="single" w:sz="8" w:color="134A9C"/>
            </w:tcBorders>
          </w:tcPr>
          <w:p>
            <w:pPr>
              <w:spacing w:after="0"/>
              <w:rPr>
                <w:sz w:val="23"/>
                <w:szCs w:val="23"/>
                <w:color w:val="auto"/>
              </w:rPr>
            </w:pPr>
          </w:p>
        </w:tc>
        <w:tc>
          <w:tcPr>
            <w:tcW w:w="1260" w:type="dxa"/>
            <w:vAlign w:val="bottom"/>
            <w:tcBorders>
              <w:right w:val="single" w:sz="8" w:color="134A9C"/>
            </w:tcBorders>
          </w:tcPr>
          <w:p>
            <w:pPr>
              <w:jc w:val="center"/>
              <w:spacing w:after="0"/>
              <w:rPr>
                <w:sz w:val="20"/>
                <w:szCs w:val="20"/>
                <w:color w:val="auto"/>
              </w:rPr>
            </w:pPr>
            <w:r>
              <w:rPr>
                <w:rFonts w:ascii="Arial" w:cs="Arial" w:eastAsia="Arial" w:hAnsi="Arial"/>
                <w:sz w:val="11"/>
                <w:szCs w:val="11"/>
                <w:color w:val="auto"/>
                <w:w w:val="94"/>
              </w:rPr>
              <w:t>LTIP</w:t>
            </w:r>
          </w:p>
        </w:tc>
        <w:tc>
          <w:tcPr>
            <w:tcW w:w="1280" w:type="dxa"/>
            <w:vAlign w:val="bottom"/>
            <w:tcBorders>
              <w:right w:val="single" w:sz="8" w:color="134A9C"/>
            </w:tcBorders>
          </w:tcPr>
          <w:p>
            <w:pPr>
              <w:ind w:left="1020"/>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500" w:type="dxa"/>
            <w:vAlign w:val="bottom"/>
            <w:tcBorders>
              <w:right w:val="single" w:sz="8" w:color="134A9C"/>
            </w:tcBorders>
          </w:tcPr>
          <w:p>
            <w:pPr>
              <w:jc w:val="right"/>
              <w:ind w:right="86"/>
              <w:spacing w:after="0"/>
              <w:rPr>
                <w:sz w:val="20"/>
                <w:szCs w:val="20"/>
                <w:color w:val="auto"/>
              </w:rPr>
            </w:pPr>
            <w:r>
              <w:rPr>
                <w:rFonts w:ascii="Arial" w:cs="Arial" w:eastAsia="Arial" w:hAnsi="Arial"/>
                <w:sz w:val="11"/>
                <w:szCs w:val="11"/>
                <w:color w:val="auto"/>
              </w:rPr>
              <w:t>—</w:t>
            </w:r>
          </w:p>
        </w:tc>
        <w:tc>
          <w:tcPr>
            <w:tcW w:w="148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4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134A9C"/>
            </w:tcBorders>
          </w:tcPr>
          <w:p>
            <w:pPr>
              <w:jc w:val="right"/>
              <w:ind w:right="66"/>
              <w:spacing w:after="0"/>
              <w:rPr>
                <w:sz w:val="20"/>
                <w:szCs w:val="20"/>
                <w:color w:val="auto"/>
              </w:rPr>
            </w:pPr>
            <w:r>
              <w:rPr>
                <w:rFonts w:ascii="Arial" w:cs="Arial" w:eastAsia="Arial" w:hAnsi="Arial"/>
                <w:sz w:val="11"/>
                <w:szCs w:val="11"/>
                <w:color w:val="auto"/>
              </w:rPr>
              <w:t>—</w:t>
            </w:r>
          </w:p>
        </w:tc>
      </w:tr>
      <w:tr>
        <w:trPr>
          <w:trHeight w:val="76"/>
        </w:trPr>
        <w:tc>
          <w:tcPr>
            <w:tcW w:w="1860" w:type="dxa"/>
            <w:vAlign w:val="bottom"/>
            <w:tcBorders>
              <w:left w:val="single" w:sz="8" w:color="134A9C"/>
              <w:right w:val="single" w:sz="8" w:color="134A9C"/>
            </w:tcBorders>
          </w:tcPr>
          <w:p>
            <w:pPr>
              <w:spacing w:after="0"/>
              <w:rPr>
                <w:sz w:val="6"/>
                <w:szCs w:val="6"/>
                <w:color w:val="auto"/>
              </w:rPr>
            </w:pPr>
          </w:p>
        </w:tc>
        <w:tc>
          <w:tcPr>
            <w:tcW w:w="1260" w:type="dxa"/>
            <w:vAlign w:val="bottom"/>
            <w:tcBorders>
              <w:right w:val="single" w:sz="8" w:color="134A9C"/>
            </w:tcBorders>
          </w:tcPr>
          <w:p>
            <w:pPr>
              <w:spacing w:after="0"/>
              <w:rPr>
                <w:sz w:val="6"/>
                <w:szCs w:val="6"/>
                <w:color w:val="auto"/>
              </w:rPr>
            </w:pPr>
          </w:p>
        </w:tc>
        <w:tc>
          <w:tcPr>
            <w:tcW w:w="1280" w:type="dxa"/>
            <w:vAlign w:val="bottom"/>
            <w:tcBorders>
              <w:right w:val="single" w:sz="8" w:color="134A9C"/>
            </w:tcBorders>
          </w:tcPr>
          <w:p>
            <w:pPr>
              <w:spacing w:after="0"/>
              <w:rPr>
                <w:sz w:val="6"/>
                <w:szCs w:val="6"/>
                <w:color w:val="auto"/>
              </w:rPr>
            </w:pPr>
          </w:p>
        </w:tc>
        <w:tc>
          <w:tcPr>
            <w:tcW w:w="1360" w:type="dxa"/>
            <w:vAlign w:val="bottom"/>
            <w:tcBorders>
              <w:right w:val="single" w:sz="8" w:color="134A9C"/>
            </w:tcBorders>
          </w:tcPr>
          <w:p>
            <w:pPr>
              <w:spacing w:after="0"/>
              <w:rPr>
                <w:sz w:val="6"/>
                <w:szCs w:val="6"/>
                <w:color w:val="auto"/>
              </w:rPr>
            </w:pPr>
          </w:p>
        </w:tc>
        <w:tc>
          <w:tcPr>
            <w:tcW w:w="1500" w:type="dxa"/>
            <w:vAlign w:val="bottom"/>
            <w:tcBorders>
              <w:right w:val="single" w:sz="8" w:color="134A9C"/>
            </w:tcBorders>
          </w:tcPr>
          <w:p>
            <w:pPr>
              <w:spacing w:after="0"/>
              <w:rPr>
                <w:sz w:val="6"/>
                <w:szCs w:val="6"/>
                <w:color w:val="auto"/>
              </w:rPr>
            </w:pPr>
          </w:p>
        </w:tc>
        <w:tc>
          <w:tcPr>
            <w:tcW w:w="1480" w:type="dxa"/>
            <w:vAlign w:val="bottom"/>
            <w:tcBorders>
              <w:right w:val="single" w:sz="8" w:color="134A9C"/>
            </w:tcBorders>
          </w:tcPr>
          <w:p>
            <w:pPr>
              <w:spacing w:after="0"/>
              <w:rPr>
                <w:sz w:val="6"/>
                <w:szCs w:val="6"/>
                <w:color w:val="auto"/>
              </w:rPr>
            </w:pPr>
          </w:p>
        </w:tc>
        <w:tc>
          <w:tcPr>
            <w:tcW w:w="1340" w:type="dxa"/>
            <w:vAlign w:val="bottom"/>
            <w:tcBorders>
              <w:right w:val="single" w:sz="8" w:color="134A9C"/>
            </w:tcBorders>
          </w:tcPr>
          <w:p>
            <w:pPr>
              <w:spacing w:after="0"/>
              <w:rPr>
                <w:sz w:val="6"/>
                <w:szCs w:val="6"/>
                <w:color w:val="auto"/>
              </w:rPr>
            </w:pPr>
          </w:p>
        </w:tc>
        <w:tc>
          <w:tcPr>
            <w:tcW w:w="1360" w:type="dxa"/>
            <w:vAlign w:val="bottom"/>
            <w:tcBorders>
              <w:right w:val="single" w:sz="8" w:color="134A9C"/>
            </w:tcBorders>
          </w:tcPr>
          <w:p>
            <w:pPr>
              <w:spacing w:after="0"/>
              <w:rPr>
                <w:sz w:val="6"/>
                <w:szCs w:val="6"/>
                <w:color w:val="auto"/>
              </w:rPr>
            </w:pPr>
          </w:p>
        </w:tc>
      </w:tr>
      <w:tr>
        <w:trPr>
          <w:trHeight w:val="194"/>
        </w:trPr>
        <w:tc>
          <w:tcPr>
            <w:tcW w:w="1860" w:type="dxa"/>
            <w:vAlign w:val="bottom"/>
            <w:tcBorders>
              <w:left w:val="single" w:sz="8" w:color="134A9C"/>
              <w:right w:val="single" w:sz="8" w:color="134A9C"/>
            </w:tcBorders>
            <w:shd w:val="clear" w:color="auto" w:fill="ACACAC"/>
          </w:tcPr>
          <w:p>
            <w:pPr>
              <w:spacing w:after="0"/>
              <w:rPr>
                <w:sz w:val="16"/>
                <w:szCs w:val="16"/>
                <w:color w:val="auto"/>
              </w:rPr>
            </w:pPr>
          </w:p>
        </w:tc>
        <w:tc>
          <w:tcPr>
            <w:tcW w:w="1260" w:type="dxa"/>
            <w:vAlign w:val="bottom"/>
            <w:tcBorders>
              <w:right w:val="single" w:sz="8" w:color="134A9C"/>
            </w:tcBorders>
            <w:shd w:val="clear" w:color="auto" w:fill="ACACAC"/>
          </w:tcPr>
          <w:p>
            <w:pPr>
              <w:jc w:val="center"/>
              <w:spacing w:after="0"/>
              <w:rPr>
                <w:sz w:val="20"/>
                <w:szCs w:val="20"/>
                <w:color w:val="auto"/>
              </w:rPr>
            </w:pPr>
            <w:r>
              <w:rPr>
                <w:rFonts w:ascii="Arial" w:cs="Arial" w:eastAsia="Arial" w:hAnsi="Arial"/>
                <w:sz w:val="11"/>
                <w:szCs w:val="11"/>
                <w:b w:val="1"/>
                <w:bCs w:val="1"/>
                <w:color w:val="auto"/>
                <w:w w:val="91"/>
              </w:rPr>
              <w:t>Total</w:t>
            </w:r>
          </w:p>
        </w:tc>
        <w:tc>
          <w:tcPr>
            <w:tcW w:w="1280" w:type="dxa"/>
            <w:vAlign w:val="bottom"/>
            <w:tcBorders>
              <w:right w:val="single" w:sz="8" w:color="134A9C"/>
            </w:tcBorders>
            <w:shd w:val="clear" w:color="auto" w:fill="ACACAC"/>
          </w:tcPr>
          <w:p>
            <w:pPr>
              <w:ind w:left="1020"/>
              <w:spacing w:after="0"/>
              <w:rPr>
                <w:sz w:val="20"/>
                <w:szCs w:val="20"/>
                <w:color w:val="auto"/>
              </w:rPr>
            </w:pPr>
            <w:r>
              <w:rPr>
                <w:rFonts w:ascii="Arial" w:cs="Arial" w:eastAsia="Arial" w:hAnsi="Arial"/>
                <w:sz w:val="11"/>
                <w:szCs w:val="11"/>
                <w:b w:val="1"/>
                <w:bCs w:val="1"/>
                <w:color w:val="auto"/>
              </w:rPr>
              <w:t>—</w:t>
            </w:r>
          </w:p>
        </w:tc>
        <w:tc>
          <w:tcPr>
            <w:tcW w:w="1360" w:type="dxa"/>
            <w:vAlign w:val="bottom"/>
            <w:tcBorders>
              <w:right w:val="single" w:sz="8" w:color="134A9C"/>
            </w:tcBorders>
            <w:shd w:val="clear" w:color="auto" w:fill="ACACAC"/>
          </w:tcPr>
          <w:p>
            <w:pPr>
              <w:jc w:val="right"/>
              <w:ind w:right="86"/>
              <w:spacing w:after="0"/>
              <w:rPr>
                <w:sz w:val="20"/>
                <w:szCs w:val="20"/>
                <w:color w:val="auto"/>
              </w:rPr>
            </w:pPr>
            <w:r>
              <w:rPr>
                <w:rFonts w:ascii="Arial" w:cs="Arial" w:eastAsia="Arial" w:hAnsi="Arial"/>
                <w:sz w:val="11"/>
                <w:szCs w:val="11"/>
                <w:b w:val="1"/>
                <w:bCs w:val="1"/>
                <w:color w:val="auto"/>
              </w:rPr>
              <w:t>—</w:t>
            </w:r>
          </w:p>
        </w:tc>
        <w:tc>
          <w:tcPr>
            <w:tcW w:w="1500" w:type="dxa"/>
            <w:vAlign w:val="bottom"/>
            <w:tcBorders>
              <w:right w:val="single" w:sz="8" w:color="134A9C"/>
            </w:tcBorders>
            <w:shd w:val="clear" w:color="auto" w:fill="ACACAC"/>
          </w:tcPr>
          <w:p>
            <w:pPr>
              <w:jc w:val="right"/>
              <w:ind w:right="86"/>
              <w:spacing w:after="0"/>
              <w:rPr>
                <w:sz w:val="20"/>
                <w:szCs w:val="20"/>
                <w:color w:val="auto"/>
              </w:rPr>
            </w:pPr>
            <w:r>
              <w:rPr>
                <w:rFonts w:ascii="Arial" w:cs="Arial" w:eastAsia="Arial" w:hAnsi="Arial"/>
                <w:sz w:val="11"/>
                <w:szCs w:val="11"/>
                <w:b w:val="1"/>
                <w:bCs w:val="1"/>
                <w:color w:val="auto"/>
              </w:rPr>
              <w:t>1,100,800</w:t>
            </w:r>
          </w:p>
        </w:tc>
        <w:tc>
          <w:tcPr>
            <w:tcW w:w="148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w:t>
            </w:r>
          </w:p>
        </w:tc>
        <w:tc>
          <w:tcPr>
            <w:tcW w:w="134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w:t>
            </w:r>
          </w:p>
        </w:tc>
        <w:tc>
          <w:tcPr>
            <w:tcW w:w="1360" w:type="dxa"/>
            <w:vAlign w:val="bottom"/>
            <w:tcBorders>
              <w:right w:val="single" w:sz="8" w:color="134A9C"/>
            </w:tcBorders>
            <w:shd w:val="clear" w:color="auto" w:fill="ACACAC"/>
          </w:tcPr>
          <w:p>
            <w:pPr>
              <w:jc w:val="right"/>
              <w:ind w:right="66"/>
              <w:spacing w:after="0"/>
              <w:rPr>
                <w:sz w:val="20"/>
                <w:szCs w:val="20"/>
                <w:color w:val="auto"/>
              </w:rPr>
            </w:pPr>
            <w:r>
              <w:rPr>
                <w:rFonts w:ascii="Arial" w:cs="Arial" w:eastAsia="Arial" w:hAnsi="Arial"/>
                <w:sz w:val="11"/>
                <w:szCs w:val="11"/>
                <w:b w:val="1"/>
                <w:bCs w:val="1"/>
                <w:color w:val="auto"/>
              </w:rPr>
              <w:t>—</w:t>
            </w:r>
          </w:p>
        </w:tc>
      </w:tr>
      <w:tr>
        <w:trPr>
          <w:trHeight w:val="76"/>
        </w:trPr>
        <w:tc>
          <w:tcPr>
            <w:tcW w:w="1860" w:type="dxa"/>
            <w:vAlign w:val="bottom"/>
            <w:tcBorders>
              <w:left w:val="single" w:sz="8" w:color="134A9C"/>
              <w:bottom w:val="single" w:sz="8" w:color="134A9C"/>
              <w:right w:val="single" w:sz="8" w:color="134A9C"/>
            </w:tcBorders>
            <w:shd w:val="clear" w:color="auto" w:fill="ACACAC"/>
          </w:tcPr>
          <w:p>
            <w:pPr>
              <w:spacing w:after="0"/>
              <w:rPr>
                <w:sz w:val="6"/>
                <w:szCs w:val="6"/>
                <w:color w:val="auto"/>
              </w:rPr>
            </w:pPr>
          </w:p>
        </w:tc>
        <w:tc>
          <w:tcPr>
            <w:tcW w:w="1260" w:type="dxa"/>
            <w:vAlign w:val="bottom"/>
            <w:tcBorders>
              <w:bottom w:val="single" w:sz="8" w:color="134A9C"/>
              <w:right w:val="single" w:sz="8" w:color="134A9C"/>
            </w:tcBorders>
            <w:shd w:val="clear" w:color="auto" w:fill="ACACAC"/>
          </w:tcPr>
          <w:p>
            <w:pPr>
              <w:spacing w:after="0"/>
              <w:rPr>
                <w:sz w:val="6"/>
                <w:szCs w:val="6"/>
                <w:color w:val="auto"/>
              </w:rPr>
            </w:pPr>
          </w:p>
        </w:tc>
        <w:tc>
          <w:tcPr>
            <w:tcW w:w="1280" w:type="dxa"/>
            <w:vAlign w:val="bottom"/>
            <w:tcBorders>
              <w:bottom w:val="single" w:sz="8" w:color="134A9C"/>
              <w:right w:val="single" w:sz="8" w:color="134A9C"/>
            </w:tcBorders>
            <w:shd w:val="clear" w:color="auto" w:fill="ACACAC"/>
          </w:tcPr>
          <w:p>
            <w:pPr>
              <w:spacing w:after="0"/>
              <w:rPr>
                <w:sz w:val="6"/>
                <w:szCs w:val="6"/>
                <w:color w:val="auto"/>
              </w:rPr>
            </w:pPr>
          </w:p>
        </w:tc>
        <w:tc>
          <w:tcPr>
            <w:tcW w:w="1360" w:type="dxa"/>
            <w:vAlign w:val="bottom"/>
            <w:tcBorders>
              <w:bottom w:val="single" w:sz="8" w:color="134A9C"/>
              <w:right w:val="single" w:sz="8" w:color="134A9C"/>
            </w:tcBorders>
            <w:shd w:val="clear" w:color="auto" w:fill="ACACAC"/>
          </w:tcPr>
          <w:p>
            <w:pPr>
              <w:spacing w:after="0"/>
              <w:rPr>
                <w:sz w:val="6"/>
                <w:szCs w:val="6"/>
                <w:color w:val="auto"/>
              </w:rPr>
            </w:pPr>
          </w:p>
        </w:tc>
        <w:tc>
          <w:tcPr>
            <w:tcW w:w="1500" w:type="dxa"/>
            <w:vAlign w:val="bottom"/>
            <w:tcBorders>
              <w:bottom w:val="single" w:sz="8" w:color="134A9C"/>
              <w:right w:val="single" w:sz="8" w:color="134A9C"/>
            </w:tcBorders>
            <w:shd w:val="clear" w:color="auto" w:fill="ACACAC"/>
          </w:tcPr>
          <w:p>
            <w:pPr>
              <w:spacing w:after="0"/>
              <w:rPr>
                <w:sz w:val="6"/>
                <w:szCs w:val="6"/>
                <w:color w:val="auto"/>
              </w:rPr>
            </w:pPr>
          </w:p>
        </w:tc>
        <w:tc>
          <w:tcPr>
            <w:tcW w:w="1480" w:type="dxa"/>
            <w:vAlign w:val="bottom"/>
            <w:tcBorders>
              <w:bottom w:val="single" w:sz="8" w:color="134A9C"/>
              <w:right w:val="single" w:sz="8" w:color="134A9C"/>
            </w:tcBorders>
            <w:shd w:val="clear" w:color="auto" w:fill="ACACAC"/>
          </w:tcPr>
          <w:p>
            <w:pPr>
              <w:spacing w:after="0"/>
              <w:rPr>
                <w:sz w:val="6"/>
                <w:szCs w:val="6"/>
                <w:color w:val="auto"/>
              </w:rPr>
            </w:pPr>
          </w:p>
        </w:tc>
        <w:tc>
          <w:tcPr>
            <w:tcW w:w="1340" w:type="dxa"/>
            <w:vAlign w:val="bottom"/>
            <w:tcBorders>
              <w:bottom w:val="single" w:sz="8" w:color="134A9C"/>
              <w:right w:val="single" w:sz="8" w:color="134A9C"/>
            </w:tcBorders>
            <w:shd w:val="clear" w:color="auto" w:fill="ACACAC"/>
          </w:tcPr>
          <w:p>
            <w:pPr>
              <w:spacing w:after="0"/>
              <w:rPr>
                <w:sz w:val="6"/>
                <w:szCs w:val="6"/>
                <w:color w:val="auto"/>
              </w:rPr>
            </w:pPr>
          </w:p>
        </w:tc>
        <w:tc>
          <w:tcPr>
            <w:tcW w:w="1360" w:type="dxa"/>
            <w:vAlign w:val="bottom"/>
            <w:tcBorders>
              <w:bottom w:val="single" w:sz="8" w:color="134A9C"/>
              <w:right w:val="single" w:sz="8" w:color="134A9C"/>
            </w:tcBorders>
            <w:shd w:val="clear" w:color="auto" w:fill="ACACAC"/>
          </w:tcPr>
          <w:p>
            <w:pPr>
              <w:spacing w:after="0"/>
              <w:rPr>
                <w:sz w:val="6"/>
                <w:szCs w:val="6"/>
                <w:color w:val="auto"/>
              </w:rPr>
            </w:pPr>
          </w:p>
        </w:tc>
      </w:tr>
    </w:tbl>
    <w:p>
      <w:pPr>
        <w:spacing w:after="0" w:line="5" w:lineRule="exact"/>
        <w:rPr>
          <w:sz w:val="20"/>
          <w:szCs w:val="20"/>
          <w:color w:val="auto"/>
        </w:rPr>
      </w:pPr>
    </w:p>
    <w:p>
      <w:pPr>
        <w:jc w:val="both"/>
        <w:ind w:left="340" w:right="40" w:hanging="332"/>
        <w:spacing w:after="0" w:line="24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Cash amounts shown for Mutual Separation are payable under the GM Mutual Separation Policy. The cash payment is equal to 50% of each NEO’s monthly base salary for each year of service (maximum payment is equal to 10 months of pay). Cash amounts shown for Change in Control with Termination are payable under the GM Executive Severance Program. The cash payment is equal to 50% of each NEO’s monthly base salary for each year of service (maximum payment is equal to 12 months of pay). There are no cash payments due upon Full Career Status Retirement, Disability, or Death.</w:t>
      </w:r>
    </w:p>
    <w:p>
      <w:pPr>
        <w:spacing w:after="0" w:line="1" w:lineRule="exact"/>
        <w:rPr>
          <w:rFonts w:ascii="Arial" w:cs="Arial" w:eastAsia="Arial" w:hAnsi="Arial"/>
          <w:sz w:val="14"/>
          <w:szCs w:val="14"/>
          <w:color w:val="auto"/>
        </w:rPr>
      </w:pPr>
    </w:p>
    <w:p>
      <w:pPr>
        <w:jc w:val="both"/>
        <w:ind w:left="340" w:right="20" w:hanging="332"/>
        <w:spacing w:after="0" w:line="24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STIP amounts shown are payable under the 2014 Short-Term Incentive Plan. STIP values shown for Full Career Status Retirement, Disability and Death are based on the actual full-year performance at the overall corporate achievement. STIP amounts shown for Change in Control with Termination reflect target-level performance. Executives forfeit STIP awards for Voluntary Separation or Termination for Cause and Mutual Separation.</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LTIP amounts reflect the value of unvested RSU and PSU awards that vest upon termination. The value of the awards is based on GM’s closing stock price on December 31, 2014 of $34.91.</w:t>
      </w:r>
    </w:p>
    <w:p>
      <w:pPr>
        <w:ind w:left="340" w:right="40" w:hanging="332"/>
        <w:spacing w:after="0" w:line="258"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Per the terms of Dr. Neumann’s employment agreement, he would be eligible to receive €614,000 payable in the event of a disability and €154,000 payable in the event of a death as part of the insurance plan provided to Opel Management Board Members.</w:t>
      </w:r>
    </w:p>
    <w:p>
      <w:pPr>
        <w:sectPr>
          <w:pgSz w:w="11900" w:h="16838" w:orient="portrait"/>
          <w:cols w:equalWidth="0" w:num="1">
            <w:col w:w="11440"/>
          </w:cols>
          <w:pgMar w:left="240" w:top="292" w:right="219" w:bottom="1440" w:gutter="0" w:footer="0" w:header="0"/>
        </w:sectPr>
      </w:pPr>
    </w:p>
    <w:p>
      <w:pPr>
        <w:spacing w:after="0" w:line="378"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60</w:t>
      </w:r>
      <w:r>
        <w:rPr>
          <w:sz w:val="20"/>
          <w:szCs w:val="20"/>
          <w:color w:val="auto"/>
        </w:rPr>
        <w:tab/>
      </w:r>
      <w:r>
        <w:rPr>
          <w:sz w:val="1"/>
          <w:szCs w:val="1"/>
          <w:color w:val="auto"/>
        </w:rPr>
        <w:drawing>
          <wp:inline distT="0" distB="0" distL="0" distR="0">
            <wp:extent cx="120015" cy="12001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40"/>
          </w:cols>
          <w:pgMar w:left="240" w:top="292" w:right="219" w:bottom="1440" w:gutter="0" w:footer="0" w:header="0"/>
          <w:type w:val="continuous"/>
        </w:sectPr>
      </w:pPr>
    </w:p>
    <w:bookmarkStart w:id="64" w:name="page65"/>
    <w:bookmarkEnd w:id="64"/>
    <w:p>
      <w:pPr>
        <w:ind w:left="8500"/>
        <w:spacing w:after="0"/>
        <w:rPr>
          <w:sz w:val="20"/>
          <w:szCs w:val="20"/>
          <w:color w:val="auto"/>
        </w:rPr>
      </w:pPr>
      <w:r>
        <w:rPr>
          <w:rFonts w:ascii="Arial" w:cs="Arial" w:eastAsia="Arial" w:hAnsi="Arial"/>
          <w:sz w:val="18"/>
          <w:szCs w:val="18"/>
          <w:b w:val="1"/>
          <w:bCs w:val="1"/>
          <w:color w:val="134A9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40"/>
        <w:spacing w:after="0" w:line="352" w:lineRule="auto"/>
        <w:rPr>
          <w:sz w:val="20"/>
          <w:szCs w:val="20"/>
          <w:color w:val="auto"/>
        </w:rPr>
      </w:pPr>
      <w:r>
        <w:rPr>
          <w:rFonts w:ascii="Arial" w:cs="Arial" w:eastAsia="Arial" w:hAnsi="Arial"/>
          <w:sz w:val="14"/>
          <w:szCs w:val="14"/>
          <w:color w:val="auto"/>
        </w:rPr>
        <w:t>Using the exchange rate on December 31, 2014 of €1 = $1.2110 the amounts were $743,568 for disability and $186,498 for death. For STIP payments under death and disability the exchange rate used was €1 = $1.1195.</w:t>
      </w: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Akerson retired on July 1, 2014 and the table reflects only a termination based on his retirement on that date.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Employment Agreements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no employment agreements with any of the U.S.-based NEOs. The Company entered into a new employment agreement with Dr. Neumann on August 1, 2014. Our employment agreement with Dr. Neumann provided an annual cash base salary as described above and participation in benefit plans available to all executives in Germany. Dr. Neumann will also participate in both the STIP and LTIP as described above.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Compensation Committee Report</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("CD&amp;A") and, based on that review and discussion, has recommended to the Board of Directors that the CD&amp;A be included in this proxy statement and incorporated by reference in the GM 2014 Annual Report on Form 10-K.</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UST selling its remaining shares of Common Stock, the Company exited TARP and the Compensation Committee, consistent with its charter responsibilities, ensured the Company’s performance-based compensation policies and practices supported the successful recruitment, development, and retention of executive talent in order to achieve the Company’s business objectives and optimize long-term financial returns for our stockholders.</w:t>
      </w:r>
    </w:p>
    <w:p>
      <w:pPr>
        <w:spacing w:after="0" w:line="11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Further, the Compensation Committee reviewed the incentive compensation plans for all employees with the Vice President, Controller and Chief Accounting Officer to ensure that incentive compensation does not encourage employees to take unnecessary and excessive risks that may threaten the value of the Company.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Compensation Committee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 Neville Isdell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J. Mulva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Patricia F. Russo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 M. Stephenson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61</w:t>
      </w:r>
      <w:r>
        <w:rPr>
          <w:sz w:val="20"/>
          <w:szCs w:val="20"/>
          <w:color w:val="auto"/>
        </w:rPr>
        <w:tab/>
      </w:r>
      <w:r>
        <w:rPr>
          <w:sz w:val="1"/>
          <w:szCs w:val="1"/>
          <w:color w:val="auto"/>
        </w:rPr>
        <w:drawing>
          <wp:inline distT="0" distB="0" distL="0" distR="0">
            <wp:extent cx="120015" cy="12001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65" w:name="page66"/>
    <w:bookmarkEnd w:id="65"/>
    <w:p>
      <w:pPr>
        <w:ind w:left="6280"/>
        <w:spacing w:after="0"/>
        <w:rPr>
          <w:sz w:val="20"/>
          <w:szCs w:val="20"/>
          <w:color w:val="auto"/>
        </w:rPr>
      </w:pPr>
      <w:r>
        <w:rPr>
          <w:rFonts w:ascii="Arial" w:cs="Arial" w:eastAsia="Arial" w:hAnsi="Arial"/>
          <w:sz w:val="18"/>
          <w:szCs w:val="18"/>
          <w:b w:val="1"/>
          <w:bCs w:val="1"/>
          <w:color w:val="134A9C"/>
        </w:rPr>
        <w:t>Audit Committee Report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The following Audit Committee Report shall not be deemed incorporated by reference by any general statement incorporating by reference in this proxy statement or any portion hereof into any filing under the Securities Act of 1933, as amended, or the Securities Exchange Act of 1934, as amended, and shall not otherwise be deemed filed thereunder.</w:t>
      </w:r>
    </w:p>
    <w:p>
      <w:pPr>
        <w:spacing w:after="0" w:line="128" w:lineRule="exact"/>
        <w:rPr>
          <w:sz w:val="20"/>
          <w:szCs w:val="20"/>
          <w:color w:val="auto"/>
        </w:rPr>
      </w:pPr>
    </w:p>
    <w:p>
      <w:pPr>
        <w:spacing w:after="0"/>
        <w:rPr>
          <w:sz w:val="20"/>
          <w:szCs w:val="20"/>
          <w:color w:val="auto"/>
        </w:rPr>
      </w:pPr>
      <w:r>
        <w:rPr>
          <w:rFonts w:ascii="Arial" w:cs="Arial" w:eastAsia="Arial" w:hAnsi="Arial"/>
          <w:sz w:val="29"/>
          <w:szCs w:val="29"/>
          <w:b w:val="1"/>
          <w:bCs w:val="1"/>
          <w:color w:val="134A9C"/>
        </w:rPr>
        <w:t>Audit Committee Report</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Audit Committee of the General Motors Board of Directors is a standing committee composed of six directors who meet the independence, financial expertise, and other qualification requirements of the NYSE and applicable securities laws. It operates under a written charter adopted by the Committee and approved by the Board of Directors, which is posted on our website at </w:t>
      </w:r>
      <w:r>
        <w:rPr>
          <w:rFonts w:ascii="Arial" w:cs="Arial" w:eastAsia="Arial" w:hAnsi="Arial"/>
          <w:sz w:val="18"/>
          <w:szCs w:val="18"/>
          <w:i w:val="1"/>
          <w:iCs w:val="1"/>
          <w:color w:val="auto"/>
        </w:rPr>
        <w:t>www.gm.com/investor</w:t>
      </w:r>
      <w:r>
        <w:rPr>
          <w:rFonts w:ascii="Arial" w:cs="Arial" w:eastAsia="Arial" w:hAnsi="Arial"/>
          <w:sz w:val="18"/>
          <w:szCs w:val="18"/>
          <w:color w:val="auto"/>
        </w:rPr>
        <w:t>, under “Corporate Governance.” The members of the Committee are Thomas M. Schoewe (Chair), Erroll B. Davis, Jr., Linda R. Gooden, E. Neville Isdell, Kathryn V. Marinello, and Michael G. Mullen. The Board has determined that Mr. Schoewe, Mr. Davis, and Ms. Marinello qualify as “audit committee financial experts” as defined by the SEC’s regulations. The Committee annually selects the Company’s independent registered public accounting firm.</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is responsible for the Company’s internal control and the financial reporting process and has delivered its opinion on the strength of controls. The independent registered public accounting firm is responsible for performing an independent audit of the Company’s consolidated financial statements and opining on the effectiveness of those controls in accordance with the standards of the Public Company Accounting Oversight Board (United States) (the “PCAOB”) and issuing their reports thereon. As provided in its charter, the Committee’s responsibilities include monitoring and overseeing these processes.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Consistent with its charter responsibilities, the Committee has met and held discussions with management and Deloitte &amp; Touche LLP (“Deloitte”), the Company’s independent registered public accounting firm for 2014, regarding the Company’s audited financial statements as of December 31, 2014 and for the year then ended. In this context, management represented to the Committee that the Company’s consolidated financial statements were prepared in accordance with accounting principles generally accepted in the United States. The Committee has reviewed and discussed the consolidated financial statements with management and the independent registered public accounting firm and discussed with the independent registered public accounting firm matters required to be discussed by the standards of the PCAOB.</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independent registered public accounting firm has also provided to the Committee the written disclosures required by the applicable requirements of the PCAOB regarding the independent registered public accounting firm’s communication with the Committee concerning independence. The Committee has also considered whether the provision of non-audit services is compatible with maintaining the independent registered public accounting firm’s independence. The Committee concluded that Deloitte is independent from the Company and its management.</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upon the Committee’s discussions with management and the independent registered public accounting firm as described in this report and the Committee’s review of the representation of management and the report of the independent registered public accounting firm to the Committee, the Committee recommended to the Board of Directors and the Board of Directors approved the inclusion of the audited consolidated financial statements in the Company’s Annual Report on Form 10-K for the year ended December 31, 2014, filed with the SEC.</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Audit Committee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Thomas M. Schoewe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Erroll B. Davis,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Linda R. Gooden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Neville Isdell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Kathryn V. Marinello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G. Mullen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62</w:t>
      </w:r>
      <w:r>
        <w:rPr>
          <w:sz w:val="20"/>
          <w:szCs w:val="20"/>
          <w:color w:val="auto"/>
        </w:rPr>
        <w:tab/>
      </w:r>
      <w:r>
        <w:rPr>
          <w:sz w:val="1"/>
          <w:szCs w:val="1"/>
          <w:color w:val="auto"/>
        </w:rPr>
        <w:drawing>
          <wp:inline distT="0" distB="0" distL="0" distR="0">
            <wp:extent cx="120015" cy="12001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79" w:right="239" w:bottom="1440" w:gutter="0" w:footer="0" w:header="0"/>
        </w:sectPr>
      </w:pPr>
    </w:p>
    <w:bookmarkStart w:id="66" w:name="page67"/>
    <w:bookmarkEnd w:id="66"/>
    <w:p>
      <w:pPr>
        <w:ind w:left="6280"/>
        <w:spacing w:after="0"/>
        <w:rPr>
          <w:sz w:val="20"/>
          <w:szCs w:val="20"/>
          <w:color w:val="auto"/>
        </w:rPr>
      </w:pPr>
      <w:r>
        <w:rPr>
          <w:rFonts w:ascii="Arial" w:cs="Arial" w:eastAsia="Arial" w:hAnsi="Arial"/>
          <w:sz w:val="18"/>
          <w:szCs w:val="18"/>
          <w:b w:val="1"/>
          <w:bCs w:val="1"/>
          <w:color w:val="134A9C"/>
        </w:rPr>
        <w:t>Audit Committee Report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b w:val="1"/>
          <w:bCs w:val="1"/>
          <w:color w:val="134A9C"/>
        </w:rPr>
        <w:t>Fees Paid to Independent Registered Public Accounting Firm</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Audit Committee retained Deloitte to audit the Company’s consolidated financial statements and the effectiveness of internal controls, as of and for the year ended December 31, 2014. The Company and its subsidiaries also retained Deloitte and certain of its affiliates, as well as other accounting and consulting firms, to provide various other services in 2014.</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services performed by Deloitte in 2014 were pre-approved in accordance with the pre-approval policy and procedures established by the Audit Committee. This policy requires that during its first meeting of the year, the Audit Committee will be presented, for consideration, a description of the types of Audit-Related, Tax, and All Other Services expected to be performed by Deloitte during the fiscal year with amounts budgeted for each category (Audit-Related, Tax, and All Other Services). Any requests for such services for $1 million or more not contemplated and approved during the first meeting must thereafter be submitted to the Audit Committee (or the Chair of the Audit Committee in an urgent case) for specific pre-approval. Requests for services less than $1 million individually can be approved by management based on the amounts approved for each category. Management must report actual spending for each category to the full Audit Committee periodically during the year. The independent registered public accounting firm selected for the following year presents the proposed annual Audit services and their related fees to the Audit Committee for approval on an audit-year basis.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services are actively monitored (both spending level and work content) by the Audit Committee to maintain the appropriate objectivity and independence in Deloitte's core work, which is the audit of the Company's consolidated financial statements. The Audit Committee determined that all services provided by Deloitte in 2014 were compatible with maintaining the independence of Deloitte.</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Deloitte fees billed or expected to be billed in connection with 2014 services. For comparison purposes, actual billings for 2013 services are also displayed.</w:t>
      </w:r>
    </w:p>
    <w:p>
      <w:pPr>
        <w:spacing w:after="0" w:line="265" w:lineRule="exact"/>
        <w:rPr>
          <w:sz w:val="20"/>
          <w:szCs w:val="20"/>
          <w:color w:val="auto"/>
        </w:rPr>
      </w:pPr>
    </w:p>
    <w:tbl>
      <w:tblPr>
        <w:tblLayout w:type="fixed"/>
        <w:tblInd w:w="2170" w:type="dxa"/>
        <w:tblCellMar>
          <w:top w:w="0" w:type="dxa"/>
          <w:left w:w="0" w:type="dxa"/>
          <w:bottom w:w="0" w:type="dxa"/>
          <w:right w:w="0" w:type="dxa"/>
        </w:tblCellMar>
      </w:tblPr>
      <w:tr>
        <w:trPr>
          <w:trHeight w:val="220"/>
        </w:trPr>
        <w:tc>
          <w:tcPr>
            <w:tcW w:w="3640" w:type="dxa"/>
            <w:vAlign w:val="bottom"/>
            <w:tcBorders>
              <w:left w:val="single" w:sz="8" w:color="134A9C"/>
              <w:right w:val="single" w:sz="8" w:color="134A9C"/>
            </w:tcBorders>
            <w:shd w:val="clear" w:color="auto" w:fill="134A9C"/>
          </w:tcPr>
          <w:p>
            <w:pPr>
              <w:spacing w:after="0"/>
              <w:rPr>
                <w:sz w:val="19"/>
                <w:szCs w:val="19"/>
                <w:color w:val="auto"/>
              </w:rPr>
            </w:pPr>
          </w:p>
        </w:tc>
        <w:tc>
          <w:tcPr>
            <w:tcW w:w="1440" w:type="dxa"/>
            <w:vAlign w:val="bottom"/>
            <w:shd w:val="clear" w:color="auto" w:fill="134A9C"/>
          </w:tcPr>
          <w:p>
            <w:pPr>
              <w:jc w:val="right"/>
              <w:ind w:right="310"/>
              <w:spacing w:after="0"/>
              <w:rPr>
                <w:sz w:val="20"/>
                <w:szCs w:val="20"/>
                <w:color w:val="auto"/>
              </w:rPr>
            </w:pPr>
            <w:r>
              <w:rPr>
                <w:rFonts w:ascii="Arial" w:cs="Arial" w:eastAsia="Arial" w:hAnsi="Arial"/>
                <w:sz w:val="18"/>
                <w:szCs w:val="18"/>
                <w:b w:val="1"/>
                <w:bCs w:val="1"/>
                <w:color w:val="FFFFFF"/>
              </w:rPr>
              <w:t>2014</w:t>
            </w:r>
          </w:p>
        </w:tc>
        <w:tc>
          <w:tcPr>
            <w:tcW w:w="280" w:type="dxa"/>
            <w:vAlign w:val="bottom"/>
            <w:tcBorders>
              <w:right w:val="single" w:sz="8" w:color="134A9C"/>
            </w:tcBorders>
            <w:shd w:val="clear" w:color="auto" w:fill="134A9C"/>
          </w:tcPr>
          <w:p>
            <w:pPr>
              <w:spacing w:after="0"/>
              <w:rPr>
                <w:sz w:val="19"/>
                <w:szCs w:val="19"/>
                <w:color w:val="auto"/>
              </w:rPr>
            </w:pPr>
          </w:p>
        </w:tc>
        <w:tc>
          <w:tcPr>
            <w:tcW w:w="1760" w:type="dxa"/>
            <w:vAlign w:val="bottom"/>
            <w:tcBorders>
              <w:right w:val="single" w:sz="8" w:color="134A9C"/>
            </w:tcBorders>
            <w:shd w:val="clear" w:color="auto" w:fill="134A9C"/>
          </w:tcPr>
          <w:p>
            <w:pPr>
              <w:jc w:val="right"/>
              <w:ind w:right="610"/>
              <w:spacing w:after="0"/>
              <w:rPr>
                <w:sz w:val="20"/>
                <w:szCs w:val="20"/>
                <w:color w:val="auto"/>
              </w:rPr>
            </w:pPr>
            <w:r>
              <w:rPr>
                <w:rFonts w:ascii="Arial" w:cs="Arial" w:eastAsia="Arial" w:hAnsi="Arial"/>
                <w:sz w:val="18"/>
                <w:szCs w:val="18"/>
                <w:b w:val="1"/>
                <w:bCs w:val="1"/>
                <w:color w:val="FFFFFF"/>
              </w:rPr>
              <w:t>2013</w:t>
            </w:r>
          </w:p>
        </w:tc>
      </w:tr>
      <w:tr>
        <w:trPr>
          <w:trHeight w:val="246"/>
        </w:trPr>
        <w:tc>
          <w:tcPr>
            <w:tcW w:w="3640" w:type="dxa"/>
            <w:vAlign w:val="bottom"/>
            <w:tcBorders>
              <w:left w:val="single" w:sz="8" w:color="134A9C"/>
              <w:bottom w:val="single" w:sz="8" w:color="134A9C"/>
              <w:right w:val="single" w:sz="8" w:color="134A9C"/>
            </w:tcBorders>
            <w:shd w:val="clear" w:color="auto" w:fill="134A9C"/>
          </w:tcPr>
          <w:p>
            <w:pPr>
              <w:ind w:left="40"/>
              <w:spacing w:after="0"/>
              <w:rPr>
                <w:sz w:val="20"/>
                <w:szCs w:val="20"/>
                <w:color w:val="auto"/>
              </w:rPr>
            </w:pPr>
            <w:r>
              <w:rPr>
                <w:rFonts w:ascii="Arial" w:cs="Arial" w:eastAsia="Arial" w:hAnsi="Arial"/>
                <w:sz w:val="18"/>
                <w:szCs w:val="18"/>
                <w:b w:val="1"/>
                <w:bCs w:val="1"/>
                <w:color w:val="FFFFFF"/>
              </w:rPr>
              <w:t>Type of Fees</w:t>
            </w:r>
          </w:p>
        </w:tc>
        <w:tc>
          <w:tcPr>
            <w:tcW w:w="1440" w:type="dxa"/>
            <w:vAlign w:val="bottom"/>
            <w:tcBorders>
              <w:bottom w:val="single" w:sz="8" w:color="134A9C"/>
            </w:tcBorders>
            <w:shd w:val="clear" w:color="auto" w:fill="134A9C"/>
          </w:tcPr>
          <w:p>
            <w:pPr>
              <w:jc w:val="center"/>
              <w:ind w:left="150"/>
              <w:spacing w:after="0"/>
              <w:rPr>
                <w:sz w:val="20"/>
                <w:szCs w:val="20"/>
                <w:color w:val="auto"/>
              </w:rPr>
            </w:pPr>
            <w:r>
              <w:rPr>
                <w:rFonts w:ascii="Arial" w:cs="Arial" w:eastAsia="Arial" w:hAnsi="Arial"/>
                <w:sz w:val="18"/>
                <w:szCs w:val="18"/>
                <w:b w:val="1"/>
                <w:bCs w:val="1"/>
                <w:color w:val="FFFFFF"/>
                <w:w w:val="99"/>
              </w:rPr>
              <w:t>($ in millions)</w:t>
            </w:r>
          </w:p>
        </w:tc>
        <w:tc>
          <w:tcPr>
            <w:tcW w:w="280" w:type="dxa"/>
            <w:vAlign w:val="bottom"/>
            <w:tcBorders>
              <w:bottom w:val="single" w:sz="8" w:color="134A9C"/>
              <w:right w:val="single" w:sz="8" w:color="134A9C"/>
            </w:tcBorders>
            <w:shd w:val="clear" w:color="auto" w:fill="134A9C"/>
          </w:tcPr>
          <w:p>
            <w:pPr>
              <w:spacing w:after="0"/>
              <w:rPr>
                <w:sz w:val="21"/>
                <w:szCs w:val="21"/>
                <w:color w:val="auto"/>
              </w:rPr>
            </w:pPr>
          </w:p>
        </w:tc>
        <w:tc>
          <w:tcPr>
            <w:tcW w:w="1760" w:type="dxa"/>
            <w:vAlign w:val="bottom"/>
            <w:tcBorders>
              <w:bottom w:val="single" w:sz="8" w:color="134A9C"/>
              <w:right w:val="single" w:sz="8" w:color="134A9C"/>
            </w:tcBorders>
            <w:shd w:val="clear" w:color="auto" w:fill="134A9C"/>
          </w:tcPr>
          <w:p>
            <w:pPr>
              <w:jc w:val="right"/>
              <w:ind w:right="230"/>
              <w:spacing w:after="0"/>
              <w:rPr>
                <w:sz w:val="20"/>
                <w:szCs w:val="20"/>
                <w:color w:val="auto"/>
              </w:rPr>
            </w:pPr>
            <w:r>
              <w:rPr>
                <w:rFonts w:ascii="Arial" w:cs="Arial" w:eastAsia="Arial" w:hAnsi="Arial"/>
                <w:sz w:val="18"/>
                <w:szCs w:val="18"/>
                <w:b w:val="1"/>
                <w:bCs w:val="1"/>
                <w:color w:val="FFFFFF"/>
              </w:rPr>
              <w:t>($ in millions)</w:t>
            </w:r>
          </w:p>
        </w:tc>
      </w:tr>
      <w:tr>
        <w:trPr>
          <w:trHeight w:val="250"/>
        </w:trPr>
        <w:tc>
          <w:tcPr>
            <w:tcW w:w="36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Annual Audit Services</w:t>
            </w:r>
          </w:p>
        </w:tc>
        <w:tc>
          <w:tcPr>
            <w:tcW w:w="1440" w:type="dxa"/>
            <w:vAlign w:val="bottom"/>
            <w:tcBorders>
              <w:bottom w:val="single" w:sz="8" w:color="134A9C"/>
            </w:tcBorders>
          </w:tcPr>
          <w:p>
            <w:pPr>
              <w:spacing w:after="0"/>
              <w:rPr>
                <w:sz w:val="21"/>
                <w:szCs w:val="21"/>
                <w:color w:val="auto"/>
              </w:rPr>
            </w:pPr>
          </w:p>
        </w:tc>
        <w:tc>
          <w:tcPr>
            <w:tcW w:w="28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8"/>
                <w:szCs w:val="18"/>
                <w:color w:val="auto"/>
                <w:w w:val="89"/>
              </w:rPr>
              <w:t>36</w:t>
            </w:r>
          </w:p>
        </w:tc>
        <w:tc>
          <w:tcPr>
            <w:tcW w:w="176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8"/>
                <w:szCs w:val="18"/>
                <w:color w:val="auto"/>
              </w:rPr>
              <w:t>38</w:t>
            </w:r>
          </w:p>
        </w:tc>
      </w:tr>
      <w:tr>
        <w:trPr>
          <w:trHeight w:val="250"/>
        </w:trPr>
        <w:tc>
          <w:tcPr>
            <w:tcW w:w="36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Audit-Related Services</w:t>
            </w:r>
          </w:p>
        </w:tc>
        <w:tc>
          <w:tcPr>
            <w:tcW w:w="1440" w:type="dxa"/>
            <w:vAlign w:val="bottom"/>
            <w:tcBorders>
              <w:bottom w:val="single" w:sz="8" w:color="134A9C"/>
            </w:tcBorders>
          </w:tcPr>
          <w:p>
            <w:pPr>
              <w:spacing w:after="0"/>
              <w:rPr>
                <w:sz w:val="21"/>
                <w:szCs w:val="21"/>
                <w:color w:val="auto"/>
              </w:rPr>
            </w:pPr>
          </w:p>
        </w:tc>
        <w:tc>
          <w:tcPr>
            <w:tcW w:w="28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8"/>
                <w:szCs w:val="18"/>
                <w:color w:val="auto"/>
              </w:rPr>
              <w:t>7</w:t>
            </w:r>
          </w:p>
        </w:tc>
        <w:tc>
          <w:tcPr>
            <w:tcW w:w="176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36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Tax Services</w:t>
            </w:r>
          </w:p>
        </w:tc>
        <w:tc>
          <w:tcPr>
            <w:tcW w:w="1440" w:type="dxa"/>
            <w:vAlign w:val="bottom"/>
            <w:tcBorders>
              <w:bottom w:val="single" w:sz="8" w:color="134A9C"/>
            </w:tcBorders>
          </w:tcPr>
          <w:p>
            <w:pPr>
              <w:spacing w:after="0"/>
              <w:rPr>
                <w:sz w:val="21"/>
                <w:szCs w:val="21"/>
                <w:color w:val="auto"/>
              </w:rPr>
            </w:pPr>
          </w:p>
        </w:tc>
        <w:tc>
          <w:tcPr>
            <w:tcW w:w="28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8"/>
                <w:szCs w:val="18"/>
                <w:color w:val="auto"/>
              </w:rPr>
              <w:t>7</w:t>
            </w:r>
          </w:p>
        </w:tc>
        <w:tc>
          <w:tcPr>
            <w:tcW w:w="176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3640" w:type="dxa"/>
            <w:vAlign w:val="bottom"/>
            <w:tcBorders>
              <w:left w:val="single" w:sz="8" w:color="134A9C"/>
              <w:bottom w:val="single" w:sz="8" w:color="134A9C"/>
              <w:right w:val="single" w:sz="8" w:color="134A9C"/>
            </w:tcBorders>
          </w:tcPr>
          <w:p>
            <w:pPr>
              <w:ind w:left="400"/>
              <w:spacing w:after="0"/>
              <w:rPr>
                <w:sz w:val="20"/>
                <w:szCs w:val="20"/>
                <w:color w:val="auto"/>
              </w:rPr>
            </w:pPr>
            <w:r>
              <w:rPr>
                <w:rFonts w:ascii="Arial" w:cs="Arial" w:eastAsia="Arial" w:hAnsi="Arial"/>
                <w:sz w:val="18"/>
                <w:szCs w:val="18"/>
                <w:color w:val="auto"/>
              </w:rPr>
              <w:t>Subtotal</w:t>
            </w:r>
          </w:p>
        </w:tc>
        <w:tc>
          <w:tcPr>
            <w:tcW w:w="1440" w:type="dxa"/>
            <w:vAlign w:val="bottom"/>
            <w:tcBorders>
              <w:bottom w:val="single" w:sz="8" w:color="134A9C"/>
            </w:tcBorders>
          </w:tcPr>
          <w:p>
            <w:pPr>
              <w:spacing w:after="0"/>
              <w:rPr>
                <w:sz w:val="21"/>
                <w:szCs w:val="21"/>
                <w:color w:val="auto"/>
              </w:rPr>
            </w:pPr>
          </w:p>
        </w:tc>
        <w:tc>
          <w:tcPr>
            <w:tcW w:w="28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8"/>
                <w:szCs w:val="18"/>
                <w:color w:val="auto"/>
                <w:w w:val="89"/>
              </w:rPr>
              <w:t>50</w:t>
            </w:r>
          </w:p>
        </w:tc>
        <w:tc>
          <w:tcPr>
            <w:tcW w:w="176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8"/>
                <w:szCs w:val="18"/>
                <w:color w:val="auto"/>
              </w:rPr>
              <w:t>54</w:t>
            </w:r>
          </w:p>
        </w:tc>
      </w:tr>
      <w:tr>
        <w:trPr>
          <w:trHeight w:val="250"/>
        </w:trPr>
        <w:tc>
          <w:tcPr>
            <w:tcW w:w="3640" w:type="dxa"/>
            <w:vAlign w:val="bottom"/>
            <w:tcBorders>
              <w:left w:val="single" w:sz="8" w:color="134A9C"/>
              <w:bottom w:val="single" w:sz="8" w:color="134A9C"/>
              <w:right w:val="single" w:sz="8" w:color="134A9C"/>
            </w:tcBorders>
          </w:tcPr>
          <w:p>
            <w:pPr>
              <w:ind w:left="40"/>
              <w:spacing w:after="0"/>
              <w:rPr>
                <w:sz w:val="20"/>
                <w:szCs w:val="20"/>
                <w:color w:val="auto"/>
              </w:rPr>
            </w:pPr>
            <w:r>
              <w:rPr>
                <w:rFonts w:ascii="Arial" w:cs="Arial" w:eastAsia="Arial" w:hAnsi="Arial"/>
                <w:sz w:val="18"/>
                <w:szCs w:val="18"/>
                <w:color w:val="auto"/>
              </w:rPr>
              <w:t>All Other Services</w:t>
            </w:r>
          </w:p>
        </w:tc>
        <w:tc>
          <w:tcPr>
            <w:tcW w:w="1440" w:type="dxa"/>
            <w:vAlign w:val="bottom"/>
            <w:tcBorders>
              <w:bottom w:val="single" w:sz="8" w:color="134A9C"/>
            </w:tcBorders>
          </w:tcPr>
          <w:p>
            <w:pPr>
              <w:spacing w:after="0"/>
              <w:rPr>
                <w:sz w:val="21"/>
                <w:szCs w:val="21"/>
                <w:color w:val="auto"/>
              </w:rPr>
            </w:pPr>
          </w:p>
        </w:tc>
        <w:tc>
          <w:tcPr>
            <w:tcW w:w="28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8"/>
                <w:szCs w:val="18"/>
                <w:color w:val="auto"/>
              </w:rPr>
              <w:t>1</w:t>
            </w:r>
          </w:p>
        </w:tc>
        <w:tc>
          <w:tcPr>
            <w:tcW w:w="176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640" w:type="dxa"/>
            <w:vAlign w:val="bottom"/>
            <w:tcBorders>
              <w:left w:val="single" w:sz="8" w:color="134A9C"/>
              <w:bottom w:val="single" w:sz="8" w:color="134A9C"/>
              <w:right w:val="single" w:sz="8" w:color="134A9C"/>
            </w:tcBorders>
          </w:tcPr>
          <w:p>
            <w:pPr>
              <w:ind w:left="40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134A9C"/>
            </w:tcBorders>
          </w:tcPr>
          <w:p>
            <w:pPr>
              <w:spacing w:after="0"/>
              <w:rPr>
                <w:sz w:val="21"/>
                <w:szCs w:val="21"/>
                <w:color w:val="auto"/>
              </w:rPr>
            </w:pPr>
          </w:p>
        </w:tc>
        <w:tc>
          <w:tcPr>
            <w:tcW w:w="28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8"/>
                <w:szCs w:val="18"/>
                <w:color w:val="auto"/>
                <w:w w:val="89"/>
              </w:rPr>
              <w:t>51</w:t>
            </w:r>
          </w:p>
        </w:tc>
        <w:tc>
          <w:tcPr>
            <w:tcW w:w="1760" w:type="dxa"/>
            <w:vAlign w:val="bottom"/>
            <w:tcBorders>
              <w:bottom w:val="single" w:sz="8" w:color="134A9C"/>
              <w:right w:val="single" w:sz="8" w:color="134A9C"/>
            </w:tcBorders>
          </w:tcPr>
          <w:p>
            <w:pPr>
              <w:jc w:val="right"/>
              <w:spacing w:after="0"/>
              <w:rPr>
                <w:sz w:val="20"/>
                <w:szCs w:val="20"/>
                <w:color w:val="auto"/>
              </w:rPr>
            </w:pPr>
            <w:r>
              <w:rPr>
                <w:rFonts w:ascii="Arial" w:cs="Arial" w:eastAsia="Arial" w:hAnsi="Arial"/>
                <w:sz w:val="18"/>
                <w:szCs w:val="18"/>
                <w:color w:val="auto"/>
              </w:rPr>
              <w:t>54</w:t>
            </w:r>
          </w:p>
        </w:tc>
      </w:tr>
    </w:tbl>
    <w:p>
      <w:pPr>
        <w:spacing w:after="0" w:line="31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134A9C"/>
        </w:rPr>
        <w:t xml:space="preserve">Audit Fees: </w:t>
      </w:r>
      <w:r>
        <w:rPr>
          <w:rFonts w:ascii="Arial" w:cs="Arial" w:eastAsia="Arial" w:hAnsi="Arial"/>
          <w:sz w:val="18"/>
          <w:szCs w:val="18"/>
          <w:color w:val="000000"/>
        </w:rPr>
        <w:t>$36 million for the integrated audit of the Company’s annual consolidated financial statements and attestation of the effectiveness</w:t>
      </w:r>
      <w:r>
        <w:rPr>
          <w:rFonts w:ascii="Arial" w:cs="Arial" w:eastAsia="Arial" w:hAnsi="Arial"/>
          <w:sz w:val="18"/>
          <w:szCs w:val="18"/>
          <w:b w:val="1"/>
          <w:bCs w:val="1"/>
          <w:color w:val="134A9C"/>
        </w:rPr>
        <w:t xml:space="preserve"> </w:t>
      </w:r>
      <w:r>
        <w:rPr>
          <w:rFonts w:ascii="Arial" w:cs="Arial" w:eastAsia="Arial" w:hAnsi="Arial"/>
          <w:sz w:val="18"/>
          <w:szCs w:val="18"/>
          <w:color w:val="000000"/>
        </w:rPr>
        <w:t>of the Company’s internal controls over financial reporting, including reviews of the interim financial statements contained in the Company’s Quarterly Reports on Form 10-Q and audits of statutory financial statements.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134A9C"/>
        </w:rPr>
        <w:t xml:space="preserve">Audit-Related Fees: </w:t>
      </w:r>
      <w:r>
        <w:rPr>
          <w:rFonts w:ascii="Arial" w:cs="Arial" w:eastAsia="Arial" w:hAnsi="Arial"/>
          <w:sz w:val="18"/>
          <w:szCs w:val="18"/>
          <w:color w:val="000000"/>
        </w:rPr>
        <w:t>$7 million for assurance and related services that are traditionally performed by the independent registered public</w:t>
      </w:r>
      <w:r>
        <w:rPr>
          <w:rFonts w:ascii="Arial" w:cs="Arial" w:eastAsia="Arial" w:hAnsi="Arial"/>
          <w:sz w:val="18"/>
          <w:szCs w:val="18"/>
          <w:b w:val="1"/>
          <w:bCs w:val="1"/>
          <w:color w:val="134A9C"/>
        </w:rPr>
        <w:t xml:space="preserve"> </w:t>
      </w:r>
      <w:r>
        <w:rPr>
          <w:rFonts w:ascii="Arial" w:cs="Arial" w:eastAsia="Arial" w:hAnsi="Arial"/>
          <w:sz w:val="18"/>
          <w:szCs w:val="18"/>
          <w:color w:val="000000"/>
        </w:rPr>
        <w:t>accounting firm. More specifically, these services include employee benefit plan audits, due diligence related to mergers and acquisitions, comfort letters in connection with funding transactions, audits in connection with proposed acquisitions, other attestation services, and consultation concerning financial accounting and reporting standards.</w:t>
      </w:r>
    </w:p>
    <w:p>
      <w:pPr>
        <w:spacing w:after="0" w:line="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134A9C"/>
        </w:rPr>
        <w:t xml:space="preserve">Tax Fees: </w:t>
      </w:r>
      <w:r>
        <w:rPr>
          <w:rFonts w:ascii="Arial" w:cs="Arial" w:eastAsia="Arial" w:hAnsi="Arial"/>
          <w:sz w:val="18"/>
          <w:szCs w:val="18"/>
          <w:color w:val="000000"/>
        </w:rPr>
        <w:t>$7 million for tax compliance, tax planning, and tax advice. Tax compliance involves preparation of original and amended tax returns</w:t>
      </w:r>
      <w:r>
        <w:rPr>
          <w:rFonts w:ascii="Arial" w:cs="Arial" w:eastAsia="Arial" w:hAnsi="Arial"/>
          <w:sz w:val="18"/>
          <w:szCs w:val="18"/>
          <w:b w:val="1"/>
          <w:bCs w:val="1"/>
          <w:color w:val="134A9C"/>
        </w:rPr>
        <w:t xml:space="preserve"> </w:t>
      </w:r>
      <w:r>
        <w:rPr>
          <w:rFonts w:ascii="Arial" w:cs="Arial" w:eastAsia="Arial" w:hAnsi="Arial"/>
          <w:sz w:val="18"/>
          <w:szCs w:val="18"/>
          <w:color w:val="000000"/>
        </w:rPr>
        <w:t>and claims for refund.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All Other Fees</w:t>
      </w:r>
      <w:r>
        <w:rPr>
          <w:rFonts w:ascii="Arial" w:cs="Arial" w:eastAsia="Arial" w:hAnsi="Arial"/>
          <w:sz w:val="18"/>
          <w:szCs w:val="18"/>
          <w:color w:val="134A9C"/>
        </w:rPr>
        <w:t>:</w:t>
      </w:r>
      <w:r>
        <w:rPr>
          <w:rFonts w:ascii="Arial" w:cs="Arial" w:eastAsia="Arial" w:hAnsi="Arial"/>
          <w:sz w:val="18"/>
          <w:szCs w:val="18"/>
          <w:b w:val="1"/>
          <w:bCs w:val="1"/>
          <w:color w:val="134A9C"/>
        </w:rPr>
        <w:t xml:space="preserve"> </w:t>
      </w:r>
      <w:r>
        <w:rPr>
          <w:rFonts w:ascii="Arial" w:cs="Arial" w:eastAsia="Arial" w:hAnsi="Arial"/>
          <w:sz w:val="18"/>
          <w:szCs w:val="18"/>
          <w:color w:val="000000"/>
        </w:rPr>
        <w:t>$1 million for other advisory services related to risk management and contract compliance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63</w:t>
      </w:r>
      <w:r>
        <w:rPr>
          <w:sz w:val="20"/>
          <w:szCs w:val="20"/>
          <w:color w:val="auto"/>
        </w:rPr>
        <w:tab/>
      </w:r>
      <w:r>
        <w:rPr>
          <w:sz w:val="1"/>
          <w:szCs w:val="1"/>
          <w:color w:val="auto"/>
        </w:rPr>
        <w:drawing>
          <wp:inline distT="0" distB="0" distL="0" distR="0">
            <wp:extent cx="120015" cy="12001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79" w:right="239" w:bottom="1440" w:gutter="0" w:footer="0" w:header="0"/>
        </w:sectPr>
      </w:pPr>
    </w:p>
    <w:bookmarkStart w:id="67" w:name="page68"/>
    <w:bookmarkEnd w:id="67"/>
    <w:p>
      <w:pPr>
        <w:ind w:left="8500"/>
        <w:spacing w:after="0"/>
        <w:rPr>
          <w:sz w:val="20"/>
          <w:szCs w:val="20"/>
          <w:color w:val="auto"/>
        </w:rPr>
      </w:pPr>
      <w:r>
        <w:rPr>
          <w:rFonts w:ascii="Arial" w:cs="Arial" w:eastAsia="Arial" w:hAnsi="Arial"/>
          <w:sz w:val="18"/>
          <w:szCs w:val="18"/>
          <w:b w:val="1"/>
          <w:bCs w:val="1"/>
          <w:color w:val="134A9C"/>
        </w:rPr>
        <w:t>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u w:val="single" w:color="auto"/>
          <w:color w:val="134A9C"/>
        </w:rPr>
        <w:t>ITEM NO. 2</w:t>
      </w:r>
    </w:p>
    <w:p>
      <w:pPr>
        <w:spacing w:after="0" w:line="147" w:lineRule="exact"/>
        <w:rPr>
          <w:sz w:val="20"/>
          <w:szCs w:val="20"/>
          <w:color w:val="auto"/>
        </w:rPr>
      </w:pPr>
    </w:p>
    <w:p>
      <w:pPr>
        <w:ind w:right="820"/>
        <w:spacing w:after="0" w:line="274" w:lineRule="auto"/>
        <w:rPr>
          <w:sz w:val="20"/>
          <w:szCs w:val="20"/>
          <w:color w:val="auto"/>
        </w:rPr>
      </w:pPr>
      <w:r>
        <w:rPr>
          <w:rFonts w:ascii="Arial" w:cs="Arial" w:eastAsia="Arial" w:hAnsi="Arial"/>
          <w:sz w:val="22"/>
          <w:szCs w:val="22"/>
          <w:b w:val="1"/>
          <w:bCs w:val="1"/>
          <w:color w:val="134A9C"/>
        </w:rPr>
        <w:t>RATIFICATION OF THE SELECTION OF DELOITTE &amp; TOUCHE LLP AS THE COMPANY'S INDEPENDENT REGISTERED PUBLIC ACCOUNTING FIRM FOR 2015</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Committee is directly responsible for the appointment, retention, and oversight of the independent external audit firm retained to audit the Company's financial statements. In order to ensure continuing audit independence and objectivity, the Audit Committee will periodically consider whether there should be a rotation of the independent external audit firm. In accordance with the mandated rotation of the audit firm's lead engagement partner, the Audit Committee is also involved in the selection of the external audit firm's lead engagement partner.</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Audit Committee has selected Deloitte as GM’s independent registered public accounting firm for 2015, the Board of Directors has concurred in an advisory capacity with that selection, and the selection is now being submitted to the stockholders at the annual meeting for their ratification or rejection. If the stockholders do not ratify the selection of Deloitte as the independent registered public accounting firm, the Audit Committee will reconsider whether to engage Deloitte but may ultimately determine to engage that firm or another audit firm without re-submitting the matter to stockholders. Among the factors the Audit Committee may consider in making this determination are the difficulty and expense of changing independent registered public accounting firms in the middle of a fiscal year. Even if the stockholders ratify the selection of Deloitte, the Audit Committee may in its sole discretion terminate the engagement of Deloitte and direct the appointment of another independent registered public accounting firm at any time during the year, although it has no current intention to do so.</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course of its process of selecting the Company's independent registered public accounting firm, the Audit Committee considers, among other things, external auditor capability, effectiveness and efficiency of audit services, results from periodic management and Audit Committee performance assessments, and appropriateness of fees in the context of the audit scope. The Audit Committee believes that the retention of Deloitte to serve as the Company's independent external auditor is in the best interest of the Company and its stockholders. Deloitte and its predecessor companies have been GM's or General Motors Corporation's auditors since 1918. The Audit Committee considers Deloitte well qualified, with offices or affiliates in or near most locations in the U.S. and other countries where General Motors operates.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Representatives of Deloitte will attend the annual meeting and will have the opportunity to make any statement they wish. They will also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20585" cy="43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20585" cy="437515"/>
                    </a:xfrm>
                    <a:prstGeom prst="rect">
                      <a:avLst/>
                    </a:prstGeom>
                    <a:noFill/>
                  </pic:spPr>
                </pic:pic>
              </a:graphicData>
            </a:graphic>
          </wp:anchor>
        </w:drawing>
      </w:r>
    </w:p>
    <w:p>
      <w:pPr>
        <w:spacing w:after="0" w:line="226" w:lineRule="exact"/>
        <w:rPr>
          <w:sz w:val="20"/>
          <w:szCs w:val="20"/>
          <w:color w:val="auto"/>
        </w:rPr>
      </w:pPr>
    </w:p>
    <w:p>
      <w:pPr>
        <w:ind w:left="40" w:right="340"/>
        <w:spacing w:after="0" w:line="261" w:lineRule="auto"/>
        <w:rPr>
          <w:sz w:val="20"/>
          <w:szCs w:val="20"/>
          <w:color w:val="auto"/>
        </w:rPr>
      </w:pPr>
      <w:r>
        <w:rPr>
          <w:rFonts w:ascii="Arial" w:cs="Arial" w:eastAsia="Arial" w:hAnsi="Arial"/>
          <w:sz w:val="22"/>
          <w:szCs w:val="22"/>
          <w:color w:val="FFFFFF"/>
        </w:rPr>
        <w:t xml:space="preserve">The Board of Directors recommends a vote </w:t>
      </w:r>
      <w:r>
        <w:rPr>
          <w:rFonts w:ascii="Arial" w:cs="Arial" w:eastAsia="Arial" w:hAnsi="Arial"/>
          <w:sz w:val="22"/>
          <w:szCs w:val="22"/>
          <w:b w:val="1"/>
          <w:bCs w:val="1"/>
          <w:color w:val="FFFFFF"/>
        </w:rPr>
        <w:t>FOR</w:t>
      </w:r>
      <w:r>
        <w:rPr>
          <w:rFonts w:ascii="Arial" w:cs="Arial" w:eastAsia="Arial" w:hAnsi="Arial"/>
          <w:sz w:val="22"/>
          <w:szCs w:val="22"/>
          <w:color w:val="FFFFFF"/>
        </w:rPr>
        <w:t xml:space="preserve"> the proposal to ratify the selection of Deloitte &amp; Touche LLP as the independent registered public accounting firm for GM and its subsidiaries for 2015.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64</w:t>
      </w:r>
      <w:r>
        <w:rPr>
          <w:sz w:val="20"/>
          <w:szCs w:val="20"/>
          <w:color w:val="auto"/>
        </w:rPr>
        <w:tab/>
      </w:r>
      <w:r>
        <w:rPr>
          <w:sz w:val="1"/>
          <w:szCs w:val="1"/>
          <w:color w:val="auto"/>
        </w:rPr>
        <w:drawing>
          <wp:inline distT="0" distB="0" distL="0" distR="0">
            <wp:extent cx="120015" cy="12001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68" w:name="page69"/>
    <w:bookmarkEnd w:id="68"/>
    <w:p>
      <w:pPr>
        <w:ind w:left="8500"/>
        <w:spacing w:after="0"/>
        <w:rPr>
          <w:sz w:val="20"/>
          <w:szCs w:val="20"/>
          <w:color w:val="auto"/>
        </w:rPr>
      </w:pPr>
      <w:r>
        <w:rPr>
          <w:rFonts w:ascii="Arial" w:cs="Arial" w:eastAsia="Arial" w:hAnsi="Arial"/>
          <w:sz w:val="18"/>
          <w:szCs w:val="18"/>
          <w:b w:val="1"/>
          <w:bCs w:val="1"/>
          <w:color w:val="134A9C"/>
        </w:rPr>
        <w:t>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u w:val="single" w:color="auto"/>
          <w:color w:val="134A9C"/>
        </w:rPr>
        <w:t>ITEM NO. 3</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ADVISORY VOTE TO APPROVE EXECUTIVE COMPENSATION</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Executive compensation is an important matter for our stockholders. The Dodd-Frank Wall Street Reform and Consumer Protection Act requires that we provide you with the opportunity to vote to approve, on a non-binding advisory basis, the compensation of our Named Executive Officers, as disclosed in this proxy statement in accordance with the compensation disclosure rules of the SEC.</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Section 14A of the Exchange Act, an advisory vote on the frequency of stockholder votes on executive compensation was conducted in connection with the 2014 annual meeting of stockholders. At that meeting, our stockholders agreed, and the Board subsequently approved, that the advisory vote on executive compensation be held on an annual basis. In 2014, nearly 97 percent of the votes cast at the annual meeting were “favorable” to our Say-on-Pay proposal. The Compensation Committee has approved the compensation arrangements described in our CD&amp;A beginning on page 35 for our Named Executive Officers. We urge you to read the CD&amp;A section of this proxy statement for a more complete understanding of our executive compensation plans, including our compensation philosophy and objectives and the 2014 compensation of Named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are asking stockholders to vote on the following resolution:</w:t>
      </w:r>
    </w:p>
    <w:p>
      <w:pPr>
        <w:spacing w:after="0" w:line="1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pursuant to Item 402 of Regulation S-K,</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Compensation Discussion and Analysis, compensation tables and the related narrative discussion, is hereby APPROVED.</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an advisory vote, this proposal is non-binding. Although the vote is non-binding, the Board of Directors and the Compensation Committee value the opinions of our stockholders and will consider the outcome of the vote when making future compensation decisions for Named Executive Officers.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033A0"/>
        </w:rPr>
        <w:t>Vote Required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affirmative vote of a majority of the shares of our Common Stock present or represented by proxy and entitled to vote at the annual meeting is required for approval of this proposal. If you own shares through a broker, bank, or other nominee, you must instruct your broker, bank, or other nominee on how to vote your shares to ensure that your shares will be represented and voted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54875" cy="283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83210"/>
                    </a:xfrm>
                    <a:prstGeom prst="rect">
                      <a:avLst/>
                    </a:prstGeom>
                    <a:noFill/>
                  </pic:spPr>
                </pic:pic>
              </a:graphicData>
            </a:graphic>
          </wp:anchor>
        </w:drawing>
      </w:r>
    </w:p>
    <w:p>
      <w:pPr>
        <w:spacing w:after="0" w:line="231" w:lineRule="exact"/>
        <w:rPr>
          <w:sz w:val="20"/>
          <w:szCs w:val="20"/>
          <w:color w:val="auto"/>
        </w:rPr>
      </w:pPr>
    </w:p>
    <w:p>
      <w:pPr>
        <w:ind w:left="40"/>
        <w:spacing w:after="0"/>
        <w:rPr>
          <w:sz w:val="20"/>
          <w:szCs w:val="20"/>
          <w:color w:val="auto"/>
        </w:rPr>
      </w:pPr>
      <w:r>
        <w:rPr>
          <w:rFonts w:ascii="Arial" w:cs="Arial" w:eastAsia="Arial" w:hAnsi="Arial"/>
          <w:sz w:val="22"/>
          <w:szCs w:val="22"/>
          <w:color w:val="FFFFFF"/>
        </w:rPr>
        <w:t xml:space="preserve">The Board of Directors recommends a vote </w:t>
      </w:r>
      <w:r>
        <w:rPr>
          <w:rFonts w:ascii="Arial" w:cs="Arial" w:eastAsia="Arial" w:hAnsi="Arial"/>
          <w:sz w:val="22"/>
          <w:szCs w:val="22"/>
          <w:b w:val="1"/>
          <w:bCs w:val="1"/>
          <w:color w:val="FFFFFF"/>
        </w:rPr>
        <w:t>FOR</w:t>
      </w:r>
      <w:r>
        <w:rPr>
          <w:rFonts w:ascii="Arial" w:cs="Arial" w:eastAsia="Arial" w:hAnsi="Arial"/>
          <w:sz w:val="22"/>
          <w:szCs w:val="22"/>
          <w:color w:val="FFFFFF"/>
        </w:rPr>
        <w:t xml:space="preserve"> the advisory proposal to approve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65</w:t>
      </w:r>
      <w:r>
        <w:rPr>
          <w:sz w:val="20"/>
          <w:szCs w:val="20"/>
          <w:color w:val="auto"/>
        </w:rPr>
        <w:tab/>
      </w:r>
      <w:r>
        <w:rPr>
          <w:sz w:val="1"/>
          <w:szCs w:val="1"/>
          <w:color w:val="auto"/>
        </w:rPr>
        <w:drawing>
          <wp:inline distT="0" distB="0" distL="0" distR="0">
            <wp:extent cx="120015" cy="12001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69" w:name="page70"/>
    <w:bookmarkEnd w:id="69"/>
    <w:p>
      <w:pPr>
        <w:ind w:left="8560"/>
        <w:spacing w:after="0"/>
        <w:rPr>
          <w:sz w:val="20"/>
          <w:szCs w:val="20"/>
          <w:color w:val="auto"/>
        </w:rPr>
      </w:pPr>
      <w:r>
        <w:rPr>
          <w:rFonts w:ascii="Arial" w:cs="Arial" w:eastAsia="Arial" w:hAnsi="Arial"/>
          <w:sz w:val="18"/>
          <w:szCs w:val="18"/>
          <w:b w:val="1"/>
          <w:bCs w:val="1"/>
          <w:color w:val="134A9C"/>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u w:val="single" w:color="auto"/>
          <w:color w:val="134A9C"/>
        </w:rPr>
        <w:t>ITEM NO. 4</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STOCKHOLDER PROPOSAL REGARDING INDEPENDENT BOARD CHAIRMAN</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James McRitchie, 9295 Yorkship Court, Elk Grove, CA 95758, owner of approximately 50 shares of Common Stock, and James Dollinger, 6193 Stonegate Parkway, Flint, MI 48532, owner of approximately 50 shares of Common Stock, have given notice that they intend to present for action at the annual meeting the following stockholder proposal:</w:t>
      </w:r>
    </w:p>
    <w:p>
      <w:pPr>
        <w:spacing w:after="0" w:line="107" w:lineRule="exact"/>
        <w:rPr>
          <w:sz w:val="20"/>
          <w:szCs w:val="20"/>
          <w:color w:val="auto"/>
        </w:rPr>
      </w:pPr>
    </w:p>
    <w:p>
      <w:pPr>
        <w:jc w:val="both"/>
        <w:ind w:left="440"/>
        <w:spacing w:after="0" w:line="252" w:lineRule="auto"/>
        <w:rPr>
          <w:sz w:val="20"/>
          <w:szCs w:val="20"/>
          <w:color w:val="auto"/>
        </w:rPr>
      </w:pPr>
      <w:r>
        <w:rPr>
          <w:rFonts w:ascii="Arial" w:cs="Arial" w:eastAsia="Arial" w:hAnsi="Arial"/>
          <w:sz w:val="18"/>
          <w:szCs w:val="18"/>
          <w:color w:val="auto"/>
        </w:rPr>
        <w:t>“Resolved: The shareholders request the Board of Directors to adopt as policy, and amend the bylaws as necessary, to require the Chair of the Board of Directors, whenever possible, to be an independent member of the Board. The Board would have the discretion to phase in this policy for the next CEO transition, implemented so it did not violate any existing agreement.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w:t>
      </w:r>
    </w:p>
    <w:p>
      <w:pPr>
        <w:spacing w:after="0" w:line="114" w:lineRule="exact"/>
        <w:rPr>
          <w:sz w:val="20"/>
          <w:szCs w:val="20"/>
          <w:color w:val="auto"/>
        </w:rPr>
      </w:pPr>
    </w:p>
    <w:p>
      <w:pPr>
        <w:jc w:val="both"/>
        <w:ind w:left="440"/>
        <w:spacing w:after="0" w:line="256" w:lineRule="auto"/>
        <w:rPr>
          <w:sz w:val="20"/>
          <w:szCs w:val="20"/>
          <w:color w:val="auto"/>
        </w:rPr>
      </w:pPr>
      <w:r>
        <w:rPr>
          <w:rFonts w:ascii="Arial" w:cs="Arial" w:eastAsia="Arial" w:hAnsi="Arial"/>
          <w:sz w:val="18"/>
          <w:szCs w:val="18"/>
          <w:color w:val="auto"/>
        </w:rPr>
        <w:t>The role of the CEO and management is to run the company. The role of the Board of Directors is to provide independent oversight of management and the CEO. There is a potential conflict of interest for a CEO to be her/his own overseer as Chair while managing the business.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combination of these two roles in a single person weakens a corporation’s governance structure, which can harm shareholder value.</w:t>
      </w:r>
    </w:p>
    <w:p>
      <w:pPr>
        <w:spacing w:after="0" w:line="131" w:lineRule="exact"/>
        <w:rPr>
          <w:sz w:val="20"/>
          <w:szCs w:val="20"/>
          <w:color w:val="auto"/>
        </w:rPr>
      </w:pPr>
    </w:p>
    <w:p>
      <w:pPr>
        <w:jc w:val="both"/>
        <w:ind w:left="440" w:right="20"/>
        <w:spacing w:after="0" w:line="256" w:lineRule="auto"/>
        <w:rPr>
          <w:sz w:val="20"/>
          <w:szCs w:val="20"/>
          <w:color w:val="auto"/>
        </w:rPr>
      </w:pPr>
      <w:r>
        <w:rPr>
          <w:rFonts w:ascii="Arial" w:cs="Arial" w:eastAsia="Arial" w:hAnsi="Arial"/>
          <w:sz w:val="18"/>
          <w:szCs w:val="18"/>
          <w:color w:val="auto"/>
        </w:rPr>
        <w:t>As Intel’s former chair Andrew Grove stated, “The separation of the two jobs goes to the heart of the conception of a corporation. Is a company a sandbox for the CEO, or is the CEO an employee? If he’s an employee, he needs a boss, and that boss is the Board. The Chairman runs the Board. How can the CEO be his own boss?”</w:t>
      </w:r>
    </w:p>
    <w:p>
      <w:pPr>
        <w:spacing w:after="0" w:line="107" w:lineRule="exact"/>
        <w:rPr>
          <w:sz w:val="20"/>
          <w:szCs w:val="20"/>
          <w:color w:val="auto"/>
        </w:rPr>
      </w:pPr>
    </w:p>
    <w:p>
      <w:pPr>
        <w:jc w:val="both"/>
        <w:ind w:left="440"/>
        <w:spacing w:after="0" w:line="254" w:lineRule="auto"/>
        <w:rPr>
          <w:sz w:val="20"/>
          <w:szCs w:val="20"/>
          <w:color w:val="auto"/>
        </w:rPr>
      </w:pPr>
      <w:r>
        <w:rPr>
          <w:rFonts w:ascii="Arial" w:cs="Arial" w:eastAsia="Arial" w:hAnsi="Arial"/>
          <w:sz w:val="18"/>
          <w:szCs w:val="18"/>
          <w:color w:val="auto"/>
        </w:rPr>
        <w:t>Shareholders are best served by an independent Board Chair who can provide a balance of power between the CEO and the Board empowering strong Board leadership. The primary duty of a Board of Directors is to oversee the management of a company on behalf of shareholders. A combined CEO / Chair creates a potential conflict of interest, resulting in excessive management influence on the Board and weaker oversight of management.</w:t>
      </w:r>
    </w:p>
    <w:p>
      <w:pPr>
        <w:spacing w:after="0" w:line="110" w:lineRule="exact"/>
        <w:rPr>
          <w:sz w:val="20"/>
          <w:szCs w:val="20"/>
          <w:color w:val="auto"/>
        </w:rPr>
      </w:pPr>
    </w:p>
    <w:p>
      <w:pPr>
        <w:jc w:val="both"/>
        <w:ind w:left="440"/>
        <w:spacing w:after="0" w:line="262" w:lineRule="auto"/>
        <w:rPr>
          <w:sz w:val="20"/>
          <w:szCs w:val="20"/>
          <w:color w:val="auto"/>
        </w:rPr>
      </w:pPr>
      <w:r>
        <w:rPr>
          <w:rFonts w:ascii="Arial" w:cs="Arial" w:eastAsia="Arial" w:hAnsi="Arial"/>
          <w:sz w:val="18"/>
          <w:szCs w:val="18"/>
          <w:color w:val="auto"/>
        </w:rPr>
        <w:t>Numerous institutional investors recommend separation of these two roles. For example, California’s Retirement System CalPERS’ Principles &amp; Guidelines encourage separation, even with a lead director in place.</w:t>
      </w:r>
    </w:p>
    <w:p>
      <w:pPr>
        <w:spacing w:after="0" w:line="102" w:lineRule="exact"/>
        <w:rPr>
          <w:sz w:val="20"/>
          <w:szCs w:val="20"/>
          <w:color w:val="auto"/>
        </w:rPr>
      </w:pPr>
    </w:p>
    <w:p>
      <w:pPr>
        <w:jc w:val="both"/>
        <w:ind w:left="440"/>
        <w:spacing w:after="0" w:line="262" w:lineRule="auto"/>
        <w:rPr>
          <w:sz w:val="20"/>
          <w:szCs w:val="20"/>
          <w:color w:val="auto"/>
        </w:rPr>
      </w:pPr>
      <w:r>
        <w:rPr>
          <w:rFonts w:ascii="Arial" w:cs="Arial" w:eastAsia="Arial" w:hAnsi="Arial"/>
          <w:sz w:val="18"/>
          <w:szCs w:val="18"/>
          <w:color w:val="auto"/>
        </w:rPr>
        <w:t>Chairing and overseeing the Board is a time intensive responsibility. A separate Chair also frees the CEO to manage the company and build effective business strategies.</w:t>
      </w:r>
    </w:p>
    <w:p>
      <w:pPr>
        <w:spacing w:after="0" w:line="102" w:lineRule="exact"/>
        <w:rPr>
          <w:sz w:val="20"/>
          <w:szCs w:val="20"/>
          <w:color w:val="auto"/>
        </w:rPr>
      </w:pPr>
    </w:p>
    <w:p>
      <w:pPr>
        <w:jc w:val="both"/>
        <w:ind w:left="440"/>
        <w:spacing w:after="0" w:line="256" w:lineRule="auto"/>
        <w:rPr>
          <w:sz w:val="20"/>
          <w:szCs w:val="20"/>
          <w:color w:val="auto"/>
        </w:rPr>
      </w:pPr>
      <w:r>
        <w:rPr>
          <w:rFonts w:ascii="Arial" w:cs="Arial" w:eastAsia="Arial" w:hAnsi="Arial"/>
          <w:sz w:val="18"/>
          <w:szCs w:val="18"/>
          <w:color w:val="auto"/>
        </w:rPr>
        <w:t>Many companies have separate and/or independent Chairs. An independent Chair is the prevailing practice in the United Kingdom and many international markets and is an increasing trend in the U.S. This proposal topic won 50%-plus support at 5 major U.S. companies in 2013 including 73%-support at Netflix.</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vote to enhance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154295" cy="43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54295" cy="437515"/>
                    </a:xfrm>
                    <a:prstGeom prst="rect">
                      <a:avLst/>
                    </a:prstGeom>
                    <a:noFill/>
                  </pic:spPr>
                </pic:pic>
              </a:graphicData>
            </a:graphic>
          </wp:anchor>
        </w:drawing>
      </w:r>
    </w:p>
    <w:p>
      <w:pPr>
        <w:spacing w:after="0" w:line="255" w:lineRule="exact"/>
        <w:rPr>
          <w:sz w:val="20"/>
          <w:szCs w:val="20"/>
          <w:color w:val="auto"/>
        </w:rPr>
      </w:pPr>
    </w:p>
    <w:p>
      <w:pPr>
        <w:ind w:left="40" w:right="4320"/>
        <w:spacing w:after="0" w:line="261" w:lineRule="auto"/>
        <w:rPr>
          <w:sz w:val="20"/>
          <w:szCs w:val="20"/>
          <w:color w:val="auto"/>
        </w:rPr>
      </w:pPr>
      <w:r>
        <w:rPr>
          <w:rFonts w:ascii="Arial" w:cs="Arial" w:eastAsia="Arial" w:hAnsi="Arial"/>
          <w:sz w:val="22"/>
          <w:szCs w:val="22"/>
          <w:color w:val="FFFFFF"/>
        </w:rPr>
        <w:t xml:space="preserve">The Board of Directors recommends a vote </w:t>
      </w:r>
      <w:r>
        <w:rPr>
          <w:rFonts w:ascii="Arial" w:cs="Arial" w:eastAsia="Arial" w:hAnsi="Arial"/>
          <w:sz w:val="22"/>
          <w:szCs w:val="22"/>
          <w:b w:val="1"/>
          <w:bCs w:val="1"/>
          <w:color w:val="FFFFFF"/>
        </w:rPr>
        <w:t>AGAINST</w:t>
      </w:r>
      <w:r>
        <w:rPr>
          <w:rFonts w:ascii="Arial" w:cs="Arial" w:eastAsia="Arial" w:hAnsi="Arial"/>
          <w:sz w:val="22"/>
          <w:szCs w:val="22"/>
          <w:color w:val="FFFFFF"/>
        </w:rPr>
        <w:t xml:space="preserve"> the adoption of this stockholder proposal for the following reasons: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believes that it is in the best interests of the Company and its stockholders for the Board to have flexibility in determining whether to separate or combine the roles of chairman and CEO based on the Company’s circumstances. Adopting a policy to restrict that discretion would deprive the Board of its ability to select the most qualified and appropriate individual to lead the Board as Chairman and/or CEO. The members of the Board possess considerable experience and unique knowledge of the challenges and opportunities the Company faces, and are in the best position to evaluate the needs of the Company and how best to organize the capabilities of the directors and senior managers to meet</w:t>
      </w:r>
    </w:p>
    <w:p>
      <w:pPr>
        <w:spacing w:after="0" w:line="395"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66</w:t>
      </w:r>
      <w:r>
        <w:rPr>
          <w:sz w:val="20"/>
          <w:szCs w:val="20"/>
          <w:color w:val="auto"/>
        </w:rPr>
        <w:tab/>
      </w:r>
      <w:r>
        <w:rPr>
          <w:sz w:val="1"/>
          <w:szCs w:val="1"/>
          <w:color w:val="auto"/>
        </w:rPr>
        <w:drawing>
          <wp:inline distT="0" distB="0" distL="0" distR="0">
            <wp:extent cx="120015" cy="12001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70" w:name="page71"/>
    <w:bookmarkEnd w:id="70"/>
    <w:p>
      <w:pPr>
        <w:ind w:left="8560"/>
        <w:spacing w:after="0"/>
        <w:rPr>
          <w:sz w:val="20"/>
          <w:szCs w:val="20"/>
          <w:color w:val="auto"/>
        </w:rPr>
      </w:pPr>
      <w:r>
        <w:rPr>
          <w:rFonts w:ascii="Arial" w:cs="Arial" w:eastAsia="Arial" w:hAnsi="Arial"/>
          <w:sz w:val="18"/>
          <w:szCs w:val="18"/>
          <w:b w:val="1"/>
          <w:bCs w:val="1"/>
          <w:color w:val="134A9C"/>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those needs. In making leadership structure determinations, the Board considers many factors to determine what is in the best interests of the Company’s stockholders, including the qualifications of individual directors and the specific needs of the business. As described under </w:t>
      </w:r>
      <w:r>
        <w:rPr>
          <w:rFonts w:ascii="Arial" w:cs="Arial" w:eastAsia="Arial" w:hAnsi="Arial"/>
          <w:sz w:val="18"/>
          <w:szCs w:val="18"/>
          <w:i w:val="1"/>
          <w:iCs w:val="1"/>
          <w:color w:val="auto"/>
        </w:rPr>
        <w:t>“Board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Leadership Structure” </w:t>
      </w:r>
      <w:r>
        <w:rPr>
          <w:rFonts w:ascii="Arial" w:cs="Arial" w:eastAsia="Arial" w:hAnsi="Arial"/>
          <w:sz w:val="18"/>
          <w:szCs w:val="18"/>
          <w:color w:val="auto"/>
        </w:rPr>
        <w:t>beginning on page 19, the Company has demonstrated its willingness to separate and to combine chairman and CEO</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at different points in the Company’s history, allowing, in each case, the Board to consider all eligible directors and not exclude any eligible candidate from consideration. In planning for Mr. Akerson to step down as Chairman and CEO in January 2014, our Board reconsidered its leadership structure and separated the chairman and CEO positions to assist with facilitating an orderly transition of leadership to a new CEO. Currently, Mr. Solso serves as our independent, non-executive Chairman, and Ms. Barra is CEO. Given the dynamic and competitive environment in which GM operates, our Board may reconsider its leadership structure from time to time based on changes in our circumstances and in the members of the Board.</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GM has been, and continues to be, a strong advocate of Board independence and has put into place measures to see that its directors provide independent oversight. While the Board has no fixed policy with respect to combining or separating the roles of chairman and CEO, our Bylaws and Corporate Governance Guidelines provide that if the Chairman is not an independent director, the independent directors will elect a Lead Director from among the independent directors serving on the Board. The defined role of Lead Director at GM is closely aligned with the role of our current independent Chairman, ensuring a strong, independent and active Board of Directors. These duties include:</w:t>
      </w:r>
    </w:p>
    <w:p>
      <w:pPr>
        <w:spacing w:after="0" w:line="57" w:lineRule="exact"/>
        <w:rPr>
          <w:sz w:val="20"/>
          <w:szCs w:val="20"/>
          <w:color w:val="auto"/>
        </w:rPr>
      </w:pPr>
    </w:p>
    <w:p>
      <w:pPr>
        <w:ind w:left="400" w:hanging="392"/>
        <w:spacing w:after="0" w:line="262" w:lineRule="auto"/>
        <w:tabs>
          <w:tab w:leader="none" w:pos="400" w:val="left"/>
        </w:tabs>
        <w:numPr>
          <w:ilvl w:val="0"/>
          <w:numId w:val="82"/>
        </w:numPr>
        <w:rPr>
          <w:rFonts w:ascii="Arial" w:cs="Arial" w:eastAsia="Arial" w:hAnsi="Arial"/>
          <w:sz w:val="18"/>
          <w:szCs w:val="18"/>
          <w:color w:val="134A9C"/>
        </w:rPr>
      </w:pPr>
      <w:r>
        <w:rPr>
          <w:rFonts w:ascii="Arial" w:cs="Arial" w:eastAsia="Arial" w:hAnsi="Arial"/>
          <w:sz w:val="18"/>
          <w:szCs w:val="18"/>
          <w:color w:val="auto"/>
        </w:rPr>
        <w:t>Presiding at all meetings of the Board at which the Chairman is not present, including executive sessions of non-management directors, and advising the Chairman of any actions taken;</w:t>
      </w:r>
    </w:p>
    <w:p>
      <w:pPr>
        <w:spacing w:after="0" w:line="47" w:lineRule="exact"/>
        <w:rPr>
          <w:rFonts w:ascii="Arial" w:cs="Arial" w:eastAsia="Arial" w:hAnsi="Arial"/>
          <w:sz w:val="18"/>
          <w:szCs w:val="18"/>
          <w:color w:val="134A9C"/>
        </w:rPr>
      </w:pPr>
    </w:p>
    <w:p>
      <w:pPr>
        <w:ind w:left="400" w:hanging="392"/>
        <w:spacing w:after="0"/>
        <w:tabs>
          <w:tab w:leader="none" w:pos="400" w:val="left"/>
        </w:tabs>
        <w:numPr>
          <w:ilvl w:val="0"/>
          <w:numId w:val="82"/>
        </w:numPr>
        <w:rPr>
          <w:rFonts w:ascii="Arial" w:cs="Arial" w:eastAsia="Arial" w:hAnsi="Arial"/>
          <w:sz w:val="18"/>
          <w:szCs w:val="18"/>
          <w:color w:val="134A9C"/>
        </w:rPr>
      </w:pPr>
      <w:r>
        <w:rPr>
          <w:rFonts w:ascii="Arial" w:cs="Arial" w:eastAsia="Arial" w:hAnsi="Arial"/>
          <w:sz w:val="18"/>
          <w:szCs w:val="18"/>
          <w:color w:val="auto"/>
        </w:rPr>
        <w:t>Calling executive sessions of the non-management and independent directors;</w:t>
      </w:r>
    </w:p>
    <w:p>
      <w:pPr>
        <w:spacing w:after="0" w:line="76" w:lineRule="exact"/>
        <w:rPr>
          <w:rFonts w:ascii="Arial" w:cs="Arial" w:eastAsia="Arial" w:hAnsi="Arial"/>
          <w:sz w:val="18"/>
          <w:szCs w:val="18"/>
          <w:color w:val="134A9C"/>
        </w:rPr>
      </w:pPr>
    </w:p>
    <w:p>
      <w:pPr>
        <w:ind w:left="400" w:hanging="392"/>
        <w:spacing w:after="0"/>
        <w:tabs>
          <w:tab w:leader="none" w:pos="400" w:val="left"/>
        </w:tabs>
        <w:numPr>
          <w:ilvl w:val="0"/>
          <w:numId w:val="82"/>
        </w:numPr>
        <w:rPr>
          <w:rFonts w:ascii="Arial" w:cs="Arial" w:eastAsia="Arial" w:hAnsi="Arial"/>
          <w:sz w:val="18"/>
          <w:szCs w:val="18"/>
          <w:color w:val="134A9C"/>
        </w:rPr>
      </w:pPr>
      <w:r>
        <w:rPr>
          <w:rFonts w:ascii="Arial" w:cs="Arial" w:eastAsia="Arial" w:hAnsi="Arial"/>
          <w:sz w:val="18"/>
          <w:szCs w:val="18"/>
          <w:color w:val="auto"/>
        </w:rPr>
        <w:t>Developing agendas for executive sessions of the Board in consultation with the Chairman and other Board members;</w:t>
      </w:r>
    </w:p>
    <w:p>
      <w:pPr>
        <w:spacing w:after="0" w:line="76" w:lineRule="exact"/>
        <w:rPr>
          <w:rFonts w:ascii="Arial" w:cs="Arial" w:eastAsia="Arial" w:hAnsi="Arial"/>
          <w:sz w:val="18"/>
          <w:szCs w:val="18"/>
          <w:color w:val="134A9C"/>
        </w:rPr>
      </w:pPr>
    </w:p>
    <w:p>
      <w:pPr>
        <w:ind w:left="400" w:right="20" w:hanging="392"/>
        <w:spacing w:after="0" w:line="262" w:lineRule="auto"/>
        <w:tabs>
          <w:tab w:leader="none" w:pos="400" w:val="left"/>
        </w:tabs>
        <w:numPr>
          <w:ilvl w:val="0"/>
          <w:numId w:val="82"/>
        </w:numPr>
        <w:rPr>
          <w:rFonts w:ascii="Arial" w:cs="Arial" w:eastAsia="Arial" w:hAnsi="Arial"/>
          <w:sz w:val="18"/>
          <w:szCs w:val="18"/>
          <w:color w:val="134A9C"/>
        </w:rPr>
      </w:pPr>
      <w:r>
        <w:rPr>
          <w:rFonts w:ascii="Arial" w:cs="Arial" w:eastAsia="Arial" w:hAnsi="Arial"/>
          <w:sz w:val="18"/>
          <w:szCs w:val="18"/>
          <w:color w:val="auto"/>
        </w:rPr>
        <w:t>Leading the non-management directors in the annual evaluation of the performance of the CEO and communicating that evaluation to him or her;</w:t>
      </w:r>
    </w:p>
    <w:p>
      <w:pPr>
        <w:spacing w:after="0" w:line="47" w:lineRule="exact"/>
        <w:rPr>
          <w:rFonts w:ascii="Arial" w:cs="Arial" w:eastAsia="Arial" w:hAnsi="Arial"/>
          <w:sz w:val="18"/>
          <w:szCs w:val="18"/>
          <w:color w:val="134A9C"/>
        </w:rPr>
      </w:pPr>
    </w:p>
    <w:p>
      <w:pPr>
        <w:ind w:left="400" w:hanging="392"/>
        <w:spacing w:after="0"/>
        <w:tabs>
          <w:tab w:leader="none" w:pos="400" w:val="left"/>
        </w:tabs>
        <w:numPr>
          <w:ilvl w:val="0"/>
          <w:numId w:val="82"/>
        </w:numPr>
        <w:rPr>
          <w:rFonts w:ascii="Arial" w:cs="Arial" w:eastAsia="Arial" w:hAnsi="Arial"/>
          <w:sz w:val="18"/>
          <w:szCs w:val="18"/>
          <w:color w:val="134A9C"/>
        </w:rPr>
      </w:pPr>
      <w:r>
        <w:rPr>
          <w:rFonts w:ascii="Arial" w:cs="Arial" w:eastAsia="Arial" w:hAnsi="Arial"/>
          <w:sz w:val="18"/>
          <w:szCs w:val="18"/>
          <w:color w:val="auto"/>
        </w:rPr>
        <w:t>Approving Board meeting agendas and related materials recommended by the Chairman;</w:t>
      </w:r>
    </w:p>
    <w:p>
      <w:pPr>
        <w:spacing w:after="0" w:line="76" w:lineRule="exact"/>
        <w:rPr>
          <w:rFonts w:ascii="Arial" w:cs="Arial" w:eastAsia="Arial" w:hAnsi="Arial"/>
          <w:sz w:val="18"/>
          <w:szCs w:val="18"/>
          <w:color w:val="134A9C"/>
        </w:rPr>
      </w:pPr>
    </w:p>
    <w:p>
      <w:pPr>
        <w:ind w:left="400" w:hanging="392"/>
        <w:spacing w:after="0"/>
        <w:tabs>
          <w:tab w:leader="none" w:pos="400" w:val="left"/>
        </w:tabs>
        <w:numPr>
          <w:ilvl w:val="0"/>
          <w:numId w:val="82"/>
        </w:numPr>
        <w:rPr>
          <w:rFonts w:ascii="Arial" w:cs="Arial" w:eastAsia="Arial" w:hAnsi="Arial"/>
          <w:sz w:val="18"/>
          <w:szCs w:val="18"/>
          <w:color w:val="134A9C"/>
        </w:rPr>
      </w:pPr>
      <w:r>
        <w:rPr>
          <w:rFonts w:ascii="Arial" w:cs="Arial" w:eastAsia="Arial" w:hAnsi="Arial"/>
          <w:sz w:val="18"/>
          <w:szCs w:val="18"/>
          <w:color w:val="auto"/>
        </w:rPr>
        <w:t>Approving Board meeting schedules to assure that there is sufficient time for discussion of all agenda items;</w:t>
      </w:r>
    </w:p>
    <w:p>
      <w:pPr>
        <w:spacing w:after="0" w:line="76" w:lineRule="exact"/>
        <w:rPr>
          <w:rFonts w:ascii="Arial" w:cs="Arial" w:eastAsia="Arial" w:hAnsi="Arial"/>
          <w:sz w:val="18"/>
          <w:szCs w:val="18"/>
          <w:color w:val="134A9C"/>
        </w:rPr>
      </w:pPr>
    </w:p>
    <w:p>
      <w:pPr>
        <w:ind w:left="400" w:hanging="392"/>
        <w:spacing w:after="0"/>
        <w:tabs>
          <w:tab w:leader="none" w:pos="400" w:val="left"/>
        </w:tabs>
        <w:numPr>
          <w:ilvl w:val="0"/>
          <w:numId w:val="82"/>
        </w:numPr>
        <w:rPr>
          <w:rFonts w:ascii="Arial" w:cs="Arial" w:eastAsia="Arial" w:hAnsi="Arial"/>
          <w:sz w:val="18"/>
          <w:szCs w:val="18"/>
          <w:color w:val="134A9C"/>
        </w:rPr>
      </w:pPr>
      <w:r>
        <w:rPr>
          <w:rFonts w:ascii="Arial" w:cs="Arial" w:eastAsia="Arial" w:hAnsi="Arial"/>
          <w:sz w:val="18"/>
          <w:szCs w:val="18"/>
          <w:color w:val="auto"/>
        </w:rPr>
        <w:t>Serving as liaison between non-management directors and the Chairman, as necessary; and</w:t>
      </w:r>
    </w:p>
    <w:p>
      <w:pPr>
        <w:spacing w:after="0" w:line="76" w:lineRule="exact"/>
        <w:rPr>
          <w:rFonts w:ascii="Arial" w:cs="Arial" w:eastAsia="Arial" w:hAnsi="Arial"/>
          <w:sz w:val="18"/>
          <w:szCs w:val="18"/>
          <w:color w:val="134A9C"/>
        </w:rPr>
      </w:pPr>
    </w:p>
    <w:p>
      <w:pPr>
        <w:ind w:left="400" w:hanging="392"/>
        <w:spacing w:after="0"/>
        <w:tabs>
          <w:tab w:leader="none" w:pos="400" w:val="left"/>
        </w:tabs>
        <w:numPr>
          <w:ilvl w:val="0"/>
          <w:numId w:val="82"/>
        </w:numPr>
        <w:rPr>
          <w:rFonts w:ascii="Arial" w:cs="Arial" w:eastAsia="Arial" w:hAnsi="Arial"/>
          <w:sz w:val="18"/>
          <w:szCs w:val="18"/>
          <w:color w:val="134A9C"/>
        </w:rPr>
      </w:pPr>
      <w:r>
        <w:rPr>
          <w:rFonts w:ascii="Arial" w:cs="Arial" w:eastAsia="Arial" w:hAnsi="Arial"/>
          <w:sz w:val="18"/>
          <w:szCs w:val="18"/>
          <w:color w:val="auto"/>
        </w:rPr>
        <w:t>Being available, if requested by major stockholders, for consultation and communication.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fixed policy separating the roles of chairman and CEO is also unnecessary because of GM’s strong corporate governance practices, including: a declassified Board, a majority vote requirement in uncontested elections of directors, annual election of the Chairman by the Board, a substantial majority of independent directors, executive sessions without management present, key Board committees composed exclusively of independent directors, and directors’ unrestricted access to management and independent advisors. Moreover, GM’s current policy regarding the separation of the offices of chairman and CEO is consistent with that of most large, publicly traded companies in the United States. According to the Spencer Stuart U.S. Board Index 2014, only 14 companies (or 3%) of the S&amp;P 500 have formal policies requiring the separation of the chairman and CEO roles, with the majority of other companies deciding their leadership structure on a case-by-case basis. In fact, the number of companies with a formal separation policy has decreased from 21 companies (or 4%) in 2013.</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proponent provides no evidence demonstrating that separating the roles of chairman and CEO would, by itself, deliver additional benefit to stockholders. Given the small number of major corporations in the U.S. that are committed permanently to leadership by an independent chairman, the claims cited by the proponent are far from conclusive. Indeed, we believe that stockholders benefit when the Board can select the best candidates to run the Company at a given time.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summary, the Board believes this proposal would deprive the Board of the valuable flexibility to exercise its business judgment in selecting the individual best suited to serve as Chairman of the Board and is unnecessary since the Company’s corporate governance structure already provides effective</w:t>
      </w:r>
    </w:p>
    <w:p>
      <w:pPr>
        <w:spacing w:after="0" w:line="392"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67</w:t>
      </w:r>
      <w:r>
        <w:rPr>
          <w:sz w:val="20"/>
          <w:szCs w:val="20"/>
          <w:color w:val="auto"/>
        </w:rPr>
        <w:tab/>
      </w:r>
      <w:r>
        <w:rPr>
          <w:sz w:val="1"/>
          <w:szCs w:val="1"/>
          <w:color w:val="auto"/>
        </w:rPr>
        <w:drawing>
          <wp:inline distT="0" distB="0" distL="0" distR="0">
            <wp:extent cx="120015" cy="12001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71" w:name="page72"/>
    <w:bookmarkEnd w:id="71"/>
    <w:p>
      <w:pPr>
        <w:ind w:left="8560"/>
        <w:spacing w:after="0"/>
        <w:rPr>
          <w:sz w:val="20"/>
          <w:szCs w:val="20"/>
          <w:color w:val="auto"/>
        </w:rPr>
      </w:pPr>
      <w:r>
        <w:rPr>
          <w:rFonts w:ascii="Arial" w:cs="Arial" w:eastAsia="Arial" w:hAnsi="Arial"/>
          <w:sz w:val="18"/>
          <w:szCs w:val="18"/>
          <w:b w:val="1"/>
          <w:bCs w:val="1"/>
          <w:color w:val="134A9C"/>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independent oversight of management. Accordingly, the Board does not believe implementing the proposal would be in the best interests of the Company or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54875" cy="2832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83210"/>
                    </a:xfrm>
                    <a:prstGeom prst="rect">
                      <a:avLst/>
                    </a:prstGeom>
                    <a:noFill/>
                  </pic:spPr>
                </pic:pic>
              </a:graphicData>
            </a:graphic>
          </wp:anchor>
        </w:drawing>
      </w:r>
    </w:p>
    <w:p>
      <w:pPr>
        <w:spacing w:after="0" w:line="347" w:lineRule="exact"/>
        <w:rPr>
          <w:sz w:val="20"/>
          <w:szCs w:val="20"/>
          <w:color w:val="auto"/>
        </w:rPr>
      </w:pPr>
    </w:p>
    <w:p>
      <w:pPr>
        <w:ind w:left="40"/>
        <w:spacing w:after="0"/>
        <w:rPr>
          <w:sz w:val="20"/>
          <w:szCs w:val="20"/>
          <w:color w:val="auto"/>
        </w:rPr>
      </w:pPr>
      <w:r>
        <w:rPr>
          <w:rFonts w:ascii="Arial" w:cs="Arial" w:eastAsia="Arial" w:hAnsi="Arial"/>
          <w:sz w:val="22"/>
          <w:szCs w:val="22"/>
          <w:color w:val="FFFFFF"/>
        </w:rPr>
        <w:t xml:space="preserve">The Board of Directors recommends a vote </w:t>
      </w:r>
      <w:r>
        <w:rPr>
          <w:rFonts w:ascii="Arial" w:cs="Arial" w:eastAsia="Arial" w:hAnsi="Arial"/>
          <w:sz w:val="22"/>
          <w:szCs w:val="22"/>
          <w:b w:val="1"/>
          <w:bCs w:val="1"/>
          <w:color w:val="FFFFFF"/>
        </w:rPr>
        <w:t>AGAINST</w:t>
      </w:r>
      <w:r>
        <w:rPr>
          <w:rFonts w:ascii="Arial" w:cs="Arial" w:eastAsia="Arial" w:hAnsi="Arial"/>
          <w:sz w:val="22"/>
          <w:szCs w:val="22"/>
          <w:color w:val="FFFFFF"/>
        </w:rPr>
        <w:t xml:space="preserve"> this stockholder proposal, Item No. 4.</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b w:val="1"/>
          <w:bCs w:val="1"/>
          <w:u w:val="single" w:color="auto"/>
          <w:color w:val="134A9C"/>
        </w:rPr>
        <w:t>ITEM NO. 5</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STOCKHOLDER PROPOSAL REGARDING CUMULATIVE VOTING</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Mr. John Chevedden, 2215 Nelson Ave., No. 205, Redondo Beach, CA 90278, owner of approximately 100 shares of Common Stock, has given notice that he intends to present for action at the annual meeting the following stockholder proposal:</w:t>
      </w:r>
    </w:p>
    <w:p>
      <w:pPr>
        <w:spacing w:after="0" w:line="102"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“Resolved: Cumulative Voting. Shareholders recommend that our Board take the steps necessary to adopt cumulative voting. Cumulative voting means that each shareholder may cast as many votes as equal to number of shares held, multiplied by the number of directors to be elected. A shareholder may cast all such cumulated votes for a single candidate or focus on a few candidates. Under cumulative voting shareholders can withhold votes from poor-performing directors in order to cast multiple votes for other director candidates. This is an important protection for shareholders.</w:t>
      </w:r>
    </w:p>
    <w:p>
      <w:pPr>
        <w:spacing w:after="0" w:line="11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Cumulative voting also allows a significant group of shareholders to elect a director of its choice - safeguarding minority shareholder interests and bringing independent perspectives to Board decisions. Cumulative voting won 54%-support at Aetna and 51%-support at Alaska Air. It also received 53%-support at General Motors in two annual elections. The Council of Institutional Investors www.cii.org &lt;http://www.cii.org&gt; and CalPERS recommended adoption of this proposal topic.</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clearly improvable corporate performance and governance (as reported in 2014) is an added incentive to vote for this proposal:</w:t>
      </w:r>
    </w:p>
    <w:p>
      <w:pPr>
        <w:spacing w:after="0" w:line="13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GMI Ratings, an independent investment research firm, said its rating for GM global, Governance, Environmental and Social issues was an overall F.</w:t>
      </w:r>
    </w:p>
    <w:p>
      <w:pPr>
        <w:spacing w:after="0" w:line="10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Arizona sued GM for $3 billion regarding allegations that GM intentionally misled consumers in handling recalls and put the public at risk by “concealing safety defects to avoid the cost of recalls.” November 2014</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GM announced that it would take a charge of up to $1.2 billion for the cost of recall-related repairs. June 2014</w:t>
      </w:r>
    </w:p>
    <w:p>
      <w:pPr>
        <w:spacing w:after="0" w:line="13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GM was hit with a $10 billion lawsuit to compensate millions of car and truck owners for lost resale value because a slew of recalls and a deadly delay in recalling cars with defective ignition switches damaged its brand. June 2014</w:t>
      </w:r>
    </w:p>
    <w:p>
      <w:pPr>
        <w:spacing w:after="0" w:line="10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Hagens Berman Sobol Shapiro law firm, which had obtained $1.6 billion civil settlement with Toyota over sudden-acceleration defects, filed a class action against General Motors Co. over its recall of 1.6 million vehicles for ignition switch defects. April 2014</w:t>
      </w:r>
    </w:p>
    <w:p>
      <w:pPr>
        <w:spacing w:after="0" w:line="10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 GM shareholder filed a class-action lawsuit against GM for defrauding stockholders because GM failed to disclose ignition switch problems sooner. March 2014</w:t>
      </w:r>
    </w:p>
    <w:p>
      <w:pPr>
        <w:spacing w:after="0" w:line="10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Directors Erroll Davis and Kathryn Marinello, both ironically on our audit committee, were negatively flagged by GMI due to their director duties at General Motors when GM filed for bankruptcy. Our Lead Director, Patricia Russo, received our highest negative vote for a director and was a member of our executive pay committee and chaired our nomination committee.</w:t>
      </w:r>
    </w:p>
    <w:p>
      <w:pPr>
        <w:spacing w:after="0" w:line="107"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Returning to the core topic of this proposal from the context of our clearly improvable corporate governance, please vote to protect shareholder value:”</w:t>
      </w:r>
    </w:p>
    <w:p>
      <w:pPr>
        <w:spacing w:after="0" w:line="386"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68</w:t>
      </w:r>
      <w:r>
        <w:rPr>
          <w:sz w:val="20"/>
          <w:szCs w:val="20"/>
          <w:color w:val="auto"/>
        </w:rPr>
        <w:tab/>
      </w:r>
      <w:r>
        <w:rPr>
          <w:sz w:val="1"/>
          <w:szCs w:val="1"/>
          <w:color w:val="auto"/>
        </w:rPr>
        <w:drawing>
          <wp:inline distT="0" distB="0" distL="0" distR="0">
            <wp:extent cx="120015" cy="12001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292" w:right="239" w:bottom="1440" w:gutter="0" w:footer="0" w:header="0"/>
        </w:sectPr>
      </w:pPr>
    </w:p>
    <w:bookmarkStart w:id="72" w:name="page73"/>
    <w:bookmarkEnd w:id="72"/>
    <w:p>
      <w:pPr>
        <w:ind w:left="40" w:right="4320"/>
        <w:spacing w:after="0" w:line="261" w:lineRule="auto"/>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157480</wp:posOffset>
            </wp:positionH>
            <wp:positionV relativeFrom="page">
              <wp:posOffset>543560</wp:posOffset>
            </wp:positionV>
            <wp:extent cx="5154295" cy="43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54295" cy="437515"/>
                    </a:xfrm>
                    <a:prstGeom prst="rect">
                      <a:avLst/>
                    </a:prstGeom>
                    <a:noFill/>
                  </pic:spPr>
                </pic:pic>
              </a:graphicData>
            </a:graphic>
          </wp:anchor>
        </w:drawing>
        <w:t xml:space="preserve">The Board of Directors recommends a vote </w:t>
      </w:r>
      <w:r>
        <w:rPr>
          <w:rFonts w:ascii="Arial" w:cs="Arial" w:eastAsia="Arial" w:hAnsi="Arial"/>
          <w:sz w:val="22"/>
          <w:szCs w:val="22"/>
          <w:b w:val="1"/>
          <w:bCs w:val="1"/>
          <w:color w:val="FFFFFF"/>
        </w:rPr>
        <w:t>AGAINST</w:t>
      </w:r>
      <w:r>
        <w:rPr>
          <w:rFonts w:ascii="Arial" w:cs="Arial" w:eastAsia="Arial" w:hAnsi="Arial"/>
          <w:sz w:val="22"/>
          <w:szCs w:val="22"/>
          <w:color w:val="FFFFFF"/>
        </w:rPr>
        <w:t xml:space="preserve"> the adoption of this stockholder proposal for the following reasons: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GM’s present system for the election of directors, like that of most other public companies, provides that each share of our Common Stock is entitled to one vote for each available Board seat. This system allows all stockholders to vote on the basis of their share ownership. Our present majority voting standard provides that every director is elected or re-elected only if the votes cast “for” his or her election exceed the votes cast “against” his or her election. The Board believes this approach is the fairest way to elect the Company’s directors in uncontested elections, as well as the method most likely to produce a Board that will effectively represent the interests of all GM’s stockholders.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contrast, cumulative voting, which would permit stockholders owning less than a majority of all shares to elect a director, could promote special interest representation on the Board. This proposal, if successful, could give a small stockholder group disproportionate impact on the election of directors, possibly leading to the election of one or more directors who advocate the positions of the groups that elected them, rather than working in the best interest of all stockholders. If cumulative voting leads directors to support the special interests of the constituencies that elected them, the resulting partisanship and divisiveness could impair the Board’s ability to operate effectively as a governing body, to the detriment of all stockholders. In addition, by focusing on the election of individual members instead of a slate of nominees presented by the Board, cumulative voting may also interfere with the Company’s efforts to develop and maintain a Board of Directors possessing the wide range of skills, characteristics and experience necessary to serve all stockholders’ interests.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Delaware law, every member of the Board is obligated to represent all stockholders fairly and equally, and our current system of voting encourages each director’s sense of responsibility toward all our stockholders, without special commitments or loyalty to any one stockholder or group of stockholders. Even though the VEBA Trust has a contractual right to designate a candidate for election to the Board, as described on page 34, the Board retains responsibility for determining that the candidate's nomination will be in the best interest of all stockholders. The current Board is committed to continuing its strong oversight of management and progressive corporate governance practices, which include such safeguards as an annually elected Board, a substantial majority of independent directors, a highly effective independent Chairman, key Board committees composed exclusively of independent directors, and confidential voting. In addition, our stockholders have the ability to call a special meeting.</w:t>
      </w:r>
    </w:p>
    <w:p>
      <w:pPr>
        <w:spacing w:after="0" w:line="11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For all the above reasons, the Board believes that the adoption of cumulative voting would not be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2832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83210"/>
                    </a:xfrm>
                    <a:prstGeom prst="rect">
                      <a:avLst/>
                    </a:prstGeom>
                    <a:noFill/>
                  </pic:spPr>
                </pic:pic>
              </a:graphicData>
            </a:graphic>
          </wp:anchor>
        </w:drawing>
      </w:r>
    </w:p>
    <w:p>
      <w:pPr>
        <w:spacing w:after="0" w:line="226" w:lineRule="exact"/>
        <w:rPr>
          <w:sz w:val="20"/>
          <w:szCs w:val="20"/>
          <w:color w:val="auto"/>
        </w:rPr>
      </w:pPr>
    </w:p>
    <w:p>
      <w:pPr>
        <w:ind w:left="40"/>
        <w:spacing w:after="0"/>
        <w:rPr>
          <w:sz w:val="20"/>
          <w:szCs w:val="20"/>
          <w:color w:val="auto"/>
        </w:rPr>
      </w:pPr>
      <w:r>
        <w:rPr>
          <w:rFonts w:ascii="Arial" w:cs="Arial" w:eastAsia="Arial" w:hAnsi="Arial"/>
          <w:sz w:val="22"/>
          <w:szCs w:val="22"/>
          <w:color w:val="FFFFFF"/>
        </w:rPr>
        <w:t xml:space="preserve">The Board of Directors recommends a vote </w:t>
      </w:r>
      <w:r>
        <w:rPr>
          <w:rFonts w:ascii="Arial" w:cs="Arial" w:eastAsia="Arial" w:hAnsi="Arial"/>
          <w:sz w:val="22"/>
          <w:szCs w:val="22"/>
          <w:b w:val="1"/>
          <w:bCs w:val="1"/>
          <w:color w:val="FFFFFF"/>
        </w:rPr>
        <w:t>AGAINST</w:t>
      </w:r>
      <w:r>
        <w:rPr>
          <w:rFonts w:ascii="Arial" w:cs="Arial" w:eastAsia="Arial" w:hAnsi="Arial"/>
          <w:sz w:val="22"/>
          <w:szCs w:val="22"/>
          <w:color w:val="FFFFFF"/>
        </w:rPr>
        <w:t xml:space="preserve"> this stockholder proposal, Item No.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80"/>
        <w:spacing w:after="0"/>
        <w:tabs>
          <w:tab w:leader="none" w:pos="9212" w:val="left"/>
        </w:tabs>
        <w:rPr>
          <w:sz w:val="20"/>
          <w:szCs w:val="20"/>
          <w:color w:val="auto"/>
        </w:rPr>
      </w:pPr>
      <w:r>
        <w:rPr>
          <w:rFonts w:ascii="Arial" w:cs="Arial" w:eastAsia="Arial" w:hAnsi="Arial"/>
          <w:sz w:val="18"/>
          <w:szCs w:val="18"/>
          <w:color w:val="auto"/>
        </w:rPr>
        <w:t>69</w:t>
      </w:r>
      <w:r>
        <w:rPr>
          <w:sz w:val="20"/>
          <w:szCs w:val="20"/>
          <w:color w:val="auto"/>
        </w:rPr>
        <w:tab/>
      </w:r>
      <w:r>
        <w:rPr>
          <w:sz w:val="1"/>
          <w:szCs w:val="1"/>
          <w:color w:val="auto"/>
        </w:rPr>
        <w:drawing>
          <wp:inline distT="0" distB="0" distL="0" distR="0">
            <wp:extent cx="120015" cy="12001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b w:val="1"/>
          <w:bCs w:val="1"/>
          <w:color w:val="134A9C"/>
        </w:rPr>
        <w:t xml:space="preserve"> 2015 Proxy Statement</w:t>
      </w:r>
    </w:p>
    <w:p>
      <w:pPr>
        <w:sectPr>
          <w:pgSz w:w="11900" w:h="16838" w:orient="portrait"/>
          <w:cols w:equalWidth="0" w:num="1">
            <w:col w:w="11420"/>
          </w:cols>
          <w:pgMar w:left="240" w:top="985" w:right="239" w:bottom="1440" w:gutter="0" w:footer="0" w:header="0"/>
        </w:sectPr>
      </w:pPr>
    </w:p>
    <w:bookmarkStart w:id="73" w:name="page74"/>
    <w:bookmarkEnd w:id="73"/>
    <w:p>
      <w:pPr>
        <w:spacing w:after="0"/>
        <w:rPr>
          <w:sz w:val="20"/>
          <w:szCs w:val="20"/>
          <w:color w:val="auto"/>
        </w:rPr>
      </w:pPr>
      <w:r>
        <w:rPr>
          <w:rFonts w:ascii="Arial" w:cs="Arial" w:eastAsia="Arial" w:hAnsi="Arial"/>
          <w:sz w:val="25"/>
          <w:szCs w:val="25"/>
          <w:b w:val="1"/>
          <w:bCs w:val="1"/>
          <w:color w:val="134A9C"/>
        </w:rPr>
        <w:t>APPENDIX A</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134A9C"/>
        </w:rPr>
        <w:t>RECONCILIATION OF NON-GAAP FINANCIAL MEASURES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Return on Invested Capital</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uses return on invested capital (“ROIC”) in its financial and operational decision making processes, for internal reporting and as part of its forecasting and budgeting processes as it provides additional transparency of our core operations and allows management to assess how effectively we are deploying our assets.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define ROIC as Earnings Before Interest and Taxes ("EBIT")-adjusted for the trailing four quarters divided by average net assets during that period. We consider average net assets to be the average of our ending total equity, plus average automotive debt and interest related liabilities (excluding capital leases), plus average automotive net pension and Other Post-Employment Benefits ("OPEB") liabilities, less average automotive net income tax assets and average fresh start accounting goodwill for each quarter in that period.</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calculation of EBIT-Adjusted and ROIC are considered non-GAAP financial measures because we calculate them using financial measures that have been adjusted from the most directly comparable U.S. GAAP financial measure. Our calculation of these non-GAAP measures may not be comparable to similarly titled measures of other companies due to potential differences between companies in the method of calculation. As a result the use of our non-GAAP measures has limitations and should not be considered in isolation from, or as a substitute for, related U.S. GAAP measures.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134A9C"/>
        </w:rPr>
        <w:t>Reconciliation of ROIC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5145405" cy="20326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540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568" w:right="23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21"/>
          <w:szCs w:val="21"/>
          <w:b w:val="1"/>
          <w:bCs w:val="1"/>
          <w:color w:val="134A9C"/>
        </w:rPr>
        <w:t>2015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-132080</wp:posOffset>
            </wp:positionV>
            <wp:extent cx="660400" cy="660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0400" cy="660400"/>
                    </a:xfrm>
                    <a:prstGeom prst="rect">
                      <a:avLst/>
                    </a:prstGeom>
                    <a:noFill/>
                  </pic:spPr>
                </pic:pic>
              </a:graphicData>
            </a:graphic>
          </wp:anchor>
        </w:drawing>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134A9C"/>
        </w:rPr>
        <w:t>General Motors Company</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134A9C"/>
        </w:rPr>
        <w:t>General Motors Global Headquarters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134A9C"/>
        </w:rPr>
        <w:t>300 Renaissance Center</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134A9C"/>
        </w:rPr>
        <w:t>Detroit, Michigan 48243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14605</wp:posOffset>
            </wp:positionV>
            <wp:extent cx="3310255" cy="22980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1025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134A9C"/>
        </w:rPr>
        <w:t>General Directions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300"/>
          </w:cols>
          <w:pgMar w:left="240" w:top="728" w:right="359" w:bottom="1440" w:gutter="0" w:footer="0" w:header="0"/>
        </w:sectPr>
      </w:pPr>
    </w:p>
    <w:p>
      <w:pPr>
        <w:spacing w:after="0" w:line="171"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FFFFFF"/>
        </w:rPr>
        <w:t>From East</w:t>
      </w:r>
    </w:p>
    <w:p>
      <w:pPr>
        <w:spacing w:after="0" w:line="73" w:lineRule="exact"/>
        <w:rPr>
          <w:sz w:val="20"/>
          <w:szCs w:val="20"/>
          <w:color w:val="auto"/>
        </w:rPr>
      </w:pPr>
    </w:p>
    <w:p>
      <w:pPr>
        <w:ind w:left="40"/>
        <w:spacing w:after="0" w:line="250" w:lineRule="auto"/>
        <w:rPr>
          <w:sz w:val="20"/>
          <w:szCs w:val="20"/>
          <w:color w:val="auto"/>
        </w:rPr>
      </w:pPr>
      <w:r>
        <w:rPr>
          <w:rFonts w:ascii="Arial" w:cs="Arial" w:eastAsia="Arial" w:hAnsi="Arial"/>
          <w:sz w:val="14"/>
          <w:szCs w:val="14"/>
          <w:color w:val="auto"/>
        </w:rPr>
        <w:t>Take I-94 West to I-75 South. Keep left to I-375 South via Exit 51C toward Civic Center. I-375 South becomes Jefferson Avenue West. Proceed west for approximately one block. The GM Renaissance Center is on the left.</w:t>
      </w:r>
    </w:p>
    <w:p>
      <w:pPr>
        <w:spacing w:after="0" w:line="181"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FFFFFF"/>
        </w:rPr>
        <w:t>From West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FFFFFF"/>
        </w:rPr>
        <w:t>From North</w:t>
      </w:r>
    </w:p>
    <w:p>
      <w:pPr>
        <w:spacing w:after="0" w:line="73"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Take I-75 South and keep left to I-375 South via Exit 51C toward Civic Center. I-375 South becomes Jefferson Avenue West. Proceed west for approximately one block. The GM Renaissance Center is on the left.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106045</wp:posOffset>
            </wp:positionV>
            <wp:extent cx="72466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1"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FFFFFF"/>
        </w:rPr>
        <w:t>From South</w:t>
      </w:r>
    </w:p>
    <w:p>
      <w:pPr>
        <w:spacing w:after="0" w:line="73" w:lineRule="exact"/>
        <w:rPr>
          <w:sz w:val="20"/>
          <w:szCs w:val="20"/>
          <w:color w:val="auto"/>
        </w:rPr>
      </w:pPr>
    </w:p>
    <w:p>
      <w:pPr>
        <w:sectPr>
          <w:pgSz w:w="11900" w:h="16838" w:orient="portrait"/>
          <w:cols w:equalWidth="0" w:num="2">
            <w:col w:w="5080" w:space="340"/>
            <w:col w:w="5880"/>
          </w:cols>
          <w:pgMar w:left="240" w:top="728" w:right="3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Take I-94 East to I-75 South to I-375 South via Exit 51C toward Civic Center. I-375</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South becomes Jefferson Avenue West. Proceed west for approximately one block.</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GM Renaissance Center is on the left.</w:t>
      </w:r>
    </w:p>
    <w:p>
      <w:pPr>
        <w:spacing w:after="0" w:line="325"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OR</w:t>
      </w:r>
    </w:p>
    <w:p>
      <w:pPr>
        <w:spacing w:after="0" w:line="325" w:lineRule="exact"/>
        <w:rPr>
          <w:sz w:val="20"/>
          <w:szCs w:val="20"/>
          <w:color w:val="auto"/>
        </w:rPr>
      </w:pPr>
    </w:p>
    <w:p>
      <w:pPr>
        <w:ind w:left="40" w:right="100"/>
        <w:spacing w:after="0" w:line="247" w:lineRule="auto"/>
        <w:rPr>
          <w:sz w:val="20"/>
          <w:szCs w:val="20"/>
          <w:color w:val="auto"/>
        </w:rPr>
      </w:pPr>
      <w:r>
        <w:rPr>
          <w:rFonts w:ascii="Arial" w:cs="Arial" w:eastAsia="Arial" w:hAnsi="Arial"/>
          <w:sz w:val="14"/>
          <w:szCs w:val="14"/>
          <w:color w:val="auto"/>
        </w:rPr>
        <w:t>Take I-96 East to I-696 East toward Port Huron, then to M-10 South via Exit #8, toward the US-24 Telegraph exit. Merge onto M-10 South. In approximately 20 miles M-10 becomes Jefferson Avenue West. Proceed east for approximately one quarter mile. The GM Renaissance Center is on the right.</w:t>
      </w:r>
    </w:p>
    <w:p>
      <w:pPr>
        <w:spacing w:after="0" w:line="20" w:lineRule="exact"/>
        <w:rPr>
          <w:sz w:val="20"/>
          <w:szCs w:val="20"/>
          <w:color w:val="auto"/>
        </w:rPr>
      </w:pPr>
      <w:r>
        <w:rPr>
          <w:sz w:val="20"/>
          <w:szCs w:val="20"/>
          <w:color w:val="auto"/>
        </w:rPr>
        <w:br w:type="column"/>
      </w:r>
    </w:p>
    <w:p>
      <w:pPr>
        <w:ind w:right="40"/>
        <w:spacing w:after="0" w:line="247" w:lineRule="auto"/>
        <w:rPr>
          <w:sz w:val="20"/>
          <w:szCs w:val="20"/>
          <w:color w:val="auto"/>
        </w:rPr>
      </w:pPr>
      <w:r>
        <w:rPr>
          <w:rFonts w:ascii="Arial" w:cs="Arial" w:eastAsia="Arial" w:hAnsi="Arial"/>
          <w:sz w:val="14"/>
          <w:szCs w:val="14"/>
          <w:color w:val="auto"/>
        </w:rPr>
        <w:t>Take I-75 North and keep left to I-375 South via Exit 51C toward Civic Center. Proceed on I-375 South toward Jefferson Avenue West and Civic Center (I-375 ends and becomes Jefferson Avenue). Proceed approximately one block and the GM Renaissance Center is on the left.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From Canada:</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Via Detroit-Windsor Tunnel, turn right at Jefferson Avenue. The GM Renaissance Center is approximately one block east on the right.</w:t>
      </w:r>
    </w:p>
    <w:p>
      <w:pPr>
        <w:spacing w:after="0" w:line="140"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Via Ambassador Bridge, take I-75 North to I-375 South via Exit 51C toward Civic Center. I-375 South becomes Jefferson Avenue West. Proceed west for approximately one block. The GM Renaissance Center is on the left.</w:t>
      </w:r>
    </w:p>
    <w:p>
      <w:pPr>
        <w:spacing w:after="0" w:line="118" w:lineRule="exact"/>
        <w:rPr>
          <w:sz w:val="20"/>
          <w:szCs w:val="20"/>
          <w:color w:val="auto"/>
        </w:rPr>
      </w:pPr>
    </w:p>
    <w:p>
      <w:pPr>
        <w:sectPr>
          <w:pgSz w:w="11900" w:h="16838" w:orient="portrait"/>
          <w:cols w:equalWidth="0" w:num="2">
            <w:col w:w="5340" w:space="80"/>
            <w:col w:w="5880"/>
          </w:cols>
          <w:pgMar w:left="240" w:top="728" w:right="359" w:bottom="1440" w:gutter="0" w:footer="0" w:header="0"/>
          <w:type w:val="continuous"/>
        </w:sectPr>
      </w:pPr>
    </w:p>
    <w:p>
      <w:pPr>
        <w:spacing w:after="0"/>
        <w:rPr>
          <w:sz w:val="20"/>
          <w:szCs w:val="20"/>
          <w:color w:val="auto"/>
        </w:rPr>
      </w:pPr>
      <w:r>
        <w:rPr>
          <w:rFonts w:ascii="Arial" w:cs="Arial" w:eastAsia="Arial" w:hAnsi="Arial"/>
          <w:sz w:val="14"/>
          <w:szCs w:val="14"/>
          <w:color w:val="auto"/>
        </w:rPr>
        <w:t>Stockholders and their guests are responsible for their parking. Parking is available on a first-come, first-served basis at Port Atwater, Beaubien Place, and Miller parking decks.</w:t>
      </w:r>
    </w:p>
    <w:p>
      <w:pPr>
        <w:spacing w:after="0" w:line="91"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b w:val="1"/>
          <w:bCs w:val="1"/>
          <w:color w:val="134A9C"/>
        </w:rPr>
        <w:t>An admission ticket will be required to enter the meeting. Please follow the instructions on page 9 of this proxy statement for important information on attending the annual meeting.</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Your Vote is Important</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Please vote via the Internet, by telephone, or by signing, dating, and returning the enclosed proxy card or voting instruction form.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134A9C"/>
        </w:rPr>
        <w:t>Results of the Annual Meeting</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Final certified results of voting at the annual meeting will be available at </w:t>
      </w:r>
      <w:r>
        <w:rPr>
          <w:rFonts w:ascii="Arial" w:cs="Arial" w:eastAsia="Arial" w:hAnsi="Arial"/>
          <w:sz w:val="14"/>
          <w:szCs w:val="14"/>
          <w:i w:val="1"/>
          <w:iCs w:val="1"/>
          <w:color w:val="auto"/>
        </w:rPr>
        <w:t>www.gm.com/proxymaterials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163830</wp:posOffset>
            </wp:positionV>
            <wp:extent cx="694690" cy="3517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4690" cy="35179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163830</wp:posOffset>
            </wp:positionV>
            <wp:extent cx="805815" cy="3517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05815" cy="351790"/>
                    </a:xfrm>
                    <a:prstGeom prst="rect">
                      <a:avLst/>
                    </a:prstGeom>
                    <a:noFill/>
                  </pic:spPr>
                </pic:pic>
              </a:graphicData>
            </a:graphic>
          </wp:anchor>
        </w:drawing>
      </w:r>
    </w:p>
    <w:p>
      <w:pPr>
        <w:sectPr>
          <w:pgSz w:w="11900" w:h="16838" w:orient="portrait"/>
          <w:cols w:equalWidth="0" w:num="1">
            <w:col w:w="11300"/>
          </w:cols>
          <w:pgMar w:left="240" w:top="728" w:right="359" w:bottom="1440" w:gutter="0" w:footer="0" w:header="0"/>
          <w:type w:val="continuous"/>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763260" cy="74523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5763260" cy="7452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763260" cy="74269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5763260" cy="74269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o"/>
      <w:numFmt w:val="bullet"/>
      <w:start w:val="1"/>
    </w:lvl>
  </w:abstractNum>
  <w:abstractNum w:abstractNumId="1">
    <w:nsid w:val="70A64E2A"/>
    <w:multiLevelType w:val="hybridMultilevel"/>
    <w:lvl w:ilvl="0">
      <w:lvlJc w:val="left"/>
      <w:lvlText w:val="x"/>
      <w:numFmt w:val="bullet"/>
      <w:start w:val="1"/>
    </w:lvl>
  </w:abstractNum>
  <w:abstractNum w:abstractNumId="2">
    <w:nsid w:val="6A2342EC"/>
    <w:multiLevelType w:val="hybridMultilevel"/>
    <w:lvl w:ilvl="0">
      <w:lvlJc w:val="left"/>
      <w:lvlText w:val="o"/>
      <w:numFmt w:val="bullet"/>
      <w:start w:val="1"/>
    </w:lvl>
    <w:lvl w:ilvl="1">
      <w:lvlJc w:val="left"/>
      <w:lvlText w:val="(%2)"/>
      <w:numFmt w:val="decimal"/>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3"/>
    </w:lvl>
  </w:abstractNum>
  <w:abstractNum w:abstractNumId="6">
    <w:nsid w:val="2CD89A32"/>
    <w:multiLevelType w:val="hybridMultilevel"/>
    <w:lvl w:ilvl="0">
      <w:lvlJc w:val="left"/>
      <w:lvlText w:val="ü"/>
      <w:numFmt w:val="bullet"/>
      <w:start w:val="1"/>
    </w:lvl>
  </w:abstractNum>
  <w:abstractNum w:abstractNumId="7">
    <w:nsid w:val="57E4CCAF"/>
    <w:multiLevelType w:val="hybridMultilevel"/>
    <w:lvl w:ilvl="0">
      <w:lvlJc w:val="left"/>
      <w:lvlText w:val="Ÿ"/>
      <w:numFmt w:val="bullet"/>
      <w:start w:val="1"/>
    </w:lvl>
  </w:abstractNum>
  <w:abstractNum w:abstractNumId="8">
    <w:nsid w:val="7A6D8D3C"/>
    <w:multiLevelType w:val="hybridMultilevel"/>
    <w:lvl w:ilvl="0">
      <w:lvlJc w:val="left"/>
      <w:lvlText w:val="Ÿ"/>
      <w:numFmt w:val="bullet"/>
      <w:start w:val="1"/>
    </w:lvl>
  </w:abstractNum>
  <w:abstractNum w:abstractNumId="9">
    <w:nsid w:val="4B588F54"/>
    <w:multiLevelType w:val="hybridMultilevel"/>
    <w:lvl w:ilvl="0">
      <w:lvlJc w:val="left"/>
      <w:lvlText w:val="(%1)"/>
      <w:numFmt w:val="decimal"/>
    </w:lvl>
    <w:lvl w:ilvl="1">
      <w:lvlJc w:val="left"/>
      <w:lvlText w:val="Ÿ"/>
      <w:numFmt w:val="bullet"/>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1."/>
      <w:numFmt w:val="decimal"/>
      <w:start w:val="8"/>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1."/>
      <w:numFmt w:val="decimal"/>
      <w:start w:val="2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Ÿ"/>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ü"/>
      <w:numFmt w:val="bullet"/>
      <w:start w:val="1"/>
    </w:lvl>
  </w:abstractNum>
  <w:abstractNum w:abstractNumId="47">
    <w:nsid w:val="2F305DEF"/>
    <w:multiLevelType w:val="hybridMultilevel"/>
    <w:lvl w:ilvl="0">
      <w:lvlJc w:val="left"/>
      <w:lvlText w:val="û"/>
      <w:numFmt w:val="bullet"/>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decimal"/>
      <w:start w:val="1"/>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5"/>
    </w:lvl>
  </w:abstractNum>
  <w:abstractNum w:abstractNumId="68">
    <w:nsid w:val="51D9C564"/>
    <w:multiLevelType w:val="hybridMultilevel"/>
    <w:lvl w:ilvl="0">
      <w:lvlJc w:val="left"/>
      <w:lvlText w:val="(%1)"/>
      <w:numFmt w:val="decimal"/>
      <w:start w:val="7"/>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1)"/>
      <w:numFmt w:val="decimal"/>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decimal"/>
      <w:start w:val="1"/>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decimal"/>
      <w:start w:val="3"/>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1)"/>
      <w:numFmt w:val="decimal"/>
      <w:start w:val="1"/>
    </w:lvl>
  </w:abstractNum>
  <w:abstractNum w:abstractNumId="80">
    <w:nsid w:val="6A5EE64"/>
    <w:multiLevelType w:val="hybridMultilevel"/>
    <w:lvl w:ilvl="0">
      <w:lvlJc w:val="left"/>
      <w:lvlText w:val="(%1)"/>
      <w:numFmt w:val="decimal"/>
      <w:start w:val="5"/>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2019-12-08T21:25:37Z</dcterms:created>
  <dcterms:modified xsi:type="dcterms:W3CDTF">2019-12-08T21:25:37Z</dcterms:modified>
</cp:coreProperties>
</file>